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655E6" w14:textId="029F7B6D" w:rsidR="00A45B1F" w:rsidRDefault="00842F44" w:rsidP="004C0AD0">
      <w:pPr>
        <w:widowControl/>
        <w:spacing w:afterLines="50" w:after="156"/>
        <w:jc w:val="center"/>
        <w:rPr>
          <w:rFonts w:ascii="Times New Roman" w:eastAsia="宋体" w:hAnsi="Times New Roman" w:cs="Times New Roman"/>
          <w:b/>
          <w:sz w:val="30"/>
          <w:szCs w:val="30"/>
        </w:rPr>
      </w:pPr>
      <w:r w:rsidRPr="00842F44">
        <w:rPr>
          <w:rFonts w:ascii="Times New Roman" w:eastAsia="宋体" w:hAnsi="Times New Roman" w:cs="Times New Roman"/>
          <w:b/>
          <w:sz w:val="30"/>
          <w:szCs w:val="30"/>
        </w:rPr>
        <w:t>Evolution Characteristics of Stress Fields in Layere</w:t>
      </w:r>
      <w:r w:rsidR="008C22DB">
        <w:rPr>
          <w:rFonts w:ascii="Times New Roman" w:eastAsia="宋体" w:hAnsi="Times New Roman" w:cs="Times New Roman" w:hint="eastAsia"/>
          <w:b/>
          <w:sz w:val="30"/>
          <w:szCs w:val="30"/>
        </w:rPr>
        <w:t xml:space="preserve">d </w:t>
      </w:r>
      <w:r w:rsidRPr="00842F44">
        <w:rPr>
          <w:rFonts w:ascii="Times New Roman" w:eastAsia="宋体" w:hAnsi="Times New Roman" w:cs="Times New Roman"/>
          <w:b/>
          <w:sz w:val="30"/>
          <w:szCs w:val="30"/>
        </w:rPr>
        <w:t>Surrounding Rock</w:t>
      </w:r>
      <w:r w:rsidR="008C22DB">
        <w:rPr>
          <w:rFonts w:ascii="Times New Roman" w:eastAsia="宋体" w:hAnsi="Times New Roman" w:cs="Times New Roman" w:hint="eastAsia"/>
          <w:b/>
          <w:sz w:val="30"/>
          <w:szCs w:val="30"/>
        </w:rPr>
        <w:t>mass</w:t>
      </w:r>
      <w:r w:rsidRPr="00842F44">
        <w:rPr>
          <w:rFonts w:ascii="Times New Roman" w:eastAsia="宋体" w:hAnsi="Times New Roman" w:cs="Times New Roman"/>
          <w:b/>
          <w:sz w:val="30"/>
          <w:szCs w:val="30"/>
        </w:rPr>
        <w:t xml:space="preserve"> of Tunnels </w:t>
      </w:r>
    </w:p>
    <w:p w14:paraId="3A6417CA" w14:textId="5DD00649" w:rsidR="00C32F42" w:rsidRPr="00D754D8" w:rsidRDefault="00C32F42" w:rsidP="00C32F42">
      <w:pPr>
        <w:widowControl/>
        <w:jc w:val="center"/>
        <w:rPr>
          <w:rFonts w:ascii="Times New Roman" w:eastAsia="宋体" w:hAnsi="Times New Roman" w:cs="Times New Roman"/>
          <w:bCs/>
          <w:sz w:val="18"/>
          <w:szCs w:val="18"/>
        </w:rPr>
      </w:pPr>
      <w:r w:rsidRPr="00C32F42">
        <w:rPr>
          <w:rFonts w:ascii="Times New Roman" w:eastAsia="宋体" w:hAnsi="Times New Roman" w:cs="Times New Roman" w:hint="eastAsia"/>
          <w:bCs/>
          <w:sz w:val="18"/>
          <w:szCs w:val="18"/>
        </w:rPr>
        <w:t>Feng Li</w:t>
      </w:r>
      <w:r w:rsidRPr="00C32F42">
        <w:rPr>
          <w:rFonts w:ascii="Times New Roman" w:eastAsia="宋体" w:hAnsi="Times New Roman" w:cs="Times New Roman" w:hint="eastAsia"/>
          <w:bCs/>
          <w:sz w:val="18"/>
          <w:szCs w:val="18"/>
          <w:vertAlign w:val="superscript"/>
        </w:rPr>
        <w:t>1</w:t>
      </w:r>
      <w:r w:rsidRPr="00C32F42">
        <w:rPr>
          <w:rFonts w:ascii="Times New Roman" w:eastAsia="宋体" w:hAnsi="Times New Roman" w:cs="Times New Roman" w:hint="eastAsia"/>
          <w:bCs/>
          <w:sz w:val="18"/>
          <w:szCs w:val="18"/>
        </w:rPr>
        <w:t>, Kang Qiu</w:t>
      </w:r>
      <w:r w:rsidRPr="00C32F42">
        <w:rPr>
          <w:rFonts w:ascii="Times New Roman" w:eastAsia="宋体" w:hAnsi="Times New Roman" w:cs="Times New Roman" w:hint="eastAsia"/>
          <w:bCs/>
          <w:sz w:val="18"/>
          <w:szCs w:val="18"/>
          <w:vertAlign w:val="superscript"/>
        </w:rPr>
        <w:t>1</w:t>
      </w:r>
      <w:r w:rsidRPr="00C32F42">
        <w:rPr>
          <w:rFonts w:ascii="Times New Roman" w:eastAsia="宋体" w:hAnsi="Times New Roman" w:cs="Times New Roman" w:hint="eastAsia"/>
          <w:bCs/>
          <w:sz w:val="18"/>
          <w:szCs w:val="18"/>
        </w:rPr>
        <w:t>, Jiahao Ma</w:t>
      </w:r>
      <w:r w:rsidRPr="00C32F42">
        <w:rPr>
          <w:rFonts w:ascii="Times New Roman" w:eastAsia="宋体" w:hAnsi="Times New Roman" w:cs="Times New Roman" w:hint="eastAsia"/>
          <w:bCs/>
          <w:sz w:val="18"/>
          <w:szCs w:val="18"/>
          <w:vertAlign w:val="superscript"/>
        </w:rPr>
        <w:t>1</w:t>
      </w:r>
      <w:r w:rsidRPr="00C32F42">
        <w:rPr>
          <w:rFonts w:ascii="Times New Roman" w:eastAsia="宋体" w:hAnsi="Times New Roman" w:cs="Times New Roman" w:hint="eastAsia"/>
          <w:bCs/>
          <w:sz w:val="18"/>
          <w:szCs w:val="18"/>
        </w:rPr>
        <w:t>, Yongbin Geng</w:t>
      </w:r>
      <w:r w:rsidRPr="00C32F42">
        <w:rPr>
          <w:rFonts w:ascii="Times New Roman" w:eastAsia="宋体" w:hAnsi="Times New Roman" w:cs="Times New Roman" w:hint="eastAsia"/>
          <w:bCs/>
          <w:sz w:val="18"/>
          <w:szCs w:val="18"/>
          <w:vertAlign w:val="superscript"/>
        </w:rPr>
        <w:t>1</w:t>
      </w:r>
      <w:r w:rsidRPr="00C32F42">
        <w:rPr>
          <w:rFonts w:ascii="Times New Roman" w:eastAsia="宋体" w:hAnsi="Times New Roman" w:cs="Times New Roman" w:hint="eastAsia"/>
          <w:bCs/>
          <w:sz w:val="18"/>
          <w:szCs w:val="18"/>
        </w:rPr>
        <w:t>, Haigang Ma</w:t>
      </w:r>
      <w:r w:rsidRPr="00C32F42">
        <w:rPr>
          <w:rFonts w:ascii="Times New Roman" w:eastAsia="宋体" w:hAnsi="Times New Roman" w:cs="Times New Roman" w:hint="eastAsia"/>
          <w:bCs/>
          <w:sz w:val="18"/>
          <w:szCs w:val="18"/>
          <w:vertAlign w:val="superscript"/>
        </w:rPr>
        <w:t>1</w:t>
      </w:r>
      <w:r w:rsidR="00D754D8">
        <w:rPr>
          <w:rFonts w:ascii="Times New Roman" w:eastAsia="宋体" w:hAnsi="Times New Roman" w:cs="Times New Roman" w:hint="eastAsia"/>
          <w:bCs/>
          <w:sz w:val="18"/>
          <w:szCs w:val="18"/>
        </w:rPr>
        <w:t>, Yinhu Guo</w:t>
      </w:r>
      <w:r w:rsidR="00D754D8" w:rsidRPr="00D754D8">
        <w:rPr>
          <w:rFonts w:ascii="Times New Roman" w:eastAsia="宋体" w:hAnsi="Times New Roman" w:cs="Times New Roman" w:hint="eastAsia"/>
          <w:bCs/>
          <w:sz w:val="18"/>
          <w:szCs w:val="18"/>
          <w:vertAlign w:val="superscript"/>
        </w:rPr>
        <w:t>2</w:t>
      </w:r>
    </w:p>
    <w:p w14:paraId="24AC5493" w14:textId="6102356F" w:rsidR="00C32F42" w:rsidRDefault="00C32F42" w:rsidP="00D754D8">
      <w:pPr>
        <w:widowControl/>
        <w:jc w:val="center"/>
        <w:rPr>
          <w:rFonts w:ascii="Times New Roman" w:eastAsia="宋体" w:hAnsi="Times New Roman" w:cs="Times New Roman"/>
          <w:bCs/>
          <w:sz w:val="18"/>
          <w:szCs w:val="18"/>
        </w:rPr>
      </w:pPr>
      <w:r w:rsidRPr="00C32F42">
        <w:rPr>
          <w:rFonts w:ascii="Times New Roman" w:eastAsia="宋体" w:hAnsi="Times New Roman" w:cs="Times New Roman" w:hint="eastAsia"/>
          <w:bCs/>
          <w:sz w:val="18"/>
          <w:szCs w:val="18"/>
          <w:vertAlign w:val="superscript"/>
        </w:rPr>
        <w:t>1</w:t>
      </w:r>
      <w:r w:rsidRPr="00C32F42">
        <w:rPr>
          <w:rFonts w:ascii="Times New Roman" w:eastAsia="宋体" w:hAnsi="Times New Roman" w:cs="Times New Roman"/>
          <w:bCs/>
          <w:sz w:val="18"/>
          <w:szCs w:val="18"/>
        </w:rPr>
        <w:t>China Railway Shanghai Engineering Bureau Group Seventh Engineering Co., Ltd.</w:t>
      </w:r>
      <w:r>
        <w:rPr>
          <w:rFonts w:ascii="Times New Roman" w:eastAsia="宋体" w:hAnsi="Times New Roman" w:cs="Times New Roman" w:hint="eastAsia"/>
          <w:bCs/>
          <w:sz w:val="18"/>
          <w:szCs w:val="18"/>
        </w:rPr>
        <w:t>, Xian, Shanxi, China</w:t>
      </w:r>
    </w:p>
    <w:p w14:paraId="3620DDAF" w14:textId="7D50609E" w:rsidR="00D754D8" w:rsidRPr="00C32F42" w:rsidRDefault="00D754D8" w:rsidP="004C0AD0">
      <w:pPr>
        <w:widowControl/>
        <w:spacing w:afterLines="50" w:after="156"/>
        <w:jc w:val="center"/>
        <w:rPr>
          <w:rFonts w:ascii="Times New Roman" w:eastAsia="宋体" w:hAnsi="Times New Roman" w:cs="Times New Roman"/>
          <w:bCs/>
          <w:sz w:val="18"/>
          <w:szCs w:val="18"/>
        </w:rPr>
      </w:pPr>
      <w:r w:rsidRPr="00D754D8">
        <w:rPr>
          <w:rFonts w:ascii="Times New Roman" w:eastAsia="宋体" w:hAnsi="Times New Roman" w:cs="Times New Roman" w:hint="eastAsia"/>
          <w:bCs/>
          <w:sz w:val="18"/>
          <w:szCs w:val="18"/>
          <w:vertAlign w:val="superscript"/>
        </w:rPr>
        <w:t>2</w:t>
      </w:r>
      <w:r w:rsidRPr="00D754D8">
        <w:rPr>
          <w:rFonts w:ascii="Times New Roman" w:eastAsia="宋体" w:hAnsi="Times New Roman" w:cs="Times New Roman"/>
          <w:bCs/>
          <w:sz w:val="18"/>
          <w:szCs w:val="18"/>
        </w:rPr>
        <w:t>Xi'an-Chengdu Passenger Dedicated Line Shaanxi Co.,</w:t>
      </w:r>
      <w:r>
        <w:rPr>
          <w:rFonts w:ascii="Times New Roman" w:eastAsia="宋体" w:hAnsi="Times New Roman" w:cs="Times New Roman" w:hint="eastAsia"/>
          <w:bCs/>
          <w:sz w:val="18"/>
          <w:szCs w:val="18"/>
        </w:rPr>
        <w:t xml:space="preserve"> </w:t>
      </w:r>
      <w:r w:rsidRPr="00D754D8">
        <w:rPr>
          <w:rFonts w:ascii="Times New Roman" w:eastAsia="宋体" w:hAnsi="Times New Roman" w:cs="Times New Roman"/>
          <w:bCs/>
          <w:sz w:val="18"/>
          <w:szCs w:val="18"/>
        </w:rPr>
        <w:t>Ltd., Xi'an 710043, China</w:t>
      </w:r>
    </w:p>
    <w:p w14:paraId="6A50277D" w14:textId="306CBFAA" w:rsidR="00842F44" w:rsidRPr="007221AF" w:rsidRDefault="00842F44" w:rsidP="004C0AD0">
      <w:pPr>
        <w:spacing w:after="60"/>
        <w:rPr>
          <w:rFonts w:ascii="宋体" w:eastAsia="宋体" w:hAnsi="宋体" w:hint="eastAsia"/>
          <w:sz w:val="24"/>
          <w:szCs w:val="24"/>
        </w:rPr>
      </w:pPr>
      <w:r w:rsidRPr="007221AF">
        <w:rPr>
          <w:rFonts w:ascii="Times New Roman" w:eastAsia="Times New Roman" w:hAnsi="Times New Roman"/>
          <w:b/>
          <w:sz w:val="24"/>
          <w:szCs w:val="24"/>
        </w:rPr>
        <w:t>Abstract:</w:t>
      </w:r>
      <w:r w:rsidRPr="007221AF">
        <w:rPr>
          <w:rFonts w:ascii="Times New Roman" w:eastAsia="Times New Roman" w:hAnsi="Times New Roman"/>
          <w:sz w:val="24"/>
          <w:szCs w:val="24"/>
        </w:rPr>
        <w:t xml:space="preserve"> Layered rock masses exhibit pronounced mechanical anisotropy, and bedding discontinuities can substantially alter excavation-induced stress redistribution and concentration around a tunnel, thereby increasing the likelihood of instability. In this study, a three-dimensional discrete-element </w:t>
      </w:r>
      <w:r w:rsidR="004A1DA1" w:rsidRPr="007221AF">
        <w:rPr>
          <w:rFonts w:ascii="Times New Roman" w:eastAsia="Times New Roman" w:hAnsi="Times New Roman"/>
          <w:sz w:val="24"/>
          <w:szCs w:val="24"/>
        </w:rPr>
        <w:t>numerical simulation platform</w:t>
      </w:r>
      <w:r w:rsidR="004A1DA1" w:rsidRPr="007221AF">
        <w:rPr>
          <w:rFonts w:ascii="Times New Roman" w:hAnsi="Times New Roman" w:hint="eastAsia"/>
          <w:sz w:val="24"/>
          <w:szCs w:val="24"/>
        </w:rPr>
        <w:t xml:space="preserve"> </w:t>
      </w:r>
      <w:r w:rsidRPr="007221AF">
        <w:rPr>
          <w:rFonts w:ascii="Times New Roman" w:eastAsia="Times New Roman" w:hAnsi="Times New Roman"/>
          <w:sz w:val="24"/>
          <w:szCs w:val="24"/>
        </w:rPr>
        <w:t xml:space="preserve">was </w:t>
      </w:r>
      <w:r w:rsidR="00463B51" w:rsidRPr="007221AF">
        <w:rPr>
          <w:rFonts w:ascii="Times New Roman" w:hAnsi="Times New Roman"/>
          <w:sz w:val="24"/>
          <w:szCs w:val="24"/>
        </w:rPr>
        <w:t>employed</w:t>
      </w:r>
      <w:r w:rsidRPr="007221AF">
        <w:rPr>
          <w:rFonts w:ascii="Times New Roman" w:eastAsia="Times New Roman" w:hAnsi="Times New Roman"/>
          <w:sz w:val="24"/>
          <w:szCs w:val="24"/>
        </w:rPr>
        <w:t xml:space="preserve"> to investigate a tunnel excavated in layered rock with bedding dip angles of 0°, 30°, 60°, and 90°. The distributions and evolution of the vertical and horizontal stresses were examined for the four configurations. The results indicate that tunnel excavation causes marked redistribution of both </w:t>
      </w:r>
      <w:r w:rsidR="00463B51" w:rsidRPr="007221AF">
        <w:rPr>
          <w:rFonts w:ascii="Times New Roman" w:eastAsia="Times New Roman" w:hAnsi="Times New Roman"/>
          <w:sz w:val="24"/>
          <w:szCs w:val="24"/>
        </w:rPr>
        <w:t>the vertical and horizontal</w:t>
      </w:r>
      <w:r w:rsidR="00463B51" w:rsidRPr="007221AF">
        <w:rPr>
          <w:rFonts w:ascii="Times New Roman" w:hAnsi="Times New Roman" w:hint="eastAsia"/>
          <w:sz w:val="24"/>
          <w:szCs w:val="24"/>
        </w:rPr>
        <w:t xml:space="preserve"> </w:t>
      </w:r>
      <w:r w:rsidRPr="007221AF">
        <w:rPr>
          <w:rFonts w:ascii="Times New Roman" w:eastAsia="Times New Roman" w:hAnsi="Times New Roman"/>
          <w:sz w:val="24"/>
          <w:szCs w:val="24"/>
        </w:rPr>
        <w:t>stress components. The disturbance is concentrated in the near-field region and gradually diminishes with increasing distance from the opening. Vertical compressive stress is primarily concentrated near the crown and invert, whereas horizontal compressive stress is mainly localized along the sidewalls and extends toward the arch shoulders and feet. Approximately symmetric stress patterns are obtained for bedding dip angles of 0° and 90°. By contrast, at 30° and 60°, the stress-concentration zones migrate along the bedding direction, producing a distinct asymmetry between the two sides of the tunnel. These findings provide a theoretical basis for stability assessment and support optimization in tunnels constructed in layered rock masses.</w:t>
      </w:r>
    </w:p>
    <w:p w14:paraId="67B67811" w14:textId="18BF6271" w:rsidR="00842F44" w:rsidRPr="007221AF" w:rsidRDefault="00842F44" w:rsidP="004C0AD0">
      <w:pPr>
        <w:spacing w:after="60"/>
        <w:jc w:val="left"/>
        <w:rPr>
          <w:rFonts w:eastAsia="宋体" w:cs="Times New Roman" w:hint="eastAsia"/>
          <w:sz w:val="24"/>
          <w:szCs w:val="24"/>
        </w:rPr>
      </w:pPr>
      <w:r w:rsidRPr="007221AF">
        <w:rPr>
          <w:rFonts w:ascii="Times New Roman" w:eastAsia="Times New Roman" w:hAnsi="Times New Roman"/>
          <w:b/>
          <w:sz w:val="24"/>
          <w:szCs w:val="24"/>
        </w:rPr>
        <w:t>Keywords:</w:t>
      </w:r>
      <w:r w:rsidRPr="007221AF">
        <w:rPr>
          <w:rFonts w:ascii="Times New Roman" w:eastAsia="Times New Roman" w:hAnsi="Times New Roman"/>
          <w:sz w:val="24"/>
          <w:szCs w:val="24"/>
        </w:rPr>
        <w:t xml:space="preserve"> tunnel; layered rock mass; bedding dip angle; stress redistribution; </w:t>
      </w:r>
      <w:r w:rsidR="001E5954" w:rsidRPr="007221AF">
        <w:rPr>
          <w:rFonts w:ascii="Times New Roman" w:eastAsia="Times New Roman" w:hAnsi="Times New Roman"/>
          <w:sz w:val="24"/>
          <w:szCs w:val="24"/>
        </w:rPr>
        <w:t>numerical simulation</w:t>
      </w:r>
      <w:r w:rsidR="001E5954" w:rsidRPr="007221AF">
        <w:rPr>
          <w:rFonts w:ascii="宋体" w:eastAsia="宋体" w:hAnsi="宋体" w:cs="宋体" w:hint="eastAsia"/>
          <w:sz w:val="24"/>
          <w:szCs w:val="24"/>
        </w:rPr>
        <w:t>.</w:t>
      </w:r>
    </w:p>
    <w:p w14:paraId="710361AC" w14:textId="77777777" w:rsidR="00842F44" w:rsidRDefault="00842F44" w:rsidP="004C0AD0">
      <w:pPr>
        <w:adjustRightInd w:val="0"/>
        <w:snapToGrid w:val="0"/>
        <w:spacing w:beforeLines="50" w:before="156" w:afterLines="50" w:after="156"/>
        <w:jc w:val="left"/>
        <w:outlineLvl w:val="1"/>
        <w:rPr>
          <w:rFonts w:eastAsia="宋体" w:cs="Times New Roman" w:hint="eastAsia"/>
          <w:b/>
          <w:bCs/>
          <w:sz w:val="28"/>
          <w:szCs w:val="28"/>
        </w:rPr>
      </w:pPr>
      <w:r>
        <w:rPr>
          <w:rFonts w:ascii="Times New Roman" w:eastAsia="Times New Roman" w:hAnsi="Times New Roman"/>
          <w:b/>
          <w:sz w:val="24"/>
        </w:rPr>
        <w:t>1. Introduction</w:t>
      </w:r>
    </w:p>
    <w:p w14:paraId="140456C4" w14:textId="0E7CA92B" w:rsidR="00842F44" w:rsidRPr="007221AF" w:rsidRDefault="00842F44" w:rsidP="007221AF">
      <w:pPr>
        <w:spacing w:after="60"/>
        <w:ind w:firstLineChars="200" w:firstLine="480"/>
        <w:rPr>
          <w:rFonts w:eastAsia="宋体" w:cs="Times New Roman" w:hint="eastAsia"/>
          <w:sz w:val="24"/>
          <w:szCs w:val="24"/>
        </w:rPr>
      </w:pPr>
      <w:r w:rsidRPr="007221AF">
        <w:rPr>
          <w:rFonts w:ascii="Times New Roman" w:eastAsia="Times New Roman" w:hAnsi="Times New Roman"/>
          <w:sz w:val="24"/>
          <w:szCs w:val="24"/>
        </w:rPr>
        <w:t>With the rapid expansion of transportation infrastructure in China, an increasing number of tunnels and underground structures are being constructed at greater depths, over longer distances, and under increasingly complex geological conditions. Layered rock masses are widely distributed in western and mountainous regions, where pervasive bedding planes, joints, and fractures produce pronounced anisotropy in mechanical behaviour and failure response</w:t>
      </w:r>
      <w:r w:rsidRPr="007221AF">
        <w:rPr>
          <w:rFonts w:ascii="Times New Roman" w:eastAsia="Times New Roman" w:hAnsi="Times New Roman"/>
          <w:sz w:val="24"/>
          <w:szCs w:val="24"/>
          <w:vertAlign w:val="superscript"/>
        </w:rPr>
        <w:t>[1-2]</w:t>
      </w:r>
      <w:r w:rsidRPr="007221AF">
        <w:rPr>
          <w:rFonts w:ascii="Times New Roman" w:eastAsia="Times New Roman" w:hAnsi="Times New Roman"/>
          <w:sz w:val="24"/>
          <w:szCs w:val="24"/>
        </w:rPr>
        <w:t>. Tunnel excavation disturbs the initial in-situ stress state and induces substantial stress adjustment around the opening. Once the localized stress exceeds the load-bearing capacity of the rock mass, cracking, spalling, and even large-scale instability may occur. A clear understanding of excavation-induced stress-field evolution in layered rock is therefore essential for identifying potential failure mechanisms and improving construction safety in underground engineering.</w:t>
      </w:r>
    </w:p>
    <w:p w14:paraId="0F455FFF" w14:textId="7FA903E8" w:rsidR="00842F44" w:rsidRPr="007221AF" w:rsidRDefault="00842F44" w:rsidP="007221AF">
      <w:pPr>
        <w:spacing w:after="60"/>
        <w:ind w:firstLineChars="200" w:firstLine="480"/>
        <w:rPr>
          <w:rFonts w:eastAsia="宋体" w:cs="Times New Roman" w:hint="eastAsia"/>
          <w:sz w:val="24"/>
          <w:szCs w:val="24"/>
        </w:rPr>
      </w:pPr>
      <w:r w:rsidRPr="007221AF">
        <w:rPr>
          <w:rFonts w:ascii="Times New Roman" w:eastAsia="Times New Roman" w:hAnsi="Times New Roman"/>
          <w:sz w:val="24"/>
          <w:szCs w:val="24"/>
        </w:rPr>
        <w:t xml:space="preserve">Considerable effort has been devoted to the mechanical behaviour and failure mechanisms of layered rock masses. Liu combined three-dimensional discrete-element modelling with field monitoring for the three-lane, closely spaced twin tunnels of the </w:t>
      </w:r>
      <w:r w:rsidRPr="007221AF">
        <w:rPr>
          <w:rFonts w:ascii="Times New Roman" w:eastAsia="Times New Roman" w:hAnsi="Times New Roman"/>
          <w:sz w:val="24"/>
          <w:szCs w:val="24"/>
        </w:rPr>
        <w:lastRenderedPageBreak/>
        <w:t>Wutongshan project and quantified the effects of fault dip angles of 60°, 90°, and 120° on surrounding-rock displacement</w:t>
      </w:r>
      <w:r w:rsidR="0036355B" w:rsidRPr="007221AF">
        <w:rPr>
          <w:rFonts w:ascii="Times New Roman" w:eastAsia="Times New Roman" w:hAnsi="Times New Roman"/>
          <w:sz w:val="24"/>
          <w:szCs w:val="24"/>
          <w:vertAlign w:val="superscript"/>
        </w:rPr>
        <w:t>[3]</w:t>
      </w:r>
      <w:r w:rsidRPr="007221AF">
        <w:rPr>
          <w:rFonts w:ascii="Times New Roman" w:eastAsia="Times New Roman" w:hAnsi="Times New Roman"/>
          <w:sz w:val="24"/>
          <w:szCs w:val="24"/>
        </w:rPr>
        <w:t>. Chen et al. developed a three-dimensional unloading model for layered rock using an overlapping-domain continuum-discontinuum coupling scheme</w:t>
      </w:r>
      <w:r w:rsidR="001E5954" w:rsidRPr="007221AF">
        <w:rPr>
          <w:rFonts w:ascii="Times New Roman" w:eastAsia="Times New Roman" w:hAnsi="Times New Roman"/>
          <w:sz w:val="24"/>
          <w:szCs w:val="24"/>
          <w:vertAlign w:val="superscript"/>
        </w:rPr>
        <w:t>[4]</w:t>
      </w:r>
      <w:r w:rsidRPr="007221AF">
        <w:rPr>
          <w:rFonts w:ascii="Times New Roman" w:eastAsia="Times New Roman" w:hAnsi="Times New Roman"/>
          <w:sz w:val="24"/>
          <w:szCs w:val="24"/>
        </w:rPr>
        <w:t>. Their work demonstrated continuous transfer of mechanical information across the coupled domains and clarified the deformation and fracture patterns induced by tunnel unloading. Using a finite-element cohesive-zone model (FEM-CZM), Meng et al investigated how bedding-plane strength, spacing, position, and orientation govern principal stresses, energy evolution, and crack development</w:t>
      </w:r>
      <w:r w:rsidR="001E5954" w:rsidRPr="007221AF">
        <w:rPr>
          <w:rFonts w:ascii="Times New Roman" w:hAnsi="Times New Roman" w:hint="eastAsia"/>
          <w:sz w:val="24"/>
          <w:szCs w:val="24"/>
        </w:rPr>
        <w:t xml:space="preserve"> </w:t>
      </w:r>
      <w:r w:rsidR="001E5954" w:rsidRPr="007221AF">
        <w:rPr>
          <w:rFonts w:ascii="Times New Roman" w:eastAsia="Times New Roman" w:hAnsi="Times New Roman"/>
          <w:sz w:val="24"/>
          <w:szCs w:val="24"/>
          <w:vertAlign w:val="superscript"/>
        </w:rPr>
        <w:t>[5]</w:t>
      </w:r>
      <w:r w:rsidRPr="007221AF">
        <w:rPr>
          <w:rFonts w:ascii="Times New Roman" w:eastAsia="Times New Roman" w:hAnsi="Times New Roman"/>
          <w:sz w:val="24"/>
          <w:szCs w:val="24"/>
        </w:rPr>
        <w:t>. Amadei examined the macroscopic anisotropy associated with stratification and discontinuities and proposed procedures for incorporating such effects into the interpretation of in-situ stress measurements</w:t>
      </w:r>
      <w:r w:rsidR="001E5954" w:rsidRPr="007221AF">
        <w:rPr>
          <w:rFonts w:ascii="Times New Roman" w:hAnsi="Times New Roman" w:hint="eastAsia"/>
          <w:sz w:val="24"/>
          <w:szCs w:val="24"/>
        </w:rPr>
        <w:t xml:space="preserve"> </w:t>
      </w:r>
      <w:r w:rsidR="001E5954" w:rsidRPr="007221AF">
        <w:rPr>
          <w:rFonts w:ascii="Times New Roman" w:eastAsia="Times New Roman" w:hAnsi="Times New Roman"/>
          <w:sz w:val="24"/>
          <w:szCs w:val="24"/>
          <w:vertAlign w:val="superscript"/>
        </w:rPr>
        <w:t>[6]</w:t>
      </w:r>
      <w:r w:rsidRPr="007221AF">
        <w:rPr>
          <w:rFonts w:ascii="Times New Roman" w:eastAsia="Times New Roman" w:hAnsi="Times New Roman"/>
          <w:sz w:val="24"/>
          <w:szCs w:val="24"/>
        </w:rPr>
        <w:t>. For the Taihangshan Tunnel in layered sandy slate, Miao established a PFC2D excavation model and evaluated the influences of the lateral pressure coefficient, discontinuity spacing, and discontinuity dip on tunnel stability and failure mode</w:t>
      </w:r>
      <w:r w:rsidR="001E5954" w:rsidRPr="007221AF">
        <w:rPr>
          <w:rFonts w:ascii="Times New Roman" w:hAnsi="Times New Roman" w:hint="eastAsia"/>
          <w:sz w:val="24"/>
          <w:szCs w:val="24"/>
        </w:rPr>
        <w:t xml:space="preserve"> </w:t>
      </w:r>
      <w:r w:rsidR="001E5954" w:rsidRPr="007221AF">
        <w:rPr>
          <w:rFonts w:ascii="Times New Roman" w:eastAsia="Times New Roman" w:hAnsi="Times New Roman"/>
          <w:sz w:val="24"/>
          <w:szCs w:val="24"/>
          <w:vertAlign w:val="superscript"/>
        </w:rPr>
        <w:t>[7]</w:t>
      </w:r>
      <w:r w:rsidRPr="007221AF">
        <w:rPr>
          <w:rFonts w:ascii="Times New Roman" w:eastAsia="Times New Roman" w:hAnsi="Times New Roman"/>
          <w:sz w:val="24"/>
          <w:szCs w:val="24"/>
        </w:rPr>
        <w:t>. Zhu analysed a shield-tunnel model to characterize the loosened zone and deformation response of the surrounding rock under different bedding dip angles</w:t>
      </w:r>
      <w:r w:rsidR="001E5954" w:rsidRPr="007221AF">
        <w:rPr>
          <w:rFonts w:ascii="Times New Roman" w:hAnsi="Times New Roman" w:hint="eastAsia"/>
          <w:sz w:val="24"/>
          <w:szCs w:val="24"/>
        </w:rPr>
        <w:t xml:space="preserve"> </w:t>
      </w:r>
      <w:r w:rsidR="001E5954" w:rsidRPr="007221AF">
        <w:rPr>
          <w:rFonts w:ascii="Times New Roman" w:eastAsia="Times New Roman" w:hAnsi="Times New Roman"/>
          <w:sz w:val="24"/>
          <w:szCs w:val="24"/>
          <w:vertAlign w:val="superscript"/>
        </w:rPr>
        <w:t>[8]</w:t>
      </w:r>
      <w:r w:rsidRPr="007221AF">
        <w:rPr>
          <w:rFonts w:ascii="Times New Roman" w:eastAsia="Times New Roman" w:hAnsi="Times New Roman"/>
          <w:sz w:val="24"/>
          <w:szCs w:val="24"/>
        </w:rPr>
        <w:t>. Gan used ABAQUS to assess the influence of bedding inclination and identified several dip-dependent failure modes, including tensile splitting, shear sliding, shear rupture across bedding planes, and splitting along bedding interfaces</w:t>
      </w:r>
      <w:r w:rsidR="001E5954" w:rsidRPr="007221AF">
        <w:rPr>
          <w:rFonts w:ascii="Times New Roman" w:eastAsia="Times New Roman" w:hAnsi="Times New Roman"/>
          <w:sz w:val="24"/>
          <w:szCs w:val="24"/>
        </w:rPr>
        <w:t xml:space="preserve"> </w:t>
      </w:r>
      <w:r w:rsidR="001E5954" w:rsidRPr="007221AF">
        <w:rPr>
          <w:rFonts w:ascii="Times New Roman" w:eastAsia="Times New Roman" w:hAnsi="Times New Roman"/>
          <w:sz w:val="24"/>
          <w:szCs w:val="24"/>
          <w:vertAlign w:val="superscript"/>
        </w:rPr>
        <w:t>[9]</w:t>
      </w:r>
      <w:r w:rsidRPr="007221AF">
        <w:rPr>
          <w:rFonts w:ascii="Times New Roman" w:eastAsia="Times New Roman" w:hAnsi="Times New Roman"/>
          <w:sz w:val="24"/>
          <w:szCs w:val="24"/>
        </w:rPr>
        <w:t>. Liu et al. proposed a drawer-type mechanical model for inclined layered rock, together with a calculation method and identification criterion for geological bias loading, and subsequently clarified the governing factors and deformation-failure mechanism</w:t>
      </w:r>
      <w:r w:rsidR="001E5954" w:rsidRPr="007221AF">
        <w:rPr>
          <w:rFonts w:ascii="Times New Roman" w:hAnsi="Times New Roman" w:hint="eastAsia"/>
          <w:sz w:val="24"/>
          <w:szCs w:val="24"/>
        </w:rPr>
        <w:t xml:space="preserve"> </w:t>
      </w:r>
      <w:r w:rsidR="001E5954" w:rsidRPr="007221AF">
        <w:rPr>
          <w:rFonts w:ascii="Times New Roman" w:eastAsia="Times New Roman" w:hAnsi="Times New Roman"/>
          <w:sz w:val="24"/>
          <w:szCs w:val="24"/>
          <w:vertAlign w:val="superscript"/>
        </w:rPr>
        <w:t>[10]</w:t>
      </w:r>
      <w:r w:rsidRPr="007221AF">
        <w:rPr>
          <w:rFonts w:ascii="Times New Roman" w:eastAsia="Times New Roman" w:hAnsi="Times New Roman"/>
          <w:sz w:val="24"/>
          <w:szCs w:val="24"/>
        </w:rPr>
        <w:t>. Based on the Dongfeng Road Tunnel, Wang et al. attributed the stability of horizontally layered surrounding rock to the combined effects of geological, construction, and engineering factors</w:t>
      </w:r>
      <w:r w:rsidR="001E5954" w:rsidRPr="007221AF">
        <w:rPr>
          <w:rFonts w:ascii="Times New Roman" w:hAnsi="Times New Roman" w:hint="eastAsia"/>
          <w:sz w:val="24"/>
          <w:szCs w:val="24"/>
        </w:rPr>
        <w:t xml:space="preserve"> </w:t>
      </w:r>
      <w:r w:rsidR="001E5954" w:rsidRPr="007221AF">
        <w:rPr>
          <w:rFonts w:ascii="Times New Roman" w:eastAsia="Times New Roman" w:hAnsi="Times New Roman"/>
          <w:sz w:val="24"/>
          <w:szCs w:val="24"/>
          <w:vertAlign w:val="superscript"/>
        </w:rPr>
        <w:t>[11]</w:t>
      </w:r>
      <w:r w:rsidRPr="007221AF">
        <w:rPr>
          <w:rFonts w:ascii="Times New Roman" w:eastAsia="Times New Roman" w:hAnsi="Times New Roman"/>
          <w:sz w:val="24"/>
          <w:szCs w:val="24"/>
        </w:rPr>
        <w:t>. Zhang investigated structural loading, deformation, and deformation-control measures for the Nanzhushan high-speed railway tunnel</w:t>
      </w:r>
      <w:r w:rsidR="001E5954" w:rsidRPr="007221AF">
        <w:rPr>
          <w:rFonts w:ascii="Times New Roman" w:hAnsi="Times New Roman" w:hint="eastAsia"/>
          <w:sz w:val="24"/>
          <w:szCs w:val="24"/>
        </w:rPr>
        <w:t xml:space="preserve"> </w:t>
      </w:r>
      <w:r w:rsidR="001E5954" w:rsidRPr="007221AF">
        <w:rPr>
          <w:rFonts w:ascii="Times New Roman" w:eastAsia="Times New Roman" w:hAnsi="Times New Roman"/>
          <w:sz w:val="24"/>
          <w:szCs w:val="24"/>
          <w:vertAlign w:val="superscript"/>
        </w:rPr>
        <w:t>[12]</w:t>
      </w:r>
      <w:r w:rsidRPr="007221AF">
        <w:rPr>
          <w:rFonts w:ascii="Times New Roman" w:eastAsia="Times New Roman" w:hAnsi="Times New Roman"/>
          <w:sz w:val="24"/>
          <w:szCs w:val="24"/>
        </w:rPr>
        <w:t>. The results showed that increasing the joint angle from 0° to 15° and 30° had little effect on the maximum vertical displacement but produced a more pronounced change in horizontal displacement.</w:t>
      </w:r>
    </w:p>
    <w:p w14:paraId="738083D0" w14:textId="77777777" w:rsidR="00842F44" w:rsidRPr="007221AF" w:rsidRDefault="00842F44" w:rsidP="007221AF">
      <w:pPr>
        <w:spacing w:after="60"/>
        <w:ind w:firstLineChars="200" w:firstLine="480"/>
        <w:rPr>
          <w:rFonts w:eastAsia="宋体" w:cs="Times New Roman" w:hint="eastAsia"/>
          <w:sz w:val="24"/>
          <w:szCs w:val="24"/>
        </w:rPr>
      </w:pPr>
      <w:r w:rsidRPr="007221AF">
        <w:rPr>
          <w:rFonts w:ascii="Times New Roman" w:eastAsia="Times New Roman" w:hAnsi="Times New Roman"/>
          <w:sz w:val="24"/>
          <w:szCs w:val="24"/>
        </w:rPr>
        <w:t>Although previous studies have provided valuable insight into the strength characteristics, failure modes, and discontinuity-controlled behaviour of layered rock, the effect of bedding inclination on excavation-induced stress-field evolution and localized stress concentration under complex in-situ stress conditions remains insufficiently resolved. In particular, the mechanisms by which inclined bedding alters the location of stress-concentration zones and generates asymmetric stress distributions around a tunnel require further clarification. To address this issue, three-dimensional discrete-element models were established for bedding dip angles of 0°, 30°, 60°, and 90°. The vertical and horizontal stress responses were systematically compared to identify the influence of bedding geometry on stress redistribution and to provide a theoretical reference for stability evaluation and support design in layered-rock tunnels.</w:t>
      </w:r>
    </w:p>
    <w:p w14:paraId="6D95ED52" w14:textId="77777777" w:rsidR="00842F44" w:rsidRPr="00673345" w:rsidRDefault="00842F44" w:rsidP="004C0AD0">
      <w:pPr>
        <w:adjustRightInd w:val="0"/>
        <w:snapToGrid w:val="0"/>
        <w:spacing w:beforeLines="50" w:before="156" w:afterLines="50" w:after="156"/>
        <w:jc w:val="left"/>
        <w:outlineLvl w:val="1"/>
        <w:rPr>
          <w:rFonts w:eastAsia="宋体" w:cs="Times New Roman" w:hint="eastAsia"/>
          <w:b/>
          <w:bCs/>
          <w:sz w:val="28"/>
          <w:szCs w:val="28"/>
        </w:rPr>
      </w:pPr>
      <w:r>
        <w:rPr>
          <w:rFonts w:ascii="Times New Roman" w:eastAsia="Times New Roman" w:hAnsi="Times New Roman"/>
          <w:b/>
          <w:sz w:val="24"/>
        </w:rPr>
        <w:t>2. Three-Dimensional Numerical Model and Simulation Design</w:t>
      </w:r>
    </w:p>
    <w:p w14:paraId="2BBE57E7" w14:textId="77777777" w:rsidR="00842F44" w:rsidRDefault="00842F44" w:rsidP="004C0AD0">
      <w:pPr>
        <w:snapToGrid w:val="0"/>
        <w:spacing w:before="120" w:after="60"/>
        <w:jc w:val="left"/>
        <w:outlineLvl w:val="2"/>
        <w:rPr>
          <w:rFonts w:eastAsia="宋体" w:cs="Times New Roman" w:hint="eastAsia"/>
          <w:b/>
          <w:bCs/>
          <w:sz w:val="24"/>
          <w:szCs w:val="24"/>
        </w:rPr>
      </w:pPr>
      <w:r>
        <w:rPr>
          <w:rFonts w:ascii="Times New Roman" w:eastAsia="Times New Roman" w:hAnsi="Times New Roman"/>
          <w:b/>
          <w:sz w:val="22"/>
        </w:rPr>
        <w:t>2.1 Model Development</w:t>
      </w:r>
    </w:p>
    <w:p w14:paraId="2A497AFD" w14:textId="77777777" w:rsidR="00842F44" w:rsidRPr="007221AF" w:rsidRDefault="00842F44" w:rsidP="007221AF">
      <w:pPr>
        <w:spacing w:after="60"/>
        <w:ind w:firstLineChars="200" w:firstLine="480"/>
        <w:rPr>
          <w:rFonts w:eastAsia="宋体" w:cs="Times New Roman" w:hint="eastAsia"/>
          <w:sz w:val="24"/>
          <w:szCs w:val="24"/>
        </w:rPr>
      </w:pPr>
      <w:r w:rsidRPr="007221AF">
        <w:rPr>
          <w:rFonts w:ascii="Times New Roman" w:eastAsia="Times New Roman" w:hAnsi="Times New Roman"/>
          <w:sz w:val="24"/>
          <w:szCs w:val="24"/>
        </w:rPr>
        <w:t xml:space="preserve">A three-dimensional discrete-element model was constructed to examine how bedding dip controls the stress response of the surrounding rock during tunnel </w:t>
      </w:r>
      <w:r w:rsidRPr="007221AF">
        <w:rPr>
          <w:rFonts w:ascii="Times New Roman" w:eastAsia="Times New Roman" w:hAnsi="Times New Roman"/>
          <w:sz w:val="24"/>
          <w:szCs w:val="24"/>
        </w:rPr>
        <w:lastRenderedPageBreak/>
        <w:t>excavation under high in-situ stress. The model dimensions were 40 m × 40 m × 10 m, and four bedding configurations were considered (θ = 0°, 30°, 60°, and 90°). The outer region was discretized using a characteristic element size of 2 m, whereas the mesh around the tunnel was locally refined to 0.5 m. The tunnel adopted a straight-wall arched section with a clear width of 5 m and an overall height of 4.7 m. The crown consisted of a circular arc with a radius of 2.5 m, and the straight sidewalls were 2.2 m high. The resulting model geometry is shown in Fig. 1.</w:t>
      </w:r>
    </w:p>
    <w:p w14:paraId="60000D35" w14:textId="4EE303C6" w:rsidR="00842F44" w:rsidRPr="007221AF" w:rsidRDefault="00842F44" w:rsidP="007221AF">
      <w:pPr>
        <w:spacing w:afterLines="50" w:after="156"/>
        <w:ind w:firstLineChars="200" w:firstLine="480"/>
        <w:rPr>
          <w:rFonts w:eastAsia="宋体" w:cs="Times New Roman" w:hint="eastAsia"/>
          <w:sz w:val="24"/>
          <w:szCs w:val="24"/>
        </w:rPr>
      </w:pPr>
      <w:r w:rsidRPr="007221AF">
        <w:rPr>
          <w:rFonts w:ascii="Times New Roman" w:eastAsia="Times New Roman" w:hAnsi="Times New Roman"/>
          <w:sz w:val="24"/>
          <w:szCs w:val="24"/>
        </w:rPr>
        <w:t>The boundary conditions are illustrated in Fig. 2. A vertical stress of 26 MPa (σ</w:t>
      </w:r>
      <w:r w:rsidRPr="007221AF">
        <w:rPr>
          <w:rFonts w:ascii="Times New Roman" w:eastAsia="Times New Roman" w:hAnsi="Times New Roman"/>
          <w:sz w:val="24"/>
          <w:szCs w:val="24"/>
          <w:vertAlign w:val="subscript"/>
        </w:rPr>
        <w:t>v</w:t>
      </w:r>
      <w:r w:rsidRPr="007221AF">
        <w:rPr>
          <w:rFonts w:ascii="Times New Roman" w:eastAsia="Times New Roman" w:hAnsi="Times New Roman"/>
          <w:sz w:val="24"/>
          <w:szCs w:val="24"/>
        </w:rPr>
        <w:t>) was applied to the upper surface to represent the overburden stress, while the base was fixed in all directions. Normal displacement was constrained on the four lateral boundaries. According to the in-situ stress ratios σ</w:t>
      </w:r>
      <w:r w:rsidRPr="007221AF">
        <w:rPr>
          <w:rFonts w:ascii="Times New Roman" w:eastAsia="Times New Roman" w:hAnsi="Times New Roman"/>
          <w:sz w:val="24"/>
          <w:szCs w:val="24"/>
          <w:vertAlign w:val="subscript"/>
        </w:rPr>
        <w:t>h</w:t>
      </w:r>
      <w:r w:rsidRPr="007221AF">
        <w:rPr>
          <w:rFonts w:ascii="Times New Roman" w:eastAsia="Times New Roman" w:hAnsi="Times New Roman"/>
          <w:sz w:val="24"/>
          <w:szCs w:val="24"/>
        </w:rPr>
        <w:t>/σ</w:t>
      </w:r>
      <w:r w:rsidRPr="007221AF">
        <w:rPr>
          <w:rFonts w:ascii="Times New Roman" w:eastAsia="Times New Roman" w:hAnsi="Times New Roman"/>
          <w:sz w:val="24"/>
          <w:szCs w:val="24"/>
          <w:vertAlign w:val="subscript"/>
        </w:rPr>
        <w:t>H</w:t>
      </w:r>
      <w:r w:rsidRPr="007221AF">
        <w:rPr>
          <w:rFonts w:ascii="Times New Roman" w:eastAsia="Times New Roman" w:hAnsi="Times New Roman"/>
          <w:sz w:val="24"/>
          <w:szCs w:val="24"/>
        </w:rPr>
        <w:t xml:space="preserve"> = 0.8 and σ</w:t>
      </w:r>
      <w:r w:rsidRPr="007221AF">
        <w:rPr>
          <w:rFonts w:ascii="Times New Roman" w:eastAsia="Times New Roman" w:hAnsi="Times New Roman"/>
          <w:sz w:val="24"/>
          <w:szCs w:val="24"/>
          <w:vertAlign w:val="subscript"/>
        </w:rPr>
        <w:t>H</w:t>
      </w:r>
      <w:r w:rsidRPr="007221AF">
        <w:rPr>
          <w:rFonts w:ascii="Times New Roman" w:eastAsia="Times New Roman" w:hAnsi="Times New Roman"/>
          <w:sz w:val="24"/>
          <w:szCs w:val="24"/>
        </w:rPr>
        <w:t>/σ</w:t>
      </w:r>
      <w:r w:rsidRPr="007221AF">
        <w:rPr>
          <w:rFonts w:ascii="Times New Roman" w:eastAsia="Times New Roman" w:hAnsi="Times New Roman"/>
          <w:sz w:val="24"/>
          <w:szCs w:val="24"/>
          <w:vertAlign w:val="subscript"/>
        </w:rPr>
        <w:t>v</w:t>
      </w:r>
      <w:r w:rsidRPr="007221AF">
        <w:rPr>
          <w:rFonts w:ascii="Times New Roman" w:eastAsia="Times New Roman" w:hAnsi="Times New Roman"/>
          <w:sz w:val="24"/>
          <w:szCs w:val="24"/>
        </w:rPr>
        <w:t xml:space="preserve"> = 1.2, the minimum horizontal stress parallel to the tunnel axis was set to σ</w:t>
      </w:r>
      <w:r w:rsidRPr="007221AF">
        <w:rPr>
          <w:rFonts w:ascii="Times New Roman" w:eastAsia="Times New Roman" w:hAnsi="Times New Roman"/>
          <w:sz w:val="24"/>
          <w:szCs w:val="24"/>
          <w:vertAlign w:val="subscript"/>
        </w:rPr>
        <w:t>h</w:t>
      </w:r>
      <w:r w:rsidRPr="007221AF">
        <w:rPr>
          <w:rFonts w:ascii="Times New Roman" w:eastAsia="Times New Roman" w:hAnsi="Times New Roman"/>
          <w:sz w:val="24"/>
          <w:szCs w:val="24"/>
        </w:rPr>
        <w:t xml:space="preserve"> = 24.96 MPa, and the maximum horizontal stress perpendicular to the tunnel axis was set to σ</w:t>
      </w:r>
      <w:r w:rsidRPr="007221AF">
        <w:rPr>
          <w:rFonts w:ascii="Times New Roman" w:eastAsia="Times New Roman" w:hAnsi="Times New Roman"/>
          <w:sz w:val="24"/>
          <w:szCs w:val="24"/>
          <w:vertAlign w:val="subscript"/>
        </w:rPr>
        <w:t>H</w:t>
      </w:r>
      <w:r w:rsidRPr="007221AF">
        <w:rPr>
          <w:rFonts w:ascii="Times New Roman" w:eastAsia="Times New Roman" w:hAnsi="Times New Roman"/>
          <w:sz w:val="24"/>
          <w:szCs w:val="24"/>
        </w:rPr>
        <w:t xml:space="preserve"> = 31.2 MPa. </w:t>
      </w:r>
      <w:r w:rsidR="001914A0" w:rsidRPr="007221AF">
        <w:rPr>
          <w:rFonts w:ascii="Times New Roman" w:eastAsia="Times New Roman" w:hAnsi="Times New Roman"/>
          <w:sz w:val="24"/>
          <w:szCs w:val="24"/>
        </w:rPr>
        <w:t>The mechanical parameters of the surrounding rock mass are as follows: elastic modulus 25 GPa, cohesion 2.40 MPa, internal friction angle 35°, tensile strength 2.00 MPa, Poisson's ratio 0.30, and density 2.65 g/cm³. The normal stiffness and shear stiffness of the bedding planes are 5.8 GPa/m and 2.9 GPa/m, respectively, with an internal friction angle of 28°, and both cohesion and tensile strength equal to 0.02 MPa.</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1"/>
        <w:gridCol w:w="3525"/>
      </w:tblGrid>
      <w:tr w:rsidR="00640D17" w14:paraId="2EAAF287" w14:textId="77777777" w:rsidTr="00454C82">
        <w:tc>
          <w:tcPr>
            <w:tcW w:w="4781" w:type="dxa"/>
          </w:tcPr>
          <w:p w14:paraId="21D78E4C" w14:textId="74BAF3AF" w:rsidR="00640D17" w:rsidRDefault="00136F0B" w:rsidP="00454C82">
            <w:pPr>
              <w:rPr>
                <w:rFonts w:hint="eastAsia"/>
              </w:rPr>
            </w:pPr>
            <w:r>
              <w:rPr>
                <w:noProof/>
                <w14:ligatures w14:val="standardContextual"/>
              </w:rPr>
              <w:drawing>
                <wp:inline distT="0" distB="0" distL="0" distR="0" wp14:anchorId="432370D1" wp14:editId="3E118F29">
                  <wp:extent cx="2898047" cy="1936800"/>
                  <wp:effectExtent l="0" t="0" r="0" b="6350"/>
                  <wp:docPr id="9410317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03178" name=""/>
                          <pic:cNvPicPr/>
                        </pic:nvPicPr>
                        <pic:blipFill>
                          <a:blip r:embed="rId7"/>
                          <a:stretch>
                            <a:fillRect/>
                          </a:stretch>
                        </pic:blipFill>
                        <pic:spPr>
                          <a:xfrm>
                            <a:off x="0" y="0"/>
                            <a:ext cx="2898047" cy="1936800"/>
                          </a:xfrm>
                          <a:prstGeom prst="rect">
                            <a:avLst/>
                          </a:prstGeom>
                        </pic:spPr>
                      </pic:pic>
                    </a:graphicData>
                  </a:graphic>
                </wp:inline>
              </w:drawing>
            </w:r>
          </w:p>
        </w:tc>
        <w:tc>
          <w:tcPr>
            <w:tcW w:w="3525" w:type="dxa"/>
          </w:tcPr>
          <w:p w14:paraId="657AAF7B" w14:textId="77777777" w:rsidR="00640D17" w:rsidRDefault="00640D17" w:rsidP="00454C82">
            <w:pPr>
              <w:rPr>
                <w:rFonts w:hint="eastAsia"/>
              </w:rPr>
            </w:pPr>
            <w:r w:rsidRPr="00316CFE">
              <w:rPr>
                <w:rFonts w:cs="Times New Roman"/>
                <w:noProof/>
              </w:rPr>
              <w:drawing>
                <wp:inline distT="0" distB="0" distL="0" distR="0" wp14:anchorId="3D1A85B7" wp14:editId="3D888BA2">
                  <wp:extent cx="1883275" cy="1930705"/>
                  <wp:effectExtent l="0" t="0" r="3175" b="0"/>
                  <wp:docPr id="54600158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001584" name=""/>
                          <pic:cNvPicPr/>
                        </pic:nvPicPr>
                        <pic:blipFill rotWithShape="1">
                          <a:blip r:embed="rId8"/>
                          <a:srcRect l="7762" t="3078" r="12854" b="4297"/>
                          <a:stretch/>
                        </pic:blipFill>
                        <pic:spPr bwMode="auto">
                          <a:xfrm>
                            <a:off x="0" y="0"/>
                            <a:ext cx="1894003" cy="1941703"/>
                          </a:xfrm>
                          <a:prstGeom prst="rect">
                            <a:avLst/>
                          </a:prstGeom>
                          <a:ln>
                            <a:noFill/>
                          </a:ln>
                          <a:extLst>
                            <a:ext uri="{53640926-AAD7-44D8-BBD7-CCE9431645EC}">
                              <a14:shadowObscured xmlns:a14="http://schemas.microsoft.com/office/drawing/2010/main"/>
                            </a:ext>
                          </a:extLst>
                        </pic:spPr>
                      </pic:pic>
                    </a:graphicData>
                  </a:graphic>
                </wp:inline>
              </w:drawing>
            </w:r>
          </w:p>
        </w:tc>
      </w:tr>
      <w:tr w:rsidR="00640D17" w14:paraId="66FA6377" w14:textId="77777777" w:rsidTr="00454C82">
        <w:tc>
          <w:tcPr>
            <w:tcW w:w="4781" w:type="dxa"/>
          </w:tcPr>
          <w:p w14:paraId="6F26EDA5" w14:textId="4BEB02FA" w:rsidR="00640D17" w:rsidRPr="003B6C94" w:rsidRDefault="00842F44" w:rsidP="00454C82">
            <w:pPr>
              <w:jc w:val="center"/>
              <w:rPr>
                <w:rFonts w:ascii="Times New Roman" w:eastAsia="宋体" w:hAnsi="Times New Roman" w:cs="Times New Roman"/>
                <w:sz w:val="24"/>
                <w:szCs w:val="24"/>
              </w:rPr>
            </w:pPr>
            <w:r w:rsidRPr="003B6C94">
              <w:rPr>
                <w:rFonts w:ascii="Times New Roman" w:eastAsia="Times New Roman" w:hAnsi="Times New Roman"/>
                <w:sz w:val="18"/>
              </w:rPr>
              <w:t>Fig. 1. Numerical model</w:t>
            </w:r>
          </w:p>
        </w:tc>
        <w:tc>
          <w:tcPr>
            <w:tcW w:w="3525" w:type="dxa"/>
          </w:tcPr>
          <w:p w14:paraId="4377D385" w14:textId="63E0FD99" w:rsidR="00640D17" w:rsidRPr="003B6C94" w:rsidRDefault="00842F44" w:rsidP="00454C82">
            <w:pPr>
              <w:jc w:val="center"/>
              <w:rPr>
                <w:rFonts w:ascii="Times New Roman" w:eastAsia="宋体" w:hAnsi="Times New Roman" w:cs="Times New Roman"/>
                <w:sz w:val="24"/>
                <w:szCs w:val="24"/>
              </w:rPr>
            </w:pPr>
            <w:r w:rsidRPr="003B6C94">
              <w:rPr>
                <w:rFonts w:ascii="Times New Roman" w:eastAsia="Times New Roman" w:hAnsi="Times New Roman"/>
                <w:sz w:val="18"/>
              </w:rPr>
              <w:t>Fig. 2. Boundary conditions</w:t>
            </w:r>
          </w:p>
        </w:tc>
      </w:tr>
    </w:tbl>
    <w:p w14:paraId="29C76FEC" w14:textId="77777777" w:rsidR="00661EDB" w:rsidRDefault="00661EDB" w:rsidP="004A1DA1">
      <w:pPr>
        <w:snapToGrid w:val="0"/>
        <w:spacing w:before="120" w:after="60"/>
        <w:jc w:val="left"/>
        <w:outlineLvl w:val="2"/>
        <w:rPr>
          <w:rFonts w:eastAsia="宋体" w:cs="Times New Roman" w:hint="eastAsia"/>
          <w:b/>
          <w:bCs/>
          <w:sz w:val="24"/>
          <w:szCs w:val="24"/>
        </w:rPr>
      </w:pPr>
      <w:r>
        <w:rPr>
          <w:rFonts w:ascii="Times New Roman" w:eastAsia="Times New Roman" w:hAnsi="Times New Roman"/>
          <w:b/>
          <w:sz w:val="22"/>
        </w:rPr>
        <w:t>2.2 Simulation Cases</w:t>
      </w:r>
    </w:p>
    <w:p w14:paraId="1A91A2E1" w14:textId="77777777" w:rsidR="00661EDB" w:rsidRPr="007221AF" w:rsidRDefault="00661EDB" w:rsidP="007221AF">
      <w:pPr>
        <w:ind w:firstLineChars="200" w:firstLine="480"/>
        <w:rPr>
          <w:rFonts w:ascii="Times New Roman" w:hAnsi="Times New Roman"/>
          <w:sz w:val="24"/>
          <w:szCs w:val="24"/>
        </w:rPr>
      </w:pPr>
      <w:r w:rsidRPr="007221AF">
        <w:rPr>
          <w:rFonts w:ascii="Times New Roman" w:eastAsia="Times New Roman" w:hAnsi="Times New Roman"/>
          <w:sz w:val="24"/>
          <w:szCs w:val="24"/>
        </w:rPr>
        <w:t>The numerical analysis focused on the excavation-induced evolution of the stress field in layered surrounding rock. The program interface was used to synchronously record the stress response across the tunnel section during the calculation. Four representative cases were defined according to the bedding dip angle (θ = 0°, 30°, 60°, and 90°) for comparative analysis, as presented in Fig. 3.</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2"/>
        <w:gridCol w:w="2012"/>
        <w:gridCol w:w="2067"/>
        <w:gridCol w:w="2155"/>
      </w:tblGrid>
      <w:tr w:rsidR="00F74A9D" w14:paraId="405EF4E6" w14:textId="77777777" w:rsidTr="00F74A9D">
        <w:tc>
          <w:tcPr>
            <w:tcW w:w="2074" w:type="dxa"/>
          </w:tcPr>
          <w:p w14:paraId="758419AF" w14:textId="48EA2FA3" w:rsidR="00F74A9D" w:rsidRDefault="00F74A9D" w:rsidP="00F74A9D">
            <w:pPr>
              <w:jc w:val="left"/>
              <w:rPr>
                <w:rFonts w:cs="Times New Roman" w:hint="eastAsia"/>
                <w:szCs w:val="21"/>
              </w:rPr>
            </w:pPr>
            <w:r>
              <w:rPr>
                <w:noProof/>
                <w14:ligatures w14:val="standardContextual"/>
              </w:rPr>
              <w:drawing>
                <wp:inline distT="0" distB="0" distL="0" distR="0" wp14:anchorId="5B326644" wp14:editId="05BC58BC">
                  <wp:extent cx="1202871" cy="1415143"/>
                  <wp:effectExtent l="0" t="0" r="0" b="0"/>
                  <wp:docPr id="170244270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442701" name=""/>
                          <pic:cNvPicPr/>
                        </pic:nvPicPr>
                        <pic:blipFill>
                          <a:blip r:embed="rId9"/>
                          <a:stretch>
                            <a:fillRect/>
                          </a:stretch>
                        </pic:blipFill>
                        <pic:spPr>
                          <a:xfrm>
                            <a:off x="0" y="0"/>
                            <a:ext cx="1220178" cy="1435504"/>
                          </a:xfrm>
                          <a:prstGeom prst="rect">
                            <a:avLst/>
                          </a:prstGeom>
                        </pic:spPr>
                      </pic:pic>
                    </a:graphicData>
                  </a:graphic>
                </wp:inline>
              </w:drawing>
            </w:r>
          </w:p>
        </w:tc>
        <w:tc>
          <w:tcPr>
            <w:tcW w:w="2074" w:type="dxa"/>
          </w:tcPr>
          <w:p w14:paraId="67DA4A34" w14:textId="7BD04E0D" w:rsidR="00F74A9D" w:rsidRDefault="00F74A9D" w:rsidP="00F74A9D">
            <w:pPr>
              <w:jc w:val="left"/>
              <w:rPr>
                <w:rFonts w:cs="Times New Roman" w:hint="eastAsia"/>
                <w:szCs w:val="21"/>
              </w:rPr>
            </w:pPr>
            <w:r>
              <w:rPr>
                <w:noProof/>
                <w14:ligatures w14:val="standardContextual"/>
              </w:rPr>
              <w:drawing>
                <wp:inline distT="0" distB="0" distL="0" distR="0" wp14:anchorId="014F335A" wp14:editId="65777D8B">
                  <wp:extent cx="1164772" cy="1486408"/>
                  <wp:effectExtent l="0" t="0" r="0" b="0"/>
                  <wp:docPr id="15836135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613534" name=""/>
                          <pic:cNvPicPr/>
                        </pic:nvPicPr>
                        <pic:blipFill>
                          <a:blip r:embed="rId10"/>
                          <a:stretch>
                            <a:fillRect/>
                          </a:stretch>
                        </pic:blipFill>
                        <pic:spPr>
                          <a:xfrm>
                            <a:off x="0" y="0"/>
                            <a:ext cx="1166274" cy="1488325"/>
                          </a:xfrm>
                          <a:prstGeom prst="rect">
                            <a:avLst/>
                          </a:prstGeom>
                        </pic:spPr>
                      </pic:pic>
                    </a:graphicData>
                  </a:graphic>
                </wp:inline>
              </w:drawing>
            </w:r>
          </w:p>
        </w:tc>
        <w:tc>
          <w:tcPr>
            <w:tcW w:w="2074" w:type="dxa"/>
          </w:tcPr>
          <w:p w14:paraId="3C5DA201" w14:textId="54570FF5" w:rsidR="00F74A9D" w:rsidRDefault="00F74A9D" w:rsidP="00F74A9D">
            <w:pPr>
              <w:jc w:val="left"/>
              <w:rPr>
                <w:rFonts w:cs="Times New Roman" w:hint="eastAsia"/>
                <w:szCs w:val="21"/>
              </w:rPr>
            </w:pPr>
            <w:r>
              <w:rPr>
                <w:noProof/>
                <w14:ligatures w14:val="standardContextual"/>
              </w:rPr>
              <w:drawing>
                <wp:inline distT="0" distB="0" distL="0" distR="0" wp14:anchorId="2B0C0844" wp14:editId="0C3149E4">
                  <wp:extent cx="1196399" cy="1415143"/>
                  <wp:effectExtent l="0" t="0" r="3810" b="0"/>
                  <wp:docPr id="56854524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545243" name=""/>
                          <pic:cNvPicPr/>
                        </pic:nvPicPr>
                        <pic:blipFill>
                          <a:blip r:embed="rId11"/>
                          <a:stretch>
                            <a:fillRect/>
                          </a:stretch>
                        </pic:blipFill>
                        <pic:spPr>
                          <a:xfrm>
                            <a:off x="0" y="0"/>
                            <a:ext cx="1199585" cy="1418912"/>
                          </a:xfrm>
                          <a:prstGeom prst="rect">
                            <a:avLst/>
                          </a:prstGeom>
                        </pic:spPr>
                      </pic:pic>
                    </a:graphicData>
                  </a:graphic>
                </wp:inline>
              </w:drawing>
            </w:r>
          </w:p>
        </w:tc>
        <w:tc>
          <w:tcPr>
            <w:tcW w:w="2074" w:type="dxa"/>
          </w:tcPr>
          <w:p w14:paraId="6F1CD687" w14:textId="42DD2658" w:rsidR="00F74A9D" w:rsidRDefault="00F74A9D" w:rsidP="00F74A9D">
            <w:pPr>
              <w:jc w:val="left"/>
              <w:rPr>
                <w:rFonts w:cs="Times New Roman" w:hint="eastAsia"/>
                <w:szCs w:val="21"/>
              </w:rPr>
            </w:pPr>
            <w:r>
              <w:rPr>
                <w:noProof/>
                <w14:ligatures w14:val="standardContextual"/>
              </w:rPr>
              <w:drawing>
                <wp:inline distT="0" distB="0" distL="0" distR="0" wp14:anchorId="3914CEBE" wp14:editId="50790BCD">
                  <wp:extent cx="1251495" cy="1476000"/>
                  <wp:effectExtent l="0" t="0" r="6350" b="0"/>
                  <wp:docPr id="1454799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7997" name=""/>
                          <pic:cNvPicPr/>
                        </pic:nvPicPr>
                        <pic:blipFill>
                          <a:blip r:embed="rId12"/>
                          <a:stretch>
                            <a:fillRect/>
                          </a:stretch>
                        </pic:blipFill>
                        <pic:spPr>
                          <a:xfrm>
                            <a:off x="0" y="0"/>
                            <a:ext cx="1251495" cy="1476000"/>
                          </a:xfrm>
                          <a:prstGeom prst="rect">
                            <a:avLst/>
                          </a:prstGeom>
                        </pic:spPr>
                      </pic:pic>
                    </a:graphicData>
                  </a:graphic>
                </wp:inline>
              </w:drawing>
            </w:r>
          </w:p>
        </w:tc>
      </w:tr>
    </w:tbl>
    <w:p w14:paraId="71D3A715" w14:textId="1CF0F76A" w:rsidR="00661EDB" w:rsidRPr="003B6C94" w:rsidRDefault="00661EDB" w:rsidP="00F74A9D">
      <w:pPr>
        <w:pStyle w:val="af7"/>
        <w:spacing w:before="156" w:after="100" w:line="276" w:lineRule="auto"/>
        <w:rPr>
          <w:b w:val="0"/>
          <w:bCs/>
        </w:rPr>
      </w:pPr>
      <w:r w:rsidRPr="003B6C94">
        <w:rPr>
          <w:rFonts w:eastAsia="Times New Roman"/>
          <w:b w:val="0"/>
          <w:bCs/>
          <w:sz w:val="19"/>
        </w:rPr>
        <w:lastRenderedPageBreak/>
        <w:t xml:space="preserve">Fig. 3. Numerical simulation </w:t>
      </w:r>
      <w:r w:rsidR="001B27BD">
        <w:rPr>
          <w:rFonts w:eastAsiaTheme="minorEastAsia" w:hint="eastAsia"/>
          <w:b w:val="0"/>
          <w:bCs/>
          <w:sz w:val="19"/>
        </w:rPr>
        <w:t>s</w:t>
      </w:r>
      <w:r w:rsidR="001B27BD" w:rsidRPr="001B27BD">
        <w:rPr>
          <w:rFonts w:eastAsia="Times New Roman"/>
          <w:b w:val="0"/>
          <w:bCs/>
          <w:sz w:val="19"/>
        </w:rPr>
        <w:t>cheme</w:t>
      </w:r>
    </w:p>
    <w:p w14:paraId="3DCFD7E1" w14:textId="6601C73B" w:rsidR="00661EDB" w:rsidRDefault="00661EDB" w:rsidP="004C0AD0">
      <w:pPr>
        <w:adjustRightInd w:val="0"/>
        <w:snapToGrid w:val="0"/>
        <w:spacing w:beforeLines="50" w:before="156" w:afterLines="50" w:after="156"/>
        <w:jc w:val="left"/>
        <w:outlineLvl w:val="1"/>
        <w:rPr>
          <w:rFonts w:eastAsia="宋体" w:cs="Times New Roman" w:hint="eastAsia"/>
          <w:b/>
          <w:bCs/>
          <w:sz w:val="28"/>
          <w:szCs w:val="28"/>
        </w:rPr>
      </w:pPr>
      <w:r>
        <w:rPr>
          <w:rFonts w:ascii="Times New Roman" w:eastAsia="Times New Roman" w:hAnsi="Times New Roman"/>
          <w:b/>
          <w:sz w:val="24"/>
        </w:rPr>
        <w:t>3. Stress-Field Response of Layered Surrounding Rock</w:t>
      </w:r>
    </w:p>
    <w:p w14:paraId="4E51D00E" w14:textId="77777777" w:rsidR="00661EDB" w:rsidRDefault="00661EDB" w:rsidP="004A1DA1">
      <w:pPr>
        <w:snapToGrid w:val="0"/>
        <w:spacing w:before="120" w:afterLines="50" w:after="156"/>
        <w:jc w:val="left"/>
        <w:outlineLvl w:val="2"/>
        <w:rPr>
          <w:rFonts w:eastAsia="宋体" w:cs="Times New Roman" w:hint="eastAsia"/>
          <w:b/>
          <w:bCs/>
          <w:sz w:val="24"/>
          <w:szCs w:val="24"/>
        </w:rPr>
      </w:pPr>
      <w:r>
        <w:rPr>
          <w:rFonts w:ascii="Times New Roman" w:eastAsia="Times New Roman" w:hAnsi="Times New Roman"/>
          <w:b/>
          <w:sz w:val="22"/>
        </w:rPr>
        <w:t>3.1 Vertical Stress Distribution</w:t>
      </w:r>
    </w:p>
    <w:p w14:paraId="7C0CB29F" w14:textId="77777777" w:rsidR="00661EDB" w:rsidRPr="007221AF" w:rsidRDefault="00661EDB" w:rsidP="004A1DA1">
      <w:pPr>
        <w:spacing w:after="120"/>
        <w:ind w:firstLine="420"/>
        <w:rPr>
          <w:rFonts w:ascii="宋体" w:eastAsia="宋体" w:hAnsi="宋体" w:cs="Times New Roman" w:hint="eastAsia"/>
          <w:sz w:val="24"/>
          <w:szCs w:val="24"/>
        </w:rPr>
      </w:pPr>
      <w:r w:rsidRPr="007221AF">
        <w:rPr>
          <w:rFonts w:ascii="Times New Roman" w:eastAsia="Times New Roman" w:hAnsi="Times New Roman"/>
          <w:sz w:val="24"/>
          <w:szCs w:val="24"/>
        </w:rPr>
        <w:t>Figure 4 presents the vertical-stress contours for the four bedding configurations. Compressive stress dominates around the excavation, and the red and orange regions denote comparatively large magnitudes of vertical compression. Excavation disrupts the initial vertical stress field and generates pronounced concentration zones near the crown and invert, whereas lower stress levels occur locally around the arch shoulders and sidewalls. The stress contours become progressively more uniform away from the opening, indicating that the vertical-stress disturbance is largely confined to the near-field region. At θ = 0°, the concentration zones above the crown and beneath the invert are regular, and the responses on the two sides of the tunnel are nearly identical. At θ = 30°, these zones shift in the bedding direction, and a left-right difference begins to emerge. A similar bedding-controlled migration persists at θ = 60°, for which the extent of the concentrated stress differs on the two sides. At θ = 90°, the high-stress regions return to the crown and invert and recover an approximately symmetric pattern. Overall, bedding inclination does not change the dominant locations of vertical stress concentration, but it substantially modifies the position and geometry of the concentration zones. Symmetric responses characterize the 0° and 90° cases, whereas the 30° and 60° cases exhibit a clear bedding-oriented offset and asymmetric stress distribution.</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640D17" w14:paraId="55ACD8E4" w14:textId="77777777" w:rsidTr="00454C82">
        <w:tc>
          <w:tcPr>
            <w:tcW w:w="4148" w:type="dxa"/>
          </w:tcPr>
          <w:p w14:paraId="280CD34A" w14:textId="12E70424" w:rsidR="00640D17" w:rsidRDefault="00C13FBA" w:rsidP="00454C82">
            <w:pPr>
              <w:ind w:firstLine="480"/>
              <w:jc w:val="center"/>
              <w:rPr>
                <w:rFonts w:ascii="宋体" w:eastAsia="宋体" w:hAnsi="宋体" w:cs="Times New Roman" w:hint="eastAsia"/>
              </w:rPr>
            </w:pPr>
            <w:r>
              <w:rPr>
                <w:noProof/>
                <w:color w:val="000000"/>
              </w:rPr>
              <w:drawing>
                <wp:inline distT="0" distB="0" distL="0" distR="0" wp14:anchorId="43969C97" wp14:editId="5CA539CC">
                  <wp:extent cx="1682945" cy="1717040"/>
                  <wp:effectExtent l="0" t="0" r="0" b="0"/>
                  <wp:docPr id="169816909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169093" name="图片 1698169093"/>
                          <pic:cNvPicPr/>
                        </pic:nvPicPr>
                        <pic:blipFill rotWithShape="1">
                          <a:blip r:embed="rId13"/>
                          <a:srcRect l="15148" t="2084" r="53683" b="75900"/>
                          <a:stretch>
                            <a:fillRect/>
                          </a:stretch>
                        </pic:blipFill>
                        <pic:spPr bwMode="auto">
                          <a:xfrm>
                            <a:off x="0" y="0"/>
                            <a:ext cx="1682945" cy="1717040"/>
                          </a:xfrm>
                          <a:prstGeom prst="rect">
                            <a:avLst/>
                          </a:prstGeom>
                          <a:ln>
                            <a:noFill/>
                          </a:ln>
                          <a:extLst>
                            <a:ext uri="{53640926-AAD7-44D8-BBD7-CCE9431645EC}">
                              <a14:shadowObscured xmlns:a14="http://schemas.microsoft.com/office/drawing/2010/main"/>
                            </a:ext>
                          </a:extLst>
                        </pic:spPr>
                      </pic:pic>
                    </a:graphicData>
                  </a:graphic>
                </wp:inline>
              </w:drawing>
            </w:r>
          </w:p>
        </w:tc>
        <w:tc>
          <w:tcPr>
            <w:tcW w:w="4148" w:type="dxa"/>
          </w:tcPr>
          <w:p w14:paraId="0F128CB6" w14:textId="56C1167A" w:rsidR="00640D17" w:rsidRDefault="00C13FBA" w:rsidP="00454C82">
            <w:pPr>
              <w:ind w:firstLine="480"/>
              <w:jc w:val="center"/>
              <w:rPr>
                <w:rFonts w:ascii="宋体" w:eastAsia="宋体" w:hAnsi="宋体" w:cs="Times New Roman" w:hint="eastAsia"/>
              </w:rPr>
            </w:pPr>
            <w:r>
              <w:rPr>
                <w:noProof/>
                <w:color w:val="000000"/>
              </w:rPr>
              <w:drawing>
                <wp:inline distT="0" distB="0" distL="0" distR="0" wp14:anchorId="48882122" wp14:editId="1A7CE6CE">
                  <wp:extent cx="1694164" cy="1701800"/>
                  <wp:effectExtent l="0" t="0" r="1905" b="0"/>
                  <wp:docPr id="2813947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169093" name="图片 1698169093"/>
                          <pic:cNvPicPr/>
                        </pic:nvPicPr>
                        <pic:blipFill rotWithShape="1">
                          <a:blip r:embed="rId13"/>
                          <a:srcRect l="15148" t="26314" r="53475" b="51865"/>
                          <a:stretch>
                            <a:fillRect/>
                          </a:stretch>
                        </pic:blipFill>
                        <pic:spPr bwMode="auto">
                          <a:xfrm>
                            <a:off x="0" y="0"/>
                            <a:ext cx="1694164" cy="1701800"/>
                          </a:xfrm>
                          <a:prstGeom prst="rect">
                            <a:avLst/>
                          </a:prstGeom>
                          <a:ln>
                            <a:noFill/>
                          </a:ln>
                          <a:extLst>
                            <a:ext uri="{53640926-AAD7-44D8-BBD7-CCE9431645EC}">
                              <a14:shadowObscured xmlns:a14="http://schemas.microsoft.com/office/drawing/2010/main"/>
                            </a:ext>
                          </a:extLst>
                        </pic:spPr>
                      </pic:pic>
                    </a:graphicData>
                  </a:graphic>
                </wp:inline>
              </w:drawing>
            </w:r>
          </w:p>
        </w:tc>
      </w:tr>
      <w:tr w:rsidR="00661EDB" w14:paraId="46D1F07E" w14:textId="77777777" w:rsidTr="00454C82">
        <w:tc>
          <w:tcPr>
            <w:tcW w:w="4148" w:type="dxa"/>
          </w:tcPr>
          <w:p w14:paraId="63097433" w14:textId="2198279B" w:rsidR="00661EDB" w:rsidRDefault="00661EDB" w:rsidP="00661EDB">
            <w:pPr>
              <w:ind w:firstLine="360"/>
              <w:jc w:val="center"/>
              <w:rPr>
                <w:rFonts w:ascii="宋体" w:eastAsia="宋体" w:hAnsi="宋体" w:cs="Times New Roman" w:hint="eastAsia"/>
              </w:rPr>
            </w:pPr>
            <w:r>
              <w:rPr>
                <w:rFonts w:ascii="Times New Roman" w:eastAsia="Times New Roman" w:hAnsi="Times New Roman"/>
                <w:sz w:val="18"/>
              </w:rPr>
              <w:t>(a) θ = 0°</w:t>
            </w:r>
          </w:p>
        </w:tc>
        <w:tc>
          <w:tcPr>
            <w:tcW w:w="4148" w:type="dxa"/>
          </w:tcPr>
          <w:p w14:paraId="7CBBAC67" w14:textId="1D176CA1" w:rsidR="00661EDB" w:rsidRDefault="00661EDB" w:rsidP="00661EDB">
            <w:pPr>
              <w:ind w:firstLine="360"/>
              <w:jc w:val="center"/>
              <w:rPr>
                <w:rFonts w:ascii="宋体" w:eastAsia="宋体" w:hAnsi="宋体" w:cs="Times New Roman" w:hint="eastAsia"/>
              </w:rPr>
            </w:pPr>
            <w:r>
              <w:rPr>
                <w:rFonts w:ascii="Times New Roman" w:eastAsia="Times New Roman" w:hAnsi="Times New Roman"/>
                <w:sz w:val="18"/>
              </w:rPr>
              <w:t>(b) θ = 30°</w:t>
            </w:r>
          </w:p>
        </w:tc>
      </w:tr>
      <w:tr w:rsidR="00640D17" w14:paraId="36C86B09" w14:textId="77777777" w:rsidTr="00454C82">
        <w:tc>
          <w:tcPr>
            <w:tcW w:w="4148" w:type="dxa"/>
          </w:tcPr>
          <w:p w14:paraId="7F03DC06" w14:textId="10A41A62" w:rsidR="00640D17" w:rsidRDefault="00C13FBA" w:rsidP="00454C82">
            <w:pPr>
              <w:ind w:firstLine="480"/>
              <w:jc w:val="center"/>
              <w:rPr>
                <w:rFonts w:ascii="宋体" w:eastAsia="宋体" w:hAnsi="宋体" w:cs="Times New Roman" w:hint="eastAsia"/>
              </w:rPr>
            </w:pPr>
            <w:r>
              <w:rPr>
                <w:noProof/>
                <w:color w:val="000000"/>
              </w:rPr>
              <w:drawing>
                <wp:inline distT="0" distB="0" distL="0" distR="0" wp14:anchorId="0294E112" wp14:editId="0D2AF9B9">
                  <wp:extent cx="1705384" cy="1706880"/>
                  <wp:effectExtent l="0" t="0" r="9525" b="7620"/>
                  <wp:docPr id="2048476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169093" name="图片 1698169093"/>
                          <pic:cNvPicPr/>
                        </pic:nvPicPr>
                        <pic:blipFill rotWithShape="1">
                          <a:blip r:embed="rId13"/>
                          <a:srcRect l="15148" t="50480" r="53268" b="27634"/>
                          <a:stretch>
                            <a:fillRect/>
                          </a:stretch>
                        </pic:blipFill>
                        <pic:spPr bwMode="auto">
                          <a:xfrm>
                            <a:off x="0" y="0"/>
                            <a:ext cx="1705384" cy="1706880"/>
                          </a:xfrm>
                          <a:prstGeom prst="rect">
                            <a:avLst/>
                          </a:prstGeom>
                          <a:ln>
                            <a:noFill/>
                          </a:ln>
                          <a:extLst>
                            <a:ext uri="{53640926-AAD7-44D8-BBD7-CCE9431645EC}">
                              <a14:shadowObscured xmlns:a14="http://schemas.microsoft.com/office/drawing/2010/main"/>
                            </a:ext>
                          </a:extLst>
                        </pic:spPr>
                      </pic:pic>
                    </a:graphicData>
                  </a:graphic>
                </wp:inline>
              </w:drawing>
            </w:r>
          </w:p>
        </w:tc>
        <w:tc>
          <w:tcPr>
            <w:tcW w:w="4148" w:type="dxa"/>
          </w:tcPr>
          <w:p w14:paraId="521CD29B" w14:textId="2A2701DE" w:rsidR="00640D17" w:rsidRDefault="00C13FBA" w:rsidP="00454C82">
            <w:pPr>
              <w:ind w:firstLine="480"/>
              <w:jc w:val="center"/>
              <w:rPr>
                <w:rFonts w:ascii="宋体" w:eastAsia="宋体" w:hAnsi="宋体" w:cs="Times New Roman" w:hint="eastAsia"/>
              </w:rPr>
            </w:pPr>
            <w:r>
              <w:rPr>
                <w:rFonts w:hint="eastAsia"/>
                <w:noProof/>
                <w:color w:val="000000"/>
              </w:rPr>
              <w:drawing>
                <wp:inline distT="0" distB="0" distL="0" distR="0" wp14:anchorId="357F7139" wp14:editId="19E2EB7F">
                  <wp:extent cx="1699775" cy="1717040"/>
                  <wp:effectExtent l="0" t="0" r="0" b="0"/>
                  <wp:docPr id="187835902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970899" name="图片 1976970899"/>
                          <pic:cNvPicPr/>
                        </pic:nvPicPr>
                        <pic:blipFill rotWithShape="1">
                          <a:blip r:embed="rId14"/>
                          <a:srcRect l="15148" t="26184" r="53371" b="51800"/>
                          <a:stretch>
                            <a:fillRect/>
                          </a:stretch>
                        </pic:blipFill>
                        <pic:spPr bwMode="auto">
                          <a:xfrm>
                            <a:off x="0" y="0"/>
                            <a:ext cx="1699775" cy="1717040"/>
                          </a:xfrm>
                          <a:prstGeom prst="rect">
                            <a:avLst/>
                          </a:prstGeom>
                          <a:ln>
                            <a:noFill/>
                          </a:ln>
                          <a:extLst>
                            <a:ext uri="{53640926-AAD7-44D8-BBD7-CCE9431645EC}">
                              <a14:shadowObscured xmlns:a14="http://schemas.microsoft.com/office/drawing/2010/main"/>
                            </a:ext>
                          </a:extLst>
                        </pic:spPr>
                      </pic:pic>
                    </a:graphicData>
                  </a:graphic>
                </wp:inline>
              </w:drawing>
            </w:r>
          </w:p>
        </w:tc>
      </w:tr>
      <w:tr w:rsidR="00661EDB" w14:paraId="0A3CA539" w14:textId="77777777" w:rsidTr="00454C82">
        <w:tc>
          <w:tcPr>
            <w:tcW w:w="4148" w:type="dxa"/>
          </w:tcPr>
          <w:p w14:paraId="41BF133C" w14:textId="388465F2" w:rsidR="00661EDB" w:rsidRDefault="00661EDB" w:rsidP="00661EDB">
            <w:pPr>
              <w:ind w:firstLine="360"/>
              <w:jc w:val="center"/>
              <w:rPr>
                <w:rFonts w:ascii="宋体" w:eastAsia="宋体" w:hAnsi="宋体" w:cs="Times New Roman" w:hint="eastAsia"/>
              </w:rPr>
            </w:pPr>
            <w:r>
              <w:rPr>
                <w:rFonts w:ascii="Times New Roman" w:eastAsia="Times New Roman" w:hAnsi="Times New Roman"/>
                <w:sz w:val="18"/>
              </w:rPr>
              <w:t>(c) θ = 60°</w:t>
            </w:r>
          </w:p>
        </w:tc>
        <w:tc>
          <w:tcPr>
            <w:tcW w:w="4148" w:type="dxa"/>
          </w:tcPr>
          <w:p w14:paraId="5A51ABE7" w14:textId="3DF0A983" w:rsidR="00661EDB" w:rsidRDefault="00661EDB" w:rsidP="00661EDB">
            <w:pPr>
              <w:ind w:firstLine="360"/>
              <w:jc w:val="center"/>
              <w:rPr>
                <w:rFonts w:ascii="宋体" w:eastAsia="宋体" w:hAnsi="宋体" w:cs="Times New Roman" w:hint="eastAsia"/>
              </w:rPr>
            </w:pPr>
            <w:r>
              <w:rPr>
                <w:rFonts w:ascii="Times New Roman" w:eastAsia="Times New Roman" w:hAnsi="Times New Roman"/>
                <w:sz w:val="18"/>
              </w:rPr>
              <w:t>(d) θ = 90°</w:t>
            </w:r>
          </w:p>
        </w:tc>
      </w:tr>
    </w:tbl>
    <w:p w14:paraId="2E196B4E" w14:textId="77777777" w:rsidR="00661EDB" w:rsidRPr="00640D17" w:rsidRDefault="00661EDB" w:rsidP="004A1DA1">
      <w:pPr>
        <w:spacing w:before="60" w:line="276" w:lineRule="auto"/>
        <w:jc w:val="center"/>
        <w:rPr>
          <w:rFonts w:ascii="宋体" w:eastAsia="宋体" w:hAnsi="宋体" w:hint="eastAsia"/>
          <w:b/>
          <w:bCs/>
        </w:rPr>
      </w:pPr>
      <w:r>
        <w:rPr>
          <w:rFonts w:ascii="Times New Roman" w:eastAsia="Times New Roman" w:hAnsi="Times New Roman"/>
          <w:sz w:val="19"/>
        </w:rPr>
        <w:t>Fig. 4. Vertical-stress contours in the surrounding rock at different bedding dip angles (Pa)</w:t>
      </w:r>
    </w:p>
    <w:p w14:paraId="6C16DE2E" w14:textId="77777777" w:rsidR="00661EDB" w:rsidRDefault="00661EDB" w:rsidP="004C0AD0">
      <w:pPr>
        <w:snapToGrid w:val="0"/>
        <w:spacing w:before="120" w:afterLines="50" w:after="156"/>
        <w:jc w:val="left"/>
        <w:outlineLvl w:val="2"/>
        <w:rPr>
          <w:rFonts w:eastAsia="宋体" w:cs="Times New Roman" w:hint="eastAsia"/>
          <w:b/>
          <w:bCs/>
          <w:sz w:val="24"/>
          <w:szCs w:val="24"/>
        </w:rPr>
      </w:pPr>
      <w:r>
        <w:rPr>
          <w:rFonts w:ascii="Times New Roman" w:eastAsia="Times New Roman" w:hAnsi="Times New Roman"/>
          <w:b/>
          <w:sz w:val="22"/>
        </w:rPr>
        <w:lastRenderedPageBreak/>
        <w:t>3.2 Horizontal Stress Distribution</w:t>
      </w:r>
    </w:p>
    <w:p w14:paraId="5C086904" w14:textId="764068F4" w:rsidR="00661EDB" w:rsidRPr="007221AF" w:rsidRDefault="00661EDB" w:rsidP="004A1DA1">
      <w:pPr>
        <w:spacing w:after="60"/>
        <w:ind w:firstLine="420"/>
        <w:rPr>
          <w:rFonts w:ascii="宋体" w:eastAsia="宋体" w:hAnsi="宋体" w:cs="Times New Roman" w:hint="eastAsia"/>
          <w:sz w:val="24"/>
          <w:szCs w:val="24"/>
        </w:rPr>
      </w:pPr>
      <w:r w:rsidRPr="007221AF">
        <w:rPr>
          <w:rFonts w:ascii="Times New Roman" w:eastAsia="Times New Roman" w:hAnsi="Times New Roman"/>
          <w:sz w:val="24"/>
          <w:szCs w:val="24"/>
        </w:rPr>
        <w:t>The horizontal-stress contours are shown in Fig. 5. Following excavation, horizontal stress is redistributed around the opening. The red and orange zones are concentrated mainly along the sidewalls and extend toward the arch shoulders and feet, while the horizontal compressive stress near the crown and invert is relatively low. As the distance from the tunnel increases, the stress field gradually approaches a uniform state, confirming that the excavation effect is concentrated close to the boundary. For θ = 0°, the high-stress zones adjacent to the two sidewalls have comparable extents and form an approximately symmetric pattern. At θ = 30°, the concentration zones are displaced along the inclined bedding; one side extends toward the arch shoulder, whereas the opposite side develops toward the arch foot. This directional offset remains evident at θ = 60°, and the positions and extents of the high-stress regions differ between the two sides. When θ = 90°, the concentration zones are again centred on the sidewalls, producing a nearly symmetric distribution.</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640D17" w14:paraId="5D2133D8" w14:textId="77777777" w:rsidTr="00454C82">
        <w:tc>
          <w:tcPr>
            <w:tcW w:w="4148" w:type="dxa"/>
          </w:tcPr>
          <w:p w14:paraId="0C1E4657" w14:textId="42EF7657" w:rsidR="00640D17" w:rsidRDefault="00C13FBA" w:rsidP="00454C82">
            <w:pPr>
              <w:ind w:firstLine="480"/>
              <w:jc w:val="center"/>
              <w:rPr>
                <w:rFonts w:ascii="宋体" w:eastAsia="宋体" w:hAnsi="宋体" w:cs="Times New Roman" w:hint="eastAsia"/>
              </w:rPr>
            </w:pPr>
            <w:r>
              <w:rPr>
                <w:rFonts w:cs="Times New Roman" w:hint="eastAsia"/>
                <w:b/>
                <w:bCs/>
                <w:noProof/>
              </w:rPr>
              <w:drawing>
                <wp:inline distT="0" distB="0" distL="0" distR="0" wp14:anchorId="779BB6CD" wp14:editId="057EA0B2">
                  <wp:extent cx="1705384" cy="1706880"/>
                  <wp:effectExtent l="0" t="0" r="9525" b="7620"/>
                  <wp:docPr id="178610293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102939" name="图片 1786102939"/>
                          <pic:cNvPicPr/>
                        </pic:nvPicPr>
                        <pic:blipFill rotWithShape="1">
                          <a:blip r:embed="rId15"/>
                          <a:srcRect l="14958" t="2083" r="53457" b="76031"/>
                          <a:stretch>
                            <a:fillRect/>
                          </a:stretch>
                        </pic:blipFill>
                        <pic:spPr bwMode="auto">
                          <a:xfrm>
                            <a:off x="0" y="0"/>
                            <a:ext cx="1705384" cy="1706880"/>
                          </a:xfrm>
                          <a:prstGeom prst="rect">
                            <a:avLst/>
                          </a:prstGeom>
                          <a:ln>
                            <a:noFill/>
                          </a:ln>
                          <a:extLst>
                            <a:ext uri="{53640926-AAD7-44D8-BBD7-CCE9431645EC}">
                              <a14:shadowObscured xmlns:a14="http://schemas.microsoft.com/office/drawing/2010/main"/>
                            </a:ext>
                          </a:extLst>
                        </pic:spPr>
                      </pic:pic>
                    </a:graphicData>
                  </a:graphic>
                </wp:inline>
              </w:drawing>
            </w:r>
          </w:p>
        </w:tc>
        <w:tc>
          <w:tcPr>
            <w:tcW w:w="4148" w:type="dxa"/>
          </w:tcPr>
          <w:p w14:paraId="007D2C82" w14:textId="74D1E9B7" w:rsidR="00640D17" w:rsidRDefault="00C13FBA" w:rsidP="00454C82">
            <w:pPr>
              <w:ind w:firstLine="480"/>
              <w:jc w:val="center"/>
              <w:rPr>
                <w:rFonts w:ascii="宋体" w:eastAsia="宋体" w:hAnsi="宋体" w:cs="Times New Roman" w:hint="eastAsia"/>
              </w:rPr>
            </w:pPr>
            <w:r>
              <w:rPr>
                <w:rFonts w:cs="Times New Roman" w:hint="eastAsia"/>
                <w:b/>
                <w:bCs/>
                <w:noProof/>
              </w:rPr>
              <w:drawing>
                <wp:inline distT="0" distB="0" distL="0" distR="0" wp14:anchorId="3400167B" wp14:editId="19146AB3">
                  <wp:extent cx="1716604" cy="1706880"/>
                  <wp:effectExtent l="0" t="0" r="0" b="7620"/>
                  <wp:docPr id="82996786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102939" name="图片 1786102939"/>
                          <pic:cNvPicPr/>
                        </pic:nvPicPr>
                        <pic:blipFill rotWithShape="1">
                          <a:blip r:embed="rId15"/>
                          <a:srcRect l="14958" t="26379" r="53249" b="51735"/>
                          <a:stretch>
                            <a:fillRect/>
                          </a:stretch>
                        </pic:blipFill>
                        <pic:spPr bwMode="auto">
                          <a:xfrm>
                            <a:off x="0" y="0"/>
                            <a:ext cx="1716604" cy="1706880"/>
                          </a:xfrm>
                          <a:prstGeom prst="rect">
                            <a:avLst/>
                          </a:prstGeom>
                          <a:ln>
                            <a:noFill/>
                          </a:ln>
                          <a:extLst>
                            <a:ext uri="{53640926-AAD7-44D8-BBD7-CCE9431645EC}">
                              <a14:shadowObscured xmlns:a14="http://schemas.microsoft.com/office/drawing/2010/main"/>
                            </a:ext>
                          </a:extLst>
                        </pic:spPr>
                      </pic:pic>
                    </a:graphicData>
                  </a:graphic>
                </wp:inline>
              </w:drawing>
            </w:r>
          </w:p>
        </w:tc>
      </w:tr>
      <w:tr w:rsidR="00661EDB" w14:paraId="47A1B611" w14:textId="77777777" w:rsidTr="00454C82">
        <w:tc>
          <w:tcPr>
            <w:tcW w:w="4148" w:type="dxa"/>
          </w:tcPr>
          <w:p w14:paraId="5DCEBD49" w14:textId="0CB864E1" w:rsidR="00661EDB" w:rsidRDefault="00661EDB" w:rsidP="00661EDB">
            <w:pPr>
              <w:ind w:firstLine="360"/>
              <w:jc w:val="center"/>
              <w:rPr>
                <w:rFonts w:ascii="宋体" w:eastAsia="宋体" w:hAnsi="宋体" w:cs="Times New Roman" w:hint="eastAsia"/>
              </w:rPr>
            </w:pPr>
            <w:r>
              <w:rPr>
                <w:rFonts w:ascii="Times New Roman" w:eastAsia="Times New Roman" w:hAnsi="Times New Roman"/>
                <w:sz w:val="18"/>
              </w:rPr>
              <w:t>(a) θ = 0°</w:t>
            </w:r>
          </w:p>
        </w:tc>
        <w:tc>
          <w:tcPr>
            <w:tcW w:w="4148" w:type="dxa"/>
          </w:tcPr>
          <w:p w14:paraId="5F407A53" w14:textId="1CA1ADCC" w:rsidR="00661EDB" w:rsidRDefault="00661EDB" w:rsidP="00661EDB">
            <w:pPr>
              <w:ind w:firstLine="360"/>
              <w:jc w:val="center"/>
              <w:rPr>
                <w:rFonts w:ascii="宋体" w:eastAsia="宋体" w:hAnsi="宋体" w:cs="Times New Roman" w:hint="eastAsia"/>
              </w:rPr>
            </w:pPr>
            <w:r>
              <w:rPr>
                <w:rFonts w:ascii="Times New Roman" w:eastAsia="Times New Roman" w:hAnsi="Times New Roman"/>
                <w:sz w:val="18"/>
              </w:rPr>
              <w:t>(b) θ = 30°</w:t>
            </w:r>
          </w:p>
        </w:tc>
      </w:tr>
      <w:tr w:rsidR="00640D17" w14:paraId="744ABE1F" w14:textId="77777777" w:rsidTr="00454C82">
        <w:tc>
          <w:tcPr>
            <w:tcW w:w="4148" w:type="dxa"/>
          </w:tcPr>
          <w:p w14:paraId="21D283F1" w14:textId="26B6DA8B" w:rsidR="00640D17" w:rsidRDefault="00C13FBA" w:rsidP="00454C82">
            <w:pPr>
              <w:ind w:firstLine="480"/>
              <w:jc w:val="center"/>
              <w:rPr>
                <w:rFonts w:ascii="宋体" w:eastAsia="宋体" w:hAnsi="宋体" w:cs="Times New Roman" w:hint="eastAsia"/>
              </w:rPr>
            </w:pPr>
            <w:r>
              <w:rPr>
                <w:rFonts w:cs="Times New Roman" w:hint="eastAsia"/>
                <w:b/>
                <w:bCs/>
                <w:noProof/>
              </w:rPr>
              <w:drawing>
                <wp:inline distT="0" distB="0" distL="0" distR="0" wp14:anchorId="4FEACE6D" wp14:editId="67177AC1">
                  <wp:extent cx="1694165" cy="1711960"/>
                  <wp:effectExtent l="0" t="0" r="1905" b="2540"/>
                  <wp:docPr id="28111452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114524" name="图片 281114524"/>
                          <pic:cNvPicPr/>
                        </pic:nvPicPr>
                        <pic:blipFill rotWithShape="1">
                          <a:blip r:embed="rId16"/>
                          <a:srcRect l="15148" t="1889" r="53475" b="76160"/>
                          <a:stretch>
                            <a:fillRect/>
                          </a:stretch>
                        </pic:blipFill>
                        <pic:spPr bwMode="auto">
                          <a:xfrm>
                            <a:off x="0" y="0"/>
                            <a:ext cx="1694165" cy="1711960"/>
                          </a:xfrm>
                          <a:prstGeom prst="rect">
                            <a:avLst/>
                          </a:prstGeom>
                          <a:ln>
                            <a:noFill/>
                          </a:ln>
                          <a:extLst>
                            <a:ext uri="{53640926-AAD7-44D8-BBD7-CCE9431645EC}">
                              <a14:shadowObscured xmlns:a14="http://schemas.microsoft.com/office/drawing/2010/main"/>
                            </a:ext>
                          </a:extLst>
                        </pic:spPr>
                      </pic:pic>
                    </a:graphicData>
                  </a:graphic>
                </wp:inline>
              </w:drawing>
            </w:r>
          </w:p>
        </w:tc>
        <w:tc>
          <w:tcPr>
            <w:tcW w:w="4148" w:type="dxa"/>
          </w:tcPr>
          <w:p w14:paraId="241C7F42" w14:textId="319B2764" w:rsidR="00640D17" w:rsidRDefault="00C13FBA" w:rsidP="00454C82">
            <w:pPr>
              <w:ind w:firstLine="480"/>
              <w:jc w:val="center"/>
              <w:rPr>
                <w:rFonts w:ascii="宋体" w:eastAsia="宋体" w:hAnsi="宋体" w:cs="Times New Roman" w:hint="eastAsia"/>
              </w:rPr>
            </w:pPr>
            <w:r>
              <w:rPr>
                <w:rFonts w:cs="Times New Roman" w:hint="eastAsia"/>
                <w:b/>
                <w:bCs/>
                <w:noProof/>
              </w:rPr>
              <w:drawing>
                <wp:inline distT="0" distB="0" distL="0" distR="0" wp14:anchorId="2842E359" wp14:editId="7C7F7122">
                  <wp:extent cx="1699775" cy="1706880"/>
                  <wp:effectExtent l="0" t="0" r="0" b="7620"/>
                  <wp:docPr id="19662607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114524" name="图片 281114524"/>
                          <pic:cNvPicPr/>
                        </pic:nvPicPr>
                        <pic:blipFill rotWithShape="1">
                          <a:blip r:embed="rId16"/>
                          <a:srcRect l="15148" t="26380" r="53371" b="51734"/>
                          <a:stretch>
                            <a:fillRect/>
                          </a:stretch>
                        </pic:blipFill>
                        <pic:spPr bwMode="auto">
                          <a:xfrm>
                            <a:off x="0" y="0"/>
                            <a:ext cx="1699775" cy="1706880"/>
                          </a:xfrm>
                          <a:prstGeom prst="rect">
                            <a:avLst/>
                          </a:prstGeom>
                          <a:ln>
                            <a:noFill/>
                          </a:ln>
                          <a:extLst>
                            <a:ext uri="{53640926-AAD7-44D8-BBD7-CCE9431645EC}">
                              <a14:shadowObscured xmlns:a14="http://schemas.microsoft.com/office/drawing/2010/main"/>
                            </a:ext>
                          </a:extLst>
                        </pic:spPr>
                      </pic:pic>
                    </a:graphicData>
                  </a:graphic>
                </wp:inline>
              </w:drawing>
            </w:r>
          </w:p>
        </w:tc>
      </w:tr>
      <w:tr w:rsidR="00661EDB" w14:paraId="3C87B9BF" w14:textId="77777777" w:rsidTr="00454C82">
        <w:tc>
          <w:tcPr>
            <w:tcW w:w="4148" w:type="dxa"/>
          </w:tcPr>
          <w:p w14:paraId="726C9F79" w14:textId="4A8D5180" w:rsidR="00661EDB" w:rsidRDefault="00661EDB" w:rsidP="00661EDB">
            <w:pPr>
              <w:ind w:firstLine="360"/>
              <w:jc w:val="center"/>
              <w:rPr>
                <w:rFonts w:ascii="宋体" w:eastAsia="宋体" w:hAnsi="宋体" w:cs="Times New Roman" w:hint="eastAsia"/>
              </w:rPr>
            </w:pPr>
            <w:r>
              <w:rPr>
                <w:rFonts w:ascii="Times New Roman" w:eastAsia="Times New Roman" w:hAnsi="Times New Roman"/>
                <w:sz w:val="18"/>
              </w:rPr>
              <w:t>(c) θ = 60°</w:t>
            </w:r>
          </w:p>
        </w:tc>
        <w:tc>
          <w:tcPr>
            <w:tcW w:w="4148" w:type="dxa"/>
          </w:tcPr>
          <w:p w14:paraId="4C2EDAAB" w14:textId="0388FDF6" w:rsidR="00661EDB" w:rsidRDefault="00661EDB" w:rsidP="00661EDB">
            <w:pPr>
              <w:ind w:firstLine="360"/>
              <w:jc w:val="center"/>
              <w:rPr>
                <w:rFonts w:ascii="宋体" w:eastAsia="宋体" w:hAnsi="宋体" w:cs="Times New Roman" w:hint="eastAsia"/>
              </w:rPr>
            </w:pPr>
            <w:r>
              <w:rPr>
                <w:rFonts w:ascii="Times New Roman" w:eastAsia="Times New Roman" w:hAnsi="Times New Roman"/>
                <w:sz w:val="18"/>
              </w:rPr>
              <w:t>(d) θ = 90°</w:t>
            </w:r>
          </w:p>
        </w:tc>
      </w:tr>
    </w:tbl>
    <w:p w14:paraId="061C6BAB" w14:textId="77777777" w:rsidR="00661EDB" w:rsidRDefault="00661EDB" w:rsidP="00661EDB">
      <w:pPr>
        <w:spacing w:before="60" w:afterLines="50" w:after="156" w:line="276" w:lineRule="auto"/>
        <w:jc w:val="center"/>
        <w:rPr>
          <w:rFonts w:ascii="Times New Roman" w:hAnsi="Times New Roman"/>
          <w:sz w:val="19"/>
        </w:rPr>
      </w:pPr>
      <w:r>
        <w:rPr>
          <w:rFonts w:ascii="Times New Roman" w:eastAsia="Times New Roman" w:hAnsi="Times New Roman"/>
          <w:sz w:val="19"/>
        </w:rPr>
        <w:t>Fig. 5. Horizontal-stress contours in the surrounding rock at different bedding dip angles (Pa)</w:t>
      </w:r>
    </w:p>
    <w:p w14:paraId="549A8BA2" w14:textId="5A53D6FE" w:rsidR="004A1DA1" w:rsidRPr="007221AF" w:rsidRDefault="004A1DA1" w:rsidP="007221AF">
      <w:pPr>
        <w:spacing w:before="60" w:afterLines="50" w:after="156"/>
        <w:ind w:firstLineChars="200" w:firstLine="480"/>
        <w:rPr>
          <w:rFonts w:ascii="宋体" w:hAnsi="宋体" w:cs="Times New Roman" w:hint="eastAsia"/>
          <w:b/>
          <w:bCs/>
          <w:sz w:val="24"/>
          <w:szCs w:val="24"/>
        </w:rPr>
      </w:pPr>
      <w:r w:rsidRPr="007221AF">
        <w:rPr>
          <w:rFonts w:ascii="Times New Roman" w:eastAsia="Times New Roman" w:hAnsi="Times New Roman"/>
          <w:sz w:val="24"/>
          <w:szCs w:val="24"/>
        </w:rPr>
        <w:t>Comparison of Figs. 4 and 5 reveals distinct concentration patterns for the two stress components. Vertical compressive stress is concentrated primarily near the crown and invert, whereas horizontal compressive stress is concentrated along the sidewalls and extends toward the arch shoulders and feet. Both components remain broadly symmetric for θ = 0° and 90°. At θ = 30° and 60°, however, the concentration zones migrate in the bedding direction, resulting in pronounced stress asymmetry across the tunnel section.</w:t>
      </w:r>
    </w:p>
    <w:p w14:paraId="61BA7348" w14:textId="77777777" w:rsidR="00661EDB" w:rsidRDefault="00661EDB" w:rsidP="004C0AD0">
      <w:pPr>
        <w:adjustRightInd w:val="0"/>
        <w:snapToGrid w:val="0"/>
        <w:spacing w:beforeLines="50" w:before="156" w:afterLines="50" w:after="156"/>
        <w:jc w:val="left"/>
        <w:outlineLvl w:val="1"/>
        <w:rPr>
          <w:rFonts w:eastAsia="宋体" w:cs="Times New Roman" w:hint="eastAsia"/>
          <w:b/>
          <w:bCs/>
          <w:sz w:val="28"/>
          <w:szCs w:val="28"/>
        </w:rPr>
      </w:pPr>
      <w:r>
        <w:rPr>
          <w:rFonts w:ascii="Times New Roman" w:eastAsia="Times New Roman" w:hAnsi="Times New Roman"/>
          <w:b/>
          <w:sz w:val="24"/>
        </w:rPr>
        <w:t>4. Conclusions</w:t>
      </w:r>
    </w:p>
    <w:p w14:paraId="005D1F2D" w14:textId="77777777" w:rsidR="00661EDB" w:rsidRPr="007221AF" w:rsidRDefault="00661EDB" w:rsidP="007221AF">
      <w:pPr>
        <w:spacing w:after="60"/>
        <w:ind w:firstLineChars="200" w:firstLine="480"/>
        <w:rPr>
          <w:rFonts w:ascii="宋体" w:eastAsia="宋体" w:hAnsi="宋体" w:hint="eastAsia"/>
          <w:sz w:val="24"/>
          <w:szCs w:val="24"/>
        </w:rPr>
      </w:pPr>
      <w:r w:rsidRPr="007221AF">
        <w:rPr>
          <w:rFonts w:ascii="Times New Roman" w:eastAsia="Times New Roman" w:hAnsi="Times New Roman"/>
          <w:sz w:val="24"/>
          <w:szCs w:val="24"/>
        </w:rPr>
        <w:lastRenderedPageBreak/>
        <w:t>A three-dimensional discrete-element model was developed to investigate the influence of bedding dip angle on stress redistribution around a tunnel excavated in layered rock. The principal findings are summarized as follows:</w:t>
      </w:r>
    </w:p>
    <w:p w14:paraId="0F81C0E4" w14:textId="77777777" w:rsidR="00661EDB" w:rsidRPr="007221AF" w:rsidRDefault="00661EDB" w:rsidP="007221AF">
      <w:pPr>
        <w:spacing w:after="60"/>
        <w:ind w:firstLineChars="200" w:firstLine="480"/>
        <w:rPr>
          <w:rFonts w:ascii="宋体" w:eastAsia="宋体" w:hAnsi="宋体" w:hint="eastAsia"/>
          <w:sz w:val="24"/>
          <w:szCs w:val="24"/>
        </w:rPr>
      </w:pPr>
      <w:r w:rsidRPr="007221AF">
        <w:rPr>
          <w:rFonts w:ascii="Times New Roman" w:eastAsia="Times New Roman" w:hAnsi="Times New Roman"/>
          <w:sz w:val="24"/>
          <w:szCs w:val="24"/>
        </w:rPr>
        <w:t>(1) Tunnel excavation redistributes both the vertical and horizontal stresses in the surrounding rock. The disturbance is most pronounced close to the opening and decreases with distance. Vertical compressive stress is concentrated mainly near the crown and invert, whereas horizontal compressive stress is concentrated along the sidewalls and extends toward the arch shoulders and feet.</w:t>
      </w:r>
    </w:p>
    <w:p w14:paraId="7FD19F80" w14:textId="77777777" w:rsidR="00661EDB" w:rsidRPr="007221AF" w:rsidRDefault="00661EDB" w:rsidP="007221AF">
      <w:pPr>
        <w:spacing w:after="60"/>
        <w:ind w:firstLineChars="200" w:firstLine="480"/>
        <w:rPr>
          <w:rFonts w:ascii="宋体" w:eastAsia="宋体" w:hAnsi="宋体" w:hint="eastAsia"/>
          <w:sz w:val="24"/>
          <w:szCs w:val="24"/>
        </w:rPr>
      </w:pPr>
      <w:r w:rsidRPr="007221AF">
        <w:rPr>
          <w:rFonts w:ascii="Times New Roman" w:eastAsia="Times New Roman" w:hAnsi="Times New Roman"/>
          <w:sz w:val="24"/>
          <w:szCs w:val="24"/>
        </w:rPr>
        <w:t>(2) For bedding dip angles of 0° and 90°, the vertical-stress field is approximately symmetric, and the concentration zones near the crown and invert remain relatively regular. At 30° and 60°, the vertical-stress concentration zones shift along the bedding direction, leading to unequal distributions and different concentration extents on the two sides of the tunnel.</w:t>
      </w:r>
    </w:p>
    <w:p w14:paraId="27E0F44F" w14:textId="77777777" w:rsidR="00661EDB" w:rsidRPr="007221AF" w:rsidRDefault="00661EDB" w:rsidP="007221AF">
      <w:pPr>
        <w:spacing w:after="60"/>
        <w:ind w:firstLineChars="200" w:firstLine="480"/>
        <w:rPr>
          <w:rFonts w:ascii="Times New Roman" w:hAnsi="Times New Roman"/>
          <w:sz w:val="24"/>
          <w:szCs w:val="24"/>
        </w:rPr>
      </w:pPr>
      <w:r w:rsidRPr="007221AF">
        <w:rPr>
          <w:rFonts w:ascii="Times New Roman" w:eastAsia="Times New Roman" w:hAnsi="Times New Roman"/>
          <w:sz w:val="24"/>
          <w:szCs w:val="24"/>
        </w:rPr>
        <w:t>(3) The horizontal-stress concentration zones are nearly symmetric around the two sidewalls at bedding dip angles of 0° and 90°. For the 30° and 60° cases, these zones are displaced along the bedding direction, extending toward the arch shoulder on one side and toward the arch foot on the other, which produces a marked left-right asymmetry.</w:t>
      </w:r>
    </w:p>
    <w:p w14:paraId="1D7508DC" w14:textId="79804343" w:rsidR="003B6C94" w:rsidRDefault="003B6C94" w:rsidP="004C0AD0">
      <w:pPr>
        <w:pStyle w:val="ab"/>
        <w:adjustRightInd w:val="0"/>
        <w:snapToGrid w:val="0"/>
        <w:spacing w:beforeLines="50" w:before="156" w:afterLines="50" w:after="156"/>
        <w:ind w:left="442"/>
        <w:jc w:val="left"/>
        <w:outlineLvl w:val="1"/>
        <w:rPr>
          <w:rFonts w:ascii="Times New Roman" w:hAnsi="Times New Roman"/>
          <w:b/>
          <w:sz w:val="24"/>
        </w:rPr>
      </w:pPr>
      <w:r w:rsidRPr="003B6C94">
        <w:rPr>
          <w:rFonts w:ascii="Times New Roman" w:eastAsia="Times New Roman" w:hAnsi="Times New Roman"/>
          <w:b/>
          <w:sz w:val="24"/>
        </w:rPr>
        <w:t>Conflict of Interest</w:t>
      </w:r>
    </w:p>
    <w:p w14:paraId="01ED61EE" w14:textId="6B7D75AD" w:rsidR="003B6C94" w:rsidRDefault="003B6C94" w:rsidP="004C0AD0">
      <w:pPr>
        <w:rPr>
          <w:rFonts w:ascii="Times New Roman" w:hAnsi="Times New Roman"/>
        </w:rPr>
      </w:pPr>
      <w:r w:rsidRPr="003B6C94">
        <w:rPr>
          <w:rFonts w:ascii="Times New Roman" w:eastAsia="Times New Roman" w:hAnsi="Times New Roman"/>
        </w:rPr>
        <w:t>No conflict of interest was reported by all authors</w:t>
      </w:r>
      <w:r>
        <w:rPr>
          <w:rFonts w:ascii="Times New Roman" w:hAnsi="Times New Roman" w:hint="eastAsia"/>
        </w:rPr>
        <w:t>.</w:t>
      </w:r>
    </w:p>
    <w:p w14:paraId="2A4DF354" w14:textId="5F7EBB5B" w:rsidR="003B6C94" w:rsidRDefault="003B6C94" w:rsidP="004C0AD0">
      <w:pPr>
        <w:pStyle w:val="ab"/>
        <w:adjustRightInd w:val="0"/>
        <w:snapToGrid w:val="0"/>
        <w:spacing w:beforeLines="50" w:before="156" w:afterLines="50" w:after="156"/>
        <w:ind w:left="442"/>
        <w:jc w:val="left"/>
        <w:outlineLvl w:val="1"/>
        <w:rPr>
          <w:rFonts w:ascii="Times New Roman" w:hAnsi="Times New Roman"/>
          <w:b/>
          <w:sz w:val="24"/>
        </w:rPr>
      </w:pPr>
      <w:r w:rsidRPr="003B6C94">
        <w:rPr>
          <w:rFonts w:ascii="Times New Roman" w:eastAsia="Times New Roman" w:hAnsi="Times New Roman"/>
          <w:b/>
          <w:sz w:val="24"/>
        </w:rPr>
        <w:t>Funding</w:t>
      </w:r>
    </w:p>
    <w:p w14:paraId="0EAD4133" w14:textId="6B828E0C" w:rsidR="003B6C94" w:rsidRPr="00B37919" w:rsidRDefault="00463B51" w:rsidP="004C0AD0">
      <w:pPr>
        <w:rPr>
          <w:rFonts w:ascii="Times New Roman" w:hAnsi="Times New Roman"/>
        </w:rPr>
      </w:pPr>
      <w:r w:rsidRPr="00463B51">
        <w:rPr>
          <w:rFonts w:ascii="Times New Roman" w:eastAsia="Times New Roman" w:hAnsi="Times New Roman"/>
        </w:rPr>
        <w:t>This paper is supported by the</w:t>
      </w:r>
      <w:r w:rsidR="00B37919">
        <w:rPr>
          <w:rFonts w:ascii="Times New Roman" w:hAnsi="Times New Roman" w:hint="eastAsia"/>
        </w:rPr>
        <w:t xml:space="preserve"> </w:t>
      </w:r>
      <w:r w:rsidR="00B37919" w:rsidRPr="00B37919">
        <w:rPr>
          <w:rFonts w:ascii="Times New Roman" w:hAnsi="Times New Roman"/>
        </w:rPr>
        <w:t>Key Project of the Science and Technology Research and Development Program of China State Railway Group Co., Ltd. (No. N2024G049)</w:t>
      </w:r>
      <w:r w:rsidR="00B37919">
        <w:rPr>
          <w:rFonts w:ascii="Times New Roman" w:hAnsi="Times New Roman" w:hint="eastAsia"/>
        </w:rPr>
        <w:t xml:space="preserve"> and</w:t>
      </w:r>
      <w:r w:rsidR="001B7406">
        <w:rPr>
          <w:rFonts w:ascii="Times New Roman" w:hAnsi="Times New Roman" w:hint="eastAsia"/>
        </w:rPr>
        <w:t xml:space="preserve"> the</w:t>
      </w:r>
      <w:r w:rsidR="00B01024">
        <w:rPr>
          <w:rFonts w:ascii="Times New Roman" w:hAnsi="Times New Roman" w:hint="eastAsia"/>
        </w:rPr>
        <w:t xml:space="preserve"> </w:t>
      </w:r>
      <w:r w:rsidR="00B01024" w:rsidRPr="00B01024">
        <w:rPr>
          <w:rFonts w:ascii="Times New Roman" w:hAnsi="Times New Roman"/>
        </w:rPr>
        <w:t>Enterprise commissioned projects</w:t>
      </w:r>
      <w:r w:rsidR="00E94D2D">
        <w:rPr>
          <w:rFonts w:ascii="Times New Roman" w:hAnsi="Times New Roman" w:hint="eastAsia"/>
        </w:rPr>
        <w:t xml:space="preserve"> (</w:t>
      </w:r>
      <w:r w:rsidR="00E94D2D" w:rsidRPr="00B37919">
        <w:rPr>
          <w:rFonts w:ascii="Times New Roman" w:hAnsi="Times New Roman"/>
        </w:rPr>
        <w:t>No.</w:t>
      </w:r>
      <w:r w:rsidR="00E94D2D" w:rsidRPr="00E94D2D">
        <w:rPr>
          <w:rFonts w:hint="eastAsia"/>
        </w:rPr>
        <w:t xml:space="preserve"> </w:t>
      </w:r>
      <w:r w:rsidR="00E94D2D" w:rsidRPr="00E94D2D">
        <w:rPr>
          <w:rFonts w:ascii="Times New Roman" w:hAnsi="Times New Roman"/>
        </w:rPr>
        <w:t>H26-050</w:t>
      </w:r>
      <w:r w:rsidR="00E94D2D">
        <w:rPr>
          <w:rFonts w:ascii="Times New Roman" w:hAnsi="Times New Roman" w:hint="eastAsia"/>
        </w:rPr>
        <w:t>)</w:t>
      </w:r>
    </w:p>
    <w:p w14:paraId="64B65332" w14:textId="77777777" w:rsidR="00661EDB" w:rsidRPr="00661EDB" w:rsidRDefault="00661EDB" w:rsidP="004C0AD0">
      <w:pPr>
        <w:pStyle w:val="ab"/>
        <w:adjustRightInd w:val="0"/>
        <w:snapToGrid w:val="0"/>
        <w:spacing w:beforeLines="50" w:before="156" w:afterLines="50" w:after="156"/>
        <w:ind w:left="442"/>
        <w:jc w:val="left"/>
        <w:outlineLvl w:val="1"/>
        <w:rPr>
          <w:rFonts w:eastAsia="宋体" w:cs="Times New Roman" w:hint="eastAsia"/>
          <w:b/>
          <w:bCs/>
          <w:sz w:val="28"/>
          <w:szCs w:val="28"/>
        </w:rPr>
      </w:pPr>
      <w:r w:rsidRPr="00661EDB">
        <w:rPr>
          <w:rFonts w:ascii="Times New Roman" w:eastAsia="Times New Roman" w:hAnsi="Times New Roman"/>
          <w:b/>
          <w:sz w:val="24"/>
        </w:rPr>
        <w:t>References</w:t>
      </w:r>
    </w:p>
    <w:p w14:paraId="0FA7770F" w14:textId="77777777" w:rsidR="00D816B1" w:rsidRPr="00D816B1" w:rsidRDefault="00D816B1" w:rsidP="004C0AD0">
      <w:pPr>
        <w:rPr>
          <w:rFonts w:ascii="Times New Roman" w:eastAsia="宋体" w:hAnsi="Times New Roman" w:cs="Times New Roman"/>
          <w14:ligatures w14:val="standardContextual"/>
        </w:rPr>
      </w:pPr>
      <w:r w:rsidRPr="00D816B1">
        <w:rPr>
          <w:rFonts w:ascii="Times New Roman" w:eastAsia="宋体" w:hAnsi="Times New Roman" w:cs="Times New Roman"/>
          <w14:ligatures w14:val="standardContextual"/>
        </w:rPr>
        <w:t xml:space="preserve">[1] Ji H, Yang S, Qi N, </w:t>
      </w:r>
      <w:r w:rsidRPr="00D816B1">
        <w:rPr>
          <w:rFonts w:ascii="Times New Roman" w:eastAsia="宋体" w:hAnsi="Times New Roman" w:cs="Times New Roman"/>
          <w:i/>
          <w:iCs/>
          <w14:ligatures w14:val="standardContextual"/>
        </w:rPr>
        <w:t>et al.</w:t>
      </w:r>
      <w:r w:rsidRPr="00D816B1">
        <w:rPr>
          <w:rFonts w:ascii="Times New Roman" w:eastAsia="宋体" w:hAnsi="Times New Roman" w:cs="Times New Roman"/>
          <w14:ligatures w14:val="standardContextual"/>
        </w:rPr>
        <w:t xml:space="preserve"> Crack propagation behaviour and parameter optimization for tunnel blasting in layered jointed rock masses [J]. </w:t>
      </w:r>
      <w:r w:rsidRPr="00D816B1">
        <w:rPr>
          <w:rFonts w:ascii="Times New Roman" w:eastAsia="宋体" w:hAnsi="Times New Roman" w:cs="Times New Roman"/>
          <w:i/>
          <w:iCs/>
          <w14:ligatures w14:val="standardContextual"/>
        </w:rPr>
        <w:t>Journal of Mining Science and Technology</w:t>
      </w:r>
      <w:r w:rsidRPr="00D816B1">
        <w:rPr>
          <w:rFonts w:ascii="Times New Roman" w:eastAsia="宋体" w:hAnsi="Times New Roman" w:cs="Times New Roman"/>
          <w14:ligatures w14:val="standardContextual"/>
        </w:rPr>
        <w:t>, 2026, 11(2): 328-338. DOI: 10.19606/j.cnki.jmst.2025120.</w:t>
      </w:r>
    </w:p>
    <w:p w14:paraId="268F34D2" w14:textId="77777777" w:rsidR="00D816B1" w:rsidRPr="00D816B1" w:rsidRDefault="00D816B1" w:rsidP="004C0AD0">
      <w:pPr>
        <w:rPr>
          <w:rFonts w:ascii="Times New Roman" w:eastAsia="宋体" w:hAnsi="Times New Roman" w:cs="Times New Roman"/>
          <w14:ligatures w14:val="standardContextual"/>
        </w:rPr>
      </w:pPr>
      <w:r w:rsidRPr="00D816B1">
        <w:rPr>
          <w:rFonts w:ascii="Times New Roman" w:eastAsia="宋体" w:hAnsi="Times New Roman" w:cs="Times New Roman"/>
          <w14:ligatures w14:val="standardContextual"/>
        </w:rPr>
        <w:t xml:space="preserve">[2] Ministry of Transport of the People's Republic of China. Statistical bulletin on the development of the transport industry in 2023 [J]. </w:t>
      </w:r>
      <w:r w:rsidRPr="00D816B1">
        <w:rPr>
          <w:rFonts w:ascii="Times New Roman" w:eastAsia="宋体" w:hAnsi="Times New Roman" w:cs="Times New Roman"/>
          <w:i/>
          <w:iCs/>
          <w14:ligatures w14:val="standardContextual"/>
        </w:rPr>
        <w:t>China Water Transport</w:t>
      </w:r>
      <w:r w:rsidRPr="00D816B1">
        <w:rPr>
          <w:rFonts w:ascii="Times New Roman" w:eastAsia="宋体" w:hAnsi="Times New Roman" w:cs="Times New Roman"/>
          <w14:ligatures w14:val="standardContextual"/>
        </w:rPr>
        <w:t>, 2024, (15): 31-35.</w:t>
      </w:r>
    </w:p>
    <w:p w14:paraId="5EEA22DF" w14:textId="77777777" w:rsidR="00D816B1" w:rsidRPr="00D816B1" w:rsidRDefault="00D816B1" w:rsidP="004C0AD0">
      <w:pPr>
        <w:rPr>
          <w:rFonts w:ascii="Times New Roman" w:eastAsia="宋体" w:hAnsi="Times New Roman" w:cs="Times New Roman"/>
          <w14:ligatures w14:val="standardContextual"/>
        </w:rPr>
      </w:pPr>
      <w:r w:rsidRPr="00D816B1">
        <w:rPr>
          <w:rFonts w:ascii="Times New Roman" w:eastAsia="宋体" w:hAnsi="Times New Roman" w:cs="Times New Roman"/>
          <w14:ligatures w14:val="standardContextual"/>
        </w:rPr>
        <w:t xml:space="preserve">[3] Liu B. Analysis of rock mass stability in horizontally layered tunnels excavated by the full-face method under fault influence [J]. </w:t>
      </w:r>
      <w:r w:rsidRPr="00D816B1">
        <w:rPr>
          <w:rFonts w:ascii="Times New Roman" w:eastAsia="宋体" w:hAnsi="Times New Roman" w:cs="Times New Roman"/>
          <w:i/>
          <w:iCs/>
          <w14:ligatures w14:val="standardContextual"/>
        </w:rPr>
        <w:t>Journal of Municipal Technology</w:t>
      </w:r>
      <w:r w:rsidRPr="00D816B1">
        <w:rPr>
          <w:rFonts w:ascii="Times New Roman" w:eastAsia="宋体" w:hAnsi="Times New Roman" w:cs="Times New Roman"/>
          <w14:ligatures w14:val="standardContextual"/>
        </w:rPr>
        <w:t>, 2026, 44(2): 155-164.</w:t>
      </w:r>
    </w:p>
    <w:p w14:paraId="5748A2E5" w14:textId="77777777" w:rsidR="00D816B1" w:rsidRPr="00D816B1" w:rsidRDefault="00D816B1" w:rsidP="00892D16">
      <w:pPr>
        <w:wordWrap w:val="0"/>
        <w:rPr>
          <w:rFonts w:ascii="Times New Roman" w:eastAsia="宋体" w:hAnsi="Times New Roman" w:cs="Times New Roman"/>
          <w14:ligatures w14:val="standardContextual"/>
        </w:rPr>
      </w:pPr>
      <w:r w:rsidRPr="00D816B1">
        <w:rPr>
          <w:rFonts w:ascii="Times New Roman" w:eastAsia="宋体" w:hAnsi="Times New Roman" w:cs="Times New Roman"/>
          <w14:ligatures w14:val="standardContextual"/>
        </w:rPr>
        <w:t xml:space="preserve">[4] Chen F, Qiu Y, Yan Q, </w:t>
      </w:r>
      <w:r w:rsidRPr="00D816B1">
        <w:rPr>
          <w:rFonts w:ascii="Times New Roman" w:eastAsia="宋体" w:hAnsi="Times New Roman" w:cs="Times New Roman"/>
          <w:i/>
          <w:iCs/>
          <w14:ligatures w14:val="standardContextual"/>
        </w:rPr>
        <w:t>et al.</w:t>
      </w:r>
      <w:r w:rsidRPr="00D816B1">
        <w:rPr>
          <w:rFonts w:ascii="Times New Roman" w:eastAsia="宋体" w:hAnsi="Times New Roman" w:cs="Times New Roman"/>
          <w14:ligatures w14:val="standardContextual"/>
        </w:rPr>
        <w:t xml:space="preserve"> Anisotropic mechanical properties of layered surrounding rock in tunnels [J]. </w:t>
      </w:r>
      <w:r w:rsidRPr="00D816B1">
        <w:rPr>
          <w:rFonts w:ascii="Times New Roman" w:eastAsia="宋体" w:hAnsi="Times New Roman" w:cs="Times New Roman"/>
          <w:i/>
          <w:iCs/>
          <w14:ligatures w14:val="standardContextual"/>
        </w:rPr>
        <w:t>Modern Tunnelling Technology</w:t>
      </w:r>
      <w:r w:rsidRPr="00D816B1">
        <w:rPr>
          <w:rFonts w:ascii="Times New Roman" w:eastAsia="宋体" w:hAnsi="Times New Roman" w:cs="Times New Roman"/>
          <w14:ligatures w14:val="standardContextual"/>
        </w:rPr>
        <w:t>, 2026, 63(1): 53-65. DOI: 10.13807/j.cnki.mtt.2026.01.006.</w:t>
      </w:r>
    </w:p>
    <w:p w14:paraId="189E1BE3" w14:textId="77777777" w:rsidR="00D816B1" w:rsidRPr="00D816B1" w:rsidRDefault="00D816B1" w:rsidP="004C0AD0">
      <w:pPr>
        <w:rPr>
          <w:rFonts w:ascii="Times New Roman" w:eastAsia="宋体" w:hAnsi="Times New Roman" w:cs="Times New Roman"/>
          <w14:ligatures w14:val="standardContextual"/>
        </w:rPr>
      </w:pPr>
      <w:r w:rsidRPr="00D816B1">
        <w:rPr>
          <w:rFonts w:ascii="Times New Roman" w:eastAsia="宋体" w:hAnsi="Times New Roman" w:cs="Times New Roman"/>
          <w14:ligatures w14:val="standardContextual"/>
        </w:rPr>
        <w:t xml:space="preserve">[5] Meng Y, Jing H, Yuan L, </w:t>
      </w:r>
      <w:r w:rsidRPr="00D816B1">
        <w:rPr>
          <w:rFonts w:ascii="Times New Roman" w:eastAsia="宋体" w:hAnsi="Times New Roman" w:cs="Times New Roman"/>
          <w:i/>
          <w:iCs/>
          <w14:ligatures w14:val="standardContextual"/>
        </w:rPr>
        <w:t>et al.</w:t>
      </w:r>
      <w:r w:rsidRPr="00D816B1">
        <w:rPr>
          <w:rFonts w:ascii="Times New Roman" w:eastAsia="宋体" w:hAnsi="Times New Roman" w:cs="Times New Roman"/>
          <w14:ligatures w14:val="standardContextual"/>
        </w:rPr>
        <w:t xml:space="preserve"> Numerical investigation on the effect of bedding plane properties on mode I fracture characteristics of mudstone with the FEM-CZM method [J]. </w:t>
      </w:r>
      <w:r w:rsidRPr="00D816B1">
        <w:rPr>
          <w:rFonts w:ascii="Times New Roman" w:eastAsia="宋体" w:hAnsi="Times New Roman" w:cs="Times New Roman"/>
          <w:i/>
          <w:iCs/>
          <w14:ligatures w14:val="standardContextual"/>
        </w:rPr>
        <w:t>Bulletin of Engineering Geology and the Environment</w:t>
      </w:r>
      <w:r w:rsidRPr="00D816B1">
        <w:rPr>
          <w:rFonts w:ascii="Times New Roman" w:eastAsia="宋体" w:hAnsi="Times New Roman" w:cs="Times New Roman"/>
          <w14:ligatures w14:val="standardContextual"/>
        </w:rPr>
        <w:t>, 2022, 81(1): 3. DOI: 10.1007/s10064-021-02515-9.</w:t>
      </w:r>
    </w:p>
    <w:p w14:paraId="04A08E23" w14:textId="77777777" w:rsidR="00D816B1" w:rsidRPr="00D816B1" w:rsidRDefault="00D816B1" w:rsidP="004C0AD0">
      <w:pPr>
        <w:rPr>
          <w:rFonts w:ascii="Times New Roman" w:eastAsia="宋体" w:hAnsi="Times New Roman" w:cs="Times New Roman"/>
          <w14:ligatures w14:val="standardContextual"/>
        </w:rPr>
      </w:pPr>
      <w:r w:rsidRPr="00D816B1">
        <w:rPr>
          <w:rFonts w:ascii="Times New Roman" w:eastAsia="宋体" w:hAnsi="Times New Roman" w:cs="Times New Roman"/>
          <w14:ligatures w14:val="standardContextual"/>
        </w:rPr>
        <w:t xml:space="preserve">[6] Amadei B, Pan E. Gravitational stresses in anisotropic rock masses with inclined strata [J]. </w:t>
      </w:r>
      <w:r w:rsidRPr="00D816B1">
        <w:rPr>
          <w:rFonts w:ascii="Times New Roman" w:eastAsia="宋体" w:hAnsi="Times New Roman" w:cs="Times New Roman"/>
          <w:i/>
          <w:iCs/>
          <w14:ligatures w14:val="standardContextual"/>
        </w:rPr>
        <w:t>International Journal of Rock Mechanics and Mining Sciences &amp; Geomechanics Abstracts</w:t>
      </w:r>
      <w:r w:rsidRPr="00D816B1">
        <w:rPr>
          <w:rFonts w:ascii="Times New Roman" w:eastAsia="宋体" w:hAnsi="Times New Roman" w:cs="Times New Roman"/>
          <w14:ligatures w14:val="standardContextual"/>
        </w:rPr>
        <w:t>, 1992, 29(3): 225-236. DOI: 10.1016/0148-9062(92)93657-6.</w:t>
      </w:r>
    </w:p>
    <w:p w14:paraId="1E7990CF" w14:textId="77777777" w:rsidR="00D816B1" w:rsidRPr="00D816B1" w:rsidRDefault="00D816B1" w:rsidP="004C0AD0">
      <w:pPr>
        <w:rPr>
          <w:rFonts w:ascii="Times New Roman" w:eastAsia="宋体" w:hAnsi="Times New Roman" w:cs="Times New Roman"/>
          <w14:ligatures w14:val="standardContextual"/>
        </w:rPr>
      </w:pPr>
      <w:r w:rsidRPr="00D816B1">
        <w:rPr>
          <w:rFonts w:ascii="Times New Roman" w:eastAsia="宋体" w:hAnsi="Times New Roman" w:cs="Times New Roman"/>
          <w14:ligatures w14:val="standardContextual"/>
        </w:rPr>
        <w:lastRenderedPageBreak/>
        <w:t xml:space="preserve">[7] Miao Q. Stability analysis of a tunnel in layered rock under high horizontal stress [J]. </w:t>
      </w:r>
      <w:r w:rsidRPr="00D816B1">
        <w:rPr>
          <w:rFonts w:ascii="Times New Roman" w:eastAsia="宋体" w:hAnsi="Times New Roman" w:cs="Times New Roman"/>
          <w:i/>
          <w:iCs/>
          <w14:ligatures w14:val="standardContextual"/>
        </w:rPr>
        <w:t>Journal of Highway and Transportation Research and Development</w:t>
      </w:r>
      <w:r w:rsidRPr="00D816B1">
        <w:rPr>
          <w:rFonts w:ascii="Times New Roman" w:eastAsia="宋体" w:hAnsi="Times New Roman" w:cs="Times New Roman"/>
          <w14:ligatures w14:val="standardContextual"/>
        </w:rPr>
        <w:t>, 2025, 42(2): 196-206.</w:t>
      </w:r>
    </w:p>
    <w:p w14:paraId="38B5229A" w14:textId="77777777" w:rsidR="00D816B1" w:rsidRPr="00D816B1" w:rsidRDefault="00D816B1" w:rsidP="004C0AD0">
      <w:pPr>
        <w:rPr>
          <w:rFonts w:ascii="Times New Roman" w:eastAsia="宋体" w:hAnsi="Times New Roman" w:cs="Times New Roman"/>
          <w14:ligatures w14:val="standardContextual"/>
        </w:rPr>
      </w:pPr>
      <w:r w:rsidRPr="00D816B1">
        <w:rPr>
          <w:rFonts w:ascii="Times New Roman" w:eastAsia="宋体" w:hAnsi="Times New Roman" w:cs="Times New Roman"/>
          <w14:ligatures w14:val="standardContextual"/>
        </w:rPr>
        <w:t xml:space="preserve">[8] Zhu G, Zhang F. Deformation mechanism and failure modes of shield-tunnel surrounding rock under different bedding dip angles [J]. </w:t>
      </w:r>
      <w:r w:rsidRPr="00D816B1">
        <w:rPr>
          <w:rFonts w:ascii="Times New Roman" w:eastAsia="宋体" w:hAnsi="Times New Roman" w:cs="Times New Roman"/>
          <w:i/>
          <w:iCs/>
          <w14:ligatures w14:val="standardContextual"/>
        </w:rPr>
        <w:t>Subgrade Engineering</w:t>
      </w:r>
      <w:r w:rsidRPr="00D816B1">
        <w:rPr>
          <w:rFonts w:ascii="Times New Roman" w:eastAsia="宋体" w:hAnsi="Times New Roman" w:cs="Times New Roman"/>
          <w14:ligatures w14:val="standardContextual"/>
        </w:rPr>
        <w:t>, 2025, (3): 219-224.</w:t>
      </w:r>
    </w:p>
    <w:p w14:paraId="17FD39C7" w14:textId="77777777" w:rsidR="00D816B1" w:rsidRPr="00D816B1" w:rsidRDefault="00D816B1" w:rsidP="004C0AD0">
      <w:pPr>
        <w:rPr>
          <w:rFonts w:ascii="Times New Roman" w:eastAsia="宋体" w:hAnsi="Times New Roman" w:cs="Times New Roman"/>
          <w14:ligatures w14:val="standardContextual"/>
        </w:rPr>
      </w:pPr>
      <w:r w:rsidRPr="00D816B1">
        <w:rPr>
          <w:rFonts w:ascii="Times New Roman" w:eastAsia="宋体" w:hAnsi="Times New Roman" w:cs="Times New Roman"/>
          <w14:ligatures w14:val="standardContextual"/>
        </w:rPr>
        <w:t xml:space="preserve">[9] Gan P. Influence of bedding-plane dip angle on the stability of surrounding rock in tunnels crossing layered strata [J]. </w:t>
      </w:r>
      <w:r w:rsidRPr="00D816B1">
        <w:rPr>
          <w:rFonts w:ascii="Times New Roman" w:eastAsia="宋体" w:hAnsi="Times New Roman" w:cs="Times New Roman"/>
          <w:i/>
          <w:iCs/>
          <w14:ligatures w14:val="standardContextual"/>
        </w:rPr>
        <w:t>Western China Communications Science &amp; Technology</w:t>
      </w:r>
      <w:r w:rsidRPr="00D816B1">
        <w:rPr>
          <w:rFonts w:ascii="Times New Roman" w:eastAsia="宋体" w:hAnsi="Times New Roman" w:cs="Times New Roman"/>
          <w14:ligatures w14:val="standardContextual"/>
        </w:rPr>
        <w:t>, 2024, (11): 133-135, 169.</w:t>
      </w:r>
    </w:p>
    <w:p w14:paraId="689E33E0" w14:textId="2CF5BFCE" w:rsidR="00D816B1" w:rsidRPr="00D816B1" w:rsidRDefault="00D816B1" w:rsidP="004C0AD0">
      <w:pPr>
        <w:rPr>
          <w:rFonts w:ascii="Times New Roman" w:eastAsia="宋体" w:hAnsi="Times New Roman" w:cs="Times New Roman"/>
          <w14:ligatures w14:val="standardContextual"/>
        </w:rPr>
      </w:pPr>
      <w:r w:rsidRPr="00D816B1">
        <w:rPr>
          <w:rFonts w:ascii="Times New Roman" w:eastAsia="宋体" w:hAnsi="Times New Roman" w:cs="Times New Roman"/>
          <w14:ligatures w14:val="standardContextual"/>
        </w:rPr>
        <w:t xml:space="preserve">[10] Liu J, Fang X, Fang Q, </w:t>
      </w:r>
      <w:r w:rsidRPr="00D816B1">
        <w:rPr>
          <w:rFonts w:ascii="Times New Roman" w:eastAsia="宋体" w:hAnsi="Times New Roman" w:cs="Times New Roman"/>
          <w:i/>
          <w:iCs/>
          <w14:ligatures w14:val="standardContextual"/>
        </w:rPr>
        <w:t>et al.</w:t>
      </w:r>
      <w:r w:rsidRPr="00D816B1">
        <w:rPr>
          <w:rFonts w:ascii="Times New Roman" w:eastAsia="宋体" w:hAnsi="Times New Roman" w:cs="Times New Roman"/>
          <w14:ligatures w14:val="standardContextual"/>
        </w:rPr>
        <w:t xml:space="preserve"> Deformation and failure mechanisms of shallow-buried tunnels in inclined layered rock and a calculation method for geological bias loads [J]. </w:t>
      </w:r>
      <w:r w:rsidRPr="00D816B1">
        <w:rPr>
          <w:rFonts w:ascii="Times New Roman" w:eastAsia="宋体" w:hAnsi="Times New Roman" w:cs="Times New Roman"/>
          <w:i/>
          <w:iCs/>
          <w14:ligatures w14:val="standardContextual"/>
        </w:rPr>
        <w:t>Tunnel Construction</w:t>
      </w:r>
      <w:r w:rsidRPr="00D816B1">
        <w:rPr>
          <w:rFonts w:ascii="Times New Roman" w:eastAsia="宋体" w:hAnsi="Times New Roman" w:cs="Times New Roman"/>
          <w14:ligatures w14:val="standardContextual"/>
        </w:rPr>
        <w:t xml:space="preserve">, 2024, 44(S2): 101-107. </w:t>
      </w:r>
    </w:p>
    <w:p w14:paraId="1838F524" w14:textId="77777777" w:rsidR="00D816B1" w:rsidRPr="00D816B1" w:rsidRDefault="00D816B1" w:rsidP="004C0AD0">
      <w:pPr>
        <w:rPr>
          <w:rFonts w:ascii="Times New Roman" w:eastAsia="宋体" w:hAnsi="Times New Roman" w:cs="Times New Roman"/>
          <w14:ligatures w14:val="standardContextual"/>
        </w:rPr>
      </w:pPr>
      <w:r w:rsidRPr="00D816B1">
        <w:rPr>
          <w:rFonts w:ascii="Times New Roman" w:eastAsia="宋体" w:hAnsi="Times New Roman" w:cs="Times New Roman"/>
          <w14:ligatures w14:val="standardContextual"/>
        </w:rPr>
        <w:t xml:space="preserve">[11] Wang X, Lv X, Liang M, </w:t>
      </w:r>
      <w:r w:rsidRPr="00D816B1">
        <w:rPr>
          <w:rFonts w:ascii="Times New Roman" w:eastAsia="宋体" w:hAnsi="Times New Roman" w:cs="Times New Roman"/>
          <w:i/>
          <w:iCs/>
          <w14:ligatures w14:val="standardContextual"/>
        </w:rPr>
        <w:t>et al.</w:t>
      </w:r>
      <w:r w:rsidRPr="00D816B1">
        <w:rPr>
          <w:rFonts w:ascii="Times New Roman" w:eastAsia="宋体" w:hAnsi="Times New Roman" w:cs="Times New Roman"/>
          <w14:ligatures w14:val="standardContextual"/>
        </w:rPr>
        <w:t xml:space="preserve"> Deformation behaviour and progressive failure mechanism of horizontally layered surrounding rock [J]. </w:t>
      </w:r>
      <w:r w:rsidRPr="00D816B1">
        <w:rPr>
          <w:rFonts w:ascii="Times New Roman" w:eastAsia="宋体" w:hAnsi="Times New Roman" w:cs="Times New Roman"/>
          <w:i/>
          <w:iCs/>
          <w14:ligatures w14:val="standardContextual"/>
        </w:rPr>
        <w:t>Science &amp; Technology Information</w:t>
      </w:r>
      <w:r w:rsidRPr="00D816B1">
        <w:rPr>
          <w:rFonts w:ascii="Times New Roman" w:eastAsia="宋体" w:hAnsi="Times New Roman" w:cs="Times New Roman"/>
          <w14:ligatures w14:val="standardContextual"/>
        </w:rPr>
        <w:t>, 2024, 22(8): 140-142.</w:t>
      </w:r>
    </w:p>
    <w:p w14:paraId="5C21149B" w14:textId="77777777" w:rsidR="00D816B1" w:rsidRPr="00D816B1" w:rsidRDefault="00D816B1" w:rsidP="004C0AD0">
      <w:pPr>
        <w:rPr>
          <w:rFonts w:ascii="Times New Roman" w:eastAsia="宋体" w:hAnsi="Times New Roman" w:cs="Times New Roman"/>
          <w14:ligatures w14:val="standardContextual"/>
        </w:rPr>
      </w:pPr>
      <w:r w:rsidRPr="00D816B1">
        <w:rPr>
          <w:rFonts w:ascii="Times New Roman" w:eastAsia="宋体" w:hAnsi="Times New Roman" w:cs="Times New Roman"/>
          <w14:ligatures w14:val="standardContextual"/>
        </w:rPr>
        <w:t xml:space="preserve">[12] Zhang T. Deformation characteristics of a large-section high-speed railway tunnel in gently inclined layered rock [J]. </w:t>
      </w:r>
      <w:r w:rsidRPr="00D816B1">
        <w:rPr>
          <w:rFonts w:ascii="Times New Roman" w:eastAsia="宋体" w:hAnsi="Times New Roman" w:cs="Times New Roman"/>
          <w:i/>
          <w:iCs/>
          <w14:ligatures w14:val="standardContextual"/>
        </w:rPr>
        <w:t>Traffic Engineering and Technology for National Defence</w:t>
      </w:r>
      <w:r w:rsidRPr="00D816B1">
        <w:rPr>
          <w:rFonts w:ascii="Times New Roman" w:eastAsia="宋体" w:hAnsi="Times New Roman" w:cs="Times New Roman"/>
          <w14:ligatures w14:val="standardContextual"/>
        </w:rPr>
        <w:t>, 2023, 21(3): 22-26.</w:t>
      </w:r>
    </w:p>
    <w:p w14:paraId="3B16E0AC" w14:textId="77777777" w:rsidR="000247B2" w:rsidRPr="00CC1A14" w:rsidRDefault="000247B2">
      <w:pPr>
        <w:rPr>
          <w:rFonts w:hint="eastAsia"/>
        </w:rPr>
      </w:pPr>
    </w:p>
    <w:sectPr w:rsidR="000247B2" w:rsidRPr="00CC1A1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A0061" w14:textId="77777777" w:rsidR="007C7316" w:rsidRDefault="007C7316" w:rsidP="00A45B1F">
      <w:pPr>
        <w:rPr>
          <w:rFonts w:hint="eastAsia"/>
        </w:rPr>
      </w:pPr>
      <w:r>
        <w:separator/>
      </w:r>
    </w:p>
  </w:endnote>
  <w:endnote w:type="continuationSeparator" w:id="0">
    <w:p w14:paraId="36E5A5CC" w14:textId="77777777" w:rsidR="007C7316" w:rsidRDefault="007C7316" w:rsidP="00A45B1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45C4A4" w14:textId="77777777" w:rsidR="007C7316" w:rsidRDefault="007C7316" w:rsidP="00A45B1F">
      <w:pPr>
        <w:rPr>
          <w:rFonts w:hint="eastAsia"/>
        </w:rPr>
      </w:pPr>
      <w:r>
        <w:separator/>
      </w:r>
    </w:p>
  </w:footnote>
  <w:footnote w:type="continuationSeparator" w:id="0">
    <w:p w14:paraId="6F719D29" w14:textId="77777777" w:rsidR="007C7316" w:rsidRDefault="007C7316" w:rsidP="00A45B1F">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631A76"/>
    <w:multiLevelType w:val="hybridMultilevel"/>
    <w:tmpl w:val="5C84C5EE"/>
    <w:lvl w:ilvl="0" w:tplc="AFA49716">
      <w:start w:val="1"/>
      <w:numFmt w:val="decimal"/>
      <w:lvlText w:val="[%1]"/>
      <w:lvlJc w:val="left"/>
      <w:pPr>
        <w:ind w:left="440" w:hanging="440"/>
      </w:pPr>
      <w:rPr>
        <w:rFonts w:ascii="Times New Roman" w:hAnsi="Times New Roman" w:cs="Times New Roman"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391195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A8A"/>
    <w:rsid w:val="000247B2"/>
    <w:rsid w:val="00047687"/>
    <w:rsid w:val="000832AD"/>
    <w:rsid w:val="000A25AB"/>
    <w:rsid w:val="000A71D4"/>
    <w:rsid w:val="000C2656"/>
    <w:rsid w:val="00115721"/>
    <w:rsid w:val="00136F0B"/>
    <w:rsid w:val="001914A0"/>
    <w:rsid w:val="001B27BD"/>
    <w:rsid w:val="001B7406"/>
    <w:rsid w:val="001E5954"/>
    <w:rsid w:val="001E5BF7"/>
    <w:rsid w:val="001F1CDA"/>
    <w:rsid w:val="0022649F"/>
    <w:rsid w:val="00266975"/>
    <w:rsid w:val="00270A29"/>
    <w:rsid w:val="002754D0"/>
    <w:rsid w:val="002B6649"/>
    <w:rsid w:val="002E251E"/>
    <w:rsid w:val="0030430C"/>
    <w:rsid w:val="0036355B"/>
    <w:rsid w:val="003B6C94"/>
    <w:rsid w:val="003C42F3"/>
    <w:rsid w:val="00463B51"/>
    <w:rsid w:val="004A1DA1"/>
    <w:rsid w:val="004C0AD0"/>
    <w:rsid w:val="00540616"/>
    <w:rsid w:val="005E1ED1"/>
    <w:rsid w:val="00640D17"/>
    <w:rsid w:val="00661EDB"/>
    <w:rsid w:val="006740C7"/>
    <w:rsid w:val="007221AF"/>
    <w:rsid w:val="00733A48"/>
    <w:rsid w:val="00764A7F"/>
    <w:rsid w:val="007C7316"/>
    <w:rsid w:val="00801B8A"/>
    <w:rsid w:val="00831C9C"/>
    <w:rsid w:val="00842F44"/>
    <w:rsid w:val="00866A47"/>
    <w:rsid w:val="008736C7"/>
    <w:rsid w:val="00875A8E"/>
    <w:rsid w:val="00891F04"/>
    <w:rsid w:val="00892D16"/>
    <w:rsid w:val="008B4044"/>
    <w:rsid w:val="008C22DB"/>
    <w:rsid w:val="0093684E"/>
    <w:rsid w:val="009A69D8"/>
    <w:rsid w:val="009D192F"/>
    <w:rsid w:val="009E4DC6"/>
    <w:rsid w:val="00A15BFC"/>
    <w:rsid w:val="00A45B1F"/>
    <w:rsid w:val="00A607CD"/>
    <w:rsid w:val="00A70DFE"/>
    <w:rsid w:val="00AA3749"/>
    <w:rsid w:val="00B01024"/>
    <w:rsid w:val="00B37919"/>
    <w:rsid w:val="00B443A5"/>
    <w:rsid w:val="00B51A8A"/>
    <w:rsid w:val="00B759F4"/>
    <w:rsid w:val="00BA0EF0"/>
    <w:rsid w:val="00BF7B9B"/>
    <w:rsid w:val="00C13FBA"/>
    <w:rsid w:val="00C32F42"/>
    <w:rsid w:val="00C3533A"/>
    <w:rsid w:val="00C377B2"/>
    <w:rsid w:val="00C44952"/>
    <w:rsid w:val="00C73BE3"/>
    <w:rsid w:val="00C74927"/>
    <w:rsid w:val="00CB6ED1"/>
    <w:rsid w:val="00CC1A14"/>
    <w:rsid w:val="00CC3712"/>
    <w:rsid w:val="00CE5875"/>
    <w:rsid w:val="00D150AC"/>
    <w:rsid w:val="00D17A81"/>
    <w:rsid w:val="00D52C80"/>
    <w:rsid w:val="00D6408A"/>
    <w:rsid w:val="00D754D8"/>
    <w:rsid w:val="00D816B1"/>
    <w:rsid w:val="00D95DFA"/>
    <w:rsid w:val="00DA7949"/>
    <w:rsid w:val="00DC10F5"/>
    <w:rsid w:val="00DE64EB"/>
    <w:rsid w:val="00E228B7"/>
    <w:rsid w:val="00E35849"/>
    <w:rsid w:val="00E94D2D"/>
    <w:rsid w:val="00EA4A8B"/>
    <w:rsid w:val="00EF6F16"/>
    <w:rsid w:val="00F34A4A"/>
    <w:rsid w:val="00F671A0"/>
    <w:rsid w:val="00F74A9D"/>
    <w:rsid w:val="00FD70DF"/>
    <w:rsid w:val="00FE3D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DFA7F7"/>
  <w15:chartTrackingRefBased/>
  <w15:docId w15:val="{AC5FF554-03E2-4AAA-A121-0A052DA21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5B1F"/>
    <w:pPr>
      <w:widowControl w:val="0"/>
      <w:jc w:val="both"/>
    </w:pPr>
    <w:rPr>
      <w14:ligatures w14:val="none"/>
    </w:rPr>
  </w:style>
  <w:style w:type="paragraph" w:styleId="1">
    <w:name w:val="heading 1"/>
    <w:basedOn w:val="a"/>
    <w:next w:val="a"/>
    <w:link w:val="10"/>
    <w:uiPriority w:val="9"/>
    <w:qFormat/>
    <w:rsid w:val="00B51A8A"/>
    <w:pPr>
      <w:keepNext/>
      <w:keepLines/>
      <w:spacing w:before="480" w:after="80"/>
      <w:outlineLvl w:val="0"/>
    </w:pPr>
    <w:rPr>
      <w:rFonts w:asciiTheme="majorHAnsi" w:eastAsiaTheme="majorEastAsia" w:hAnsiTheme="majorHAnsi" w:cstheme="majorBidi"/>
      <w:color w:val="0F4761" w:themeColor="accent1" w:themeShade="BF"/>
      <w:sz w:val="48"/>
      <w:szCs w:val="48"/>
      <w14:ligatures w14:val="standardContextual"/>
    </w:rPr>
  </w:style>
  <w:style w:type="paragraph" w:styleId="2">
    <w:name w:val="heading 2"/>
    <w:basedOn w:val="a"/>
    <w:next w:val="a"/>
    <w:link w:val="20"/>
    <w:uiPriority w:val="9"/>
    <w:semiHidden/>
    <w:unhideWhenUsed/>
    <w:qFormat/>
    <w:rsid w:val="00B51A8A"/>
    <w:pPr>
      <w:keepNext/>
      <w:keepLines/>
      <w:spacing w:before="160" w:after="80"/>
      <w:outlineLvl w:val="1"/>
    </w:pPr>
    <w:rPr>
      <w:rFonts w:asciiTheme="majorHAnsi" w:eastAsiaTheme="majorEastAsia" w:hAnsiTheme="majorHAnsi" w:cstheme="majorBidi"/>
      <w:color w:val="0F4761" w:themeColor="accent1" w:themeShade="BF"/>
      <w:sz w:val="40"/>
      <w:szCs w:val="40"/>
      <w14:ligatures w14:val="standardContextual"/>
    </w:rPr>
  </w:style>
  <w:style w:type="paragraph" w:styleId="3">
    <w:name w:val="heading 3"/>
    <w:basedOn w:val="a"/>
    <w:next w:val="a"/>
    <w:link w:val="30"/>
    <w:uiPriority w:val="9"/>
    <w:unhideWhenUsed/>
    <w:qFormat/>
    <w:rsid w:val="00B51A8A"/>
    <w:pPr>
      <w:keepNext/>
      <w:keepLines/>
      <w:spacing w:before="160" w:after="80"/>
      <w:outlineLvl w:val="2"/>
    </w:pPr>
    <w:rPr>
      <w:rFonts w:asciiTheme="majorHAnsi" w:eastAsiaTheme="majorEastAsia" w:hAnsiTheme="majorHAnsi" w:cstheme="majorBidi"/>
      <w:color w:val="0F4761" w:themeColor="accent1" w:themeShade="BF"/>
      <w:sz w:val="32"/>
      <w:szCs w:val="32"/>
      <w14:ligatures w14:val="standardContextual"/>
    </w:rPr>
  </w:style>
  <w:style w:type="paragraph" w:styleId="4">
    <w:name w:val="heading 4"/>
    <w:basedOn w:val="a"/>
    <w:next w:val="a"/>
    <w:link w:val="40"/>
    <w:uiPriority w:val="9"/>
    <w:semiHidden/>
    <w:unhideWhenUsed/>
    <w:qFormat/>
    <w:rsid w:val="00B51A8A"/>
    <w:pPr>
      <w:keepNext/>
      <w:keepLines/>
      <w:spacing w:before="80" w:after="40"/>
      <w:outlineLvl w:val="3"/>
    </w:pPr>
    <w:rPr>
      <w:rFonts w:cstheme="majorBidi"/>
      <w:color w:val="0F4761" w:themeColor="accent1" w:themeShade="BF"/>
      <w:sz w:val="28"/>
      <w:szCs w:val="28"/>
      <w14:ligatures w14:val="standardContextual"/>
    </w:rPr>
  </w:style>
  <w:style w:type="paragraph" w:styleId="5">
    <w:name w:val="heading 5"/>
    <w:basedOn w:val="a"/>
    <w:next w:val="a"/>
    <w:link w:val="50"/>
    <w:uiPriority w:val="9"/>
    <w:semiHidden/>
    <w:unhideWhenUsed/>
    <w:qFormat/>
    <w:rsid w:val="00B51A8A"/>
    <w:pPr>
      <w:keepNext/>
      <w:keepLines/>
      <w:spacing w:before="80" w:after="40"/>
      <w:outlineLvl w:val="4"/>
    </w:pPr>
    <w:rPr>
      <w:rFonts w:cstheme="majorBidi"/>
      <w:color w:val="0F4761" w:themeColor="accent1" w:themeShade="BF"/>
      <w:sz w:val="24"/>
      <w:szCs w:val="24"/>
      <w14:ligatures w14:val="standardContextual"/>
    </w:rPr>
  </w:style>
  <w:style w:type="paragraph" w:styleId="6">
    <w:name w:val="heading 6"/>
    <w:basedOn w:val="a"/>
    <w:next w:val="a"/>
    <w:link w:val="60"/>
    <w:uiPriority w:val="9"/>
    <w:semiHidden/>
    <w:unhideWhenUsed/>
    <w:qFormat/>
    <w:rsid w:val="00B51A8A"/>
    <w:pPr>
      <w:keepNext/>
      <w:keepLines/>
      <w:spacing w:before="40"/>
      <w:outlineLvl w:val="5"/>
    </w:pPr>
    <w:rPr>
      <w:rFonts w:cstheme="majorBidi"/>
      <w:b/>
      <w:bCs/>
      <w:color w:val="0F4761" w:themeColor="accent1" w:themeShade="BF"/>
      <w14:ligatures w14:val="standardContextual"/>
    </w:rPr>
  </w:style>
  <w:style w:type="paragraph" w:styleId="7">
    <w:name w:val="heading 7"/>
    <w:basedOn w:val="a"/>
    <w:next w:val="a"/>
    <w:link w:val="70"/>
    <w:uiPriority w:val="9"/>
    <w:semiHidden/>
    <w:unhideWhenUsed/>
    <w:qFormat/>
    <w:rsid w:val="00B51A8A"/>
    <w:pPr>
      <w:keepNext/>
      <w:keepLines/>
      <w:spacing w:before="40"/>
      <w:outlineLvl w:val="6"/>
    </w:pPr>
    <w:rPr>
      <w:rFonts w:cstheme="majorBidi"/>
      <w:b/>
      <w:bCs/>
      <w:color w:val="595959" w:themeColor="text1" w:themeTint="A6"/>
      <w14:ligatures w14:val="standardContextual"/>
    </w:rPr>
  </w:style>
  <w:style w:type="paragraph" w:styleId="8">
    <w:name w:val="heading 8"/>
    <w:basedOn w:val="a"/>
    <w:next w:val="a"/>
    <w:link w:val="80"/>
    <w:uiPriority w:val="9"/>
    <w:semiHidden/>
    <w:unhideWhenUsed/>
    <w:qFormat/>
    <w:rsid w:val="00B51A8A"/>
    <w:pPr>
      <w:keepNext/>
      <w:keepLines/>
      <w:outlineLvl w:val="7"/>
    </w:pPr>
    <w:rPr>
      <w:rFonts w:cstheme="majorBidi"/>
      <w:color w:val="595959" w:themeColor="text1" w:themeTint="A6"/>
      <w14:ligatures w14:val="standardContextual"/>
    </w:rPr>
  </w:style>
  <w:style w:type="paragraph" w:styleId="9">
    <w:name w:val="heading 9"/>
    <w:basedOn w:val="a"/>
    <w:next w:val="a"/>
    <w:link w:val="90"/>
    <w:uiPriority w:val="9"/>
    <w:semiHidden/>
    <w:unhideWhenUsed/>
    <w:qFormat/>
    <w:rsid w:val="00B51A8A"/>
    <w:pPr>
      <w:keepNext/>
      <w:keepLines/>
      <w:outlineLvl w:val="8"/>
    </w:pPr>
    <w:rPr>
      <w:rFonts w:eastAsiaTheme="majorEastAsia" w:cstheme="majorBidi"/>
      <w:color w:val="595959" w:themeColor="text1" w:themeTint="A6"/>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插图目录"/>
    <w:basedOn w:val="a"/>
    <w:qFormat/>
    <w:rsid w:val="005E1ED1"/>
    <w:pPr>
      <w:jc w:val="center"/>
    </w:pPr>
    <w:rPr>
      <w:sz w:val="36"/>
    </w:rPr>
  </w:style>
  <w:style w:type="paragraph" w:customStyle="1" w:styleId="111">
    <w:name w:val="表格111"/>
    <w:basedOn w:val="a"/>
    <w:qFormat/>
    <w:rsid w:val="00866A47"/>
    <w:pPr>
      <w:spacing w:afterLines="50" w:after="156"/>
      <w:ind w:firstLineChars="200" w:firstLine="422"/>
      <w:jc w:val="center"/>
    </w:pPr>
    <w:rPr>
      <w:rFonts w:ascii="Times New Roman" w:eastAsia="宋体" w:hAnsi="Times New Roman" w:cs="Times New Roman"/>
      <w:bCs/>
      <w:sz w:val="44"/>
    </w:rPr>
  </w:style>
  <w:style w:type="paragraph" w:customStyle="1" w:styleId="1111111111">
    <w:name w:val="表目录1111111111"/>
    <w:basedOn w:val="a"/>
    <w:qFormat/>
    <w:rsid w:val="00B759F4"/>
    <w:rPr>
      <w:sz w:val="36"/>
    </w:rPr>
  </w:style>
  <w:style w:type="paragraph" w:customStyle="1" w:styleId="a4">
    <w:name w:val="表目录"/>
    <w:basedOn w:val="a"/>
    <w:qFormat/>
    <w:rsid w:val="00B759F4"/>
    <w:pPr>
      <w:jc w:val="center"/>
    </w:pPr>
  </w:style>
  <w:style w:type="character" w:customStyle="1" w:styleId="10">
    <w:name w:val="标题 1 字符"/>
    <w:basedOn w:val="a0"/>
    <w:link w:val="1"/>
    <w:uiPriority w:val="9"/>
    <w:rsid w:val="00B51A8A"/>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B51A8A"/>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rsid w:val="00B51A8A"/>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B51A8A"/>
    <w:rPr>
      <w:rFonts w:cstheme="majorBidi"/>
      <w:color w:val="0F4761" w:themeColor="accent1" w:themeShade="BF"/>
      <w:sz w:val="28"/>
      <w:szCs w:val="28"/>
    </w:rPr>
  </w:style>
  <w:style w:type="character" w:customStyle="1" w:styleId="50">
    <w:name w:val="标题 5 字符"/>
    <w:basedOn w:val="a0"/>
    <w:link w:val="5"/>
    <w:uiPriority w:val="9"/>
    <w:semiHidden/>
    <w:rsid w:val="00B51A8A"/>
    <w:rPr>
      <w:rFonts w:cstheme="majorBidi"/>
      <w:color w:val="0F4761" w:themeColor="accent1" w:themeShade="BF"/>
      <w:sz w:val="24"/>
      <w:szCs w:val="24"/>
    </w:rPr>
  </w:style>
  <w:style w:type="character" w:customStyle="1" w:styleId="60">
    <w:name w:val="标题 6 字符"/>
    <w:basedOn w:val="a0"/>
    <w:link w:val="6"/>
    <w:uiPriority w:val="9"/>
    <w:semiHidden/>
    <w:rsid w:val="00B51A8A"/>
    <w:rPr>
      <w:rFonts w:cstheme="majorBidi"/>
      <w:b/>
      <w:bCs/>
      <w:color w:val="0F4761" w:themeColor="accent1" w:themeShade="BF"/>
    </w:rPr>
  </w:style>
  <w:style w:type="character" w:customStyle="1" w:styleId="70">
    <w:name w:val="标题 7 字符"/>
    <w:basedOn w:val="a0"/>
    <w:link w:val="7"/>
    <w:uiPriority w:val="9"/>
    <w:semiHidden/>
    <w:rsid w:val="00B51A8A"/>
    <w:rPr>
      <w:rFonts w:cstheme="majorBidi"/>
      <w:b/>
      <w:bCs/>
      <w:color w:val="595959" w:themeColor="text1" w:themeTint="A6"/>
    </w:rPr>
  </w:style>
  <w:style w:type="character" w:customStyle="1" w:styleId="80">
    <w:name w:val="标题 8 字符"/>
    <w:basedOn w:val="a0"/>
    <w:link w:val="8"/>
    <w:uiPriority w:val="9"/>
    <w:semiHidden/>
    <w:rsid w:val="00B51A8A"/>
    <w:rPr>
      <w:rFonts w:cstheme="majorBidi"/>
      <w:color w:val="595959" w:themeColor="text1" w:themeTint="A6"/>
    </w:rPr>
  </w:style>
  <w:style w:type="character" w:customStyle="1" w:styleId="90">
    <w:name w:val="标题 9 字符"/>
    <w:basedOn w:val="a0"/>
    <w:link w:val="9"/>
    <w:uiPriority w:val="9"/>
    <w:semiHidden/>
    <w:rsid w:val="00B51A8A"/>
    <w:rPr>
      <w:rFonts w:eastAsiaTheme="majorEastAsia" w:cstheme="majorBidi"/>
      <w:color w:val="595959" w:themeColor="text1" w:themeTint="A6"/>
    </w:rPr>
  </w:style>
  <w:style w:type="paragraph" w:styleId="a5">
    <w:name w:val="Title"/>
    <w:basedOn w:val="a"/>
    <w:next w:val="a"/>
    <w:link w:val="a6"/>
    <w:uiPriority w:val="10"/>
    <w:qFormat/>
    <w:rsid w:val="00B51A8A"/>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6">
    <w:name w:val="标题 字符"/>
    <w:basedOn w:val="a0"/>
    <w:link w:val="a5"/>
    <w:uiPriority w:val="10"/>
    <w:rsid w:val="00B51A8A"/>
    <w:rPr>
      <w:rFonts w:asciiTheme="majorHAnsi" w:eastAsiaTheme="majorEastAsia" w:hAnsiTheme="majorHAnsi" w:cstheme="majorBidi"/>
      <w:spacing w:val="-10"/>
      <w:kern w:val="28"/>
      <w:sz w:val="56"/>
      <w:szCs w:val="56"/>
    </w:rPr>
  </w:style>
  <w:style w:type="paragraph" w:styleId="a7">
    <w:name w:val="Subtitle"/>
    <w:basedOn w:val="a"/>
    <w:next w:val="a"/>
    <w:link w:val="a8"/>
    <w:uiPriority w:val="11"/>
    <w:qFormat/>
    <w:rsid w:val="00B51A8A"/>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8">
    <w:name w:val="副标题 字符"/>
    <w:basedOn w:val="a0"/>
    <w:link w:val="a7"/>
    <w:uiPriority w:val="11"/>
    <w:rsid w:val="00B51A8A"/>
    <w:rPr>
      <w:rFonts w:asciiTheme="majorHAnsi" w:eastAsiaTheme="majorEastAsia" w:hAnsiTheme="majorHAnsi" w:cstheme="majorBidi"/>
      <w:color w:val="595959" w:themeColor="text1" w:themeTint="A6"/>
      <w:spacing w:val="15"/>
      <w:sz w:val="28"/>
      <w:szCs w:val="28"/>
    </w:rPr>
  </w:style>
  <w:style w:type="paragraph" w:styleId="a9">
    <w:name w:val="Quote"/>
    <w:basedOn w:val="a"/>
    <w:next w:val="a"/>
    <w:link w:val="aa"/>
    <w:uiPriority w:val="29"/>
    <w:qFormat/>
    <w:rsid w:val="00B51A8A"/>
    <w:pPr>
      <w:spacing w:before="160" w:after="160"/>
      <w:jc w:val="center"/>
    </w:pPr>
    <w:rPr>
      <w:i/>
      <w:iCs/>
      <w:color w:val="404040" w:themeColor="text1" w:themeTint="BF"/>
      <w14:ligatures w14:val="standardContextual"/>
    </w:rPr>
  </w:style>
  <w:style w:type="character" w:customStyle="1" w:styleId="aa">
    <w:name w:val="引用 字符"/>
    <w:basedOn w:val="a0"/>
    <w:link w:val="a9"/>
    <w:uiPriority w:val="29"/>
    <w:rsid w:val="00B51A8A"/>
    <w:rPr>
      <w:i/>
      <w:iCs/>
      <w:color w:val="404040" w:themeColor="text1" w:themeTint="BF"/>
    </w:rPr>
  </w:style>
  <w:style w:type="paragraph" w:styleId="ab">
    <w:name w:val="List Paragraph"/>
    <w:basedOn w:val="a"/>
    <w:uiPriority w:val="34"/>
    <w:qFormat/>
    <w:rsid w:val="00B51A8A"/>
    <w:pPr>
      <w:ind w:left="720"/>
      <w:contextualSpacing/>
    </w:pPr>
    <w:rPr>
      <w14:ligatures w14:val="standardContextual"/>
    </w:rPr>
  </w:style>
  <w:style w:type="character" w:styleId="ac">
    <w:name w:val="Intense Emphasis"/>
    <w:basedOn w:val="a0"/>
    <w:uiPriority w:val="21"/>
    <w:qFormat/>
    <w:rsid w:val="00B51A8A"/>
    <w:rPr>
      <w:i/>
      <w:iCs/>
      <w:color w:val="0F4761" w:themeColor="accent1" w:themeShade="BF"/>
    </w:rPr>
  </w:style>
  <w:style w:type="paragraph" w:styleId="ad">
    <w:name w:val="Intense Quote"/>
    <w:basedOn w:val="a"/>
    <w:next w:val="a"/>
    <w:link w:val="ae"/>
    <w:uiPriority w:val="30"/>
    <w:qFormat/>
    <w:rsid w:val="00B51A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14:ligatures w14:val="standardContextual"/>
    </w:rPr>
  </w:style>
  <w:style w:type="character" w:customStyle="1" w:styleId="ae">
    <w:name w:val="明显引用 字符"/>
    <w:basedOn w:val="a0"/>
    <w:link w:val="ad"/>
    <w:uiPriority w:val="30"/>
    <w:rsid w:val="00B51A8A"/>
    <w:rPr>
      <w:i/>
      <w:iCs/>
      <w:color w:val="0F4761" w:themeColor="accent1" w:themeShade="BF"/>
    </w:rPr>
  </w:style>
  <w:style w:type="character" w:styleId="af">
    <w:name w:val="Intense Reference"/>
    <w:basedOn w:val="a0"/>
    <w:uiPriority w:val="32"/>
    <w:qFormat/>
    <w:rsid w:val="00B51A8A"/>
    <w:rPr>
      <w:b/>
      <w:bCs/>
      <w:smallCaps/>
      <w:color w:val="0F4761" w:themeColor="accent1" w:themeShade="BF"/>
      <w:spacing w:val="5"/>
    </w:rPr>
  </w:style>
  <w:style w:type="paragraph" w:styleId="af0">
    <w:name w:val="header"/>
    <w:basedOn w:val="a"/>
    <w:link w:val="af1"/>
    <w:uiPriority w:val="99"/>
    <w:unhideWhenUsed/>
    <w:rsid w:val="00A45B1F"/>
    <w:pPr>
      <w:tabs>
        <w:tab w:val="center" w:pos="4153"/>
        <w:tab w:val="right" w:pos="8306"/>
      </w:tabs>
      <w:snapToGrid w:val="0"/>
      <w:jc w:val="center"/>
    </w:pPr>
    <w:rPr>
      <w:sz w:val="18"/>
      <w:szCs w:val="18"/>
      <w14:ligatures w14:val="standardContextual"/>
    </w:rPr>
  </w:style>
  <w:style w:type="character" w:customStyle="1" w:styleId="af1">
    <w:name w:val="页眉 字符"/>
    <w:basedOn w:val="a0"/>
    <w:link w:val="af0"/>
    <w:uiPriority w:val="99"/>
    <w:rsid w:val="00A45B1F"/>
    <w:rPr>
      <w:sz w:val="18"/>
      <w:szCs w:val="18"/>
    </w:rPr>
  </w:style>
  <w:style w:type="paragraph" w:styleId="af2">
    <w:name w:val="footer"/>
    <w:basedOn w:val="a"/>
    <w:link w:val="af3"/>
    <w:uiPriority w:val="99"/>
    <w:unhideWhenUsed/>
    <w:rsid w:val="00A45B1F"/>
    <w:pPr>
      <w:tabs>
        <w:tab w:val="center" w:pos="4153"/>
        <w:tab w:val="right" w:pos="8306"/>
      </w:tabs>
      <w:snapToGrid w:val="0"/>
      <w:jc w:val="left"/>
    </w:pPr>
    <w:rPr>
      <w:sz w:val="18"/>
      <w:szCs w:val="18"/>
      <w14:ligatures w14:val="standardContextual"/>
    </w:rPr>
  </w:style>
  <w:style w:type="character" w:customStyle="1" w:styleId="af3">
    <w:name w:val="页脚 字符"/>
    <w:basedOn w:val="a0"/>
    <w:link w:val="af2"/>
    <w:uiPriority w:val="99"/>
    <w:rsid w:val="00A45B1F"/>
    <w:rPr>
      <w:sz w:val="18"/>
      <w:szCs w:val="18"/>
    </w:rPr>
  </w:style>
  <w:style w:type="table" w:styleId="af4">
    <w:name w:val="Table Grid"/>
    <w:basedOn w:val="a1"/>
    <w:uiPriority w:val="39"/>
    <w:qFormat/>
    <w:rsid w:val="00640D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5">
    <w:name w:val="表格"/>
    <w:basedOn w:val="a"/>
    <w:link w:val="af6"/>
    <w:qFormat/>
    <w:rsid w:val="00640D17"/>
    <w:rPr>
      <w:rFonts w:ascii="Times New Roman" w:eastAsia="宋体" w:hAnsi="Times New Roman"/>
      <w:noProof/>
      <w:sz w:val="18"/>
    </w:rPr>
  </w:style>
  <w:style w:type="character" w:customStyle="1" w:styleId="af6">
    <w:name w:val="表格 字符"/>
    <w:basedOn w:val="a0"/>
    <w:link w:val="af5"/>
    <w:rsid w:val="00640D17"/>
    <w:rPr>
      <w:rFonts w:ascii="Times New Roman" w:eastAsia="宋体" w:hAnsi="Times New Roman"/>
      <w:noProof/>
      <w:sz w:val="18"/>
      <w14:ligatures w14:val="none"/>
    </w:rPr>
  </w:style>
  <w:style w:type="paragraph" w:customStyle="1" w:styleId="af7">
    <w:name w:val="表名"/>
    <w:basedOn w:val="a"/>
    <w:link w:val="af8"/>
    <w:qFormat/>
    <w:rsid w:val="00640D17"/>
    <w:pPr>
      <w:spacing w:beforeLines="50" w:before="50"/>
      <w:jc w:val="center"/>
    </w:pPr>
    <w:rPr>
      <w:rFonts w:ascii="Times New Roman" w:eastAsia="宋体" w:hAnsi="Times New Roman"/>
      <w:b/>
      <w:szCs w:val="21"/>
    </w:rPr>
  </w:style>
  <w:style w:type="character" w:customStyle="1" w:styleId="af8">
    <w:name w:val="表名 字符"/>
    <w:basedOn w:val="a0"/>
    <w:link w:val="af7"/>
    <w:rsid w:val="00640D17"/>
    <w:rPr>
      <w:rFonts w:ascii="Times New Roman" w:eastAsia="宋体" w:hAnsi="Times New Roman"/>
      <w:b/>
      <w:szCs w:val="21"/>
      <w14:ligatures w14:val="none"/>
    </w:rPr>
  </w:style>
  <w:style w:type="paragraph" w:customStyle="1" w:styleId="af9">
    <w:name w:val="图名"/>
    <w:link w:val="afa"/>
    <w:qFormat/>
    <w:rsid w:val="00640D17"/>
    <w:pPr>
      <w:adjustRightInd w:val="0"/>
      <w:snapToGrid w:val="0"/>
      <w:spacing w:afterLines="50" w:after="50"/>
      <w:jc w:val="center"/>
    </w:pPr>
    <w:rPr>
      <w:rFonts w:ascii="Times New Roman" w:eastAsia="宋体" w:hAnsi="Times New Roman" w:cs="Times New Roman"/>
      <w:b/>
      <w:bCs/>
      <w:color w:val="000000"/>
      <w:sz w:val="40"/>
      <w:szCs w:val="30"/>
      <w14:ligatures w14:val="none"/>
    </w:rPr>
  </w:style>
  <w:style w:type="character" w:customStyle="1" w:styleId="afa">
    <w:name w:val="图名 字符"/>
    <w:basedOn w:val="20"/>
    <w:link w:val="af9"/>
    <w:rsid w:val="00640D17"/>
    <w:rPr>
      <w:rFonts w:ascii="Times New Roman" w:eastAsia="宋体" w:hAnsi="Times New Roman" w:cs="Times New Roman"/>
      <w:b/>
      <w:bCs/>
      <w:color w:val="000000"/>
      <w:sz w:val="40"/>
      <w:szCs w:val="30"/>
      <w14:ligatures w14:val="none"/>
    </w:rPr>
  </w:style>
  <w:style w:type="character" w:styleId="afb">
    <w:name w:val="Hyperlink"/>
    <w:basedOn w:val="a0"/>
    <w:uiPriority w:val="99"/>
    <w:unhideWhenUsed/>
    <w:rsid w:val="00D95DFA"/>
    <w:rPr>
      <w:color w:val="467886" w:themeColor="hyperlink"/>
      <w:u w:val="single"/>
    </w:rPr>
  </w:style>
  <w:style w:type="character" w:styleId="afc">
    <w:name w:val="Unresolved Mention"/>
    <w:basedOn w:val="a0"/>
    <w:uiPriority w:val="99"/>
    <w:semiHidden/>
    <w:unhideWhenUsed/>
    <w:rsid w:val="00D95D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emf"/><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590</TotalTime>
  <Pages>7</Pages>
  <Words>2414</Words>
  <Characters>13763</Characters>
  <Application>Microsoft Office Word</Application>
  <DocSecurity>0</DocSecurity>
  <Lines>114</Lines>
  <Paragraphs>32</Paragraphs>
  <ScaleCrop>false</ScaleCrop>
  <Company/>
  <LinksUpToDate>false</LinksUpToDate>
  <CharactersWithSpaces>16145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月 李</dc:creator>
  <cp:keywords/>
  <dc:description/>
  <cp:lastModifiedBy>月 李</cp:lastModifiedBy>
  <cp:revision>33</cp:revision>
  <dcterms:created xsi:type="dcterms:W3CDTF">2026-07-09T07:51:00Z</dcterms:created>
  <dcterms:modified xsi:type="dcterms:W3CDTF">2026-07-16T02:53:00Z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a5b2a067-4edd-4f39-af5f-5925610c3c92</vt:lpwstr>
  </property>
</Properties>
</file>