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16292" w14:textId="77777777" w:rsidR="00EC0DC2" w:rsidRPr="00164A64" w:rsidRDefault="00000000" w:rsidP="00164A64">
      <w:pPr>
        <w:jc w:val="left"/>
        <w:rPr>
          <w:rFonts w:ascii="Times New Roman" w:hAnsi="Times New Roman" w:cs="Times New Roman"/>
          <w:b/>
          <w:bCs/>
          <w:sz w:val="44"/>
          <w:szCs w:val="44"/>
          <w:lang w:bidi="ar"/>
        </w:rPr>
      </w:pPr>
      <w:r w:rsidRPr="00164A64">
        <w:rPr>
          <w:rFonts w:ascii="Times New Roman" w:hAnsi="Times New Roman" w:cs="Times New Roman"/>
          <w:b/>
          <w:bCs/>
          <w:sz w:val="44"/>
          <w:szCs w:val="44"/>
          <w:lang w:bidi="ar"/>
        </w:rPr>
        <w:t>The Generative Mechanism of AIGC-Enabled Digital Revitalization of Intangible Cultural Heritage from a Cultural Memory Perspective</w:t>
      </w:r>
    </w:p>
    <w:p w14:paraId="42E45F75" w14:textId="1169E275" w:rsidR="0036042D" w:rsidRPr="00164A64" w:rsidRDefault="00000000" w:rsidP="00EC0DC2">
      <w:pPr>
        <w:rPr>
          <w:rFonts w:ascii="Times New Roman" w:hAnsi="Times New Roman" w:cs="Times New Roman"/>
          <w:b/>
          <w:bCs/>
          <w:sz w:val="24"/>
        </w:rPr>
      </w:pPr>
      <w:proofErr w:type="spellStart"/>
      <w:r w:rsidRPr="00164A64">
        <w:rPr>
          <w:rFonts w:ascii="Times New Roman" w:hAnsi="Times New Roman" w:cs="Times New Roman"/>
          <w:b/>
          <w:bCs/>
          <w:sz w:val="24"/>
        </w:rPr>
        <w:t>Guanyue</w:t>
      </w:r>
      <w:proofErr w:type="spellEnd"/>
      <w:r w:rsidRPr="00164A64">
        <w:rPr>
          <w:rFonts w:ascii="Times New Roman" w:hAnsi="Times New Roman" w:cs="Times New Roman"/>
          <w:b/>
          <w:bCs/>
          <w:sz w:val="24"/>
        </w:rPr>
        <w:t xml:space="preserve"> Chen*</w:t>
      </w:r>
    </w:p>
    <w:p w14:paraId="4E2EE09F" w14:textId="77777777" w:rsidR="0036042D" w:rsidRPr="00EC0DC2" w:rsidRDefault="00000000" w:rsidP="00EC0DC2">
      <w:pPr>
        <w:rPr>
          <w:rFonts w:ascii="Times New Roman" w:hAnsi="Times New Roman" w:cs="Times New Roman"/>
          <w:sz w:val="24"/>
          <w:lang w:bidi="ar"/>
        </w:rPr>
      </w:pPr>
      <w:r w:rsidRPr="00EC0DC2">
        <w:rPr>
          <w:rFonts w:ascii="Times New Roman" w:hAnsi="Times New Roman" w:cs="Times New Roman"/>
          <w:sz w:val="24"/>
          <w:lang w:bidi="ar"/>
        </w:rPr>
        <w:t>Renmin University of China, Beijing 100872, China</w:t>
      </w:r>
    </w:p>
    <w:p w14:paraId="776C1AC9" w14:textId="630A867F" w:rsidR="0036042D" w:rsidRPr="00EC0DC2" w:rsidRDefault="00000000" w:rsidP="00EC0DC2">
      <w:pPr>
        <w:rPr>
          <w:rFonts w:ascii="Times New Roman" w:hAnsi="Times New Roman" w:cs="Times New Roman"/>
          <w:sz w:val="24"/>
          <w:lang w:bidi="ar"/>
        </w:rPr>
      </w:pPr>
      <w:r w:rsidRPr="00164A64">
        <w:rPr>
          <w:rFonts w:ascii="Times New Roman" w:hAnsi="Times New Roman" w:cs="Times New Roman"/>
          <w:b/>
          <w:bCs/>
          <w:sz w:val="24"/>
          <w:lang w:bidi="ar"/>
        </w:rPr>
        <w:t>*Corresponding author</w:t>
      </w:r>
      <w:r w:rsidR="00EC0DC2" w:rsidRPr="00164A64">
        <w:rPr>
          <w:rFonts w:ascii="Times New Roman" w:hAnsi="Times New Roman" w:cs="Times New Roman"/>
          <w:b/>
          <w:bCs/>
          <w:sz w:val="24"/>
          <w:lang w:bidi="ar"/>
        </w:rPr>
        <w:t>:</w:t>
      </w:r>
      <w:r w:rsidRPr="00EC0DC2">
        <w:rPr>
          <w:rFonts w:ascii="Times New Roman" w:hAnsi="Times New Roman" w:cs="Times New Roman"/>
          <w:sz w:val="24"/>
          <w:lang w:bidi="ar"/>
        </w:rPr>
        <w:t xml:space="preserve"> </w:t>
      </w:r>
      <w:proofErr w:type="spellStart"/>
      <w:r w:rsidRPr="00EC0DC2">
        <w:rPr>
          <w:rFonts w:ascii="Times New Roman" w:hAnsi="Times New Roman" w:cs="Times New Roman"/>
          <w:sz w:val="24"/>
          <w:lang w:bidi="ar"/>
        </w:rPr>
        <w:t>Guanyue</w:t>
      </w:r>
      <w:proofErr w:type="spellEnd"/>
      <w:r w:rsidRPr="00EC0DC2">
        <w:rPr>
          <w:rFonts w:ascii="Times New Roman" w:hAnsi="Times New Roman" w:cs="Times New Roman"/>
          <w:sz w:val="24"/>
          <w:lang w:bidi="ar"/>
        </w:rPr>
        <w:t xml:space="preserve"> Chen, 1802375478@qq.com</w:t>
      </w:r>
    </w:p>
    <w:p w14:paraId="254494F8" w14:textId="77777777" w:rsidR="00EC0DC2" w:rsidRDefault="00EC0DC2" w:rsidP="00EC0DC2">
      <w:pPr>
        <w:rPr>
          <w:rFonts w:ascii="Times New Roman" w:hAnsi="Times New Roman" w:cs="Times New Roman"/>
          <w:sz w:val="24"/>
        </w:rPr>
      </w:pPr>
    </w:p>
    <w:p w14:paraId="375D3F58" w14:textId="6BD8925B" w:rsidR="00EC0DC2" w:rsidRPr="006D2C94" w:rsidRDefault="006D2C94" w:rsidP="00EC0DC2">
      <w:pPr>
        <w:rPr>
          <w:rFonts w:ascii="Times New Roman" w:hAnsi="Times New Roman" w:cs="Times New Roman"/>
          <w:sz w:val="20"/>
        </w:rPr>
      </w:pPr>
      <w:r>
        <w:rPr>
          <w:rFonts w:ascii="Times New Roman" w:hAnsi="Times New Roman" w:cs="Times New Roman"/>
          <w:b/>
          <w:sz w:val="20"/>
        </w:rPr>
        <w:t>Copyright:</w:t>
      </w:r>
      <w:r>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1D244204" w14:textId="77777777" w:rsidR="006D2C94" w:rsidRDefault="006D2C94" w:rsidP="00EC0DC2">
      <w:pPr>
        <w:rPr>
          <w:rFonts w:ascii="Times New Roman" w:hAnsi="Times New Roman" w:cs="Times New Roman"/>
          <w:sz w:val="24"/>
        </w:rPr>
      </w:pPr>
    </w:p>
    <w:p w14:paraId="1FCAFD86" w14:textId="5313BD98" w:rsidR="00EC0DC2" w:rsidRPr="00EC0DC2" w:rsidRDefault="00EC0DC2" w:rsidP="00EC0DC2">
      <w:pPr>
        <w:rPr>
          <w:rFonts w:ascii="Times New Roman" w:hAnsi="Times New Roman" w:cs="Times New Roman"/>
          <w:sz w:val="24"/>
        </w:rPr>
      </w:pPr>
      <w:r w:rsidRPr="00164A64">
        <w:rPr>
          <w:rFonts w:ascii="Times New Roman" w:hAnsi="Times New Roman" w:cs="Times New Roman"/>
          <w:b/>
          <w:bCs/>
          <w:sz w:val="24"/>
        </w:rPr>
        <w:t>Abstract</w:t>
      </w:r>
      <w:r w:rsidRPr="00164A64">
        <w:rPr>
          <w:rFonts w:ascii="Times New Roman" w:hAnsi="Times New Roman" w:cs="Times New Roman"/>
          <w:b/>
          <w:bCs/>
          <w:sz w:val="24"/>
        </w:rPr>
        <w:t>:</w:t>
      </w:r>
      <w:r w:rsidRPr="00EC0DC2">
        <w:rPr>
          <w:rFonts w:ascii="Times New Roman" w:hAnsi="Times New Roman" w:cs="Times New Roman"/>
          <w:sz w:val="24"/>
        </w:rPr>
        <w:t xml:space="preserve"> With digital technologies increasingly embedded in systems of cultural production and dissemination, the protection of intangible cultural heritage (ICH) is shifting from static preservation toward digital expression, contextualized interpretation, and dynamic regeneration. As an intelligent content-generation technology, AIGC can reorganize ICH materials across text, images, audio, video, virtual characters, and interactive narratives. From the perspective of cultural memory, this article regards ICH as a living repository of experience, local knowledge, communal interaction, and identity. It examines persistent problems in current ICH digitization, including data-oriented display, fragmented dissemination, weakened subjectivity, and cultural distortion. The paper argues that AIGC can support the digital revitalization of ICH through five linked stages</w:t>
      </w:r>
      <w:r>
        <w:rPr>
          <w:rFonts w:ascii="Times New Roman" w:hAnsi="Times New Roman" w:cs="Times New Roman"/>
          <w:sz w:val="24"/>
        </w:rPr>
        <w:t>:</w:t>
      </w:r>
      <w:r w:rsidRPr="00EC0DC2">
        <w:rPr>
          <w:rFonts w:ascii="Times New Roman" w:hAnsi="Times New Roman" w:cs="Times New Roman"/>
          <w:sz w:val="24"/>
        </w:rPr>
        <w:t xml:space="preserve"> cultural memory extraction, semantic reconstruction, multimodal translation, interactive co-creation, and value transformation. AIGC should not replace traditional transmission. Rather, through data organization, narrative reconstruction, media translation, and public participation, it can help transform preserved cultural resources into cultural memories that are understandable, experiential, and shareable. At the same time, authenticity verification, the central role of inheritors, data-source standardization, intellectual-property protection, and algorithmic-ethics governance should be built into a multi-actor collaborative process for ICH revitalization.</w:t>
      </w:r>
    </w:p>
    <w:p w14:paraId="74654425" w14:textId="15797338" w:rsidR="0036042D" w:rsidRPr="00EC0DC2" w:rsidRDefault="00EC0DC2" w:rsidP="00EC0DC2">
      <w:pPr>
        <w:rPr>
          <w:rFonts w:ascii="Times New Roman" w:hAnsi="Times New Roman" w:cs="Times New Roman"/>
          <w:sz w:val="24"/>
        </w:rPr>
      </w:pPr>
      <w:r w:rsidRPr="00164A64">
        <w:rPr>
          <w:rFonts w:ascii="Times New Roman" w:hAnsi="Times New Roman" w:cs="Times New Roman"/>
          <w:b/>
          <w:bCs/>
          <w:sz w:val="24"/>
        </w:rPr>
        <w:t>Keywords</w:t>
      </w:r>
      <w:r w:rsidRPr="00164A64">
        <w:rPr>
          <w:rFonts w:ascii="Times New Roman" w:hAnsi="Times New Roman" w:cs="Times New Roman"/>
          <w:b/>
          <w:bCs/>
          <w:sz w:val="24"/>
        </w:rPr>
        <w:t>:</w:t>
      </w:r>
      <w:r w:rsidRPr="00EC0DC2">
        <w:rPr>
          <w:rFonts w:ascii="Times New Roman" w:hAnsi="Times New Roman" w:cs="Times New Roman"/>
          <w:sz w:val="24"/>
        </w:rPr>
        <w:t xml:space="preserve"> Cultural memory</w:t>
      </w:r>
      <w:r>
        <w:rPr>
          <w:rFonts w:ascii="Times New Roman" w:hAnsi="Times New Roman" w:cs="Times New Roman"/>
          <w:sz w:val="24"/>
        </w:rPr>
        <w:t>;</w:t>
      </w:r>
      <w:r w:rsidRPr="00EC0DC2">
        <w:rPr>
          <w:rFonts w:ascii="Times New Roman" w:hAnsi="Times New Roman" w:cs="Times New Roman"/>
          <w:sz w:val="24"/>
        </w:rPr>
        <w:t xml:space="preserve"> AIGC</w:t>
      </w:r>
      <w:r>
        <w:rPr>
          <w:rFonts w:ascii="Times New Roman" w:hAnsi="Times New Roman" w:cs="Times New Roman"/>
          <w:sz w:val="24"/>
        </w:rPr>
        <w:t>;</w:t>
      </w:r>
      <w:r w:rsidRPr="00EC0DC2">
        <w:rPr>
          <w:rFonts w:ascii="Times New Roman" w:hAnsi="Times New Roman" w:cs="Times New Roman"/>
          <w:sz w:val="24"/>
        </w:rPr>
        <w:t xml:space="preserve"> Intangible cultural heritage</w:t>
      </w:r>
      <w:r>
        <w:rPr>
          <w:rFonts w:ascii="Times New Roman" w:hAnsi="Times New Roman" w:cs="Times New Roman"/>
          <w:sz w:val="24"/>
        </w:rPr>
        <w:t>;</w:t>
      </w:r>
      <w:r w:rsidRPr="00EC0DC2">
        <w:rPr>
          <w:rFonts w:ascii="Times New Roman" w:hAnsi="Times New Roman" w:cs="Times New Roman"/>
          <w:sz w:val="24"/>
        </w:rPr>
        <w:t xml:space="preserve"> Digital revitalization</w:t>
      </w:r>
      <w:r>
        <w:rPr>
          <w:rFonts w:ascii="Times New Roman" w:hAnsi="Times New Roman" w:cs="Times New Roman"/>
          <w:sz w:val="24"/>
        </w:rPr>
        <w:t>;</w:t>
      </w:r>
      <w:r w:rsidRPr="00EC0DC2">
        <w:rPr>
          <w:rFonts w:ascii="Times New Roman" w:hAnsi="Times New Roman" w:cs="Times New Roman"/>
          <w:sz w:val="24"/>
        </w:rPr>
        <w:t xml:space="preserve"> Generation mechanism</w:t>
      </w:r>
    </w:p>
    <w:p w14:paraId="6BF44483" w14:textId="77777777" w:rsidR="0036042D" w:rsidRPr="00EC0DC2" w:rsidRDefault="0036042D" w:rsidP="00EC0DC2">
      <w:pPr>
        <w:rPr>
          <w:rFonts w:ascii="Times New Roman" w:hAnsi="Times New Roman" w:cs="Times New Roman"/>
          <w:sz w:val="24"/>
        </w:rPr>
        <w:sectPr w:rsidR="0036042D" w:rsidRPr="00EC0DC2">
          <w:headerReference w:type="default" r:id="rId9"/>
          <w:endnotePr>
            <w:numFmt w:val="decimal"/>
          </w:endnotePr>
          <w:type w:val="continuous"/>
          <w:pgSz w:w="11906" w:h="16838"/>
          <w:pgMar w:top="1418" w:right="851" w:bottom="1418" w:left="851" w:header="851" w:footer="737" w:gutter="0"/>
          <w:cols w:space="425"/>
          <w:docGrid w:type="lines" w:linePitch="312"/>
        </w:sectPr>
      </w:pPr>
    </w:p>
    <w:p w14:paraId="4DF5DB94" w14:textId="77777777" w:rsidR="00EC0DC2" w:rsidRDefault="00EC0DC2" w:rsidP="00EC0DC2">
      <w:pPr>
        <w:rPr>
          <w:rFonts w:ascii="Times New Roman" w:hAnsi="Times New Roman" w:cs="Times New Roman"/>
          <w:sz w:val="24"/>
        </w:rPr>
      </w:pPr>
    </w:p>
    <w:p w14:paraId="7EED2B22" w14:textId="363D9FBD" w:rsidR="006D2C94" w:rsidRPr="006D2C94" w:rsidRDefault="006D2C94" w:rsidP="00EC0DC2">
      <w:pPr>
        <w:rPr>
          <w:rFonts w:ascii="Times New Roman" w:hAnsi="Times New Roman" w:cs="Times New Roman"/>
          <w:b/>
          <w:bCs/>
          <w:sz w:val="20"/>
          <w:szCs w:val="20"/>
        </w:rPr>
      </w:pPr>
      <w:r>
        <w:rPr>
          <w:rFonts w:ascii="Times New Roman" w:hAnsi="Times New Roman" w:cs="Times New Roman"/>
          <w:b/>
          <w:bCs/>
          <w:sz w:val="20"/>
          <w:szCs w:val="20"/>
        </w:rPr>
        <w:t>Online publication:</w:t>
      </w:r>
    </w:p>
    <w:p w14:paraId="75D8D8BA" w14:textId="77777777" w:rsidR="006D2C94" w:rsidRDefault="006D2C94" w:rsidP="00EC0DC2">
      <w:pPr>
        <w:rPr>
          <w:rFonts w:ascii="Times New Roman" w:hAnsi="Times New Roman" w:cs="Times New Roman"/>
          <w:sz w:val="24"/>
        </w:rPr>
      </w:pPr>
    </w:p>
    <w:p w14:paraId="14F54636" w14:textId="5412CABB" w:rsidR="0036042D" w:rsidRPr="00164A64" w:rsidRDefault="00EC0DC2" w:rsidP="00EC0DC2">
      <w:pPr>
        <w:rPr>
          <w:rFonts w:ascii="Times New Roman" w:hAnsi="Times New Roman" w:cs="Times New Roman"/>
          <w:b/>
          <w:bCs/>
          <w:sz w:val="24"/>
        </w:rPr>
      </w:pPr>
      <w:r w:rsidRPr="00164A64">
        <w:rPr>
          <w:rFonts w:ascii="Times New Roman" w:hAnsi="Times New Roman" w:cs="Times New Roman"/>
          <w:b/>
          <w:bCs/>
          <w:sz w:val="24"/>
        </w:rPr>
        <w:t xml:space="preserve">1. </w:t>
      </w:r>
      <w:r w:rsidR="00000000" w:rsidRPr="00164A64">
        <w:rPr>
          <w:rFonts w:ascii="Times New Roman" w:hAnsi="Times New Roman" w:cs="Times New Roman"/>
          <w:b/>
          <w:bCs/>
          <w:sz w:val="24"/>
        </w:rPr>
        <w:t>Introduction</w:t>
      </w:r>
    </w:p>
    <w:p w14:paraId="20933965" w14:textId="77777777" w:rsidR="0036042D" w:rsidRPr="00EC0DC2" w:rsidRDefault="00000000" w:rsidP="00EC0DC2">
      <w:pPr>
        <w:rPr>
          <w:rFonts w:ascii="Times New Roman" w:hAnsi="Times New Roman" w:cs="Times New Roman"/>
          <w:sz w:val="24"/>
        </w:rPr>
      </w:pPr>
      <w:r w:rsidRPr="00EC0DC2">
        <w:rPr>
          <w:rFonts w:ascii="Times New Roman" w:hAnsi="Times New Roman" w:cs="Times New Roman"/>
          <w:sz w:val="24"/>
        </w:rPr>
        <w:t>Intangible cultural heritage refers to living practices, knowledge systems, aesthetic forms, and spiritual symbols created and transmitted by communities over time. It is practical, communicative, and rooted in everyday life. Against the pressures of urbanization, modernization, and changing media environments, some ICH projects now face aging inheritor communities, limited youth participation, and weak channels of dissemination. How to use digital technology for effective preservation, communication, and renewal has therefore become an important issue in the promotion of ICH.</w:t>
      </w:r>
    </w:p>
    <w:p w14:paraId="4B0D9EDF" w14:textId="0CDF76B6" w:rsidR="0036042D" w:rsidRPr="00EC0DC2" w:rsidRDefault="00000000" w:rsidP="00164A64">
      <w:pPr>
        <w:ind w:firstLineChars="200" w:firstLine="480"/>
        <w:rPr>
          <w:rFonts w:ascii="Times New Roman" w:hAnsi="Times New Roman" w:cs="Times New Roman"/>
          <w:sz w:val="24"/>
        </w:rPr>
      </w:pPr>
      <w:r w:rsidRPr="00EC0DC2">
        <w:rPr>
          <w:rFonts w:ascii="Times New Roman" w:hAnsi="Times New Roman" w:cs="Times New Roman"/>
          <w:sz w:val="24"/>
        </w:rPr>
        <w:t>Artificial intelligence-generated content</w:t>
      </w:r>
      <w:r w:rsidR="00C60DA0">
        <w:rPr>
          <w:rFonts w:ascii="Times New Roman" w:hAnsi="Times New Roman" w:cs="Times New Roman"/>
          <w:sz w:val="24"/>
        </w:rPr>
        <w:t xml:space="preserve"> (AIGC</w:t>
      </w:r>
      <w:r w:rsidRPr="00EC0DC2">
        <w:rPr>
          <w:rFonts w:ascii="Times New Roman" w:hAnsi="Times New Roman" w:cs="Times New Roman"/>
          <w:sz w:val="24"/>
        </w:rPr>
        <w:t xml:space="preserve">) is a rapidly developing mode of intelligent content production. Recent reviews show that AIGC has expanded from text generation to images, video, 3D assets, audio, and cross-modal generation, with the goal of producing new digital content in response to user intent and domain knowledge </w:t>
      </w:r>
      <w:r w:rsidRPr="00164A64">
        <w:rPr>
          <w:rFonts w:ascii="Times New Roman" w:hAnsi="Times New Roman" w:cs="Times New Roman"/>
          <w:sz w:val="24"/>
          <w:vertAlign w:val="superscript"/>
        </w:rPr>
        <w:t>[1]</w:t>
      </w:r>
      <w:r w:rsidRPr="00EC0DC2">
        <w:rPr>
          <w:rFonts w:ascii="Times New Roman" w:hAnsi="Times New Roman" w:cs="Times New Roman"/>
          <w:sz w:val="24"/>
        </w:rPr>
        <w:t xml:space="preserve">. For ICH, AIGC can generate story scripts, exhibition texts, interactive Q&amp;A, </w:t>
      </w:r>
      <w:r w:rsidRPr="00EC0DC2">
        <w:rPr>
          <w:rFonts w:ascii="Times New Roman" w:hAnsi="Times New Roman" w:cs="Times New Roman"/>
          <w:sz w:val="24"/>
        </w:rPr>
        <w:lastRenderedPageBreak/>
        <w:t xml:space="preserve">process illustrations, virtual inheritor images, and immersive experiential content based on existing materials. These functions provide new means for expressing and disseminating ICH. Cultural heritage research also notes that the use of generative AI raises questions about human agency, authorship, interpretive authority, and the future of cultural heritage </w:t>
      </w:r>
      <w:r w:rsidRPr="00164A64">
        <w:rPr>
          <w:rFonts w:ascii="Times New Roman" w:hAnsi="Times New Roman" w:cs="Times New Roman"/>
          <w:sz w:val="24"/>
          <w:vertAlign w:val="superscript"/>
        </w:rPr>
        <w:t>[2]</w:t>
      </w:r>
      <w:r w:rsidRPr="00EC0DC2">
        <w:rPr>
          <w:rFonts w:ascii="Times New Roman" w:hAnsi="Times New Roman" w:cs="Times New Roman"/>
          <w:sz w:val="24"/>
        </w:rPr>
        <w:t xml:space="preserve">. When AI is used to interpret and classify cultural heritage, biased or incomplete data may produce imbalance and misinterpretation </w:t>
      </w:r>
      <w:r w:rsidRPr="00164A64">
        <w:rPr>
          <w:rFonts w:ascii="Times New Roman" w:hAnsi="Times New Roman" w:cs="Times New Roman"/>
          <w:sz w:val="24"/>
          <w:vertAlign w:val="superscript"/>
        </w:rPr>
        <w:t>[3]</w:t>
      </w:r>
      <w:r w:rsidRPr="00EC0DC2">
        <w:rPr>
          <w:rFonts w:ascii="Times New Roman" w:hAnsi="Times New Roman" w:cs="Times New Roman"/>
          <w:sz w:val="24"/>
        </w:rPr>
        <w:t>.</w:t>
      </w:r>
    </w:p>
    <w:p w14:paraId="6494C047" w14:textId="77777777" w:rsidR="0036042D" w:rsidRPr="00EC0DC2" w:rsidRDefault="00000000" w:rsidP="00164A64">
      <w:pPr>
        <w:ind w:firstLineChars="200" w:firstLine="480"/>
        <w:rPr>
          <w:rFonts w:ascii="Times New Roman" w:hAnsi="Times New Roman" w:cs="Times New Roman"/>
          <w:sz w:val="24"/>
        </w:rPr>
      </w:pPr>
      <w:r w:rsidRPr="00EC0DC2">
        <w:rPr>
          <w:rFonts w:ascii="Times New Roman" w:hAnsi="Times New Roman" w:cs="Times New Roman"/>
          <w:sz w:val="24"/>
        </w:rPr>
        <w:t xml:space="preserve">Cultural memory theory emphasizes that culture is not merely individual knowledge or a set of symbols. It is a process of meaning that is continually recalled and reproduced through rituals, stories, media, spaces, and collective activities. ICH, as a living culture, carries the collective memory of communities, local historical experience, and shared identity. Studies on social memory and ICH protection show that ICH is not only a form of cultural diversity but also an important basis for social identity, ethical value, and cultural continuity </w:t>
      </w:r>
      <w:r w:rsidRPr="00164A64">
        <w:rPr>
          <w:rFonts w:ascii="Times New Roman" w:hAnsi="Times New Roman" w:cs="Times New Roman"/>
          <w:sz w:val="24"/>
          <w:vertAlign w:val="superscript"/>
        </w:rPr>
        <w:t>[4]</w:t>
      </w:r>
      <w:r w:rsidRPr="00EC0DC2">
        <w:rPr>
          <w:rFonts w:ascii="Times New Roman" w:hAnsi="Times New Roman" w:cs="Times New Roman"/>
          <w:sz w:val="24"/>
        </w:rPr>
        <w:t>. Therefore, research on AIGC-enabled digital revitalization of ICH should move beyond a narrow view of technological application and examine how technology extracts, translates, shares, and reproduces cultural memory. On this basis, this paper takes the generative mechanism of AIGC-enabled digital revitalization of ICH from a cultural memory perspective as its topic. It asks how cultural memory explains the internal logic of digital revitalization, what generative role AIGC plays, and how a revitalization mechanism that balances authenticity, dissemination, and vitality can be constructed.</w:t>
      </w:r>
    </w:p>
    <w:p w14:paraId="39A159E1" w14:textId="77777777" w:rsidR="0036042D" w:rsidRPr="00EC0DC2" w:rsidRDefault="0036042D" w:rsidP="00EC0DC2">
      <w:pPr>
        <w:rPr>
          <w:rFonts w:ascii="Times New Roman" w:hAnsi="Times New Roman" w:cs="Times New Roman"/>
          <w:sz w:val="24"/>
        </w:rPr>
      </w:pPr>
    </w:p>
    <w:p w14:paraId="7E01F0C4" w14:textId="1393D785" w:rsidR="0036042D" w:rsidRPr="00164A64" w:rsidRDefault="00000000" w:rsidP="00EC0DC2">
      <w:pPr>
        <w:rPr>
          <w:rFonts w:ascii="Times New Roman" w:hAnsi="Times New Roman" w:cs="Times New Roman"/>
          <w:b/>
          <w:bCs/>
          <w:sz w:val="24"/>
        </w:rPr>
      </w:pPr>
      <w:r w:rsidRPr="00164A64">
        <w:rPr>
          <w:rFonts w:ascii="Times New Roman" w:hAnsi="Times New Roman" w:cs="Times New Roman"/>
          <w:b/>
          <w:bCs/>
          <w:sz w:val="24"/>
        </w:rPr>
        <w:t xml:space="preserve">2. The </w:t>
      </w:r>
      <w:r w:rsidR="0087443D" w:rsidRPr="00164A64">
        <w:rPr>
          <w:rFonts w:ascii="Times New Roman" w:hAnsi="Times New Roman" w:cs="Times New Roman"/>
          <w:b/>
          <w:bCs/>
          <w:sz w:val="24"/>
        </w:rPr>
        <w:t xml:space="preserve">generative mechanism </w:t>
      </w:r>
      <w:r w:rsidRPr="00164A64">
        <w:rPr>
          <w:rFonts w:ascii="Times New Roman" w:hAnsi="Times New Roman" w:cs="Times New Roman"/>
          <w:b/>
          <w:bCs/>
          <w:sz w:val="24"/>
        </w:rPr>
        <w:t>of AIGC-</w:t>
      </w:r>
      <w:r w:rsidR="0087443D" w:rsidRPr="00164A64">
        <w:rPr>
          <w:rFonts w:ascii="Times New Roman" w:hAnsi="Times New Roman" w:cs="Times New Roman"/>
          <w:b/>
          <w:bCs/>
          <w:sz w:val="24"/>
        </w:rPr>
        <w:t>enabled digital revitalization of intangible cultural heritage</w:t>
      </w:r>
    </w:p>
    <w:p w14:paraId="2B7E7BDA" w14:textId="0D9EDAA0" w:rsidR="0036042D" w:rsidRPr="00164A64" w:rsidRDefault="00000000" w:rsidP="00EC0DC2">
      <w:pPr>
        <w:rPr>
          <w:rFonts w:ascii="Times New Roman" w:hAnsi="Times New Roman" w:cs="Times New Roman"/>
          <w:b/>
          <w:bCs/>
          <w:sz w:val="24"/>
        </w:rPr>
      </w:pPr>
      <w:r w:rsidRPr="00164A64">
        <w:rPr>
          <w:rFonts w:ascii="Times New Roman" w:hAnsi="Times New Roman" w:cs="Times New Roman"/>
          <w:b/>
          <w:bCs/>
          <w:sz w:val="24"/>
        </w:rPr>
        <w:t>2.1</w:t>
      </w:r>
      <w:r w:rsidR="0087443D" w:rsidRPr="00164A64">
        <w:rPr>
          <w:rFonts w:ascii="Times New Roman" w:hAnsi="Times New Roman" w:cs="Times New Roman"/>
          <w:b/>
          <w:bCs/>
          <w:sz w:val="24"/>
        </w:rPr>
        <w:t>.</w:t>
      </w:r>
      <w:r w:rsidRPr="00164A64">
        <w:rPr>
          <w:rFonts w:ascii="Times New Roman" w:hAnsi="Times New Roman" w:cs="Times New Roman"/>
          <w:b/>
          <w:bCs/>
          <w:sz w:val="24"/>
        </w:rPr>
        <w:t xml:space="preserve"> Cultural </w:t>
      </w:r>
      <w:r w:rsidR="0087443D" w:rsidRPr="00164A64">
        <w:rPr>
          <w:rFonts w:ascii="Times New Roman" w:hAnsi="Times New Roman" w:cs="Times New Roman"/>
          <w:b/>
          <w:bCs/>
          <w:sz w:val="24"/>
        </w:rPr>
        <w:t>memory extraction mechanism</w:t>
      </w:r>
    </w:p>
    <w:p w14:paraId="2E621C5C" w14:textId="77777777" w:rsidR="0036042D" w:rsidRDefault="00000000" w:rsidP="00EC0DC2">
      <w:pPr>
        <w:rPr>
          <w:rFonts w:ascii="Times New Roman" w:hAnsi="Times New Roman" w:cs="Times New Roman"/>
          <w:sz w:val="24"/>
        </w:rPr>
      </w:pPr>
      <w:r w:rsidRPr="00EC0DC2">
        <w:rPr>
          <w:rFonts w:ascii="Times New Roman" w:hAnsi="Times New Roman" w:cs="Times New Roman"/>
          <w:sz w:val="24"/>
        </w:rPr>
        <w:t xml:space="preserve">Cultural memory extraction provides the resource foundation for AIGC-enabled digital revitalization of ICH. ICH resources need to be organized around historical sources, local legends, craft techniques, ritual scenes, oral accounts, tools and materials, movement patterns, colors, and social functions. AIGC can assist with text summarization, keyword extraction, topic identification, and knowledge-tag generation, thereby providing a basis for subsequent content generation </w:t>
      </w:r>
      <w:r w:rsidRPr="00164A64">
        <w:rPr>
          <w:rFonts w:ascii="Times New Roman" w:hAnsi="Times New Roman" w:cs="Times New Roman"/>
          <w:sz w:val="24"/>
          <w:vertAlign w:val="superscript"/>
        </w:rPr>
        <w:t>[5]</w:t>
      </w:r>
      <w:r w:rsidRPr="00EC0DC2">
        <w:rPr>
          <w:rFonts w:ascii="Times New Roman" w:hAnsi="Times New Roman" w:cs="Times New Roman"/>
          <w:sz w:val="24"/>
        </w:rPr>
        <w:t>.</w:t>
      </w:r>
    </w:p>
    <w:p w14:paraId="093ACBA5" w14:textId="77777777" w:rsidR="00002DA9" w:rsidRPr="00EC0DC2" w:rsidRDefault="00002DA9" w:rsidP="00EC0DC2">
      <w:pPr>
        <w:rPr>
          <w:rFonts w:ascii="Times New Roman" w:hAnsi="Times New Roman" w:cs="Times New Roman"/>
          <w:sz w:val="24"/>
        </w:rPr>
      </w:pPr>
    </w:p>
    <w:p w14:paraId="04E6B7D0" w14:textId="19E251A5" w:rsidR="0036042D" w:rsidRPr="00164A64" w:rsidRDefault="00000000" w:rsidP="00EC0DC2">
      <w:pPr>
        <w:rPr>
          <w:rFonts w:ascii="Times New Roman" w:hAnsi="Times New Roman" w:cs="Times New Roman"/>
          <w:b/>
          <w:bCs/>
          <w:sz w:val="24"/>
        </w:rPr>
      </w:pPr>
      <w:r w:rsidRPr="00164A64">
        <w:rPr>
          <w:rFonts w:ascii="Times New Roman" w:hAnsi="Times New Roman" w:cs="Times New Roman"/>
          <w:b/>
          <w:bCs/>
          <w:sz w:val="24"/>
        </w:rPr>
        <w:t>2.2</w:t>
      </w:r>
      <w:r w:rsidR="00002DA9" w:rsidRPr="00164A64">
        <w:rPr>
          <w:rFonts w:ascii="Times New Roman" w:hAnsi="Times New Roman" w:cs="Times New Roman"/>
          <w:b/>
          <w:bCs/>
          <w:sz w:val="24"/>
        </w:rPr>
        <w:t>.</w:t>
      </w:r>
      <w:r w:rsidRPr="00164A64">
        <w:rPr>
          <w:rFonts w:ascii="Times New Roman" w:hAnsi="Times New Roman" w:cs="Times New Roman"/>
          <w:b/>
          <w:bCs/>
          <w:sz w:val="24"/>
        </w:rPr>
        <w:t xml:space="preserve"> Semantic </w:t>
      </w:r>
      <w:r w:rsidR="00002DA9" w:rsidRPr="00164A64">
        <w:rPr>
          <w:rFonts w:ascii="Times New Roman" w:hAnsi="Times New Roman" w:cs="Times New Roman"/>
          <w:b/>
          <w:bCs/>
          <w:sz w:val="24"/>
        </w:rPr>
        <w:t>reconstruction mechanism</w:t>
      </w:r>
    </w:p>
    <w:p w14:paraId="2226577E" w14:textId="77777777" w:rsidR="0036042D" w:rsidRDefault="00000000" w:rsidP="00EC0DC2">
      <w:pPr>
        <w:rPr>
          <w:rFonts w:ascii="Times New Roman" w:hAnsi="Times New Roman" w:cs="Times New Roman"/>
          <w:sz w:val="24"/>
        </w:rPr>
      </w:pPr>
      <w:r w:rsidRPr="00EC0DC2">
        <w:rPr>
          <w:rFonts w:ascii="Times New Roman" w:hAnsi="Times New Roman" w:cs="Times New Roman"/>
          <w:sz w:val="24"/>
        </w:rPr>
        <w:t xml:space="preserve">Semantic reconstruction is the process of transforming scattered ICH knowledge into understandable narratives. AIGC can generate exhibition explanations, short-video scripts, course materials, interactive Q&amp;A, and cultural tourism guide texts. Research on the digital dissemination of ICH shows that dissemination effects are shaped by subjects, content, media, and audience feedback </w:t>
      </w:r>
      <w:r w:rsidRPr="00164A64">
        <w:rPr>
          <w:rFonts w:ascii="Times New Roman" w:hAnsi="Times New Roman" w:cs="Times New Roman"/>
          <w:sz w:val="24"/>
          <w:vertAlign w:val="superscript"/>
        </w:rPr>
        <w:t>[6]</w:t>
      </w:r>
      <w:r w:rsidRPr="00EC0DC2">
        <w:rPr>
          <w:rFonts w:ascii="Times New Roman" w:hAnsi="Times New Roman" w:cs="Times New Roman"/>
          <w:sz w:val="24"/>
        </w:rPr>
        <w:t>. Therefore, semantic reconstruction aims to make cultural memory easier for the public to understand and accept.</w:t>
      </w:r>
    </w:p>
    <w:p w14:paraId="4C91F45A" w14:textId="77777777" w:rsidR="00002DA9" w:rsidRPr="00EC0DC2" w:rsidRDefault="00002DA9" w:rsidP="00EC0DC2">
      <w:pPr>
        <w:rPr>
          <w:rFonts w:ascii="Times New Roman" w:hAnsi="Times New Roman" w:cs="Times New Roman"/>
          <w:sz w:val="24"/>
        </w:rPr>
      </w:pPr>
    </w:p>
    <w:p w14:paraId="33F747B4" w14:textId="3856CF24" w:rsidR="0036042D" w:rsidRPr="00164A64" w:rsidRDefault="00000000" w:rsidP="00EC0DC2">
      <w:pPr>
        <w:rPr>
          <w:rFonts w:ascii="Times New Roman" w:hAnsi="Times New Roman" w:cs="Times New Roman"/>
          <w:b/>
          <w:bCs/>
          <w:sz w:val="24"/>
        </w:rPr>
      </w:pPr>
      <w:r w:rsidRPr="00164A64">
        <w:rPr>
          <w:rFonts w:ascii="Times New Roman" w:hAnsi="Times New Roman" w:cs="Times New Roman"/>
          <w:b/>
          <w:bCs/>
          <w:sz w:val="24"/>
        </w:rPr>
        <w:t>2.3</w:t>
      </w:r>
      <w:r w:rsidR="00002DA9" w:rsidRPr="00164A64">
        <w:rPr>
          <w:rFonts w:ascii="Times New Roman" w:hAnsi="Times New Roman" w:cs="Times New Roman"/>
          <w:b/>
          <w:bCs/>
          <w:sz w:val="24"/>
        </w:rPr>
        <w:t>.</w:t>
      </w:r>
      <w:r w:rsidRPr="00164A64">
        <w:rPr>
          <w:rFonts w:ascii="Times New Roman" w:hAnsi="Times New Roman" w:cs="Times New Roman"/>
          <w:b/>
          <w:bCs/>
          <w:sz w:val="24"/>
        </w:rPr>
        <w:t xml:space="preserve"> Multimodal </w:t>
      </w:r>
      <w:r w:rsidR="00002DA9" w:rsidRPr="00164A64">
        <w:rPr>
          <w:rFonts w:ascii="Times New Roman" w:hAnsi="Times New Roman" w:cs="Times New Roman"/>
          <w:b/>
          <w:bCs/>
          <w:sz w:val="24"/>
        </w:rPr>
        <w:t>translation mechanism</w:t>
      </w:r>
    </w:p>
    <w:p w14:paraId="30869072" w14:textId="4DD8B04A" w:rsidR="0036042D" w:rsidRPr="00EC0DC2" w:rsidRDefault="00000000" w:rsidP="00EC0DC2">
      <w:pPr>
        <w:rPr>
          <w:rFonts w:ascii="Times New Roman" w:hAnsi="Times New Roman" w:cs="Times New Roman"/>
          <w:sz w:val="24"/>
        </w:rPr>
      </w:pPr>
      <w:r w:rsidRPr="00EC0DC2">
        <w:rPr>
          <w:rFonts w:ascii="Times New Roman" w:hAnsi="Times New Roman" w:cs="Times New Roman"/>
          <w:sz w:val="24"/>
        </w:rPr>
        <w:t>ICH is inherently multimodal. Traditional dance involves body movements and rhythms</w:t>
      </w:r>
      <w:r w:rsidR="00EC0DC2">
        <w:rPr>
          <w:rFonts w:ascii="Times New Roman" w:hAnsi="Times New Roman" w:cs="Times New Roman"/>
          <w:sz w:val="24"/>
        </w:rPr>
        <w:t>;</w:t>
      </w:r>
      <w:r w:rsidRPr="00EC0DC2">
        <w:rPr>
          <w:rFonts w:ascii="Times New Roman" w:hAnsi="Times New Roman" w:cs="Times New Roman"/>
          <w:sz w:val="24"/>
        </w:rPr>
        <w:t xml:space="preserve"> traditional music depends on vocal styles and melodies</w:t>
      </w:r>
      <w:r w:rsidR="00EC0DC2">
        <w:rPr>
          <w:rFonts w:ascii="Times New Roman" w:hAnsi="Times New Roman" w:cs="Times New Roman"/>
          <w:sz w:val="24"/>
        </w:rPr>
        <w:t>;</w:t>
      </w:r>
      <w:r w:rsidRPr="00EC0DC2">
        <w:rPr>
          <w:rFonts w:ascii="Times New Roman" w:hAnsi="Times New Roman" w:cs="Times New Roman"/>
          <w:sz w:val="24"/>
        </w:rPr>
        <w:t xml:space="preserve"> and traditional handicrafts involve materials, textures, processes, and patterns. AIGC can translate ICH knowledge into images, animations, audio, video, 3D scenes, and virtual characters, enabling ICH to move from static display to dynamic experience.</w:t>
      </w:r>
    </w:p>
    <w:p w14:paraId="356026E7" w14:textId="77777777" w:rsidR="0036042D" w:rsidRDefault="00000000" w:rsidP="00164A64">
      <w:pPr>
        <w:ind w:firstLineChars="200" w:firstLine="480"/>
        <w:rPr>
          <w:rFonts w:ascii="Times New Roman" w:hAnsi="Times New Roman" w:cs="Times New Roman"/>
          <w:sz w:val="24"/>
        </w:rPr>
      </w:pPr>
      <w:r w:rsidRPr="00EC0DC2">
        <w:rPr>
          <w:rFonts w:ascii="Times New Roman" w:hAnsi="Times New Roman" w:cs="Times New Roman"/>
          <w:sz w:val="24"/>
        </w:rPr>
        <w:t xml:space="preserve">Existing research on the embodied digitization of ICH indicates that digitization should focus on bodily movement, practice, and experience rather than image quality alone </w:t>
      </w:r>
      <w:r w:rsidRPr="00164A64">
        <w:rPr>
          <w:rFonts w:ascii="Times New Roman" w:hAnsi="Times New Roman" w:cs="Times New Roman"/>
          <w:sz w:val="24"/>
          <w:vertAlign w:val="superscript"/>
        </w:rPr>
        <w:t>[7]</w:t>
      </w:r>
      <w:r w:rsidRPr="00EC0DC2">
        <w:rPr>
          <w:rFonts w:ascii="Times New Roman" w:hAnsi="Times New Roman" w:cs="Times New Roman"/>
          <w:sz w:val="24"/>
        </w:rPr>
        <w:t>. Multimodal translation should therefore serve the perception of cultural memory, not merely the display of visual representations.</w:t>
      </w:r>
    </w:p>
    <w:p w14:paraId="6BF6A2F1" w14:textId="77777777" w:rsidR="00002DA9" w:rsidRPr="00EC0DC2" w:rsidRDefault="00002DA9" w:rsidP="00EC0DC2">
      <w:pPr>
        <w:rPr>
          <w:rFonts w:ascii="Times New Roman" w:hAnsi="Times New Roman" w:cs="Times New Roman"/>
          <w:sz w:val="24"/>
        </w:rPr>
      </w:pPr>
    </w:p>
    <w:p w14:paraId="44C13C51" w14:textId="31316D8A" w:rsidR="0036042D" w:rsidRPr="00164A64" w:rsidRDefault="00000000" w:rsidP="00EC0DC2">
      <w:pPr>
        <w:rPr>
          <w:rFonts w:ascii="Times New Roman" w:hAnsi="Times New Roman" w:cs="Times New Roman"/>
          <w:b/>
          <w:bCs/>
          <w:sz w:val="24"/>
        </w:rPr>
      </w:pPr>
      <w:r w:rsidRPr="00164A64">
        <w:rPr>
          <w:rFonts w:ascii="Times New Roman" w:hAnsi="Times New Roman" w:cs="Times New Roman"/>
          <w:b/>
          <w:bCs/>
          <w:sz w:val="24"/>
        </w:rPr>
        <w:t>2.4</w:t>
      </w:r>
      <w:r w:rsidR="00002DA9" w:rsidRPr="00164A64">
        <w:rPr>
          <w:rFonts w:ascii="Times New Roman" w:hAnsi="Times New Roman" w:cs="Times New Roman"/>
          <w:b/>
          <w:bCs/>
          <w:sz w:val="24"/>
        </w:rPr>
        <w:t>.</w:t>
      </w:r>
      <w:r w:rsidRPr="00164A64">
        <w:rPr>
          <w:rFonts w:ascii="Times New Roman" w:hAnsi="Times New Roman" w:cs="Times New Roman"/>
          <w:b/>
          <w:bCs/>
          <w:sz w:val="24"/>
        </w:rPr>
        <w:t xml:space="preserve"> Interactive </w:t>
      </w:r>
      <w:r w:rsidR="00002DA9" w:rsidRPr="00164A64">
        <w:rPr>
          <w:rFonts w:ascii="Times New Roman" w:hAnsi="Times New Roman" w:cs="Times New Roman"/>
          <w:b/>
          <w:bCs/>
          <w:sz w:val="24"/>
        </w:rPr>
        <w:t>co-creation mechanism</w:t>
      </w:r>
    </w:p>
    <w:p w14:paraId="4433C572" w14:textId="6739E7AF" w:rsidR="0036042D" w:rsidRPr="00EC0DC2" w:rsidRDefault="00000000" w:rsidP="00EC0DC2">
      <w:pPr>
        <w:rPr>
          <w:rFonts w:ascii="Times New Roman" w:hAnsi="Times New Roman" w:cs="Times New Roman"/>
          <w:sz w:val="24"/>
        </w:rPr>
      </w:pPr>
      <w:r w:rsidRPr="00EC0DC2">
        <w:rPr>
          <w:rFonts w:ascii="Times New Roman" w:hAnsi="Times New Roman" w:cs="Times New Roman"/>
          <w:sz w:val="24"/>
        </w:rPr>
        <w:t>Living ICH gains vitality through practice and participation. AIGC can lower the threshold for public participation in ICH content creation</w:t>
      </w:r>
      <w:r w:rsidR="00EC0DC2">
        <w:rPr>
          <w:rFonts w:ascii="Times New Roman" w:hAnsi="Times New Roman" w:cs="Times New Roman"/>
          <w:sz w:val="24"/>
        </w:rPr>
        <w:t>:</w:t>
      </w:r>
      <w:r w:rsidRPr="00EC0DC2">
        <w:rPr>
          <w:rFonts w:ascii="Times New Roman" w:hAnsi="Times New Roman" w:cs="Times New Roman"/>
          <w:sz w:val="24"/>
        </w:rPr>
        <w:t xml:space="preserve"> users can create design sketches based on traditional patterns, write </w:t>
      </w:r>
      <w:r w:rsidRPr="00EC0DC2">
        <w:rPr>
          <w:rFonts w:ascii="Times New Roman" w:hAnsi="Times New Roman" w:cs="Times New Roman"/>
          <w:sz w:val="24"/>
        </w:rPr>
        <w:lastRenderedPageBreak/>
        <w:t>short stories based on local legends, or simulate craft processes in virtual workshops.</w:t>
      </w:r>
    </w:p>
    <w:p w14:paraId="112A6DF9" w14:textId="77777777" w:rsidR="0036042D" w:rsidRDefault="00000000" w:rsidP="00164A64">
      <w:pPr>
        <w:ind w:firstLineChars="200" w:firstLine="480"/>
        <w:rPr>
          <w:rFonts w:ascii="Times New Roman" w:hAnsi="Times New Roman" w:cs="Times New Roman"/>
          <w:sz w:val="24"/>
        </w:rPr>
      </w:pPr>
      <w:r w:rsidRPr="00EC0DC2">
        <w:rPr>
          <w:rFonts w:ascii="Times New Roman" w:hAnsi="Times New Roman" w:cs="Times New Roman"/>
          <w:sz w:val="24"/>
        </w:rPr>
        <w:t>Interactive co-creation, however, should not turn ICH into standardized or decontextualized content. Platforms should clearly identify core cultural-value elements, creative components, and content sources so that innovation is encouraged while cultural misuse is avoided.</w:t>
      </w:r>
    </w:p>
    <w:p w14:paraId="63941514" w14:textId="77777777" w:rsidR="00A67ADE" w:rsidRPr="00EC0DC2" w:rsidRDefault="00A67ADE" w:rsidP="00EC0DC2">
      <w:pPr>
        <w:rPr>
          <w:rFonts w:ascii="Times New Roman" w:hAnsi="Times New Roman" w:cs="Times New Roman"/>
          <w:sz w:val="24"/>
        </w:rPr>
      </w:pPr>
    </w:p>
    <w:p w14:paraId="23C9AED8" w14:textId="30BCB960" w:rsidR="0036042D" w:rsidRPr="00164A64" w:rsidRDefault="00000000" w:rsidP="00EC0DC2">
      <w:pPr>
        <w:rPr>
          <w:rFonts w:ascii="Times New Roman" w:hAnsi="Times New Roman" w:cs="Times New Roman"/>
          <w:b/>
          <w:bCs/>
          <w:sz w:val="24"/>
        </w:rPr>
      </w:pPr>
      <w:r w:rsidRPr="00164A64">
        <w:rPr>
          <w:rFonts w:ascii="Times New Roman" w:hAnsi="Times New Roman" w:cs="Times New Roman"/>
          <w:b/>
          <w:bCs/>
          <w:sz w:val="24"/>
        </w:rPr>
        <w:t>2.5</w:t>
      </w:r>
      <w:r w:rsidR="00A67ADE" w:rsidRPr="00164A64">
        <w:rPr>
          <w:rFonts w:ascii="Times New Roman" w:hAnsi="Times New Roman" w:cs="Times New Roman"/>
          <w:b/>
          <w:bCs/>
          <w:sz w:val="24"/>
        </w:rPr>
        <w:t>.</w:t>
      </w:r>
      <w:r w:rsidRPr="00164A64">
        <w:rPr>
          <w:rFonts w:ascii="Times New Roman" w:hAnsi="Times New Roman" w:cs="Times New Roman"/>
          <w:b/>
          <w:bCs/>
          <w:sz w:val="24"/>
        </w:rPr>
        <w:t xml:space="preserve"> Value </w:t>
      </w:r>
      <w:r w:rsidR="00A67ADE" w:rsidRPr="00164A64">
        <w:rPr>
          <w:rFonts w:ascii="Times New Roman" w:hAnsi="Times New Roman" w:cs="Times New Roman"/>
          <w:b/>
          <w:bCs/>
          <w:sz w:val="24"/>
        </w:rPr>
        <w:t>transformation mechanism</w:t>
      </w:r>
    </w:p>
    <w:p w14:paraId="0B454F97" w14:textId="6B9DD315" w:rsidR="0036042D" w:rsidRDefault="00000000" w:rsidP="00EC0DC2">
      <w:pPr>
        <w:rPr>
          <w:rFonts w:ascii="Times New Roman" w:hAnsi="Times New Roman" w:cs="Times New Roman"/>
          <w:sz w:val="24"/>
        </w:rPr>
      </w:pPr>
      <w:r w:rsidRPr="00EC0DC2">
        <w:rPr>
          <w:rFonts w:ascii="Times New Roman" w:hAnsi="Times New Roman" w:cs="Times New Roman"/>
          <w:sz w:val="24"/>
        </w:rPr>
        <w:t xml:space="preserve">AIGC-enabled digital revitalization of ICH should promote the cultural, educational, aesthetic, and economic value of ICH in contemporary society. Studies of digital twin platforms show that traditional handicrafts can be preserved and shared more concretely through digital models, scene displays, and interactive systems </w:t>
      </w:r>
      <w:r w:rsidRPr="00164A64">
        <w:rPr>
          <w:rFonts w:ascii="Times New Roman" w:hAnsi="Times New Roman" w:cs="Times New Roman"/>
          <w:sz w:val="24"/>
          <w:vertAlign w:val="superscript"/>
        </w:rPr>
        <w:t>[8]</w:t>
      </w:r>
      <w:r w:rsidRPr="00EC0DC2">
        <w:rPr>
          <w:rFonts w:ascii="Times New Roman" w:hAnsi="Times New Roman" w:cs="Times New Roman"/>
          <w:sz w:val="24"/>
        </w:rPr>
        <w:t>. At the same time, ICH value can serve education, cultural tourism, cultural and creative industries, and public cultural sharing</w:t>
      </w:r>
      <w:r w:rsidR="00EC0DC2">
        <w:rPr>
          <w:rFonts w:ascii="Times New Roman" w:hAnsi="Times New Roman" w:cs="Times New Roman"/>
          <w:sz w:val="24"/>
        </w:rPr>
        <w:t>;</w:t>
      </w:r>
      <w:r w:rsidRPr="00EC0DC2">
        <w:rPr>
          <w:rFonts w:ascii="Times New Roman" w:hAnsi="Times New Roman" w:cs="Times New Roman"/>
          <w:sz w:val="24"/>
        </w:rPr>
        <w:t xml:space="preserve"> it should not be reduced to traffic and commercial interests at the expense of cultural essence.</w:t>
      </w:r>
    </w:p>
    <w:p w14:paraId="17BA3CC9" w14:textId="77777777" w:rsidR="00E97B1E" w:rsidRPr="00EC0DC2" w:rsidRDefault="00E97B1E" w:rsidP="00EC0DC2">
      <w:pPr>
        <w:rPr>
          <w:rFonts w:ascii="Times New Roman" w:hAnsi="Times New Roman" w:cs="Times New Roman"/>
          <w:sz w:val="24"/>
        </w:rPr>
      </w:pPr>
    </w:p>
    <w:p w14:paraId="7D0B1364" w14:textId="12EEBD13" w:rsidR="0036042D" w:rsidRPr="00164A64" w:rsidRDefault="00000000" w:rsidP="00EC0DC2">
      <w:pPr>
        <w:rPr>
          <w:rFonts w:ascii="Times New Roman" w:hAnsi="Times New Roman" w:cs="Times New Roman"/>
          <w:b/>
          <w:bCs/>
          <w:sz w:val="24"/>
        </w:rPr>
      </w:pPr>
      <w:r w:rsidRPr="00164A64">
        <w:rPr>
          <w:rFonts w:ascii="Times New Roman" w:hAnsi="Times New Roman" w:cs="Times New Roman"/>
          <w:b/>
          <w:bCs/>
          <w:sz w:val="24"/>
        </w:rPr>
        <w:t xml:space="preserve">3. Practical </w:t>
      </w:r>
      <w:r w:rsidR="00E97B1E" w:rsidRPr="00164A64">
        <w:rPr>
          <w:rFonts w:ascii="Times New Roman" w:hAnsi="Times New Roman" w:cs="Times New Roman"/>
          <w:b/>
          <w:bCs/>
          <w:sz w:val="24"/>
        </w:rPr>
        <w:t xml:space="preserve">paths for </w:t>
      </w:r>
      <w:r w:rsidRPr="00164A64">
        <w:rPr>
          <w:rFonts w:ascii="Times New Roman" w:hAnsi="Times New Roman" w:cs="Times New Roman"/>
          <w:b/>
          <w:bCs/>
          <w:sz w:val="24"/>
        </w:rPr>
        <w:t>AIGC-</w:t>
      </w:r>
      <w:r w:rsidR="00E97B1E" w:rsidRPr="00164A64">
        <w:rPr>
          <w:rFonts w:ascii="Times New Roman" w:hAnsi="Times New Roman" w:cs="Times New Roman"/>
          <w:b/>
          <w:bCs/>
          <w:sz w:val="24"/>
        </w:rPr>
        <w:t>enabled digital revitalization of intangible cultural heritage</w:t>
      </w:r>
    </w:p>
    <w:p w14:paraId="2CF3E4BB" w14:textId="73D9E6F3" w:rsidR="0036042D" w:rsidRDefault="00000000" w:rsidP="00EC0DC2">
      <w:pPr>
        <w:rPr>
          <w:rFonts w:ascii="Times New Roman" w:hAnsi="Times New Roman" w:cs="Times New Roman"/>
          <w:sz w:val="24"/>
        </w:rPr>
      </w:pPr>
      <w:r w:rsidRPr="00EC0DC2">
        <w:rPr>
          <w:rFonts w:ascii="Times New Roman" w:hAnsi="Times New Roman" w:cs="Times New Roman"/>
          <w:sz w:val="24"/>
        </w:rPr>
        <w:t xml:space="preserve">AIGC-enabled digital revitalization of ICH requires a closed loop that includes resource collection, memory organization, content generation, human review, application, and feedback. The implementation process is shown in </w:t>
      </w:r>
      <w:r w:rsidRPr="00164A64">
        <w:rPr>
          <w:rFonts w:ascii="Times New Roman" w:hAnsi="Times New Roman" w:cs="Times New Roman"/>
          <w:b/>
          <w:bCs/>
          <w:sz w:val="24"/>
        </w:rPr>
        <w:t>Fig</w:t>
      </w:r>
      <w:r w:rsidR="00E97B1E" w:rsidRPr="00164A64">
        <w:rPr>
          <w:rFonts w:ascii="Times New Roman" w:hAnsi="Times New Roman" w:cs="Times New Roman"/>
          <w:b/>
          <w:bCs/>
          <w:sz w:val="24"/>
        </w:rPr>
        <w:t>ure</w:t>
      </w:r>
      <w:r w:rsidRPr="00164A64">
        <w:rPr>
          <w:rFonts w:ascii="Times New Roman" w:hAnsi="Times New Roman" w:cs="Times New Roman"/>
          <w:b/>
          <w:bCs/>
          <w:sz w:val="24"/>
        </w:rPr>
        <w:t xml:space="preserve"> 1</w:t>
      </w:r>
      <w:r w:rsidRPr="00EC0DC2">
        <w:rPr>
          <w:rFonts w:ascii="Times New Roman" w:hAnsi="Times New Roman" w:cs="Times New Roman"/>
          <w:sz w:val="24"/>
        </w:rPr>
        <w:t>.</w:t>
      </w:r>
    </w:p>
    <w:p w14:paraId="4F219967" w14:textId="77777777" w:rsidR="00E97B1E" w:rsidRPr="00EC0DC2" w:rsidRDefault="00E97B1E" w:rsidP="00EC0DC2">
      <w:pPr>
        <w:rPr>
          <w:rFonts w:ascii="Times New Roman" w:hAnsi="Times New Roman" w:cs="Times New Roman"/>
          <w:sz w:val="24"/>
        </w:rPr>
      </w:pPr>
    </w:p>
    <w:p w14:paraId="239AA816" w14:textId="77777777" w:rsidR="0036042D" w:rsidRPr="00EC0DC2" w:rsidRDefault="00000000" w:rsidP="00164A64">
      <w:pPr>
        <w:jc w:val="center"/>
        <w:rPr>
          <w:rFonts w:ascii="Times New Roman" w:hAnsi="Times New Roman" w:cs="Times New Roman"/>
          <w:sz w:val="24"/>
        </w:rPr>
      </w:pPr>
      <w:r w:rsidRPr="00EC0DC2">
        <w:rPr>
          <w:rFonts w:ascii="Times New Roman" w:hAnsi="Times New Roman" w:cs="Times New Roman"/>
          <w:noProof/>
          <w:sz w:val="24"/>
        </w:rPr>
        <w:drawing>
          <wp:inline distT="0" distB="0" distL="0" distR="0" wp14:anchorId="52BA6E85" wp14:editId="552ED3A9">
            <wp:extent cx="5378450" cy="3093720"/>
            <wp:effectExtent l="0" t="0" r="0" b="0"/>
            <wp:docPr id="17451346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134623" name="图片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400128" cy="3106196"/>
                    </a:xfrm>
                    <a:prstGeom prst="rect">
                      <a:avLst/>
                    </a:prstGeom>
                    <a:noFill/>
                    <a:ln>
                      <a:noFill/>
                    </a:ln>
                  </pic:spPr>
                </pic:pic>
              </a:graphicData>
            </a:graphic>
          </wp:inline>
        </w:drawing>
      </w:r>
    </w:p>
    <w:p w14:paraId="7F2F18C6" w14:textId="77777777" w:rsidR="0036042D" w:rsidRPr="00164A64" w:rsidRDefault="00000000" w:rsidP="00164A64">
      <w:pPr>
        <w:jc w:val="center"/>
        <w:rPr>
          <w:rFonts w:ascii="Times New Roman" w:eastAsia="SimSun" w:hAnsi="Times New Roman" w:cs="Times New Roman"/>
          <w:sz w:val="20"/>
          <w:szCs w:val="20"/>
        </w:rPr>
      </w:pPr>
      <w:r w:rsidRPr="00164A64">
        <w:rPr>
          <w:rFonts w:ascii="Times New Roman" w:hAnsi="Times New Roman" w:cs="Times New Roman"/>
          <w:b/>
          <w:bCs/>
          <w:sz w:val="20"/>
          <w:szCs w:val="20"/>
        </w:rPr>
        <w:t>Figure 1.</w:t>
      </w:r>
      <w:r w:rsidRPr="00164A64">
        <w:rPr>
          <w:rFonts w:ascii="Times New Roman" w:hAnsi="Times New Roman" w:cs="Times New Roman"/>
          <w:sz w:val="20"/>
          <w:szCs w:val="20"/>
        </w:rPr>
        <w:t xml:space="preserve"> Practical process of AIGC-enabled digital revitalization of intangible cultural heritage</w:t>
      </w:r>
    </w:p>
    <w:p w14:paraId="524BAEA2" w14:textId="77777777" w:rsidR="00E97B1E" w:rsidRDefault="00E97B1E" w:rsidP="00EC0DC2">
      <w:pPr>
        <w:rPr>
          <w:rFonts w:ascii="Times New Roman" w:hAnsi="Times New Roman" w:cs="Times New Roman"/>
          <w:sz w:val="24"/>
        </w:rPr>
      </w:pPr>
    </w:p>
    <w:p w14:paraId="4CD65A64" w14:textId="10EA4B93" w:rsidR="0036042D" w:rsidRPr="00164A64" w:rsidRDefault="00000000" w:rsidP="00EC0DC2">
      <w:pPr>
        <w:rPr>
          <w:rFonts w:ascii="Times New Roman" w:hAnsi="Times New Roman" w:cs="Times New Roman"/>
          <w:b/>
          <w:bCs/>
          <w:sz w:val="24"/>
        </w:rPr>
      </w:pPr>
      <w:r w:rsidRPr="00164A64">
        <w:rPr>
          <w:rFonts w:ascii="Times New Roman" w:hAnsi="Times New Roman" w:cs="Times New Roman"/>
          <w:b/>
          <w:bCs/>
          <w:sz w:val="24"/>
        </w:rPr>
        <w:t>3.1</w:t>
      </w:r>
      <w:r w:rsidR="00E97B1E" w:rsidRPr="00164A64">
        <w:rPr>
          <w:rFonts w:ascii="Times New Roman" w:hAnsi="Times New Roman" w:cs="Times New Roman"/>
          <w:b/>
          <w:bCs/>
          <w:sz w:val="24"/>
        </w:rPr>
        <w:t>.</w:t>
      </w:r>
      <w:r w:rsidRPr="00164A64">
        <w:rPr>
          <w:rFonts w:ascii="Times New Roman" w:hAnsi="Times New Roman" w:cs="Times New Roman"/>
          <w:b/>
          <w:bCs/>
          <w:sz w:val="24"/>
        </w:rPr>
        <w:t xml:space="preserve"> Constructing a </w:t>
      </w:r>
      <w:r w:rsidR="00677A18" w:rsidRPr="00164A64">
        <w:rPr>
          <w:rFonts w:ascii="Times New Roman" w:hAnsi="Times New Roman" w:cs="Times New Roman"/>
          <w:b/>
          <w:bCs/>
          <w:sz w:val="24"/>
        </w:rPr>
        <w:t>database of intangible cultural heritage memories</w:t>
      </w:r>
    </w:p>
    <w:p w14:paraId="56568EE9" w14:textId="65424D0E" w:rsidR="0036042D" w:rsidRDefault="00000000" w:rsidP="00EC0DC2">
      <w:pPr>
        <w:rPr>
          <w:rFonts w:ascii="Times New Roman" w:hAnsi="Times New Roman" w:cs="Times New Roman"/>
          <w:sz w:val="24"/>
        </w:rPr>
      </w:pPr>
      <w:r w:rsidRPr="00EC0DC2">
        <w:rPr>
          <w:rFonts w:ascii="Times New Roman" w:hAnsi="Times New Roman" w:cs="Times New Roman"/>
          <w:sz w:val="24"/>
        </w:rPr>
        <w:t>The quality of AIGC outputs depends first on the quality of the underlying data. A local, structured, and sustainable cultural memory database should include project names, images, videos, inheritors</w:t>
      </w:r>
      <w:r w:rsidR="00EC0DC2">
        <w:rPr>
          <w:rFonts w:ascii="Times New Roman" w:hAnsi="Times New Roman" w:cs="Times New Roman"/>
          <w:sz w:val="24"/>
        </w:rPr>
        <w:t>’</w:t>
      </w:r>
      <w:r w:rsidRPr="00EC0DC2">
        <w:rPr>
          <w:rFonts w:ascii="Times New Roman" w:hAnsi="Times New Roman" w:cs="Times New Roman"/>
          <w:sz w:val="24"/>
        </w:rPr>
        <w:t xml:space="preserve"> oral histories, local historical materials, process flows, tools and materials, traditional patterns, folk customs, historical stories, common scenes, and application cases. Such a database should balance authenticity, structure, openness, and protection. Authenticity requires that all materials be traceable to sources and that important content be reviewed by inheritors or experts. Structure requires classification by project type, region, technique, cultural function, and dissemination context. Openness and protection should also be </w:t>
      </w:r>
      <w:r w:rsidRPr="00EC0DC2">
        <w:rPr>
          <w:rFonts w:ascii="Times New Roman" w:hAnsi="Times New Roman" w:cs="Times New Roman"/>
          <w:sz w:val="24"/>
        </w:rPr>
        <w:lastRenderedPageBreak/>
        <w:t>balanced by restricting access to content involving secret techniques, private portraits, commercial rights, and sensitive community information.</w:t>
      </w:r>
    </w:p>
    <w:p w14:paraId="00B49752" w14:textId="77777777" w:rsidR="00677A18" w:rsidRPr="00EC0DC2" w:rsidRDefault="00677A18" w:rsidP="00EC0DC2">
      <w:pPr>
        <w:rPr>
          <w:rFonts w:ascii="Times New Roman" w:hAnsi="Times New Roman" w:cs="Times New Roman"/>
          <w:sz w:val="24"/>
        </w:rPr>
      </w:pPr>
    </w:p>
    <w:p w14:paraId="51B55FA7" w14:textId="190A0D33" w:rsidR="0036042D" w:rsidRPr="00164A64" w:rsidRDefault="00000000" w:rsidP="00EC0DC2">
      <w:pPr>
        <w:rPr>
          <w:rFonts w:ascii="Times New Roman" w:hAnsi="Times New Roman" w:cs="Times New Roman"/>
          <w:b/>
          <w:bCs/>
          <w:sz w:val="24"/>
        </w:rPr>
      </w:pPr>
      <w:r w:rsidRPr="00164A64">
        <w:rPr>
          <w:rFonts w:ascii="Times New Roman" w:hAnsi="Times New Roman" w:cs="Times New Roman"/>
          <w:b/>
          <w:bCs/>
          <w:sz w:val="24"/>
        </w:rPr>
        <w:t>3.2</w:t>
      </w:r>
      <w:r w:rsidR="00677A18" w:rsidRPr="00164A64">
        <w:rPr>
          <w:rFonts w:ascii="Times New Roman" w:hAnsi="Times New Roman" w:cs="Times New Roman"/>
          <w:b/>
          <w:bCs/>
          <w:sz w:val="24"/>
        </w:rPr>
        <w:t>.</w:t>
      </w:r>
      <w:r w:rsidRPr="00164A64">
        <w:rPr>
          <w:rFonts w:ascii="Times New Roman" w:hAnsi="Times New Roman" w:cs="Times New Roman"/>
          <w:b/>
          <w:bCs/>
          <w:sz w:val="24"/>
        </w:rPr>
        <w:t xml:space="preserve"> Constructing a </w:t>
      </w:r>
      <w:r w:rsidR="00677A18" w:rsidRPr="00164A64">
        <w:rPr>
          <w:rFonts w:ascii="Times New Roman" w:hAnsi="Times New Roman" w:cs="Times New Roman"/>
          <w:b/>
          <w:bCs/>
          <w:sz w:val="24"/>
        </w:rPr>
        <w:t>multi-actor collaborative mechanism</w:t>
      </w:r>
    </w:p>
    <w:p w14:paraId="36236FCC" w14:textId="40D4D6E1" w:rsidR="0036042D" w:rsidRDefault="00000000" w:rsidP="00EC0DC2">
      <w:pPr>
        <w:rPr>
          <w:rFonts w:ascii="Times New Roman" w:hAnsi="Times New Roman" w:cs="Times New Roman"/>
          <w:sz w:val="24"/>
        </w:rPr>
      </w:pPr>
      <w:r w:rsidRPr="00EC0DC2">
        <w:rPr>
          <w:rFonts w:ascii="Times New Roman" w:hAnsi="Times New Roman" w:cs="Times New Roman"/>
          <w:sz w:val="24"/>
        </w:rPr>
        <w:t>AIGC-enabled digital revitalization of ICH should not be dominated by technical personnel alone. A collaborative ecosystem of inheritors, cultural researchers, technical staff, platform operators, and the public should be established. Inheritors provide experience, knowledge, and judgment</w:t>
      </w:r>
      <w:r w:rsidR="00EC0DC2">
        <w:rPr>
          <w:rFonts w:ascii="Times New Roman" w:hAnsi="Times New Roman" w:cs="Times New Roman"/>
          <w:sz w:val="24"/>
        </w:rPr>
        <w:t>;</w:t>
      </w:r>
      <w:r w:rsidRPr="00EC0DC2">
        <w:rPr>
          <w:rFonts w:ascii="Times New Roman" w:hAnsi="Times New Roman" w:cs="Times New Roman"/>
          <w:sz w:val="24"/>
        </w:rPr>
        <w:t xml:space="preserve"> cultural researchers interpret historical contexts and cultural significance</w:t>
      </w:r>
      <w:r w:rsidR="00EC0DC2">
        <w:rPr>
          <w:rFonts w:ascii="Times New Roman" w:hAnsi="Times New Roman" w:cs="Times New Roman"/>
          <w:sz w:val="24"/>
        </w:rPr>
        <w:t>;</w:t>
      </w:r>
      <w:r w:rsidRPr="00EC0DC2">
        <w:rPr>
          <w:rFonts w:ascii="Times New Roman" w:hAnsi="Times New Roman" w:cs="Times New Roman"/>
          <w:sz w:val="24"/>
        </w:rPr>
        <w:t xml:space="preserve"> technical staff </w:t>
      </w:r>
      <w:r w:rsidR="00546F35">
        <w:rPr>
          <w:rFonts w:ascii="Times New Roman" w:hAnsi="Times New Roman" w:cs="Times New Roman"/>
          <w:sz w:val="24"/>
        </w:rPr>
        <w:t>create</w:t>
      </w:r>
      <w:r w:rsidRPr="00EC0DC2">
        <w:rPr>
          <w:rFonts w:ascii="Times New Roman" w:hAnsi="Times New Roman" w:cs="Times New Roman"/>
          <w:sz w:val="24"/>
        </w:rPr>
        <w:t xml:space="preserve"> models, build platforms, and generate content</w:t>
      </w:r>
      <w:r w:rsidR="00EC0DC2">
        <w:rPr>
          <w:rFonts w:ascii="Times New Roman" w:hAnsi="Times New Roman" w:cs="Times New Roman"/>
          <w:sz w:val="24"/>
        </w:rPr>
        <w:t>;</w:t>
      </w:r>
      <w:r w:rsidRPr="00EC0DC2">
        <w:rPr>
          <w:rFonts w:ascii="Times New Roman" w:hAnsi="Times New Roman" w:cs="Times New Roman"/>
          <w:sz w:val="24"/>
        </w:rPr>
        <w:t xml:space="preserve"> platform operators support dissemination and feedback</w:t>
      </w:r>
      <w:r w:rsidR="00EC0DC2">
        <w:rPr>
          <w:rFonts w:ascii="Times New Roman" w:hAnsi="Times New Roman" w:cs="Times New Roman"/>
          <w:sz w:val="24"/>
        </w:rPr>
        <w:t>;</w:t>
      </w:r>
      <w:r w:rsidRPr="00EC0DC2">
        <w:rPr>
          <w:rFonts w:ascii="Times New Roman" w:hAnsi="Times New Roman" w:cs="Times New Roman"/>
          <w:sz w:val="24"/>
        </w:rPr>
        <w:t xml:space="preserve"> and users engage with ICH through interactive experiences and co-creation. Research on digital creativity in ICH crafts shows that such creativity requires coordination among cultural resources, technical tools, management, and application scenarios </w:t>
      </w:r>
      <w:r w:rsidRPr="00164A64">
        <w:rPr>
          <w:rFonts w:ascii="Times New Roman" w:hAnsi="Times New Roman" w:cs="Times New Roman"/>
          <w:sz w:val="24"/>
          <w:vertAlign w:val="superscript"/>
        </w:rPr>
        <w:t>[9</w:t>
      </w:r>
      <w:r w:rsidR="00546F35">
        <w:rPr>
          <w:rFonts w:ascii="Times New Roman" w:hAnsi="Times New Roman" w:cs="Times New Roman"/>
          <w:sz w:val="24"/>
          <w:vertAlign w:val="superscript"/>
        </w:rPr>
        <w:t>–</w:t>
      </w:r>
      <w:r w:rsidRPr="00164A64">
        <w:rPr>
          <w:rFonts w:ascii="Times New Roman" w:hAnsi="Times New Roman" w:cs="Times New Roman"/>
          <w:sz w:val="24"/>
          <w:vertAlign w:val="superscript"/>
        </w:rPr>
        <w:t>10]</w:t>
      </w:r>
      <w:r w:rsidRPr="00EC0DC2">
        <w:rPr>
          <w:rFonts w:ascii="Times New Roman" w:hAnsi="Times New Roman" w:cs="Times New Roman"/>
          <w:sz w:val="24"/>
        </w:rPr>
        <w:t>. Therefore, AIGC should not be treated as a single tool, but as part of a multi-actor cultural production system.</w:t>
      </w:r>
    </w:p>
    <w:p w14:paraId="3D590EAB" w14:textId="77777777" w:rsidR="00546F35" w:rsidRPr="00EC0DC2" w:rsidRDefault="00546F35" w:rsidP="00EC0DC2">
      <w:pPr>
        <w:rPr>
          <w:rFonts w:ascii="Times New Roman" w:hAnsi="Times New Roman" w:cs="Times New Roman"/>
          <w:sz w:val="24"/>
        </w:rPr>
      </w:pPr>
    </w:p>
    <w:p w14:paraId="0884AEB1" w14:textId="5E4B273D" w:rsidR="0036042D" w:rsidRPr="00164A64" w:rsidRDefault="00000000" w:rsidP="00EC0DC2">
      <w:pPr>
        <w:rPr>
          <w:rFonts w:ascii="Times New Roman" w:hAnsi="Times New Roman" w:cs="Times New Roman"/>
          <w:b/>
          <w:bCs/>
          <w:sz w:val="24"/>
        </w:rPr>
      </w:pPr>
      <w:r w:rsidRPr="00164A64">
        <w:rPr>
          <w:rFonts w:ascii="Times New Roman" w:hAnsi="Times New Roman" w:cs="Times New Roman"/>
          <w:b/>
          <w:bCs/>
          <w:sz w:val="24"/>
        </w:rPr>
        <w:t>3.3</w:t>
      </w:r>
      <w:r w:rsidR="00546F35" w:rsidRPr="00164A64">
        <w:rPr>
          <w:rFonts w:ascii="Times New Roman" w:hAnsi="Times New Roman" w:cs="Times New Roman"/>
          <w:b/>
          <w:bCs/>
          <w:sz w:val="24"/>
        </w:rPr>
        <w:t>.</w:t>
      </w:r>
      <w:r w:rsidRPr="00164A64">
        <w:rPr>
          <w:rFonts w:ascii="Times New Roman" w:hAnsi="Times New Roman" w:cs="Times New Roman"/>
          <w:b/>
          <w:bCs/>
          <w:sz w:val="24"/>
        </w:rPr>
        <w:t xml:space="preserve"> Promoting </w:t>
      </w:r>
      <w:r w:rsidR="00546F35" w:rsidRPr="00164A64">
        <w:rPr>
          <w:rFonts w:ascii="Times New Roman" w:hAnsi="Times New Roman" w:cs="Times New Roman"/>
          <w:b/>
          <w:bCs/>
          <w:sz w:val="24"/>
        </w:rPr>
        <w:t>scenario-based communication</w:t>
      </w:r>
    </w:p>
    <w:p w14:paraId="652E7E03" w14:textId="40444B02" w:rsidR="0036042D" w:rsidRDefault="00000000" w:rsidP="00EC0DC2">
      <w:pPr>
        <w:rPr>
          <w:rFonts w:ascii="Times New Roman" w:hAnsi="Times New Roman" w:cs="Times New Roman"/>
          <w:sz w:val="24"/>
        </w:rPr>
      </w:pPr>
      <w:r w:rsidRPr="00EC0DC2">
        <w:rPr>
          <w:rFonts w:ascii="Times New Roman" w:hAnsi="Times New Roman" w:cs="Times New Roman"/>
          <w:sz w:val="24"/>
        </w:rPr>
        <w:t xml:space="preserve">AIGC-enabled digital revitalization of ICH can be applied in digital exhibition halls, campus education, cultural-tourism integration, cultural and creative design, and community communication. (1) In digital exhibition halls, AIGC can generate exhibition scripts, virtual explanations, interactive Q&amp;A, and multilingual guides to make ICH exhibitions more accessible. (2) In campus education, AIGC can produce ICH courses, classroom tasks, learning Q&amp;A, and activity plans for different age groups. Research on ICH course design shows that ICH courses and interdisciplinary workshops in the digital age can promote learning, creativity, and collaborative abilities </w:t>
      </w:r>
      <w:r w:rsidRPr="00164A64">
        <w:rPr>
          <w:rFonts w:ascii="Times New Roman" w:hAnsi="Times New Roman" w:cs="Times New Roman"/>
          <w:sz w:val="24"/>
          <w:vertAlign w:val="superscript"/>
        </w:rPr>
        <w:t>[11</w:t>
      </w:r>
      <w:r w:rsidR="00546F35">
        <w:rPr>
          <w:rFonts w:ascii="Times New Roman" w:hAnsi="Times New Roman" w:cs="Times New Roman"/>
          <w:sz w:val="24"/>
          <w:vertAlign w:val="superscript"/>
        </w:rPr>
        <w:t>–</w:t>
      </w:r>
      <w:r w:rsidRPr="00164A64">
        <w:rPr>
          <w:rFonts w:ascii="Times New Roman" w:hAnsi="Times New Roman" w:cs="Times New Roman"/>
          <w:sz w:val="24"/>
          <w:vertAlign w:val="superscript"/>
        </w:rPr>
        <w:t>12]</w:t>
      </w:r>
      <w:r w:rsidRPr="00EC0DC2">
        <w:rPr>
          <w:rFonts w:ascii="Times New Roman" w:hAnsi="Times New Roman" w:cs="Times New Roman"/>
          <w:sz w:val="24"/>
        </w:rPr>
        <w:t>. (3) In cultural-tourism integration, AIGC can generate ICH experience routes, local story introductions, festival activity suggestions, and tourist-oriented cultural consumption plans, thereby supporting the dissemination of ICH through local tourism. (4) In cultural and creative design, AIGC can help restore traditional patterns, generate packaging copy, and construct product stories and brand communication, but it should not be used in ways that detach design from cultural meaning. (5) In community communication, AIGC can help organize community ICH archives, record residents</w:t>
      </w:r>
      <w:r w:rsidR="00EC0DC2">
        <w:rPr>
          <w:rFonts w:ascii="Times New Roman" w:hAnsi="Times New Roman" w:cs="Times New Roman"/>
          <w:sz w:val="24"/>
        </w:rPr>
        <w:t>’</w:t>
      </w:r>
      <w:r w:rsidRPr="00EC0DC2">
        <w:rPr>
          <w:rFonts w:ascii="Times New Roman" w:hAnsi="Times New Roman" w:cs="Times New Roman"/>
          <w:sz w:val="24"/>
        </w:rPr>
        <w:t xml:space="preserve"> oral histories, create local memory maps, and build online displays to strengthen community cultural heritage.</w:t>
      </w:r>
    </w:p>
    <w:p w14:paraId="1F460683" w14:textId="77777777" w:rsidR="00546F35" w:rsidRPr="00EC0DC2" w:rsidRDefault="00546F35" w:rsidP="00EC0DC2">
      <w:pPr>
        <w:rPr>
          <w:rFonts w:ascii="Times New Roman" w:hAnsi="Times New Roman" w:cs="Times New Roman"/>
          <w:sz w:val="24"/>
        </w:rPr>
      </w:pPr>
    </w:p>
    <w:p w14:paraId="43A51E65" w14:textId="16FE5A54" w:rsidR="0036042D" w:rsidRPr="00164A64" w:rsidRDefault="00000000" w:rsidP="00EC0DC2">
      <w:pPr>
        <w:rPr>
          <w:rFonts w:ascii="Times New Roman" w:hAnsi="Times New Roman" w:cs="Times New Roman"/>
          <w:b/>
          <w:bCs/>
          <w:sz w:val="24"/>
        </w:rPr>
      </w:pPr>
      <w:r w:rsidRPr="00164A64">
        <w:rPr>
          <w:rFonts w:ascii="Times New Roman" w:hAnsi="Times New Roman" w:cs="Times New Roman"/>
          <w:b/>
          <w:bCs/>
          <w:sz w:val="24"/>
        </w:rPr>
        <w:t xml:space="preserve">4. Risk </w:t>
      </w:r>
      <w:r w:rsidR="00546F35" w:rsidRPr="00164A64">
        <w:rPr>
          <w:rFonts w:ascii="Times New Roman" w:hAnsi="Times New Roman" w:cs="Times New Roman"/>
          <w:b/>
          <w:bCs/>
          <w:sz w:val="24"/>
        </w:rPr>
        <w:t>reg</w:t>
      </w:r>
      <w:r w:rsidRPr="00164A64">
        <w:rPr>
          <w:rFonts w:ascii="Times New Roman" w:hAnsi="Times New Roman" w:cs="Times New Roman"/>
          <w:b/>
          <w:bCs/>
          <w:sz w:val="24"/>
        </w:rPr>
        <w:t>ulation for AIGC-</w:t>
      </w:r>
      <w:r w:rsidR="00546F35" w:rsidRPr="00164A64">
        <w:rPr>
          <w:rFonts w:ascii="Times New Roman" w:hAnsi="Times New Roman" w:cs="Times New Roman"/>
          <w:b/>
          <w:bCs/>
          <w:sz w:val="24"/>
        </w:rPr>
        <w:t>enabled digital revitalization of intangible cultural heritage</w:t>
      </w:r>
    </w:p>
    <w:p w14:paraId="308BD259" w14:textId="35FF1927" w:rsidR="0036042D" w:rsidRPr="00164A64" w:rsidRDefault="00000000" w:rsidP="00EC0DC2">
      <w:pPr>
        <w:rPr>
          <w:rFonts w:ascii="Times New Roman" w:hAnsi="Times New Roman" w:cs="Times New Roman"/>
          <w:b/>
          <w:bCs/>
          <w:sz w:val="24"/>
        </w:rPr>
      </w:pPr>
      <w:r w:rsidRPr="00164A64">
        <w:rPr>
          <w:rFonts w:ascii="Times New Roman" w:hAnsi="Times New Roman" w:cs="Times New Roman"/>
          <w:b/>
          <w:bCs/>
          <w:sz w:val="24"/>
        </w:rPr>
        <w:t>4.1</w:t>
      </w:r>
      <w:r w:rsidR="00546F35">
        <w:rPr>
          <w:rFonts w:ascii="Times New Roman" w:hAnsi="Times New Roman" w:cs="Times New Roman"/>
          <w:b/>
          <w:bCs/>
          <w:sz w:val="24"/>
        </w:rPr>
        <w:t>.</w:t>
      </w:r>
      <w:r w:rsidRPr="00164A64">
        <w:rPr>
          <w:rFonts w:ascii="Times New Roman" w:hAnsi="Times New Roman" w:cs="Times New Roman"/>
          <w:b/>
          <w:bCs/>
          <w:sz w:val="24"/>
        </w:rPr>
        <w:t xml:space="preserve"> Preventing </w:t>
      </w:r>
      <w:r w:rsidR="00546F35" w:rsidRPr="00164A64">
        <w:rPr>
          <w:rFonts w:ascii="Times New Roman" w:hAnsi="Times New Roman" w:cs="Times New Roman"/>
          <w:b/>
          <w:bCs/>
          <w:sz w:val="24"/>
        </w:rPr>
        <w:t>cultural distortion</w:t>
      </w:r>
    </w:p>
    <w:p w14:paraId="7F116902" w14:textId="7F542177" w:rsidR="0036042D" w:rsidRDefault="00000000" w:rsidP="00EC0DC2">
      <w:pPr>
        <w:rPr>
          <w:rFonts w:ascii="Times New Roman" w:hAnsi="Times New Roman" w:cs="Times New Roman"/>
          <w:sz w:val="24"/>
        </w:rPr>
      </w:pPr>
      <w:r w:rsidRPr="00EC0DC2">
        <w:rPr>
          <w:rFonts w:ascii="Times New Roman" w:hAnsi="Times New Roman" w:cs="Times New Roman"/>
          <w:sz w:val="24"/>
        </w:rPr>
        <w:t>Cultural distortion is one of the most serious risks in applying AIGC to ICH. AIGC may generate historical stories, process descriptions, or visual symbols by drawing on generalized data</w:t>
      </w:r>
      <w:r w:rsidR="00EC0DC2">
        <w:rPr>
          <w:rFonts w:ascii="Times New Roman" w:hAnsi="Times New Roman" w:cs="Times New Roman"/>
          <w:sz w:val="24"/>
        </w:rPr>
        <w:t>;</w:t>
      </w:r>
      <w:r w:rsidRPr="00EC0DC2">
        <w:rPr>
          <w:rFonts w:ascii="Times New Roman" w:hAnsi="Times New Roman" w:cs="Times New Roman"/>
          <w:sz w:val="24"/>
        </w:rPr>
        <w:t xml:space="preserve"> once released, such content can mislead the public. Content generation should therefore be based on reliable databases and human review.</w:t>
      </w:r>
    </w:p>
    <w:p w14:paraId="75FA24CF" w14:textId="77777777" w:rsidR="00546F35" w:rsidRPr="00EC0DC2" w:rsidRDefault="00546F35" w:rsidP="00EC0DC2">
      <w:pPr>
        <w:rPr>
          <w:rFonts w:ascii="Times New Roman" w:hAnsi="Times New Roman" w:cs="Times New Roman"/>
          <w:sz w:val="24"/>
        </w:rPr>
      </w:pPr>
    </w:p>
    <w:p w14:paraId="59F67945" w14:textId="49E1CF81" w:rsidR="0036042D" w:rsidRPr="00164A64" w:rsidRDefault="00000000" w:rsidP="00EC0DC2">
      <w:pPr>
        <w:rPr>
          <w:rFonts w:ascii="Times New Roman" w:hAnsi="Times New Roman" w:cs="Times New Roman"/>
          <w:b/>
          <w:bCs/>
          <w:sz w:val="24"/>
        </w:rPr>
      </w:pPr>
      <w:r w:rsidRPr="00164A64">
        <w:rPr>
          <w:rFonts w:ascii="Times New Roman" w:hAnsi="Times New Roman" w:cs="Times New Roman"/>
          <w:b/>
          <w:bCs/>
          <w:sz w:val="24"/>
        </w:rPr>
        <w:t>4.2</w:t>
      </w:r>
      <w:r w:rsidR="00546F35" w:rsidRPr="00164A64">
        <w:rPr>
          <w:rFonts w:ascii="Times New Roman" w:hAnsi="Times New Roman" w:cs="Times New Roman"/>
          <w:b/>
          <w:bCs/>
          <w:sz w:val="24"/>
        </w:rPr>
        <w:t>.</w:t>
      </w:r>
      <w:r w:rsidRPr="00164A64">
        <w:rPr>
          <w:rFonts w:ascii="Times New Roman" w:hAnsi="Times New Roman" w:cs="Times New Roman"/>
          <w:b/>
          <w:bCs/>
          <w:sz w:val="24"/>
        </w:rPr>
        <w:t xml:space="preserve"> Preventing </w:t>
      </w:r>
      <w:r w:rsidR="00546F35" w:rsidRPr="00546F35">
        <w:rPr>
          <w:rFonts w:ascii="Times New Roman" w:hAnsi="Times New Roman" w:cs="Times New Roman"/>
          <w:b/>
          <w:bCs/>
          <w:sz w:val="24"/>
        </w:rPr>
        <w:t>algorithmic homogenization</w:t>
      </w:r>
    </w:p>
    <w:p w14:paraId="5F973C88" w14:textId="71445FBA" w:rsidR="0036042D" w:rsidRPr="00EC0DC2" w:rsidRDefault="00000000" w:rsidP="00EC0DC2">
      <w:pPr>
        <w:rPr>
          <w:rFonts w:ascii="Times New Roman" w:hAnsi="Times New Roman" w:cs="Times New Roman"/>
          <w:sz w:val="24"/>
        </w:rPr>
      </w:pPr>
      <w:r w:rsidRPr="00EC0DC2">
        <w:rPr>
          <w:rFonts w:ascii="Times New Roman" w:hAnsi="Times New Roman" w:cs="Times New Roman"/>
          <w:sz w:val="24"/>
        </w:rPr>
        <w:t xml:space="preserve">AIGC-generated content may converge toward similar styles, and different ICH items may be processed into a uniform </w:t>
      </w:r>
      <w:r w:rsidR="00546F35">
        <w:rPr>
          <w:rFonts w:ascii="Times New Roman" w:hAnsi="Times New Roman" w:cs="Times New Roman"/>
          <w:sz w:val="24"/>
        </w:rPr>
        <w:t>“</w:t>
      </w:r>
      <w:r w:rsidRPr="00EC0DC2">
        <w:rPr>
          <w:rFonts w:ascii="Times New Roman" w:hAnsi="Times New Roman" w:cs="Times New Roman"/>
          <w:sz w:val="24"/>
        </w:rPr>
        <w:t>national style</w:t>
      </w:r>
      <w:r w:rsidR="00546F35">
        <w:rPr>
          <w:rFonts w:ascii="Times New Roman" w:hAnsi="Times New Roman" w:cs="Times New Roman"/>
          <w:sz w:val="24"/>
        </w:rPr>
        <w:t>”</w:t>
      </w:r>
      <w:r w:rsidRPr="00EC0DC2">
        <w:rPr>
          <w:rFonts w:ascii="Times New Roman" w:hAnsi="Times New Roman" w:cs="Times New Roman"/>
          <w:sz w:val="24"/>
        </w:rPr>
        <w:t xml:space="preserve"> or </w:t>
      </w:r>
      <w:r w:rsidR="00546F35">
        <w:rPr>
          <w:rFonts w:ascii="Times New Roman" w:hAnsi="Times New Roman" w:cs="Times New Roman"/>
          <w:sz w:val="24"/>
        </w:rPr>
        <w:t>“</w:t>
      </w:r>
      <w:r w:rsidRPr="00EC0DC2">
        <w:rPr>
          <w:rFonts w:ascii="Times New Roman" w:hAnsi="Times New Roman" w:cs="Times New Roman"/>
          <w:sz w:val="24"/>
        </w:rPr>
        <w:t>Internet celebrity</w:t>
      </w:r>
      <w:r w:rsidR="00546F35">
        <w:rPr>
          <w:rFonts w:ascii="Times New Roman" w:hAnsi="Times New Roman" w:cs="Times New Roman"/>
          <w:sz w:val="24"/>
        </w:rPr>
        <w:t>”</w:t>
      </w:r>
      <w:r w:rsidRPr="00EC0DC2">
        <w:rPr>
          <w:rFonts w:ascii="Times New Roman" w:hAnsi="Times New Roman" w:cs="Times New Roman"/>
          <w:sz w:val="24"/>
        </w:rPr>
        <w:t xml:space="preserve"> image, thereby weakening local distinctiveness. The digital revitalization of ICH should instead highlight locality, ethnicity, and project-specific characteristics.</w:t>
      </w:r>
    </w:p>
    <w:p w14:paraId="020E8147" w14:textId="77777777" w:rsidR="00546F35" w:rsidRDefault="00546F35" w:rsidP="00EC0DC2">
      <w:pPr>
        <w:rPr>
          <w:rFonts w:ascii="Times New Roman" w:hAnsi="Times New Roman" w:cs="Times New Roman"/>
          <w:sz w:val="24"/>
        </w:rPr>
      </w:pPr>
    </w:p>
    <w:p w14:paraId="6EA818A7" w14:textId="780B6C50" w:rsidR="00546F35" w:rsidRPr="00164A64" w:rsidRDefault="00000000" w:rsidP="00EC0DC2">
      <w:pPr>
        <w:rPr>
          <w:rFonts w:ascii="Times New Roman" w:hAnsi="Times New Roman" w:cs="Times New Roman"/>
          <w:b/>
          <w:bCs/>
          <w:sz w:val="24"/>
        </w:rPr>
      </w:pPr>
      <w:r w:rsidRPr="00164A64">
        <w:rPr>
          <w:rFonts w:ascii="Times New Roman" w:hAnsi="Times New Roman" w:cs="Times New Roman"/>
          <w:b/>
          <w:bCs/>
          <w:sz w:val="24"/>
        </w:rPr>
        <w:t>4.3</w:t>
      </w:r>
      <w:r w:rsidR="00546F35" w:rsidRPr="00164A64">
        <w:rPr>
          <w:rFonts w:ascii="Times New Roman" w:hAnsi="Times New Roman" w:cs="Times New Roman"/>
          <w:b/>
          <w:bCs/>
          <w:sz w:val="24"/>
        </w:rPr>
        <w:t>.</w:t>
      </w:r>
      <w:r w:rsidRPr="00164A64">
        <w:rPr>
          <w:rFonts w:ascii="Times New Roman" w:hAnsi="Times New Roman" w:cs="Times New Roman"/>
          <w:b/>
          <w:bCs/>
          <w:sz w:val="24"/>
        </w:rPr>
        <w:t xml:space="preserve"> Protecting the rights and interests of inheritors</w:t>
      </w:r>
    </w:p>
    <w:p w14:paraId="61A68302" w14:textId="6B9B5243" w:rsidR="0036042D" w:rsidRDefault="00000000" w:rsidP="00EC0DC2">
      <w:pPr>
        <w:rPr>
          <w:rFonts w:ascii="Times New Roman" w:hAnsi="Times New Roman" w:cs="Times New Roman"/>
          <w:sz w:val="24"/>
        </w:rPr>
      </w:pPr>
      <w:r w:rsidRPr="00EC0DC2">
        <w:rPr>
          <w:rFonts w:ascii="Times New Roman" w:hAnsi="Times New Roman" w:cs="Times New Roman"/>
          <w:sz w:val="24"/>
        </w:rPr>
        <w:t>Inheritors are central to the living practice of ICH. If AIGC uses inheritors</w:t>
      </w:r>
      <w:r w:rsidR="00EC0DC2">
        <w:rPr>
          <w:rFonts w:ascii="Times New Roman" w:hAnsi="Times New Roman" w:cs="Times New Roman"/>
          <w:sz w:val="24"/>
        </w:rPr>
        <w:t>’</w:t>
      </w:r>
      <w:r w:rsidRPr="00EC0DC2">
        <w:rPr>
          <w:rFonts w:ascii="Times New Roman" w:hAnsi="Times New Roman" w:cs="Times New Roman"/>
          <w:sz w:val="24"/>
        </w:rPr>
        <w:t xml:space="preserve"> oral accounts, portraits, skill </w:t>
      </w:r>
      <w:r w:rsidRPr="00EC0DC2">
        <w:rPr>
          <w:rFonts w:ascii="Times New Roman" w:hAnsi="Times New Roman" w:cs="Times New Roman"/>
          <w:sz w:val="24"/>
        </w:rPr>
        <w:lastRenderedPageBreak/>
        <w:t>processes, or images of their work, authorization, usage scope, and revenue-distribution methods should be clearly specified to avoid a situation in which technology profits while inheritors are absent.</w:t>
      </w:r>
    </w:p>
    <w:p w14:paraId="4FB17C3E" w14:textId="77777777" w:rsidR="007C2FB0" w:rsidRPr="00EC0DC2" w:rsidRDefault="007C2FB0" w:rsidP="00EC0DC2">
      <w:pPr>
        <w:rPr>
          <w:rFonts w:ascii="Times New Roman" w:hAnsi="Times New Roman" w:cs="Times New Roman"/>
          <w:sz w:val="24"/>
        </w:rPr>
      </w:pPr>
    </w:p>
    <w:p w14:paraId="4BFCD65E" w14:textId="21C577FB" w:rsidR="0036042D" w:rsidRPr="00164A64" w:rsidRDefault="00000000" w:rsidP="00EC0DC2">
      <w:pPr>
        <w:rPr>
          <w:rFonts w:ascii="Times New Roman" w:hAnsi="Times New Roman" w:cs="Times New Roman"/>
          <w:b/>
          <w:bCs/>
          <w:sz w:val="24"/>
        </w:rPr>
      </w:pPr>
      <w:r w:rsidRPr="00164A64">
        <w:rPr>
          <w:rFonts w:ascii="Times New Roman" w:hAnsi="Times New Roman" w:cs="Times New Roman"/>
          <w:b/>
          <w:bCs/>
          <w:sz w:val="24"/>
        </w:rPr>
        <w:t>4.4</w:t>
      </w:r>
      <w:r w:rsidR="007C2FB0" w:rsidRPr="00164A64">
        <w:rPr>
          <w:rFonts w:ascii="Times New Roman" w:hAnsi="Times New Roman" w:cs="Times New Roman"/>
          <w:b/>
          <w:bCs/>
          <w:sz w:val="24"/>
        </w:rPr>
        <w:t>.</w:t>
      </w:r>
      <w:r w:rsidRPr="00164A64">
        <w:rPr>
          <w:rFonts w:ascii="Times New Roman" w:hAnsi="Times New Roman" w:cs="Times New Roman"/>
          <w:b/>
          <w:bCs/>
          <w:sz w:val="24"/>
        </w:rPr>
        <w:t xml:space="preserve"> Clearly </w:t>
      </w:r>
      <w:r w:rsidR="007C2FB0" w:rsidRPr="00164A64">
        <w:rPr>
          <w:rFonts w:ascii="Times New Roman" w:hAnsi="Times New Roman" w:cs="Times New Roman"/>
          <w:b/>
          <w:bCs/>
          <w:sz w:val="24"/>
        </w:rPr>
        <w:t>identifying generated content</w:t>
      </w:r>
    </w:p>
    <w:p w14:paraId="3DB8AA8B" w14:textId="77777777" w:rsidR="0036042D" w:rsidRDefault="00000000" w:rsidP="00EC0DC2">
      <w:pPr>
        <w:rPr>
          <w:rFonts w:ascii="Times New Roman" w:hAnsi="Times New Roman" w:cs="Times New Roman"/>
          <w:sz w:val="24"/>
        </w:rPr>
      </w:pPr>
      <w:r w:rsidRPr="00EC0DC2">
        <w:rPr>
          <w:rFonts w:ascii="Times New Roman" w:hAnsi="Times New Roman" w:cs="Times New Roman"/>
          <w:sz w:val="24"/>
        </w:rPr>
        <w:t>AIGC-generated content should be clearly labeled in public cultural venues, educational materials, and commercial products. The AI-generated components and original sources should also be identified so that the public can verify the content and platforms can maintain accountability.</w:t>
      </w:r>
    </w:p>
    <w:p w14:paraId="2DB51979" w14:textId="77777777" w:rsidR="007C2FB0" w:rsidRPr="00EC0DC2" w:rsidRDefault="007C2FB0" w:rsidP="00EC0DC2">
      <w:pPr>
        <w:rPr>
          <w:rFonts w:ascii="Times New Roman" w:hAnsi="Times New Roman" w:cs="Times New Roman"/>
          <w:sz w:val="24"/>
        </w:rPr>
      </w:pPr>
    </w:p>
    <w:p w14:paraId="70735A87" w14:textId="67194446" w:rsidR="0036042D" w:rsidRPr="007C2FB0" w:rsidRDefault="00000000" w:rsidP="00EC0DC2">
      <w:pPr>
        <w:rPr>
          <w:rFonts w:ascii="Times New Roman" w:hAnsi="Times New Roman" w:cs="Times New Roman"/>
          <w:b/>
          <w:bCs/>
          <w:sz w:val="24"/>
        </w:rPr>
      </w:pPr>
      <w:r w:rsidRPr="00164A64">
        <w:rPr>
          <w:rFonts w:ascii="Times New Roman" w:hAnsi="Times New Roman" w:cs="Times New Roman"/>
          <w:b/>
          <w:bCs/>
          <w:sz w:val="24"/>
        </w:rPr>
        <w:t>5. Conclusion</w:t>
      </w:r>
    </w:p>
    <w:p w14:paraId="1464EA8D" w14:textId="3AB35C98" w:rsidR="0036042D" w:rsidRPr="00EC0DC2" w:rsidRDefault="00000000" w:rsidP="00EC0DC2">
      <w:pPr>
        <w:rPr>
          <w:rFonts w:ascii="Times New Roman" w:hAnsi="Times New Roman" w:cs="Times New Roman"/>
          <w:sz w:val="24"/>
        </w:rPr>
      </w:pPr>
      <w:r w:rsidRPr="00EC0DC2">
        <w:rPr>
          <w:rFonts w:ascii="Times New Roman" w:hAnsi="Times New Roman" w:cs="Times New Roman"/>
          <w:sz w:val="24"/>
        </w:rPr>
        <w:t>The cultural memory perspective provides a theoretical basis for understanding how ICH can be revitalized. ICH is not merely a cultural symbol</w:t>
      </w:r>
      <w:r w:rsidR="00EC0DC2">
        <w:rPr>
          <w:rFonts w:ascii="Times New Roman" w:hAnsi="Times New Roman" w:cs="Times New Roman"/>
          <w:sz w:val="24"/>
        </w:rPr>
        <w:t>;</w:t>
      </w:r>
      <w:r w:rsidRPr="00EC0DC2">
        <w:rPr>
          <w:rFonts w:ascii="Times New Roman" w:hAnsi="Times New Roman" w:cs="Times New Roman"/>
          <w:sz w:val="24"/>
        </w:rPr>
        <w:t xml:space="preserve"> it is a living culture that carries collective memory, experience, ways of life, and identity. Digital revitalization uses new media to continue the cultural significance of heritage.</w:t>
      </w:r>
    </w:p>
    <w:p w14:paraId="7E86E049" w14:textId="77777777" w:rsidR="0036042D" w:rsidRPr="00EC0DC2" w:rsidRDefault="00000000" w:rsidP="00EC0DC2">
      <w:pPr>
        <w:rPr>
          <w:rFonts w:ascii="Times New Roman" w:hAnsi="Times New Roman" w:cs="Times New Roman"/>
          <w:sz w:val="24"/>
        </w:rPr>
      </w:pPr>
      <w:r w:rsidRPr="00EC0DC2">
        <w:rPr>
          <w:rFonts w:ascii="Times New Roman" w:hAnsi="Times New Roman" w:cs="Times New Roman"/>
          <w:sz w:val="24"/>
        </w:rPr>
        <w:t>Through cultural memory extraction, semantic reconstruction, multimodal translation, interactive co-creation, and value transformation, AIGC can help move ICH from static memory to dynamic dissemination, from one-way display to public participation, and from resource organization to cultural reproduction. AIGC is not a cure-all. Without the participation of inheritors, cultural researchers, and ethical governance, it can easily lead to cultural distortion, homogenization, copyright disputes, and weakened subjectivity. Future work should build high-quality ICH memory resources by emphasizing authenticity, subjectivity, contextual relevance, and standardization. A collaborative process involving inheritors, researchers, technicians, platforms, and the public can support the renewal and enhancement of cultural memory in ICH.</w:t>
      </w:r>
    </w:p>
    <w:p w14:paraId="17575226" w14:textId="77777777" w:rsidR="0036042D" w:rsidRDefault="0036042D" w:rsidP="00EC0DC2">
      <w:pPr>
        <w:rPr>
          <w:rFonts w:ascii="Times New Roman" w:eastAsia="DengXian" w:hAnsi="Times New Roman" w:cs="Times New Roman"/>
          <w:color w:val="000000"/>
          <w:kern w:val="0"/>
          <w:sz w:val="24"/>
          <w:lang w:val="en-IN" w:eastAsia="en-IN"/>
        </w:rPr>
      </w:pPr>
    </w:p>
    <w:p w14:paraId="6FA62C99" w14:textId="77777777" w:rsidR="006D2C94" w:rsidRPr="006D2C94" w:rsidRDefault="006D2C94" w:rsidP="006D2C94">
      <w:pPr>
        <w:rPr>
          <w:rFonts w:ascii="Times New Roman" w:eastAsia="DengXian" w:hAnsi="Times New Roman" w:cs="Times New Roman"/>
          <w:b/>
          <w:bCs/>
          <w:color w:val="000000"/>
          <w:kern w:val="0"/>
          <w:sz w:val="24"/>
          <w:lang w:val="en-IN" w:eastAsia="en-IN"/>
        </w:rPr>
      </w:pPr>
      <w:r w:rsidRPr="006D2C94">
        <w:rPr>
          <w:rFonts w:ascii="Times New Roman" w:eastAsia="DengXian" w:hAnsi="Times New Roman" w:cs="Times New Roman"/>
          <w:b/>
          <w:bCs/>
          <w:color w:val="000000"/>
          <w:kern w:val="0"/>
          <w:sz w:val="24"/>
          <w:lang w:val="en-IN" w:eastAsia="en-IN"/>
        </w:rPr>
        <w:t>Disclosure statement</w:t>
      </w:r>
    </w:p>
    <w:p w14:paraId="1C16C6A3" w14:textId="79D39624" w:rsidR="006D2C94" w:rsidRDefault="006D2C94" w:rsidP="006D2C94">
      <w:pPr>
        <w:rPr>
          <w:rFonts w:ascii="Times New Roman" w:eastAsia="DengXian" w:hAnsi="Times New Roman" w:cs="Times New Roman"/>
          <w:color w:val="000000"/>
          <w:kern w:val="0"/>
          <w:sz w:val="24"/>
          <w:lang w:val="en-IN" w:eastAsia="en-IN"/>
        </w:rPr>
      </w:pPr>
      <w:r w:rsidRPr="006D2C94">
        <w:rPr>
          <w:rFonts w:ascii="Times New Roman" w:eastAsia="DengXian" w:hAnsi="Times New Roman" w:cs="Times New Roman"/>
          <w:color w:val="000000"/>
          <w:kern w:val="0"/>
          <w:sz w:val="24"/>
          <w:lang w:val="en-IN" w:eastAsia="en-IN"/>
        </w:rPr>
        <w:t>The author declare</w:t>
      </w:r>
      <w:r>
        <w:rPr>
          <w:rFonts w:ascii="Times New Roman" w:eastAsia="DengXian" w:hAnsi="Times New Roman" w:cs="Times New Roman"/>
          <w:color w:val="000000"/>
          <w:kern w:val="0"/>
          <w:sz w:val="24"/>
          <w:lang w:val="en-IN" w:eastAsia="en-IN"/>
        </w:rPr>
        <w:t>s</w:t>
      </w:r>
      <w:r w:rsidRPr="006D2C94">
        <w:rPr>
          <w:rFonts w:ascii="Times New Roman" w:eastAsia="DengXian" w:hAnsi="Times New Roman" w:cs="Times New Roman"/>
          <w:color w:val="000000"/>
          <w:kern w:val="0"/>
          <w:sz w:val="24"/>
          <w:lang w:val="en-IN" w:eastAsia="en-IN"/>
        </w:rPr>
        <w:t xml:space="preserve"> no conflict of interest.</w:t>
      </w:r>
    </w:p>
    <w:p w14:paraId="16811F4A" w14:textId="77777777" w:rsidR="006D2C94" w:rsidRPr="00EC0DC2" w:rsidRDefault="006D2C94" w:rsidP="00EC0DC2">
      <w:pPr>
        <w:rPr>
          <w:rFonts w:ascii="Times New Roman" w:eastAsia="DengXian" w:hAnsi="Times New Roman" w:cs="Times New Roman"/>
          <w:color w:val="000000"/>
          <w:kern w:val="0"/>
          <w:sz w:val="24"/>
          <w:lang w:val="en-IN" w:eastAsia="en-IN"/>
        </w:rPr>
      </w:pPr>
    </w:p>
    <w:p w14:paraId="0BF73893" w14:textId="77777777" w:rsidR="0036042D" w:rsidRPr="00164A64" w:rsidRDefault="00000000" w:rsidP="00EC0DC2">
      <w:pPr>
        <w:rPr>
          <w:rFonts w:ascii="Times New Roman" w:hAnsi="Times New Roman" w:cs="Times New Roman"/>
          <w:b/>
          <w:bCs/>
          <w:sz w:val="24"/>
        </w:rPr>
      </w:pPr>
      <w:r w:rsidRPr="00164A64">
        <w:rPr>
          <w:rFonts w:ascii="Times New Roman" w:hAnsi="Times New Roman" w:cs="Times New Roman"/>
          <w:b/>
          <w:bCs/>
          <w:sz w:val="24"/>
        </w:rPr>
        <w:t>References</w:t>
      </w:r>
    </w:p>
    <w:p w14:paraId="0E27486C" w14:textId="2330BA11" w:rsidR="007C2FB0" w:rsidRPr="007C2FB0" w:rsidRDefault="007C2FB0" w:rsidP="007C2FB0">
      <w:pPr>
        <w:rPr>
          <w:rFonts w:ascii="Times New Roman" w:hAnsi="Times New Roman" w:cs="Times New Roman"/>
          <w:sz w:val="24"/>
        </w:rPr>
      </w:pPr>
      <w:r w:rsidRPr="007C2FB0">
        <w:rPr>
          <w:rFonts w:ascii="Times New Roman" w:hAnsi="Times New Roman" w:cs="Times New Roman"/>
          <w:sz w:val="24"/>
        </w:rPr>
        <w:t>[1]</w:t>
      </w:r>
      <w:r>
        <w:rPr>
          <w:rFonts w:ascii="Times New Roman" w:hAnsi="Times New Roman" w:cs="Times New Roman"/>
          <w:sz w:val="24"/>
        </w:rPr>
        <w:t xml:space="preserve"> </w:t>
      </w:r>
      <w:r w:rsidRPr="007C2FB0">
        <w:rPr>
          <w:rFonts w:ascii="Times New Roman" w:hAnsi="Times New Roman" w:cs="Times New Roman"/>
          <w:sz w:val="24"/>
        </w:rPr>
        <w:t>Foo LG, Rahmani H, Liu J</w:t>
      </w:r>
      <w:r>
        <w:rPr>
          <w:rFonts w:ascii="Times New Roman" w:hAnsi="Times New Roman" w:cs="Times New Roman"/>
          <w:sz w:val="24"/>
        </w:rPr>
        <w:t>,</w:t>
      </w:r>
      <w:r w:rsidRPr="007C2FB0">
        <w:rPr>
          <w:rFonts w:ascii="Times New Roman" w:hAnsi="Times New Roman" w:cs="Times New Roman"/>
          <w:sz w:val="24"/>
        </w:rPr>
        <w:t xml:space="preserve"> 2025</w:t>
      </w:r>
      <w:r>
        <w:rPr>
          <w:rFonts w:ascii="Times New Roman" w:hAnsi="Times New Roman" w:cs="Times New Roman"/>
          <w:sz w:val="24"/>
        </w:rPr>
        <w:t>,</w:t>
      </w:r>
      <w:r w:rsidRPr="007C2FB0">
        <w:rPr>
          <w:rFonts w:ascii="Times New Roman" w:hAnsi="Times New Roman" w:cs="Times New Roman"/>
          <w:sz w:val="24"/>
        </w:rPr>
        <w:t xml:space="preserve"> AI-generated </w:t>
      </w:r>
      <w:r w:rsidRPr="007C2FB0">
        <w:rPr>
          <w:rFonts w:ascii="Times New Roman" w:hAnsi="Times New Roman" w:cs="Times New Roman"/>
          <w:sz w:val="24"/>
        </w:rPr>
        <w:t>C</w:t>
      </w:r>
      <w:r w:rsidRPr="007C2FB0">
        <w:rPr>
          <w:rFonts w:ascii="Times New Roman" w:hAnsi="Times New Roman" w:cs="Times New Roman"/>
          <w:sz w:val="24"/>
        </w:rPr>
        <w:t xml:space="preserve">ontent (AIGC) for </w:t>
      </w:r>
      <w:r w:rsidRPr="007C2FB0">
        <w:rPr>
          <w:rFonts w:ascii="Times New Roman" w:hAnsi="Times New Roman" w:cs="Times New Roman"/>
          <w:sz w:val="24"/>
        </w:rPr>
        <w:t>Various Data Modalities</w:t>
      </w:r>
      <w:r w:rsidRPr="007C2FB0">
        <w:rPr>
          <w:rFonts w:ascii="Times New Roman" w:hAnsi="Times New Roman" w:cs="Times New Roman"/>
          <w:sz w:val="24"/>
        </w:rPr>
        <w:t xml:space="preserve">: A </w:t>
      </w:r>
      <w:r w:rsidRPr="007C2FB0">
        <w:rPr>
          <w:rFonts w:ascii="Times New Roman" w:hAnsi="Times New Roman" w:cs="Times New Roman"/>
          <w:sz w:val="24"/>
        </w:rPr>
        <w:t>Survey</w:t>
      </w:r>
      <w:r w:rsidRPr="007C2FB0">
        <w:rPr>
          <w:rFonts w:ascii="Times New Roman" w:hAnsi="Times New Roman" w:cs="Times New Roman"/>
          <w:sz w:val="24"/>
        </w:rPr>
        <w:t>. ACM Computing Surveys, Article 243</w:t>
      </w:r>
      <w:r>
        <w:rPr>
          <w:rFonts w:ascii="Times New Roman" w:hAnsi="Times New Roman" w:cs="Times New Roman"/>
          <w:sz w:val="24"/>
        </w:rPr>
        <w:t xml:space="preserve">, </w:t>
      </w:r>
      <w:r w:rsidRPr="007C2FB0">
        <w:rPr>
          <w:rFonts w:ascii="Times New Roman" w:hAnsi="Times New Roman" w:cs="Times New Roman"/>
          <w:sz w:val="24"/>
        </w:rPr>
        <w:t>57(9)</w:t>
      </w:r>
      <w:r>
        <w:rPr>
          <w:rFonts w:ascii="Times New Roman" w:hAnsi="Times New Roman" w:cs="Times New Roman"/>
          <w:sz w:val="24"/>
        </w:rPr>
        <w:t>:</w:t>
      </w:r>
      <w:r w:rsidRPr="007C2FB0">
        <w:rPr>
          <w:rFonts w:ascii="Times New Roman" w:hAnsi="Times New Roman" w:cs="Times New Roman"/>
          <w:sz w:val="24"/>
        </w:rPr>
        <w:t xml:space="preserve"> 1–66. https://doi.org/10.1145/3728633</w:t>
      </w:r>
    </w:p>
    <w:p w14:paraId="141216EE" w14:textId="5DDEF20F" w:rsidR="007C2FB0" w:rsidRPr="007C2FB0" w:rsidRDefault="007C2FB0" w:rsidP="007C2FB0">
      <w:pPr>
        <w:rPr>
          <w:rFonts w:ascii="Times New Roman" w:hAnsi="Times New Roman" w:cs="Times New Roman"/>
          <w:sz w:val="24"/>
        </w:rPr>
      </w:pPr>
      <w:r w:rsidRPr="007C2FB0">
        <w:rPr>
          <w:rFonts w:ascii="Times New Roman" w:hAnsi="Times New Roman" w:cs="Times New Roman"/>
          <w:sz w:val="24"/>
        </w:rPr>
        <w:t>[2]</w:t>
      </w:r>
      <w:r>
        <w:rPr>
          <w:rFonts w:ascii="Times New Roman" w:hAnsi="Times New Roman" w:cs="Times New Roman"/>
          <w:sz w:val="24"/>
        </w:rPr>
        <w:t xml:space="preserve"> </w:t>
      </w:r>
      <w:proofErr w:type="spellStart"/>
      <w:r w:rsidRPr="007C2FB0">
        <w:rPr>
          <w:rFonts w:ascii="Times New Roman" w:hAnsi="Times New Roman" w:cs="Times New Roman"/>
          <w:sz w:val="24"/>
        </w:rPr>
        <w:t>Spennemann</w:t>
      </w:r>
      <w:proofErr w:type="spellEnd"/>
      <w:r w:rsidRPr="007C2FB0">
        <w:rPr>
          <w:rFonts w:ascii="Times New Roman" w:hAnsi="Times New Roman" w:cs="Times New Roman"/>
          <w:sz w:val="24"/>
        </w:rPr>
        <w:t xml:space="preserve"> DHR</w:t>
      </w:r>
      <w:r>
        <w:rPr>
          <w:rFonts w:ascii="Times New Roman" w:hAnsi="Times New Roman" w:cs="Times New Roman"/>
          <w:sz w:val="24"/>
        </w:rPr>
        <w:t>,</w:t>
      </w:r>
      <w:r w:rsidRPr="007C2FB0">
        <w:rPr>
          <w:rFonts w:ascii="Times New Roman" w:hAnsi="Times New Roman" w:cs="Times New Roman"/>
          <w:sz w:val="24"/>
        </w:rPr>
        <w:t xml:space="preserve"> 2024</w:t>
      </w:r>
      <w:r>
        <w:rPr>
          <w:rFonts w:ascii="Times New Roman" w:hAnsi="Times New Roman" w:cs="Times New Roman"/>
          <w:sz w:val="24"/>
        </w:rPr>
        <w:t>,</w:t>
      </w:r>
      <w:r w:rsidRPr="007C2FB0">
        <w:rPr>
          <w:rFonts w:ascii="Times New Roman" w:hAnsi="Times New Roman" w:cs="Times New Roman"/>
          <w:sz w:val="24"/>
        </w:rPr>
        <w:t xml:space="preserve"> Generative </w:t>
      </w:r>
      <w:r w:rsidRPr="007C2FB0">
        <w:rPr>
          <w:rFonts w:ascii="Times New Roman" w:hAnsi="Times New Roman" w:cs="Times New Roman"/>
          <w:sz w:val="24"/>
        </w:rPr>
        <w:t xml:space="preserve">Artificial Intelligence, Human Agency </w:t>
      </w:r>
      <w:r w:rsidRPr="007C2FB0">
        <w:rPr>
          <w:rFonts w:ascii="Times New Roman" w:hAnsi="Times New Roman" w:cs="Times New Roman"/>
          <w:sz w:val="24"/>
        </w:rPr>
        <w:t xml:space="preserve">and the </w:t>
      </w:r>
      <w:r w:rsidRPr="007C2FB0">
        <w:rPr>
          <w:rFonts w:ascii="Times New Roman" w:hAnsi="Times New Roman" w:cs="Times New Roman"/>
          <w:sz w:val="24"/>
        </w:rPr>
        <w:t>Future</w:t>
      </w:r>
      <w:r w:rsidRPr="007C2FB0">
        <w:rPr>
          <w:rFonts w:ascii="Times New Roman" w:hAnsi="Times New Roman" w:cs="Times New Roman"/>
          <w:sz w:val="24"/>
        </w:rPr>
        <w:t xml:space="preserve"> of </w:t>
      </w:r>
      <w:r w:rsidRPr="007C2FB0">
        <w:rPr>
          <w:rFonts w:ascii="Times New Roman" w:hAnsi="Times New Roman" w:cs="Times New Roman"/>
          <w:sz w:val="24"/>
        </w:rPr>
        <w:t>Cultura</w:t>
      </w:r>
      <w:r w:rsidRPr="007C2FB0">
        <w:rPr>
          <w:rFonts w:ascii="Times New Roman" w:hAnsi="Times New Roman" w:cs="Times New Roman"/>
          <w:sz w:val="24"/>
        </w:rPr>
        <w:t xml:space="preserve">l </w:t>
      </w:r>
      <w:r w:rsidRPr="007C2FB0">
        <w:rPr>
          <w:rFonts w:ascii="Times New Roman" w:hAnsi="Times New Roman" w:cs="Times New Roman"/>
          <w:sz w:val="24"/>
        </w:rPr>
        <w:t>Herit</w:t>
      </w:r>
      <w:r w:rsidRPr="007C2FB0">
        <w:rPr>
          <w:rFonts w:ascii="Times New Roman" w:hAnsi="Times New Roman" w:cs="Times New Roman"/>
          <w:sz w:val="24"/>
        </w:rPr>
        <w:t>age. Heritage, 7(7)</w:t>
      </w:r>
      <w:r>
        <w:rPr>
          <w:rFonts w:ascii="Times New Roman" w:hAnsi="Times New Roman" w:cs="Times New Roman"/>
          <w:sz w:val="24"/>
        </w:rPr>
        <w:t>:</w:t>
      </w:r>
      <w:r w:rsidRPr="007C2FB0">
        <w:rPr>
          <w:rFonts w:ascii="Times New Roman" w:hAnsi="Times New Roman" w:cs="Times New Roman"/>
          <w:sz w:val="24"/>
        </w:rPr>
        <w:t xml:space="preserve"> 3597–3609. https://doi.org/10.3390/heritage7070170</w:t>
      </w:r>
    </w:p>
    <w:p w14:paraId="15065BB7" w14:textId="2D4828C7" w:rsidR="007C2FB0" w:rsidRPr="007C2FB0" w:rsidRDefault="007C2FB0" w:rsidP="007C2FB0">
      <w:pPr>
        <w:rPr>
          <w:rFonts w:ascii="Times New Roman" w:hAnsi="Times New Roman" w:cs="Times New Roman"/>
          <w:sz w:val="24"/>
        </w:rPr>
      </w:pPr>
      <w:r w:rsidRPr="007C2FB0">
        <w:rPr>
          <w:rFonts w:ascii="Times New Roman" w:hAnsi="Times New Roman" w:cs="Times New Roman"/>
          <w:sz w:val="24"/>
        </w:rPr>
        <w:t>[3]</w:t>
      </w:r>
      <w:r>
        <w:rPr>
          <w:rFonts w:ascii="Times New Roman" w:hAnsi="Times New Roman" w:cs="Times New Roman"/>
          <w:sz w:val="24"/>
        </w:rPr>
        <w:t xml:space="preserve"> </w:t>
      </w:r>
      <w:r w:rsidRPr="007C2FB0">
        <w:rPr>
          <w:rFonts w:ascii="Times New Roman" w:hAnsi="Times New Roman" w:cs="Times New Roman"/>
          <w:sz w:val="24"/>
        </w:rPr>
        <w:t>Foka A, Griffin G</w:t>
      </w:r>
      <w:r>
        <w:rPr>
          <w:rFonts w:ascii="Times New Roman" w:hAnsi="Times New Roman" w:cs="Times New Roman"/>
          <w:sz w:val="24"/>
        </w:rPr>
        <w:t>,</w:t>
      </w:r>
      <w:r w:rsidRPr="007C2FB0">
        <w:rPr>
          <w:rFonts w:ascii="Times New Roman" w:hAnsi="Times New Roman" w:cs="Times New Roman"/>
          <w:sz w:val="24"/>
        </w:rPr>
        <w:t xml:space="preserve"> 2024</w:t>
      </w:r>
      <w:r>
        <w:rPr>
          <w:rFonts w:ascii="Times New Roman" w:hAnsi="Times New Roman" w:cs="Times New Roman"/>
          <w:sz w:val="24"/>
        </w:rPr>
        <w:t>,</w:t>
      </w:r>
      <w:r w:rsidRPr="007C2FB0">
        <w:rPr>
          <w:rFonts w:ascii="Times New Roman" w:hAnsi="Times New Roman" w:cs="Times New Roman"/>
          <w:sz w:val="24"/>
        </w:rPr>
        <w:t xml:space="preserve"> AI, </w:t>
      </w:r>
      <w:r w:rsidRPr="007C2FB0">
        <w:rPr>
          <w:rFonts w:ascii="Times New Roman" w:hAnsi="Times New Roman" w:cs="Times New Roman"/>
          <w:sz w:val="24"/>
        </w:rPr>
        <w:t>Cultural Heritage</w:t>
      </w:r>
      <w:r w:rsidRPr="007C2FB0">
        <w:rPr>
          <w:rFonts w:ascii="Times New Roman" w:hAnsi="Times New Roman" w:cs="Times New Roman"/>
          <w:sz w:val="24"/>
        </w:rPr>
        <w:t xml:space="preserve">, and </w:t>
      </w:r>
      <w:r w:rsidRPr="007C2FB0">
        <w:rPr>
          <w:rFonts w:ascii="Times New Roman" w:hAnsi="Times New Roman" w:cs="Times New Roman"/>
          <w:sz w:val="24"/>
        </w:rPr>
        <w:t xml:space="preserve">Bias: </w:t>
      </w:r>
      <w:r w:rsidRPr="007C2FB0">
        <w:rPr>
          <w:rFonts w:ascii="Times New Roman" w:hAnsi="Times New Roman" w:cs="Times New Roman"/>
          <w:sz w:val="24"/>
        </w:rPr>
        <w:t xml:space="preserve">Some </w:t>
      </w:r>
      <w:r w:rsidRPr="007C2FB0">
        <w:rPr>
          <w:rFonts w:ascii="Times New Roman" w:hAnsi="Times New Roman" w:cs="Times New Roman"/>
          <w:sz w:val="24"/>
        </w:rPr>
        <w:t xml:space="preserve">Key Queries </w:t>
      </w:r>
      <w:r w:rsidRPr="007C2FB0">
        <w:rPr>
          <w:rFonts w:ascii="Times New Roman" w:hAnsi="Times New Roman" w:cs="Times New Roman"/>
          <w:sz w:val="24"/>
        </w:rPr>
        <w:t xml:space="preserve">that </w:t>
      </w:r>
      <w:r w:rsidRPr="007C2FB0">
        <w:rPr>
          <w:rFonts w:ascii="Times New Roman" w:hAnsi="Times New Roman" w:cs="Times New Roman"/>
          <w:sz w:val="24"/>
        </w:rPr>
        <w:t>Arise</w:t>
      </w:r>
      <w:r w:rsidRPr="007C2FB0">
        <w:rPr>
          <w:rFonts w:ascii="Times New Roman" w:hAnsi="Times New Roman" w:cs="Times New Roman"/>
          <w:sz w:val="24"/>
        </w:rPr>
        <w:t xml:space="preserve"> from the </w:t>
      </w:r>
      <w:r w:rsidRPr="007C2FB0">
        <w:rPr>
          <w:rFonts w:ascii="Times New Roman" w:hAnsi="Times New Roman" w:cs="Times New Roman"/>
          <w:sz w:val="24"/>
        </w:rPr>
        <w:t>Use</w:t>
      </w:r>
      <w:r w:rsidRPr="007C2FB0">
        <w:rPr>
          <w:rFonts w:ascii="Times New Roman" w:hAnsi="Times New Roman" w:cs="Times New Roman"/>
          <w:sz w:val="24"/>
        </w:rPr>
        <w:t xml:space="preserve"> of GenAI. Heritage, 7(11)</w:t>
      </w:r>
      <w:r>
        <w:rPr>
          <w:rFonts w:ascii="Times New Roman" w:hAnsi="Times New Roman" w:cs="Times New Roman"/>
          <w:sz w:val="24"/>
        </w:rPr>
        <w:t>:</w:t>
      </w:r>
      <w:r w:rsidRPr="007C2FB0">
        <w:rPr>
          <w:rFonts w:ascii="Times New Roman" w:hAnsi="Times New Roman" w:cs="Times New Roman"/>
          <w:sz w:val="24"/>
        </w:rPr>
        <w:t xml:space="preserve"> 6125–6136. https://doi.org/10.3390/heritage7110287</w:t>
      </w:r>
    </w:p>
    <w:p w14:paraId="2FF93840" w14:textId="0C01A824" w:rsidR="007C2FB0" w:rsidRPr="007C2FB0" w:rsidRDefault="007C2FB0" w:rsidP="007C2FB0">
      <w:pPr>
        <w:rPr>
          <w:rFonts w:ascii="Times New Roman" w:hAnsi="Times New Roman" w:cs="Times New Roman"/>
          <w:sz w:val="24"/>
        </w:rPr>
      </w:pPr>
      <w:r w:rsidRPr="007C2FB0">
        <w:rPr>
          <w:rFonts w:ascii="Times New Roman" w:hAnsi="Times New Roman" w:cs="Times New Roman"/>
          <w:sz w:val="24"/>
        </w:rPr>
        <w:t>[4]</w:t>
      </w:r>
      <w:r>
        <w:rPr>
          <w:rFonts w:ascii="Times New Roman" w:hAnsi="Times New Roman" w:cs="Times New Roman"/>
          <w:sz w:val="24"/>
        </w:rPr>
        <w:t xml:space="preserve"> </w:t>
      </w:r>
      <w:r w:rsidRPr="007C2FB0">
        <w:rPr>
          <w:rFonts w:ascii="Times New Roman" w:hAnsi="Times New Roman" w:cs="Times New Roman"/>
          <w:sz w:val="24"/>
        </w:rPr>
        <w:t>Kowalska S</w:t>
      </w:r>
      <w:r>
        <w:rPr>
          <w:rFonts w:ascii="Times New Roman" w:hAnsi="Times New Roman" w:cs="Times New Roman"/>
          <w:sz w:val="24"/>
        </w:rPr>
        <w:t>,</w:t>
      </w:r>
      <w:r w:rsidRPr="007C2FB0">
        <w:rPr>
          <w:rFonts w:ascii="Times New Roman" w:hAnsi="Times New Roman" w:cs="Times New Roman"/>
          <w:sz w:val="24"/>
        </w:rPr>
        <w:t xml:space="preserve"> 2024</w:t>
      </w:r>
      <w:r>
        <w:rPr>
          <w:rFonts w:ascii="Times New Roman" w:hAnsi="Times New Roman" w:cs="Times New Roman"/>
          <w:sz w:val="24"/>
        </w:rPr>
        <w:t>,</w:t>
      </w:r>
      <w:r w:rsidRPr="007C2FB0">
        <w:rPr>
          <w:rFonts w:ascii="Times New Roman" w:hAnsi="Times New Roman" w:cs="Times New Roman"/>
          <w:sz w:val="24"/>
        </w:rPr>
        <w:t xml:space="preserve"> Intangible </w:t>
      </w:r>
      <w:r w:rsidRPr="007C2FB0">
        <w:rPr>
          <w:rFonts w:ascii="Times New Roman" w:hAnsi="Times New Roman" w:cs="Times New Roman"/>
          <w:sz w:val="24"/>
        </w:rPr>
        <w:t>Cultural Heritage</w:t>
      </w:r>
      <w:r w:rsidRPr="007C2FB0">
        <w:rPr>
          <w:rFonts w:ascii="Times New Roman" w:hAnsi="Times New Roman" w:cs="Times New Roman"/>
          <w:sz w:val="24"/>
        </w:rPr>
        <w:t xml:space="preserve">: Social </w:t>
      </w:r>
      <w:r w:rsidRPr="007C2FB0">
        <w:rPr>
          <w:rFonts w:ascii="Times New Roman" w:hAnsi="Times New Roman" w:cs="Times New Roman"/>
          <w:sz w:val="24"/>
        </w:rPr>
        <w:t xml:space="preserve">Memory </w:t>
      </w:r>
      <w:r w:rsidRPr="007C2FB0">
        <w:rPr>
          <w:rFonts w:ascii="Times New Roman" w:hAnsi="Times New Roman" w:cs="Times New Roman"/>
          <w:sz w:val="24"/>
        </w:rPr>
        <w:t xml:space="preserve">and the </w:t>
      </w:r>
      <w:r w:rsidRPr="007C2FB0">
        <w:rPr>
          <w:rFonts w:ascii="Times New Roman" w:hAnsi="Times New Roman" w:cs="Times New Roman"/>
          <w:sz w:val="24"/>
        </w:rPr>
        <w:t>Ax</w:t>
      </w:r>
      <w:r w:rsidRPr="007C2FB0">
        <w:rPr>
          <w:rFonts w:ascii="Times New Roman" w:hAnsi="Times New Roman" w:cs="Times New Roman"/>
          <w:sz w:val="24"/>
        </w:rPr>
        <w:t xml:space="preserve">iology of </w:t>
      </w:r>
      <w:r w:rsidRPr="007C2FB0">
        <w:rPr>
          <w:rFonts w:ascii="Times New Roman" w:hAnsi="Times New Roman" w:cs="Times New Roman"/>
          <w:sz w:val="24"/>
        </w:rPr>
        <w:t>Prote</w:t>
      </w:r>
      <w:r w:rsidRPr="007C2FB0">
        <w:rPr>
          <w:rFonts w:ascii="Times New Roman" w:hAnsi="Times New Roman" w:cs="Times New Roman"/>
          <w:sz w:val="24"/>
        </w:rPr>
        <w:t xml:space="preserve">ction. </w:t>
      </w:r>
      <w:proofErr w:type="spellStart"/>
      <w:r w:rsidRPr="007C2FB0">
        <w:rPr>
          <w:rFonts w:ascii="Times New Roman" w:hAnsi="Times New Roman" w:cs="Times New Roman"/>
          <w:sz w:val="24"/>
        </w:rPr>
        <w:t>Muzeológia</w:t>
      </w:r>
      <w:proofErr w:type="spellEnd"/>
      <w:r w:rsidRPr="007C2FB0">
        <w:rPr>
          <w:rFonts w:ascii="Times New Roman" w:hAnsi="Times New Roman" w:cs="Times New Roman"/>
          <w:sz w:val="24"/>
        </w:rPr>
        <w:t xml:space="preserve"> a </w:t>
      </w:r>
      <w:proofErr w:type="spellStart"/>
      <w:r w:rsidRPr="007C2FB0">
        <w:rPr>
          <w:rFonts w:ascii="Times New Roman" w:hAnsi="Times New Roman" w:cs="Times New Roman"/>
          <w:sz w:val="24"/>
        </w:rPr>
        <w:t>Kultúrne</w:t>
      </w:r>
      <w:proofErr w:type="spellEnd"/>
      <w:r w:rsidRPr="007C2FB0">
        <w:rPr>
          <w:rFonts w:ascii="Times New Roman" w:hAnsi="Times New Roman" w:cs="Times New Roman"/>
          <w:sz w:val="24"/>
        </w:rPr>
        <w:t xml:space="preserve"> </w:t>
      </w:r>
      <w:proofErr w:type="spellStart"/>
      <w:r w:rsidRPr="007C2FB0">
        <w:rPr>
          <w:rFonts w:ascii="Times New Roman" w:hAnsi="Times New Roman" w:cs="Times New Roman"/>
          <w:sz w:val="24"/>
        </w:rPr>
        <w:t>Dedičstvo</w:t>
      </w:r>
      <w:proofErr w:type="spellEnd"/>
      <w:r w:rsidRPr="007C2FB0">
        <w:rPr>
          <w:rFonts w:ascii="Times New Roman" w:hAnsi="Times New Roman" w:cs="Times New Roman"/>
          <w:sz w:val="24"/>
        </w:rPr>
        <w:t>, 12(3)</w:t>
      </w:r>
      <w:r>
        <w:rPr>
          <w:rFonts w:ascii="Times New Roman" w:hAnsi="Times New Roman" w:cs="Times New Roman"/>
          <w:sz w:val="24"/>
        </w:rPr>
        <w:t>:</w:t>
      </w:r>
      <w:r w:rsidRPr="007C2FB0">
        <w:rPr>
          <w:rFonts w:ascii="Times New Roman" w:hAnsi="Times New Roman" w:cs="Times New Roman"/>
          <w:sz w:val="24"/>
        </w:rPr>
        <w:t xml:space="preserve"> 63–75. https://doi.org/10.46284/mkd.2024.12.3.5</w:t>
      </w:r>
    </w:p>
    <w:p w14:paraId="06EFAEA5" w14:textId="4D240030" w:rsidR="007C2FB0" w:rsidRPr="007C2FB0" w:rsidRDefault="007C2FB0" w:rsidP="007C2FB0">
      <w:pPr>
        <w:rPr>
          <w:rFonts w:ascii="Times New Roman" w:hAnsi="Times New Roman" w:cs="Times New Roman"/>
          <w:sz w:val="24"/>
        </w:rPr>
      </w:pPr>
      <w:r w:rsidRPr="007C2FB0">
        <w:rPr>
          <w:rFonts w:ascii="Times New Roman" w:hAnsi="Times New Roman" w:cs="Times New Roman"/>
          <w:sz w:val="24"/>
        </w:rPr>
        <w:t>[5]</w:t>
      </w:r>
      <w:r>
        <w:rPr>
          <w:rFonts w:ascii="Times New Roman" w:hAnsi="Times New Roman" w:cs="Times New Roman"/>
          <w:sz w:val="24"/>
        </w:rPr>
        <w:t xml:space="preserve"> </w:t>
      </w:r>
      <w:r w:rsidRPr="007C2FB0">
        <w:rPr>
          <w:rFonts w:ascii="Times New Roman" w:hAnsi="Times New Roman" w:cs="Times New Roman"/>
          <w:sz w:val="24"/>
        </w:rPr>
        <w:t>Yu L</w:t>
      </w:r>
      <w:r>
        <w:rPr>
          <w:rFonts w:ascii="Times New Roman" w:hAnsi="Times New Roman" w:cs="Times New Roman"/>
          <w:sz w:val="24"/>
        </w:rPr>
        <w:t>,</w:t>
      </w:r>
      <w:r w:rsidRPr="007C2FB0">
        <w:rPr>
          <w:rFonts w:ascii="Times New Roman" w:hAnsi="Times New Roman" w:cs="Times New Roman"/>
          <w:sz w:val="24"/>
        </w:rPr>
        <w:t xml:space="preserve"> 2023</w:t>
      </w:r>
      <w:r>
        <w:rPr>
          <w:rFonts w:ascii="Times New Roman" w:hAnsi="Times New Roman" w:cs="Times New Roman"/>
          <w:sz w:val="24"/>
        </w:rPr>
        <w:t>,</w:t>
      </w:r>
      <w:r w:rsidRPr="007C2FB0">
        <w:rPr>
          <w:rFonts w:ascii="Times New Roman" w:hAnsi="Times New Roman" w:cs="Times New Roman"/>
          <w:sz w:val="24"/>
        </w:rPr>
        <w:t xml:space="preserve"> Digital </w:t>
      </w:r>
      <w:r w:rsidRPr="007C2FB0">
        <w:rPr>
          <w:rFonts w:ascii="Times New Roman" w:hAnsi="Times New Roman" w:cs="Times New Roman"/>
          <w:sz w:val="24"/>
        </w:rPr>
        <w:t>Sustainab</w:t>
      </w:r>
      <w:r w:rsidRPr="007C2FB0">
        <w:rPr>
          <w:rFonts w:ascii="Times New Roman" w:hAnsi="Times New Roman" w:cs="Times New Roman"/>
          <w:sz w:val="24"/>
        </w:rPr>
        <w:t xml:space="preserve">ility of </w:t>
      </w:r>
      <w:r w:rsidRPr="007C2FB0">
        <w:rPr>
          <w:rFonts w:ascii="Times New Roman" w:hAnsi="Times New Roman" w:cs="Times New Roman"/>
          <w:sz w:val="24"/>
        </w:rPr>
        <w:t>Intan</w:t>
      </w:r>
      <w:r w:rsidRPr="007C2FB0">
        <w:rPr>
          <w:rFonts w:ascii="Times New Roman" w:hAnsi="Times New Roman" w:cs="Times New Roman"/>
          <w:sz w:val="24"/>
        </w:rPr>
        <w:t xml:space="preserve">gible </w:t>
      </w:r>
      <w:r w:rsidRPr="007C2FB0">
        <w:rPr>
          <w:rFonts w:ascii="Times New Roman" w:hAnsi="Times New Roman" w:cs="Times New Roman"/>
          <w:sz w:val="24"/>
        </w:rPr>
        <w:t xml:space="preserve">Cultural Heritage: </w:t>
      </w:r>
      <w:r w:rsidRPr="007C2FB0">
        <w:rPr>
          <w:rFonts w:ascii="Times New Roman" w:hAnsi="Times New Roman" w:cs="Times New Roman"/>
          <w:sz w:val="24"/>
        </w:rPr>
        <w:t xml:space="preserve">The </w:t>
      </w:r>
      <w:r w:rsidRPr="007C2FB0">
        <w:rPr>
          <w:rFonts w:ascii="Times New Roman" w:hAnsi="Times New Roman" w:cs="Times New Roman"/>
          <w:sz w:val="24"/>
        </w:rPr>
        <w:t xml:space="preserve">Example </w:t>
      </w:r>
      <w:r w:rsidRPr="007C2FB0">
        <w:rPr>
          <w:rFonts w:ascii="Times New Roman" w:hAnsi="Times New Roman" w:cs="Times New Roman"/>
          <w:sz w:val="24"/>
        </w:rPr>
        <w:t xml:space="preserve">of the “Wu Leno” </w:t>
      </w:r>
      <w:r w:rsidRPr="007C2FB0">
        <w:rPr>
          <w:rFonts w:ascii="Times New Roman" w:hAnsi="Times New Roman" w:cs="Times New Roman"/>
          <w:sz w:val="24"/>
        </w:rPr>
        <w:t>Weaving Techn</w:t>
      </w:r>
      <w:r w:rsidRPr="007C2FB0">
        <w:rPr>
          <w:rFonts w:ascii="Times New Roman" w:hAnsi="Times New Roman" w:cs="Times New Roman"/>
          <w:sz w:val="24"/>
        </w:rPr>
        <w:t>ique in Suzhou, China. Sustainability, 15(12)</w:t>
      </w:r>
      <w:r>
        <w:rPr>
          <w:rFonts w:ascii="Times New Roman" w:hAnsi="Times New Roman" w:cs="Times New Roman"/>
          <w:sz w:val="24"/>
        </w:rPr>
        <w:t>:</w:t>
      </w:r>
      <w:r w:rsidRPr="007C2FB0">
        <w:rPr>
          <w:rFonts w:ascii="Times New Roman" w:hAnsi="Times New Roman" w:cs="Times New Roman"/>
          <w:sz w:val="24"/>
        </w:rPr>
        <w:t xml:space="preserve"> Article 9803. https://doi.org/10.3390/su15129803</w:t>
      </w:r>
    </w:p>
    <w:p w14:paraId="340B96AE" w14:textId="7D0E2F4A" w:rsidR="007C2FB0" w:rsidRPr="007C2FB0" w:rsidRDefault="007C2FB0" w:rsidP="007C2FB0">
      <w:pPr>
        <w:rPr>
          <w:rFonts w:ascii="Times New Roman" w:hAnsi="Times New Roman" w:cs="Times New Roman"/>
          <w:sz w:val="24"/>
        </w:rPr>
      </w:pPr>
      <w:r w:rsidRPr="007C2FB0">
        <w:rPr>
          <w:rFonts w:ascii="Times New Roman" w:hAnsi="Times New Roman" w:cs="Times New Roman"/>
          <w:sz w:val="24"/>
        </w:rPr>
        <w:t>[6]</w:t>
      </w:r>
      <w:r>
        <w:rPr>
          <w:rFonts w:ascii="Times New Roman" w:hAnsi="Times New Roman" w:cs="Times New Roman"/>
          <w:sz w:val="24"/>
        </w:rPr>
        <w:t xml:space="preserve"> </w:t>
      </w:r>
      <w:r w:rsidRPr="007C2FB0">
        <w:rPr>
          <w:rFonts w:ascii="Times New Roman" w:hAnsi="Times New Roman" w:cs="Times New Roman"/>
          <w:sz w:val="24"/>
        </w:rPr>
        <w:t>Li J</w:t>
      </w:r>
      <w:r>
        <w:rPr>
          <w:rFonts w:ascii="Times New Roman" w:hAnsi="Times New Roman" w:cs="Times New Roman"/>
          <w:sz w:val="24"/>
        </w:rPr>
        <w:t>,</w:t>
      </w:r>
      <w:r w:rsidRPr="007C2FB0">
        <w:rPr>
          <w:rFonts w:ascii="Times New Roman" w:hAnsi="Times New Roman" w:cs="Times New Roman"/>
          <w:sz w:val="24"/>
        </w:rPr>
        <w:t xml:space="preserve"> 2022</w:t>
      </w:r>
      <w:r>
        <w:rPr>
          <w:rFonts w:ascii="Times New Roman" w:hAnsi="Times New Roman" w:cs="Times New Roman"/>
          <w:sz w:val="24"/>
        </w:rPr>
        <w:t>,</w:t>
      </w:r>
      <w:r w:rsidRPr="007C2FB0">
        <w:rPr>
          <w:rFonts w:ascii="Times New Roman" w:hAnsi="Times New Roman" w:cs="Times New Roman"/>
          <w:sz w:val="24"/>
        </w:rPr>
        <w:t xml:space="preserve"> Grounded </w:t>
      </w:r>
      <w:r w:rsidRPr="007C2FB0">
        <w:rPr>
          <w:rFonts w:ascii="Times New Roman" w:hAnsi="Times New Roman" w:cs="Times New Roman"/>
          <w:sz w:val="24"/>
        </w:rPr>
        <w:t>The</w:t>
      </w:r>
      <w:r w:rsidRPr="007C2FB0">
        <w:rPr>
          <w:rFonts w:ascii="Times New Roman" w:hAnsi="Times New Roman" w:cs="Times New Roman"/>
          <w:sz w:val="24"/>
        </w:rPr>
        <w:t xml:space="preserve">ory-based </w:t>
      </w:r>
      <w:r w:rsidRPr="007C2FB0">
        <w:rPr>
          <w:rFonts w:ascii="Times New Roman" w:hAnsi="Times New Roman" w:cs="Times New Roman"/>
          <w:sz w:val="24"/>
        </w:rPr>
        <w:t>Mod</w:t>
      </w:r>
      <w:r w:rsidRPr="007C2FB0">
        <w:rPr>
          <w:rFonts w:ascii="Times New Roman" w:hAnsi="Times New Roman" w:cs="Times New Roman"/>
          <w:sz w:val="24"/>
        </w:rPr>
        <w:t xml:space="preserve">el of the </w:t>
      </w:r>
      <w:r w:rsidRPr="007C2FB0">
        <w:rPr>
          <w:rFonts w:ascii="Times New Roman" w:hAnsi="Times New Roman" w:cs="Times New Roman"/>
          <w:sz w:val="24"/>
        </w:rPr>
        <w:t>Influen</w:t>
      </w:r>
      <w:r w:rsidRPr="007C2FB0">
        <w:rPr>
          <w:rFonts w:ascii="Times New Roman" w:hAnsi="Times New Roman" w:cs="Times New Roman"/>
          <w:sz w:val="24"/>
        </w:rPr>
        <w:t xml:space="preserve">ce of </w:t>
      </w:r>
      <w:r w:rsidRPr="007C2FB0">
        <w:rPr>
          <w:rFonts w:ascii="Times New Roman" w:hAnsi="Times New Roman" w:cs="Times New Roman"/>
          <w:sz w:val="24"/>
        </w:rPr>
        <w:t xml:space="preserve">Digital Communication </w:t>
      </w:r>
      <w:r w:rsidRPr="007C2FB0">
        <w:rPr>
          <w:rFonts w:ascii="Times New Roman" w:hAnsi="Times New Roman" w:cs="Times New Roman"/>
          <w:sz w:val="24"/>
        </w:rPr>
        <w:t xml:space="preserve">on </w:t>
      </w:r>
      <w:r w:rsidRPr="007C2FB0">
        <w:rPr>
          <w:rFonts w:ascii="Times New Roman" w:hAnsi="Times New Roman" w:cs="Times New Roman"/>
          <w:sz w:val="24"/>
        </w:rPr>
        <w:t>Handicraft Intangible Cultural Heritage</w:t>
      </w:r>
      <w:r w:rsidRPr="007C2FB0">
        <w:rPr>
          <w:rFonts w:ascii="Times New Roman" w:hAnsi="Times New Roman" w:cs="Times New Roman"/>
          <w:sz w:val="24"/>
        </w:rPr>
        <w:t>. Heritage Science, 10(1)</w:t>
      </w:r>
      <w:r>
        <w:rPr>
          <w:rFonts w:ascii="Times New Roman" w:hAnsi="Times New Roman" w:cs="Times New Roman"/>
          <w:sz w:val="24"/>
        </w:rPr>
        <w:t>:</w:t>
      </w:r>
      <w:r w:rsidRPr="007C2FB0">
        <w:rPr>
          <w:rFonts w:ascii="Times New Roman" w:hAnsi="Times New Roman" w:cs="Times New Roman"/>
          <w:sz w:val="24"/>
        </w:rPr>
        <w:t xml:space="preserve"> Article 126. https://doi.org/10.1186/s40494-022-00760-z</w:t>
      </w:r>
    </w:p>
    <w:p w14:paraId="3BA06787" w14:textId="7324E4A5" w:rsidR="007C2FB0" w:rsidRPr="007C2FB0" w:rsidRDefault="007C2FB0" w:rsidP="007C2FB0">
      <w:pPr>
        <w:rPr>
          <w:rFonts w:ascii="Times New Roman" w:hAnsi="Times New Roman" w:cs="Times New Roman"/>
          <w:sz w:val="24"/>
        </w:rPr>
      </w:pPr>
      <w:r w:rsidRPr="007C2FB0">
        <w:rPr>
          <w:rFonts w:ascii="Times New Roman" w:hAnsi="Times New Roman" w:cs="Times New Roman"/>
          <w:sz w:val="24"/>
        </w:rPr>
        <w:t>[7]</w:t>
      </w:r>
      <w:r>
        <w:rPr>
          <w:rFonts w:ascii="Times New Roman" w:hAnsi="Times New Roman" w:cs="Times New Roman"/>
          <w:sz w:val="24"/>
        </w:rPr>
        <w:t xml:space="preserve"> </w:t>
      </w:r>
      <w:r w:rsidRPr="007C2FB0">
        <w:rPr>
          <w:rFonts w:ascii="Times New Roman" w:hAnsi="Times New Roman" w:cs="Times New Roman"/>
          <w:sz w:val="24"/>
        </w:rPr>
        <w:t xml:space="preserve">Hou Y, Kenderdine S, Picca D, </w:t>
      </w:r>
      <w:r>
        <w:rPr>
          <w:rFonts w:ascii="Times New Roman" w:hAnsi="Times New Roman" w:cs="Times New Roman"/>
          <w:sz w:val="24"/>
        </w:rPr>
        <w:t>et al.,</w:t>
      </w:r>
      <w:r w:rsidRPr="007C2FB0">
        <w:rPr>
          <w:rFonts w:ascii="Times New Roman" w:hAnsi="Times New Roman" w:cs="Times New Roman"/>
          <w:sz w:val="24"/>
        </w:rPr>
        <w:t xml:space="preserve"> 2022</w:t>
      </w:r>
      <w:r>
        <w:rPr>
          <w:rFonts w:ascii="Times New Roman" w:hAnsi="Times New Roman" w:cs="Times New Roman"/>
          <w:sz w:val="24"/>
        </w:rPr>
        <w:t>,</w:t>
      </w:r>
      <w:r w:rsidRPr="007C2FB0">
        <w:rPr>
          <w:rFonts w:ascii="Times New Roman" w:hAnsi="Times New Roman" w:cs="Times New Roman"/>
          <w:sz w:val="24"/>
        </w:rPr>
        <w:t xml:space="preserve"> Digitizing </w:t>
      </w:r>
      <w:r w:rsidRPr="007C2FB0">
        <w:rPr>
          <w:rFonts w:ascii="Times New Roman" w:hAnsi="Times New Roman" w:cs="Times New Roman"/>
          <w:sz w:val="24"/>
        </w:rPr>
        <w:t>Intangible Cultural Heritage Embodied</w:t>
      </w:r>
      <w:r w:rsidRPr="007C2FB0">
        <w:rPr>
          <w:rFonts w:ascii="Times New Roman" w:hAnsi="Times New Roman" w:cs="Times New Roman"/>
          <w:sz w:val="24"/>
        </w:rPr>
        <w:t xml:space="preserve">: State of the </w:t>
      </w:r>
      <w:r w:rsidRPr="007C2FB0">
        <w:rPr>
          <w:rFonts w:ascii="Times New Roman" w:hAnsi="Times New Roman" w:cs="Times New Roman"/>
          <w:sz w:val="24"/>
        </w:rPr>
        <w:t>Art.</w:t>
      </w:r>
      <w:r w:rsidRPr="007C2FB0">
        <w:rPr>
          <w:rFonts w:ascii="Times New Roman" w:hAnsi="Times New Roman" w:cs="Times New Roman"/>
          <w:sz w:val="24"/>
        </w:rPr>
        <w:t xml:space="preserve"> Journal on Computing and Cultural Heritage, Article 55</w:t>
      </w:r>
      <w:r>
        <w:rPr>
          <w:rFonts w:ascii="Times New Roman" w:hAnsi="Times New Roman" w:cs="Times New Roman"/>
          <w:sz w:val="24"/>
        </w:rPr>
        <w:t xml:space="preserve">, </w:t>
      </w:r>
      <w:r w:rsidRPr="007C2FB0">
        <w:rPr>
          <w:rFonts w:ascii="Times New Roman" w:hAnsi="Times New Roman" w:cs="Times New Roman"/>
          <w:sz w:val="24"/>
        </w:rPr>
        <w:t>15(3)</w:t>
      </w:r>
      <w:r>
        <w:rPr>
          <w:rFonts w:ascii="Times New Roman" w:hAnsi="Times New Roman" w:cs="Times New Roman"/>
          <w:sz w:val="24"/>
        </w:rPr>
        <w:t>:</w:t>
      </w:r>
      <w:r w:rsidRPr="007C2FB0">
        <w:rPr>
          <w:rFonts w:ascii="Times New Roman" w:hAnsi="Times New Roman" w:cs="Times New Roman"/>
          <w:sz w:val="24"/>
        </w:rPr>
        <w:t xml:space="preserve"> 1–20. https://doi.org/10.1145/3494837</w:t>
      </w:r>
    </w:p>
    <w:p w14:paraId="13B0897A" w14:textId="732B7AF1" w:rsidR="007C2FB0" w:rsidRPr="007C2FB0" w:rsidRDefault="007C2FB0" w:rsidP="007C2FB0">
      <w:pPr>
        <w:rPr>
          <w:rFonts w:ascii="Times New Roman" w:hAnsi="Times New Roman" w:cs="Times New Roman"/>
          <w:sz w:val="24"/>
        </w:rPr>
      </w:pPr>
      <w:r w:rsidRPr="007C2FB0">
        <w:rPr>
          <w:rFonts w:ascii="Times New Roman" w:hAnsi="Times New Roman" w:cs="Times New Roman"/>
          <w:sz w:val="24"/>
        </w:rPr>
        <w:t>[8]</w:t>
      </w:r>
      <w:r>
        <w:rPr>
          <w:rFonts w:ascii="Times New Roman" w:hAnsi="Times New Roman" w:cs="Times New Roman"/>
          <w:sz w:val="24"/>
        </w:rPr>
        <w:t xml:space="preserve"> </w:t>
      </w:r>
      <w:r w:rsidRPr="007C2FB0">
        <w:rPr>
          <w:rFonts w:ascii="Times New Roman" w:hAnsi="Times New Roman" w:cs="Times New Roman"/>
          <w:sz w:val="24"/>
        </w:rPr>
        <w:t xml:space="preserve">Li M, Xu S, Tang J, </w:t>
      </w:r>
      <w:r>
        <w:rPr>
          <w:rFonts w:ascii="Times New Roman" w:hAnsi="Times New Roman" w:cs="Times New Roman"/>
          <w:sz w:val="24"/>
        </w:rPr>
        <w:t>et al.,</w:t>
      </w:r>
      <w:r w:rsidRPr="007C2FB0">
        <w:rPr>
          <w:rFonts w:ascii="Times New Roman" w:hAnsi="Times New Roman" w:cs="Times New Roman"/>
          <w:sz w:val="24"/>
        </w:rPr>
        <w:t xml:space="preserve"> 2024</w:t>
      </w:r>
      <w:r>
        <w:rPr>
          <w:rFonts w:ascii="Times New Roman" w:hAnsi="Times New Roman" w:cs="Times New Roman"/>
          <w:sz w:val="24"/>
        </w:rPr>
        <w:t>,</w:t>
      </w:r>
      <w:r w:rsidRPr="007C2FB0">
        <w:rPr>
          <w:rFonts w:ascii="Times New Roman" w:hAnsi="Times New Roman" w:cs="Times New Roman"/>
          <w:sz w:val="24"/>
        </w:rPr>
        <w:t xml:space="preserve"> Design and </w:t>
      </w:r>
      <w:r w:rsidRPr="007C2FB0">
        <w:rPr>
          <w:rFonts w:ascii="Times New Roman" w:hAnsi="Times New Roman" w:cs="Times New Roman"/>
          <w:sz w:val="24"/>
        </w:rPr>
        <w:t>Resea</w:t>
      </w:r>
      <w:r w:rsidRPr="007C2FB0">
        <w:rPr>
          <w:rFonts w:ascii="Times New Roman" w:hAnsi="Times New Roman" w:cs="Times New Roman"/>
          <w:sz w:val="24"/>
        </w:rPr>
        <w:t xml:space="preserve">rch of </w:t>
      </w:r>
      <w:r w:rsidRPr="007C2FB0">
        <w:rPr>
          <w:rFonts w:ascii="Times New Roman" w:hAnsi="Times New Roman" w:cs="Times New Roman"/>
          <w:sz w:val="24"/>
        </w:rPr>
        <w:t xml:space="preserve">Digital Twin Platform </w:t>
      </w:r>
      <w:r w:rsidRPr="007C2FB0">
        <w:rPr>
          <w:rFonts w:ascii="Times New Roman" w:hAnsi="Times New Roman" w:cs="Times New Roman"/>
          <w:sz w:val="24"/>
        </w:rPr>
        <w:t xml:space="preserve">for </w:t>
      </w:r>
      <w:r w:rsidRPr="007C2FB0">
        <w:rPr>
          <w:rFonts w:ascii="Times New Roman" w:hAnsi="Times New Roman" w:cs="Times New Roman"/>
          <w:sz w:val="24"/>
        </w:rPr>
        <w:t>Handicraft Intangi</w:t>
      </w:r>
      <w:r w:rsidRPr="007C2FB0">
        <w:rPr>
          <w:rFonts w:ascii="Times New Roman" w:hAnsi="Times New Roman" w:cs="Times New Roman"/>
          <w:sz w:val="24"/>
        </w:rPr>
        <w:t xml:space="preserve">ble </w:t>
      </w:r>
      <w:r w:rsidRPr="007C2FB0">
        <w:rPr>
          <w:rFonts w:ascii="Times New Roman" w:hAnsi="Times New Roman" w:cs="Times New Roman"/>
          <w:sz w:val="24"/>
        </w:rPr>
        <w:t>Cultural Heritage</w:t>
      </w:r>
      <w:r w:rsidRPr="007C2FB0">
        <w:rPr>
          <w:rFonts w:ascii="Times New Roman" w:hAnsi="Times New Roman" w:cs="Times New Roman"/>
          <w:sz w:val="24"/>
        </w:rPr>
        <w:t>—</w:t>
      </w:r>
      <w:proofErr w:type="spellStart"/>
      <w:r w:rsidRPr="007C2FB0">
        <w:rPr>
          <w:rFonts w:ascii="Times New Roman" w:hAnsi="Times New Roman" w:cs="Times New Roman"/>
          <w:sz w:val="24"/>
        </w:rPr>
        <w:t>Yangxin</w:t>
      </w:r>
      <w:proofErr w:type="spellEnd"/>
      <w:r w:rsidRPr="007C2FB0">
        <w:rPr>
          <w:rFonts w:ascii="Times New Roman" w:hAnsi="Times New Roman" w:cs="Times New Roman"/>
          <w:sz w:val="24"/>
        </w:rPr>
        <w:t xml:space="preserve"> Cloth Paste. Heritage Science, 12(1)</w:t>
      </w:r>
      <w:r>
        <w:rPr>
          <w:rFonts w:ascii="Times New Roman" w:hAnsi="Times New Roman" w:cs="Times New Roman"/>
          <w:sz w:val="24"/>
        </w:rPr>
        <w:t>:</w:t>
      </w:r>
      <w:r w:rsidRPr="007C2FB0">
        <w:rPr>
          <w:rFonts w:ascii="Times New Roman" w:hAnsi="Times New Roman" w:cs="Times New Roman"/>
          <w:sz w:val="24"/>
        </w:rPr>
        <w:t xml:space="preserve"> Article 43. </w:t>
      </w:r>
      <w:r w:rsidRPr="007C2FB0">
        <w:rPr>
          <w:rFonts w:ascii="Times New Roman" w:hAnsi="Times New Roman" w:cs="Times New Roman"/>
          <w:sz w:val="24"/>
        </w:rPr>
        <w:lastRenderedPageBreak/>
        <w:t>https://doi.org/10.1186/s40494-024-01161-0</w:t>
      </w:r>
    </w:p>
    <w:p w14:paraId="7696C237" w14:textId="7FD6278A" w:rsidR="007C2FB0" w:rsidRPr="007C2FB0" w:rsidRDefault="007C2FB0" w:rsidP="007C2FB0">
      <w:pPr>
        <w:rPr>
          <w:rFonts w:ascii="Times New Roman" w:hAnsi="Times New Roman" w:cs="Times New Roman"/>
          <w:sz w:val="24"/>
        </w:rPr>
      </w:pPr>
      <w:r w:rsidRPr="007C2FB0">
        <w:rPr>
          <w:rFonts w:ascii="Times New Roman" w:hAnsi="Times New Roman" w:cs="Times New Roman"/>
          <w:sz w:val="24"/>
        </w:rPr>
        <w:t>[9]</w:t>
      </w:r>
      <w:r>
        <w:rPr>
          <w:rFonts w:ascii="Times New Roman" w:hAnsi="Times New Roman" w:cs="Times New Roman"/>
          <w:sz w:val="24"/>
        </w:rPr>
        <w:t xml:space="preserve"> </w:t>
      </w:r>
      <w:r w:rsidRPr="007C2FB0">
        <w:rPr>
          <w:rFonts w:ascii="Times New Roman" w:hAnsi="Times New Roman" w:cs="Times New Roman"/>
          <w:sz w:val="24"/>
        </w:rPr>
        <w:t xml:space="preserve">Ye X, Ruan Y, Xia S, </w:t>
      </w:r>
      <w:r>
        <w:rPr>
          <w:rFonts w:ascii="Times New Roman" w:hAnsi="Times New Roman" w:cs="Times New Roman"/>
          <w:sz w:val="24"/>
        </w:rPr>
        <w:t xml:space="preserve">et al., </w:t>
      </w:r>
      <w:r w:rsidRPr="007C2FB0">
        <w:rPr>
          <w:rFonts w:ascii="Times New Roman" w:hAnsi="Times New Roman" w:cs="Times New Roman"/>
          <w:sz w:val="24"/>
        </w:rPr>
        <w:t>2025</w:t>
      </w:r>
      <w:r>
        <w:rPr>
          <w:rFonts w:ascii="Times New Roman" w:hAnsi="Times New Roman" w:cs="Times New Roman"/>
          <w:sz w:val="24"/>
        </w:rPr>
        <w:t>,</w:t>
      </w:r>
      <w:r w:rsidRPr="007C2FB0">
        <w:rPr>
          <w:rFonts w:ascii="Times New Roman" w:hAnsi="Times New Roman" w:cs="Times New Roman"/>
          <w:sz w:val="24"/>
        </w:rPr>
        <w:t xml:space="preserve"> Adoption of </w:t>
      </w:r>
      <w:r w:rsidR="00FE3534" w:rsidRPr="007C2FB0">
        <w:rPr>
          <w:rFonts w:ascii="Times New Roman" w:hAnsi="Times New Roman" w:cs="Times New Roman"/>
          <w:sz w:val="24"/>
        </w:rPr>
        <w:t xml:space="preserve">Digital Intangible Cultural Heritage: </w:t>
      </w:r>
      <w:r w:rsidRPr="007C2FB0">
        <w:rPr>
          <w:rFonts w:ascii="Times New Roman" w:hAnsi="Times New Roman" w:cs="Times New Roman"/>
          <w:sz w:val="24"/>
        </w:rPr>
        <w:t xml:space="preserve">A </w:t>
      </w:r>
      <w:r w:rsidR="00FE3534" w:rsidRPr="007C2FB0">
        <w:rPr>
          <w:rFonts w:ascii="Times New Roman" w:hAnsi="Times New Roman" w:cs="Times New Roman"/>
          <w:sz w:val="24"/>
        </w:rPr>
        <w:t xml:space="preserve">Configurational Study Integrating </w:t>
      </w:r>
      <w:r w:rsidRPr="007C2FB0">
        <w:rPr>
          <w:rFonts w:ascii="Times New Roman" w:hAnsi="Times New Roman" w:cs="Times New Roman"/>
          <w:sz w:val="24"/>
        </w:rPr>
        <w:t xml:space="preserve">UTAUT2 and </w:t>
      </w:r>
      <w:r w:rsidR="00FE3534" w:rsidRPr="007C2FB0">
        <w:rPr>
          <w:rFonts w:ascii="Times New Roman" w:hAnsi="Times New Roman" w:cs="Times New Roman"/>
          <w:sz w:val="24"/>
        </w:rPr>
        <w:t>Immersion Theory</w:t>
      </w:r>
      <w:r w:rsidRPr="007C2FB0">
        <w:rPr>
          <w:rFonts w:ascii="Times New Roman" w:hAnsi="Times New Roman" w:cs="Times New Roman"/>
          <w:sz w:val="24"/>
        </w:rPr>
        <w:t>. Humanities and Social Sciences Communications, 12(1)</w:t>
      </w:r>
      <w:r w:rsidR="00FE3534">
        <w:rPr>
          <w:rFonts w:ascii="Times New Roman" w:hAnsi="Times New Roman" w:cs="Times New Roman"/>
          <w:sz w:val="24"/>
        </w:rPr>
        <w:t>:</w:t>
      </w:r>
      <w:r w:rsidRPr="007C2FB0">
        <w:rPr>
          <w:rFonts w:ascii="Times New Roman" w:hAnsi="Times New Roman" w:cs="Times New Roman"/>
          <w:sz w:val="24"/>
        </w:rPr>
        <w:t xml:space="preserve"> Article 23. https://doi.org/10.1057/s41599-024-04222-8</w:t>
      </w:r>
    </w:p>
    <w:p w14:paraId="10A5C154" w14:textId="040E5415" w:rsidR="007C2FB0" w:rsidRPr="007C2FB0" w:rsidRDefault="007C2FB0" w:rsidP="007C2FB0">
      <w:pPr>
        <w:rPr>
          <w:rFonts w:ascii="Times New Roman" w:hAnsi="Times New Roman" w:cs="Times New Roman"/>
          <w:sz w:val="24"/>
        </w:rPr>
      </w:pPr>
      <w:r w:rsidRPr="007C2FB0">
        <w:rPr>
          <w:rFonts w:ascii="Times New Roman" w:hAnsi="Times New Roman" w:cs="Times New Roman"/>
          <w:sz w:val="24"/>
        </w:rPr>
        <w:t>[10]</w:t>
      </w:r>
      <w:r>
        <w:rPr>
          <w:rFonts w:ascii="Times New Roman" w:hAnsi="Times New Roman" w:cs="Times New Roman"/>
          <w:sz w:val="24"/>
        </w:rPr>
        <w:t xml:space="preserve"> </w:t>
      </w:r>
      <w:r w:rsidRPr="007C2FB0">
        <w:rPr>
          <w:rFonts w:ascii="Times New Roman" w:hAnsi="Times New Roman" w:cs="Times New Roman"/>
          <w:sz w:val="24"/>
        </w:rPr>
        <w:t>He Z, Wen C</w:t>
      </w:r>
      <w:r w:rsidR="00FE3534">
        <w:rPr>
          <w:rFonts w:ascii="Times New Roman" w:hAnsi="Times New Roman" w:cs="Times New Roman"/>
          <w:sz w:val="24"/>
        </w:rPr>
        <w:t>,</w:t>
      </w:r>
      <w:r w:rsidRPr="007C2FB0">
        <w:rPr>
          <w:rFonts w:ascii="Times New Roman" w:hAnsi="Times New Roman" w:cs="Times New Roman"/>
          <w:sz w:val="24"/>
        </w:rPr>
        <w:t xml:space="preserve"> 2024</w:t>
      </w:r>
      <w:r w:rsidR="00FE3534">
        <w:rPr>
          <w:rFonts w:ascii="Times New Roman" w:hAnsi="Times New Roman" w:cs="Times New Roman"/>
          <w:sz w:val="24"/>
        </w:rPr>
        <w:t>,</w:t>
      </w:r>
      <w:r w:rsidRPr="007C2FB0">
        <w:rPr>
          <w:rFonts w:ascii="Times New Roman" w:hAnsi="Times New Roman" w:cs="Times New Roman"/>
          <w:sz w:val="24"/>
        </w:rPr>
        <w:t xml:space="preserve"> Construction of </w:t>
      </w:r>
      <w:r w:rsidR="00FE3534" w:rsidRPr="007C2FB0">
        <w:rPr>
          <w:rFonts w:ascii="Times New Roman" w:hAnsi="Times New Roman" w:cs="Times New Roman"/>
          <w:sz w:val="24"/>
        </w:rPr>
        <w:t xml:space="preserve">Digital Creation Development Model </w:t>
      </w:r>
      <w:r w:rsidRPr="007C2FB0">
        <w:rPr>
          <w:rFonts w:ascii="Times New Roman" w:hAnsi="Times New Roman" w:cs="Times New Roman"/>
          <w:sz w:val="24"/>
        </w:rPr>
        <w:t xml:space="preserve">of </w:t>
      </w:r>
      <w:r w:rsidR="00FE3534" w:rsidRPr="007C2FB0">
        <w:rPr>
          <w:rFonts w:ascii="Times New Roman" w:hAnsi="Times New Roman" w:cs="Times New Roman"/>
          <w:sz w:val="24"/>
        </w:rPr>
        <w:t>Intangible Cultural Heritage Cra</w:t>
      </w:r>
      <w:r w:rsidRPr="007C2FB0">
        <w:rPr>
          <w:rFonts w:ascii="Times New Roman" w:hAnsi="Times New Roman" w:cs="Times New Roman"/>
          <w:sz w:val="24"/>
        </w:rPr>
        <w:t>fts in China. Humanities and Social Sciences Communications, 11(1)</w:t>
      </w:r>
      <w:r w:rsidR="00FE3534">
        <w:rPr>
          <w:rFonts w:ascii="Times New Roman" w:hAnsi="Times New Roman" w:cs="Times New Roman"/>
          <w:sz w:val="24"/>
        </w:rPr>
        <w:t>:</w:t>
      </w:r>
      <w:r w:rsidRPr="007C2FB0">
        <w:rPr>
          <w:rFonts w:ascii="Times New Roman" w:hAnsi="Times New Roman" w:cs="Times New Roman"/>
          <w:sz w:val="24"/>
        </w:rPr>
        <w:t xml:space="preserve"> Article 1745. https://doi.org/10.1057/s41599-024-04331-4</w:t>
      </w:r>
    </w:p>
    <w:p w14:paraId="41F6650B" w14:textId="30DDFCDF" w:rsidR="007C2FB0" w:rsidRPr="007C2FB0" w:rsidRDefault="007C2FB0" w:rsidP="007C2FB0">
      <w:pPr>
        <w:rPr>
          <w:rFonts w:ascii="Times New Roman" w:hAnsi="Times New Roman" w:cs="Times New Roman"/>
          <w:sz w:val="24"/>
        </w:rPr>
      </w:pPr>
      <w:r w:rsidRPr="007C2FB0">
        <w:rPr>
          <w:rFonts w:ascii="Times New Roman" w:hAnsi="Times New Roman" w:cs="Times New Roman"/>
          <w:sz w:val="24"/>
        </w:rPr>
        <w:t>[11]</w:t>
      </w:r>
      <w:r>
        <w:rPr>
          <w:rFonts w:ascii="Times New Roman" w:hAnsi="Times New Roman" w:cs="Times New Roman"/>
          <w:sz w:val="24"/>
        </w:rPr>
        <w:t xml:space="preserve"> </w:t>
      </w:r>
      <w:r w:rsidRPr="007C2FB0">
        <w:rPr>
          <w:rFonts w:ascii="Times New Roman" w:hAnsi="Times New Roman" w:cs="Times New Roman"/>
          <w:sz w:val="24"/>
        </w:rPr>
        <w:t xml:space="preserve">Xia J, </w:t>
      </w:r>
      <w:proofErr w:type="spellStart"/>
      <w:r w:rsidRPr="007C2FB0">
        <w:rPr>
          <w:rFonts w:ascii="Times New Roman" w:hAnsi="Times New Roman" w:cs="Times New Roman"/>
          <w:sz w:val="24"/>
        </w:rPr>
        <w:t>Yuizono</w:t>
      </w:r>
      <w:proofErr w:type="spellEnd"/>
      <w:r w:rsidRPr="007C2FB0">
        <w:rPr>
          <w:rFonts w:ascii="Times New Roman" w:hAnsi="Times New Roman" w:cs="Times New Roman"/>
          <w:sz w:val="24"/>
        </w:rPr>
        <w:t xml:space="preserve"> T, Wang TY, </w:t>
      </w:r>
      <w:r w:rsidR="00FE3534">
        <w:rPr>
          <w:rFonts w:ascii="Times New Roman" w:hAnsi="Times New Roman" w:cs="Times New Roman"/>
          <w:sz w:val="24"/>
        </w:rPr>
        <w:t>et al</w:t>
      </w:r>
      <w:r w:rsidRPr="007C2FB0">
        <w:rPr>
          <w:rFonts w:ascii="Times New Roman" w:hAnsi="Times New Roman" w:cs="Times New Roman"/>
          <w:sz w:val="24"/>
        </w:rPr>
        <w:t>.</w:t>
      </w:r>
      <w:r w:rsidR="00FE3534">
        <w:rPr>
          <w:rFonts w:ascii="Times New Roman" w:hAnsi="Times New Roman" w:cs="Times New Roman"/>
          <w:sz w:val="24"/>
        </w:rPr>
        <w:t>,</w:t>
      </w:r>
      <w:r w:rsidRPr="007C2FB0">
        <w:rPr>
          <w:rFonts w:ascii="Times New Roman" w:hAnsi="Times New Roman" w:cs="Times New Roman"/>
          <w:sz w:val="24"/>
        </w:rPr>
        <w:t xml:space="preserve"> 2024</w:t>
      </w:r>
      <w:r w:rsidR="00FE3534">
        <w:rPr>
          <w:rFonts w:ascii="Times New Roman" w:hAnsi="Times New Roman" w:cs="Times New Roman"/>
          <w:sz w:val="24"/>
        </w:rPr>
        <w:t>,</w:t>
      </w:r>
      <w:r w:rsidRPr="007C2FB0">
        <w:rPr>
          <w:rFonts w:ascii="Times New Roman" w:hAnsi="Times New Roman" w:cs="Times New Roman"/>
          <w:sz w:val="24"/>
        </w:rPr>
        <w:t xml:space="preserve"> Intangible </w:t>
      </w:r>
      <w:r w:rsidR="00FE3534" w:rsidRPr="007C2FB0">
        <w:rPr>
          <w:rFonts w:ascii="Times New Roman" w:hAnsi="Times New Roman" w:cs="Times New Roman"/>
          <w:sz w:val="24"/>
        </w:rPr>
        <w:t xml:space="preserve">Cultural Heritage Course Design </w:t>
      </w:r>
      <w:r w:rsidRPr="007C2FB0">
        <w:rPr>
          <w:rFonts w:ascii="Times New Roman" w:hAnsi="Times New Roman" w:cs="Times New Roman"/>
          <w:sz w:val="24"/>
        </w:rPr>
        <w:t xml:space="preserve">in the </w:t>
      </w:r>
      <w:r w:rsidR="00FE3534" w:rsidRPr="007C2FB0">
        <w:rPr>
          <w:rFonts w:ascii="Times New Roman" w:hAnsi="Times New Roman" w:cs="Times New Roman"/>
          <w:sz w:val="24"/>
        </w:rPr>
        <w:t xml:space="preserve">Digital Age </w:t>
      </w:r>
      <w:r w:rsidRPr="007C2FB0">
        <w:rPr>
          <w:rFonts w:ascii="Times New Roman" w:hAnsi="Times New Roman" w:cs="Times New Roman"/>
          <w:sz w:val="24"/>
        </w:rPr>
        <w:t xml:space="preserve">and its </w:t>
      </w:r>
      <w:r w:rsidR="00FE3534" w:rsidRPr="007C2FB0">
        <w:rPr>
          <w:rFonts w:ascii="Times New Roman" w:hAnsi="Times New Roman" w:cs="Times New Roman"/>
          <w:sz w:val="24"/>
        </w:rPr>
        <w:t>Effects</w:t>
      </w:r>
      <w:r w:rsidRPr="007C2FB0">
        <w:rPr>
          <w:rFonts w:ascii="Times New Roman" w:hAnsi="Times New Roman" w:cs="Times New Roman"/>
          <w:sz w:val="24"/>
        </w:rPr>
        <w:t xml:space="preserve"> of </w:t>
      </w:r>
      <w:r w:rsidR="00FE3534" w:rsidRPr="007C2FB0">
        <w:rPr>
          <w:rFonts w:ascii="Times New Roman" w:hAnsi="Times New Roman" w:cs="Times New Roman"/>
          <w:sz w:val="24"/>
        </w:rPr>
        <w:t>Interdisciplinary Workshop</w:t>
      </w:r>
      <w:r w:rsidRPr="007C2FB0">
        <w:rPr>
          <w:rFonts w:ascii="Times New Roman" w:hAnsi="Times New Roman" w:cs="Times New Roman"/>
          <w:sz w:val="24"/>
        </w:rPr>
        <w:t>. Education Sciences, 14(3)</w:t>
      </w:r>
      <w:r w:rsidR="00FE3534">
        <w:rPr>
          <w:rFonts w:ascii="Times New Roman" w:hAnsi="Times New Roman" w:cs="Times New Roman"/>
          <w:sz w:val="24"/>
        </w:rPr>
        <w:t>:</w:t>
      </w:r>
      <w:r w:rsidRPr="007C2FB0">
        <w:rPr>
          <w:rFonts w:ascii="Times New Roman" w:hAnsi="Times New Roman" w:cs="Times New Roman"/>
          <w:sz w:val="24"/>
        </w:rPr>
        <w:t xml:space="preserve"> Article 325. https://doi.org/10.3390/educsci14030325</w:t>
      </w:r>
    </w:p>
    <w:p w14:paraId="34E06F09" w14:textId="27EB8153" w:rsidR="00EC0DC2" w:rsidRDefault="007C2FB0" w:rsidP="00EC0DC2">
      <w:pPr>
        <w:rPr>
          <w:rFonts w:ascii="Times New Roman" w:hAnsi="Times New Roman" w:cs="Times New Roman"/>
          <w:sz w:val="24"/>
        </w:rPr>
      </w:pPr>
      <w:r w:rsidRPr="007C2FB0">
        <w:rPr>
          <w:rFonts w:ascii="Times New Roman" w:hAnsi="Times New Roman" w:cs="Times New Roman"/>
          <w:sz w:val="24"/>
        </w:rPr>
        <w:t>[12]</w:t>
      </w:r>
      <w:r>
        <w:rPr>
          <w:rFonts w:ascii="Times New Roman" w:hAnsi="Times New Roman" w:cs="Times New Roman"/>
          <w:sz w:val="24"/>
        </w:rPr>
        <w:t xml:space="preserve"> </w:t>
      </w:r>
      <w:r w:rsidRPr="007C2FB0">
        <w:rPr>
          <w:rFonts w:ascii="Times New Roman" w:hAnsi="Times New Roman" w:cs="Times New Roman"/>
          <w:sz w:val="24"/>
        </w:rPr>
        <w:t xml:space="preserve">Shakya M, </w:t>
      </w:r>
      <w:proofErr w:type="spellStart"/>
      <w:r w:rsidRPr="007C2FB0">
        <w:rPr>
          <w:rFonts w:ascii="Times New Roman" w:hAnsi="Times New Roman" w:cs="Times New Roman"/>
          <w:sz w:val="24"/>
        </w:rPr>
        <w:t>Vagnarelli</w:t>
      </w:r>
      <w:proofErr w:type="spellEnd"/>
      <w:r w:rsidRPr="007C2FB0">
        <w:rPr>
          <w:rFonts w:ascii="Times New Roman" w:hAnsi="Times New Roman" w:cs="Times New Roman"/>
          <w:sz w:val="24"/>
        </w:rPr>
        <w:t xml:space="preserve"> G</w:t>
      </w:r>
      <w:r w:rsidR="00FE3534">
        <w:rPr>
          <w:rFonts w:ascii="Times New Roman" w:hAnsi="Times New Roman" w:cs="Times New Roman"/>
          <w:sz w:val="24"/>
        </w:rPr>
        <w:t>,</w:t>
      </w:r>
      <w:r w:rsidRPr="007C2FB0">
        <w:rPr>
          <w:rFonts w:ascii="Times New Roman" w:hAnsi="Times New Roman" w:cs="Times New Roman"/>
          <w:sz w:val="24"/>
        </w:rPr>
        <w:t xml:space="preserve"> 2024</w:t>
      </w:r>
      <w:r w:rsidR="00FE3534">
        <w:rPr>
          <w:rFonts w:ascii="Times New Roman" w:hAnsi="Times New Roman" w:cs="Times New Roman"/>
          <w:sz w:val="24"/>
        </w:rPr>
        <w:t>,</w:t>
      </w:r>
      <w:r w:rsidRPr="007C2FB0">
        <w:rPr>
          <w:rFonts w:ascii="Times New Roman" w:hAnsi="Times New Roman" w:cs="Times New Roman"/>
          <w:sz w:val="24"/>
        </w:rPr>
        <w:t xml:space="preserve"> Creating </w:t>
      </w:r>
      <w:r w:rsidR="005262D1" w:rsidRPr="007C2FB0">
        <w:rPr>
          <w:rFonts w:ascii="Times New Roman" w:hAnsi="Times New Roman" w:cs="Times New Roman"/>
          <w:sz w:val="24"/>
        </w:rPr>
        <w:t>Valu</w:t>
      </w:r>
      <w:r w:rsidRPr="007C2FB0">
        <w:rPr>
          <w:rFonts w:ascii="Times New Roman" w:hAnsi="Times New Roman" w:cs="Times New Roman"/>
          <w:sz w:val="24"/>
        </w:rPr>
        <w:t xml:space="preserve">e from </w:t>
      </w:r>
      <w:r w:rsidR="005262D1" w:rsidRPr="007C2FB0">
        <w:rPr>
          <w:rFonts w:ascii="Times New Roman" w:hAnsi="Times New Roman" w:cs="Times New Roman"/>
          <w:sz w:val="24"/>
        </w:rPr>
        <w:t>Intangible Cultural Heritage</w:t>
      </w:r>
      <w:r w:rsidRPr="007C2FB0">
        <w:rPr>
          <w:rFonts w:ascii="Times New Roman" w:hAnsi="Times New Roman" w:cs="Times New Roman"/>
          <w:sz w:val="24"/>
        </w:rPr>
        <w:t xml:space="preserve">: The </w:t>
      </w:r>
      <w:r w:rsidR="005262D1" w:rsidRPr="007C2FB0">
        <w:rPr>
          <w:rFonts w:ascii="Times New Roman" w:hAnsi="Times New Roman" w:cs="Times New Roman"/>
          <w:sz w:val="24"/>
        </w:rPr>
        <w:t>Ro</w:t>
      </w:r>
      <w:r w:rsidRPr="007C2FB0">
        <w:rPr>
          <w:rFonts w:ascii="Times New Roman" w:hAnsi="Times New Roman" w:cs="Times New Roman"/>
          <w:sz w:val="24"/>
        </w:rPr>
        <w:t xml:space="preserve">le of </w:t>
      </w:r>
      <w:r w:rsidR="005262D1" w:rsidRPr="007C2FB0">
        <w:rPr>
          <w:rFonts w:ascii="Times New Roman" w:hAnsi="Times New Roman" w:cs="Times New Roman"/>
          <w:sz w:val="24"/>
        </w:rPr>
        <w:t>Innov</w:t>
      </w:r>
      <w:r w:rsidRPr="007C2FB0">
        <w:rPr>
          <w:rFonts w:ascii="Times New Roman" w:hAnsi="Times New Roman" w:cs="Times New Roman"/>
          <w:sz w:val="24"/>
        </w:rPr>
        <w:t xml:space="preserve">ation for </w:t>
      </w:r>
      <w:r w:rsidR="005262D1" w:rsidRPr="007C2FB0">
        <w:rPr>
          <w:rFonts w:ascii="Times New Roman" w:hAnsi="Times New Roman" w:cs="Times New Roman"/>
          <w:sz w:val="24"/>
        </w:rPr>
        <w:t xml:space="preserve">Sustainable Tourism </w:t>
      </w:r>
      <w:r w:rsidRPr="007C2FB0">
        <w:rPr>
          <w:rFonts w:ascii="Times New Roman" w:hAnsi="Times New Roman" w:cs="Times New Roman"/>
          <w:sz w:val="24"/>
        </w:rPr>
        <w:t xml:space="preserve">and </w:t>
      </w:r>
      <w:r w:rsidR="005262D1" w:rsidRPr="007C2FB0">
        <w:rPr>
          <w:rFonts w:ascii="Times New Roman" w:hAnsi="Times New Roman" w:cs="Times New Roman"/>
          <w:sz w:val="24"/>
        </w:rPr>
        <w:t>Regional Rural Development</w:t>
      </w:r>
      <w:r w:rsidRPr="007C2FB0">
        <w:rPr>
          <w:rFonts w:ascii="Times New Roman" w:hAnsi="Times New Roman" w:cs="Times New Roman"/>
          <w:sz w:val="24"/>
        </w:rPr>
        <w:t xml:space="preserve">. European Journal of Cultural Management and Policy, </w:t>
      </w:r>
      <w:r w:rsidR="005262D1">
        <w:rPr>
          <w:rFonts w:ascii="Times New Roman" w:hAnsi="Times New Roman" w:cs="Times New Roman"/>
          <w:sz w:val="24"/>
        </w:rPr>
        <w:t>2024(</w:t>
      </w:r>
      <w:r w:rsidRPr="007C2FB0">
        <w:rPr>
          <w:rFonts w:ascii="Times New Roman" w:hAnsi="Times New Roman" w:cs="Times New Roman"/>
          <w:sz w:val="24"/>
        </w:rPr>
        <w:t>14</w:t>
      </w:r>
      <w:r w:rsidR="005262D1">
        <w:rPr>
          <w:rFonts w:ascii="Times New Roman" w:hAnsi="Times New Roman" w:cs="Times New Roman"/>
          <w:sz w:val="24"/>
        </w:rPr>
        <w:t>):</w:t>
      </w:r>
      <w:r w:rsidRPr="007C2FB0">
        <w:rPr>
          <w:rFonts w:ascii="Times New Roman" w:hAnsi="Times New Roman" w:cs="Times New Roman"/>
          <w:sz w:val="24"/>
        </w:rPr>
        <w:t xml:space="preserve"> Article 12057. https://doi.org/10.3389/ejcmp.2024.12057</w:t>
      </w:r>
    </w:p>
    <w:p w14:paraId="589F0B99" w14:textId="77777777" w:rsidR="007C2FB0" w:rsidRDefault="007C2FB0" w:rsidP="00EC0DC2">
      <w:pPr>
        <w:rPr>
          <w:rFonts w:ascii="Times New Roman" w:hAnsi="Times New Roman" w:cs="Times New Roman"/>
          <w:sz w:val="24"/>
        </w:rPr>
      </w:pPr>
    </w:p>
    <w:p w14:paraId="425013B0" w14:textId="77777777" w:rsidR="006D2C94" w:rsidRDefault="006D2C94" w:rsidP="006D2C94">
      <w:pPr>
        <w:rPr>
          <w:rFonts w:ascii="Times New Roman" w:hAnsi="Times New Roman" w:cs="Times New Roman"/>
          <w:b/>
          <w:bCs/>
          <w:sz w:val="20"/>
          <w:szCs w:val="20"/>
        </w:rPr>
      </w:pPr>
      <w:r>
        <w:rPr>
          <w:rFonts w:ascii="Times New Roman" w:hAnsi="Times New Roman" w:cs="Times New Roman"/>
          <w:b/>
          <w:bCs/>
          <w:sz w:val="20"/>
          <w:szCs w:val="20"/>
        </w:rPr>
        <w:t>Publisher’s note</w:t>
      </w:r>
    </w:p>
    <w:p w14:paraId="36446C70" w14:textId="510BD37B" w:rsidR="00EC0DC2" w:rsidRPr="006D2C94" w:rsidRDefault="006D2C94" w:rsidP="00EC0DC2">
      <w:pPr>
        <w:rPr>
          <w:rFonts w:ascii="Times New Roman" w:hAnsi="Times New Roman" w:cs="Times New Roman"/>
          <w:sz w:val="20"/>
          <w:szCs w:val="20"/>
        </w:rPr>
      </w:pPr>
      <w:r>
        <w:rPr>
          <w:rFonts w:ascii="Times New Roman" w:hAnsi="Times New Roman" w:cs="Times New Roman"/>
          <w:sz w:val="20"/>
          <w:szCs w:val="20"/>
        </w:rPr>
        <w:t>Bio-Byword Scientific Publishing remains neutral with regard to jurisdictional claims in published maps and institutional affiliations.</w:t>
      </w:r>
    </w:p>
    <w:sectPr w:rsidR="00EC0DC2" w:rsidRPr="006D2C94">
      <w:headerReference w:type="default" r:id="rId11"/>
      <w:footerReference w:type="default" r:id="rId12"/>
      <w:endnotePr>
        <w:numFmt w:val="decimal"/>
      </w:endnotePr>
      <w:type w:val="continuous"/>
      <w:pgSz w:w="11906" w:h="16838"/>
      <w:pgMar w:top="1418" w:right="851" w:bottom="1418" w:left="851" w:header="851" w:footer="73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C0802" w14:textId="77777777" w:rsidR="006C75E3" w:rsidRDefault="006C75E3"/>
  </w:endnote>
  <w:endnote w:type="continuationSeparator" w:id="0">
    <w:p w14:paraId="64C31D94" w14:textId="77777777" w:rsidR="006C75E3" w:rsidRDefault="006C75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inion Pro">
    <w:altName w:val="Cambria"/>
    <w:charset w:val="00"/>
    <w:family w:val="roman"/>
    <w:pitch w:val="default"/>
    <w:sig w:usb0="00000000" w:usb1="00000000"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8F43C" w14:textId="77777777" w:rsidR="0036042D" w:rsidRPr="00EC0DC2" w:rsidRDefault="0036042D" w:rsidP="00EC0DC2">
    <w:pPr>
      <w:pStyle w:val="Footer"/>
      <w:rPr>
        <w:lang w:val="en-MY"/>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81768" w14:textId="77777777" w:rsidR="006C75E3" w:rsidRDefault="006C75E3"/>
  </w:footnote>
  <w:footnote w:type="continuationSeparator" w:id="0">
    <w:p w14:paraId="0F5C1C21" w14:textId="77777777" w:rsidR="006C75E3" w:rsidRDefault="006C75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10925" w14:textId="77777777" w:rsidR="0036042D" w:rsidRDefault="00000000">
    <w:pPr>
      <w:pStyle w:val="Header"/>
    </w:pPr>
    <w:r>
      <w:rPr>
        <w:rFonts w:ascii="Times New Roman" w:hAnsi="Times New Roman" w:cs="Times New Roman"/>
        <w:noProof/>
        <w:color w:val="000000" w:themeColor="text1"/>
      </w:rPr>
      <mc:AlternateContent>
        <mc:Choice Requires="wps">
          <w:drawing>
            <wp:anchor distT="45720" distB="45720" distL="114300" distR="114300" simplePos="0" relativeHeight="251660288" behindDoc="0" locked="0" layoutInCell="1" allowOverlap="1" wp14:anchorId="174399D8" wp14:editId="1771BCE7">
              <wp:simplePos x="0" y="0"/>
              <wp:positionH relativeFrom="column">
                <wp:posOffset>811530</wp:posOffset>
              </wp:positionH>
              <wp:positionV relativeFrom="paragraph">
                <wp:posOffset>-36830</wp:posOffset>
              </wp:positionV>
              <wp:extent cx="2405380" cy="224790"/>
              <wp:effectExtent l="0" t="0" r="0" b="381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5575" cy="225083"/>
                      </a:xfrm>
                      <a:prstGeom prst="rect">
                        <a:avLst/>
                      </a:prstGeom>
                      <a:solidFill>
                        <a:srgbClr val="FFFFFF"/>
                      </a:solidFill>
                      <a:ln w="9525">
                        <a:noFill/>
                        <a:miter lim="800000"/>
                      </a:ln>
                    </wps:spPr>
                    <wps:txbx>
                      <w:txbxContent>
                        <w:p w14:paraId="4DA059BD" w14:textId="77777777" w:rsidR="0036042D" w:rsidRDefault="0036042D">
                          <w:pPr>
                            <w:rPr>
                              <w:sz w:val="18"/>
                              <w:szCs w:val="18"/>
                            </w:rPr>
                          </w:pPr>
                        </w:p>
                      </w:txbxContent>
                    </wps:txbx>
                    <wps:bodyPr rot="0" vert="horz" wrap="square" lIns="91440" tIns="45720" rIns="91440" bIns="45720" anchor="t" anchorCtr="0">
                      <a:noAutofit/>
                    </wps:bodyPr>
                  </wps:wsp>
                </a:graphicData>
              </a:graphic>
            </wp:anchor>
          </w:drawing>
        </mc:Choice>
        <mc:Fallback>
          <w:pict>
            <v:shapetype w14:anchorId="174399D8" id="_x0000_t202" coordsize="21600,21600" o:spt="202" path="m,l,21600r21600,l21600,xe">
              <v:stroke joinstyle="miter"/>
              <v:path gradientshapeok="t" o:connecttype="rect"/>
            </v:shapetype>
            <v:shape id="文本框 2" o:spid="_x0000_s1026" type="#_x0000_t202" style="position:absolute;left:0;text-align:left;margin-left:63.9pt;margin-top:-2.9pt;width:189.4pt;height:17.7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" stroked="f">
              <v:textbox>
                <w:txbxContent>
                  <w:p w14:paraId="4DA059BD" w14:textId="77777777" w:rsidR="0036042D" w:rsidRDefault="0036042D">
                    <w:pPr>
                      <w:rPr>
                        <w:sz w:val="18"/>
                        <w:szCs w:val="18"/>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CBA15" w14:textId="77777777" w:rsidR="0036042D" w:rsidRDefault="00000000">
    <w:pPr>
      <w:pStyle w:val="Header"/>
    </w:pPr>
    <w:r>
      <w:rPr>
        <w:rFonts w:ascii="Times New Roman" w:hAnsi="Times New Roman" w:cs="Times New Roman"/>
        <w:noProof/>
        <w:color w:val="000000" w:themeColor="text1"/>
      </w:rPr>
      <mc:AlternateContent>
        <mc:Choice Requires="wps">
          <w:drawing>
            <wp:anchor distT="45720" distB="45720" distL="114300" distR="114300" simplePos="0" relativeHeight="251659264" behindDoc="0" locked="0" layoutInCell="1" allowOverlap="1" wp14:anchorId="01689DB3" wp14:editId="25767CD9">
              <wp:simplePos x="0" y="0"/>
              <wp:positionH relativeFrom="column">
                <wp:posOffset>811530</wp:posOffset>
              </wp:positionH>
              <wp:positionV relativeFrom="paragraph">
                <wp:posOffset>-36830</wp:posOffset>
              </wp:positionV>
              <wp:extent cx="2405380" cy="224790"/>
              <wp:effectExtent l="0" t="0" r="0" b="381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5575" cy="225083"/>
                      </a:xfrm>
                      <a:prstGeom prst="rect">
                        <a:avLst/>
                      </a:prstGeom>
                      <a:solidFill>
                        <a:srgbClr val="FFFFFF"/>
                      </a:solidFill>
                      <a:ln w="9525">
                        <a:noFill/>
                        <a:miter lim="800000"/>
                      </a:ln>
                    </wps:spPr>
                    <wps:txbx>
                      <w:txbxContent>
                        <w:p w14:paraId="516D0ABE" w14:textId="77777777" w:rsidR="0036042D" w:rsidRDefault="0036042D">
                          <w:pPr>
                            <w:rPr>
                              <w:sz w:val="18"/>
                              <w:szCs w:val="18"/>
                            </w:rPr>
                          </w:pPr>
                        </w:p>
                      </w:txbxContent>
                    </wps:txbx>
                    <wps:bodyPr rot="0" vert="horz" wrap="square" lIns="91440" tIns="45720" rIns="91440" bIns="45720" anchor="t" anchorCtr="0">
                      <a:noAutofit/>
                    </wps:bodyPr>
                  </wps:wsp>
                </a:graphicData>
              </a:graphic>
            </wp:anchor>
          </w:drawing>
        </mc:Choice>
        <mc:Fallback>
          <w:pict>
            <v:shapetype w14:anchorId="01689DB3" id="_x0000_t202" coordsize="21600,21600" o:spt="202" path="m,l,21600r21600,l21600,xe">
              <v:stroke joinstyle="miter"/>
              <v:path gradientshapeok="t" o:connecttype="rect"/>
            </v:shapetype>
            <v:shape id="_x0000_s1027" type="#_x0000_t202" style="position:absolute;left:0;text-align:left;margin-left:63.9pt;margin-top:-2.9pt;width:189.4pt;height:17.7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" stroked="f">
              <v:textbox>
                <w:txbxContent>
                  <w:p w14:paraId="516D0ABE" w14:textId="77777777" w:rsidR="0036042D" w:rsidRDefault="0036042D">
                    <w:pPr>
                      <w:rPr>
                        <w:sz w:val="18"/>
                        <w:szCs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B2304"/>
    <w:multiLevelType w:val="multilevel"/>
    <w:tmpl w:val="329B2304"/>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35B64D74"/>
    <w:multiLevelType w:val="multilevel"/>
    <w:tmpl w:val="35B64D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8194F66"/>
    <w:multiLevelType w:val="hybridMultilevel"/>
    <w:tmpl w:val="9AA43008"/>
    <w:lvl w:ilvl="0" w:tplc="B328A00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464585380">
    <w:abstractNumId w:val="0"/>
  </w:num>
  <w:num w:numId="2" w16cid:durableId="1105072441">
    <w:abstractNumId w:val="1"/>
  </w:num>
  <w:num w:numId="3" w16cid:durableId="1988590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7E01B3"/>
    <w:rsid w:val="00002DA9"/>
    <w:rsid w:val="000168A2"/>
    <w:rsid w:val="00017B0F"/>
    <w:rsid w:val="000228AC"/>
    <w:rsid w:val="00071FA8"/>
    <w:rsid w:val="000B6A8A"/>
    <w:rsid w:val="000C5FA7"/>
    <w:rsid w:val="000F7F4C"/>
    <w:rsid w:val="0012594F"/>
    <w:rsid w:val="001268D7"/>
    <w:rsid w:val="00143467"/>
    <w:rsid w:val="001539FE"/>
    <w:rsid w:val="0015585C"/>
    <w:rsid w:val="00164A64"/>
    <w:rsid w:val="001C366B"/>
    <w:rsid w:val="001C5A16"/>
    <w:rsid w:val="001D33D9"/>
    <w:rsid w:val="001D52A7"/>
    <w:rsid w:val="001E4B29"/>
    <w:rsid w:val="001F7B50"/>
    <w:rsid w:val="00201CB9"/>
    <w:rsid w:val="00203754"/>
    <w:rsid w:val="002042AA"/>
    <w:rsid w:val="00211652"/>
    <w:rsid w:val="00217737"/>
    <w:rsid w:val="0024126E"/>
    <w:rsid w:val="002437DF"/>
    <w:rsid w:val="00244066"/>
    <w:rsid w:val="00253349"/>
    <w:rsid w:val="00256643"/>
    <w:rsid w:val="002C5C63"/>
    <w:rsid w:val="00303E2C"/>
    <w:rsid w:val="00316C89"/>
    <w:rsid w:val="003513BC"/>
    <w:rsid w:val="0036042D"/>
    <w:rsid w:val="0036315A"/>
    <w:rsid w:val="003711AB"/>
    <w:rsid w:val="00374E7F"/>
    <w:rsid w:val="00380712"/>
    <w:rsid w:val="003904AA"/>
    <w:rsid w:val="00393004"/>
    <w:rsid w:val="003C582D"/>
    <w:rsid w:val="003C700C"/>
    <w:rsid w:val="003D7D08"/>
    <w:rsid w:val="004162DD"/>
    <w:rsid w:val="00422624"/>
    <w:rsid w:val="004246ED"/>
    <w:rsid w:val="00447CF2"/>
    <w:rsid w:val="00456166"/>
    <w:rsid w:val="004600E8"/>
    <w:rsid w:val="004761E9"/>
    <w:rsid w:val="00485F0C"/>
    <w:rsid w:val="0049761D"/>
    <w:rsid w:val="004A7BF6"/>
    <w:rsid w:val="004C3E68"/>
    <w:rsid w:val="004F17B0"/>
    <w:rsid w:val="00502EDD"/>
    <w:rsid w:val="005100CF"/>
    <w:rsid w:val="00510FCE"/>
    <w:rsid w:val="00511CE6"/>
    <w:rsid w:val="005174E6"/>
    <w:rsid w:val="005262D1"/>
    <w:rsid w:val="005274C8"/>
    <w:rsid w:val="00532B41"/>
    <w:rsid w:val="005411A6"/>
    <w:rsid w:val="00546F35"/>
    <w:rsid w:val="005541CD"/>
    <w:rsid w:val="00586AF8"/>
    <w:rsid w:val="005A2FE9"/>
    <w:rsid w:val="005B098E"/>
    <w:rsid w:val="005B4B6F"/>
    <w:rsid w:val="005F1097"/>
    <w:rsid w:val="006206EB"/>
    <w:rsid w:val="00625EAF"/>
    <w:rsid w:val="006336CF"/>
    <w:rsid w:val="006436F0"/>
    <w:rsid w:val="00657D1D"/>
    <w:rsid w:val="0066651F"/>
    <w:rsid w:val="00674D1A"/>
    <w:rsid w:val="00677A18"/>
    <w:rsid w:val="006A37ED"/>
    <w:rsid w:val="006A5DAE"/>
    <w:rsid w:val="006C75E3"/>
    <w:rsid w:val="006D2C94"/>
    <w:rsid w:val="00703BA5"/>
    <w:rsid w:val="00737126"/>
    <w:rsid w:val="007731B6"/>
    <w:rsid w:val="007748E9"/>
    <w:rsid w:val="007B1207"/>
    <w:rsid w:val="007B28D9"/>
    <w:rsid w:val="007C2FB0"/>
    <w:rsid w:val="007D3E94"/>
    <w:rsid w:val="00804057"/>
    <w:rsid w:val="00804976"/>
    <w:rsid w:val="0081045F"/>
    <w:rsid w:val="00851283"/>
    <w:rsid w:val="0087443D"/>
    <w:rsid w:val="00887173"/>
    <w:rsid w:val="008A2AE5"/>
    <w:rsid w:val="008D0AE7"/>
    <w:rsid w:val="008E59DD"/>
    <w:rsid w:val="008F1888"/>
    <w:rsid w:val="008F3697"/>
    <w:rsid w:val="0090145A"/>
    <w:rsid w:val="0092010F"/>
    <w:rsid w:val="00935B78"/>
    <w:rsid w:val="009A0DAE"/>
    <w:rsid w:val="009B75C0"/>
    <w:rsid w:val="009D433B"/>
    <w:rsid w:val="00A20A38"/>
    <w:rsid w:val="00A37630"/>
    <w:rsid w:val="00A44B5E"/>
    <w:rsid w:val="00A451E1"/>
    <w:rsid w:val="00A47EC3"/>
    <w:rsid w:val="00A67ADE"/>
    <w:rsid w:val="00AA60BB"/>
    <w:rsid w:val="00AB3D9B"/>
    <w:rsid w:val="00AC7762"/>
    <w:rsid w:val="00AD4D2E"/>
    <w:rsid w:val="00AD5B98"/>
    <w:rsid w:val="00AF225E"/>
    <w:rsid w:val="00B00A95"/>
    <w:rsid w:val="00B03CDD"/>
    <w:rsid w:val="00B23DE7"/>
    <w:rsid w:val="00B26DE4"/>
    <w:rsid w:val="00B40235"/>
    <w:rsid w:val="00B74ECA"/>
    <w:rsid w:val="00B864CF"/>
    <w:rsid w:val="00BB7FF4"/>
    <w:rsid w:val="00BC03E4"/>
    <w:rsid w:val="00BC4469"/>
    <w:rsid w:val="00BF4FA0"/>
    <w:rsid w:val="00C325D0"/>
    <w:rsid w:val="00C51100"/>
    <w:rsid w:val="00C5482C"/>
    <w:rsid w:val="00C60DA0"/>
    <w:rsid w:val="00C67DF2"/>
    <w:rsid w:val="00C7047C"/>
    <w:rsid w:val="00C867AA"/>
    <w:rsid w:val="00C909C2"/>
    <w:rsid w:val="00CF54CF"/>
    <w:rsid w:val="00D03A00"/>
    <w:rsid w:val="00D1112D"/>
    <w:rsid w:val="00D214EE"/>
    <w:rsid w:val="00D371B4"/>
    <w:rsid w:val="00D515D1"/>
    <w:rsid w:val="00D5421F"/>
    <w:rsid w:val="00D65FF0"/>
    <w:rsid w:val="00D84925"/>
    <w:rsid w:val="00E03B37"/>
    <w:rsid w:val="00E04119"/>
    <w:rsid w:val="00E23049"/>
    <w:rsid w:val="00E33772"/>
    <w:rsid w:val="00E44B6A"/>
    <w:rsid w:val="00E4743D"/>
    <w:rsid w:val="00E97B1E"/>
    <w:rsid w:val="00EA2F89"/>
    <w:rsid w:val="00EC0DC2"/>
    <w:rsid w:val="00EC65ED"/>
    <w:rsid w:val="00EF2452"/>
    <w:rsid w:val="00F34E37"/>
    <w:rsid w:val="00F433B6"/>
    <w:rsid w:val="00F755F6"/>
    <w:rsid w:val="00F76658"/>
    <w:rsid w:val="00F8195A"/>
    <w:rsid w:val="00FA4D09"/>
    <w:rsid w:val="00FD6522"/>
    <w:rsid w:val="00FE05E8"/>
    <w:rsid w:val="00FE2EF4"/>
    <w:rsid w:val="00FE3534"/>
    <w:rsid w:val="00FF034F"/>
    <w:rsid w:val="02A72A32"/>
    <w:rsid w:val="0893276C"/>
    <w:rsid w:val="0ECE5EBD"/>
    <w:rsid w:val="164C1D56"/>
    <w:rsid w:val="1DD30DBB"/>
    <w:rsid w:val="20C074B8"/>
    <w:rsid w:val="2DF828BA"/>
    <w:rsid w:val="30C12583"/>
    <w:rsid w:val="34E8490D"/>
    <w:rsid w:val="453E65BE"/>
    <w:rsid w:val="457E01B3"/>
    <w:rsid w:val="479929EE"/>
    <w:rsid w:val="4AC12ACE"/>
    <w:rsid w:val="4AFB3712"/>
    <w:rsid w:val="51F268E4"/>
    <w:rsid w:val="536D2948"/>
    <w:rsid w:val="53D522C7"/>
    <w:rsid w:val="574C001B"/>
    <w:rsid w:val="5A6D062D"/>
    <w:rsid w:val="5AF20918"/>
    <w:rsid w:val="5C27722F"/>
    <w:rsid w:val="5DBB2576"/>
    <w:rsid w:val="5F135360"/>
    <w:rsid w:val="5F8D2F49"/>
    <w:rsid w:val="614656C3"/>
    <w:rsid w:val="65BE4D77"/>
    <w:rsid w:val="67C44CBC"/>
    <w:rsid w:val="6BB71740"/>
    <w:rsid w:val="6FDD0EA7"/>
    <w:rsid w:val="7AC84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3442AA"/>
  <w15:docId w15:val="{BF0BD73A-FC96-47E5-8FED-87E5656B2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qFormat="1"/>
    <w:lsdException w:name="header" w:uiPriority="99" w:qFormat="1"/>
    <w:lsdException w:name="footer" w:uiPriority="99" w:qFormat="1"/>
    <w:lsdException w:name="caption" w:semiHidden="1" w:unhideWhenUsed="1" w:qFormat="1"/>
    <w:lsdException w:name="footnote reference" w:uiPriority="99" w:qFormat="1"/>
    <w:lsdException w:name="endnote reference" w:qFormat="1"/>
    <w:lsdException w:name="endnote text" w:qFormat="1"/>
    <w:lsdException w:name="Title" w:qFormat="1"/>
    <w:lsdException w:name="Default Paragraph Font" w:semiHidden="1" w:uiPriority="1" w:unhideWhenUsed="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paragraph" w:styleId="Heading1">
    <w:name w:val="heading 1"/>
    <w:basedOn w:val="Normal"/>
    <w:next w:val="Normal"/>
    <w:link w:val="Heading1Char"/>
    <w:qFormat/>
    <w:pPr>
      <w:spacing w:before="360" w:beforeAutospacing="1" w:after="360" w:afterAutospacing="1"/>
      <w:jc w:val="left"/>
      <w:outlineLvl w:val="0"/>
    </w:pPr>
    <w:rPr>
      <w:rFonts w:ascii="SimSun" w:eastAsia="SimSun" w:hAnsi="SimSun" w:cs="Times New Roman" w:hint="eastAsia"/>
      <w:b/>
      <w:kern w:val="44"/>
      <w:sz w:val="28"/>
      <w:szCs w:val="48"/>
    </w:rPr>
  </w:style>
  <w:style w:type="paragraph" w:styleId="Heading2">
    <w:name w:val="heading 2"/>
    <w:basedOn w:val="Normal"/>
    <w:next w:val="Normal"/>
    <w:link w:val="Heading2Char"/>
    <w:unhideWhenUsed/>
    <w:qFormat/>
    <w:pPr>
      <w:keepNext/>
      <w:keepLines/>
      <w:spacing w:before="260" w:after="260"/>
      <w:outlineLvl w:val="1"/>
    </w:pPr>
    <w:rPr>
      <w:rFonts w:ascii="Arial" w:eastAsia="SimSun" w:hAnsi="Arial" w:cs="Times New Roman"/>
      <w:b/>
      <w:sz w:val="24"/>
    </w:rPr>
  </w:style>
  <w:style w:type="paragraph" w:styleId="Heading3">
    <w:name w:val="heading 3"/>
    <w:basedOn w:val="Normal"/>
    <w:next w:val="Normal"/>
    <w:link w:val="Heading3Char"/>
    <w:semiHidden/>
    <w:unhideWhenUsed/>
    <w:qFormat/>
    <w:pPr>
      <w:keepNext/>
      <w:keepLines/>
      <w:spacing w:before="20" w:after="20"/>
      <w:ind w:leftChars="200" w:left="200"/>
      <w:jc w:val="left"/>
      <w:outlineLvl w:val="2"/>
    </w:pPr>
    <w:rPr>
      <w:rFonts w:ascii="Times New Roman" w:eastAsia="SimSun" w:hAnsi="Times New Roman" w:cs="Times New Roman"/>
      <w:b/>
      <w:sz w:val="24"/>
    </w:rPr>
  </w:style>
  <w:style w:type="paragraph" w:styleId="Heading4">
    <w:name w:val="heading 4"/>
    <w:basedOn w:val="Normal"/>
    <w:next w:val="Normal"/>
    <w:unhideWhenUsed/>
    <w:qFormat/>
    <w:pPr>
      <w:keepNext/>
      <w:keepLines/>
      <w:spacing w:before="280" w:after="290" w:line="372" w:lineRule="auto"/>
      <w:outlineLvl w:val="3"/>
    </w:pPr>
    <w:rPr>
      <w:rFonts w:ascii="Arial" w:eastAsia="SimHei"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rPr>
      <w:sz w:val="20"/>
      <w:szCs w:val="20"/>
    </w:rPr>
  </w:style>
  <w:style w:type="paragraph" w:styleId="EndnoteText">
    <w:name w:val="endnote text"/>
    <w:basedOn w:val="Normal"/>
    <w:qFormat/>
    <w:pPr>
      <w:snapToGrid w:val="0"/>
      <w:jc w:val="left"/>
    </w:pPr>
  </w:style>
  <w:style w:type="paragraph" w:styleId="BalloonText">
    <w:name w:val="Balloon Text"/>
    <w:basedOn w:val="Normal"/>
    <w:link w:val="BalloonTextChar"/>
    <w:rPr>
      <w:rFonts w:ascii="Segoe UI" w:hAnsi="Segoe UI" w:cs="Segoe UI"/>
      <w:sz w:val="18"/>
      <w:szCs w:val="18"/>
    </w:rPr>
  </w:style>
  <w:style w:type="paragraph" w:styleId="Footer">
    <w:name w:val="footer"/>
    <w:basedOn w:val="Normal"/>
    <w:link w:val="FooterChar"/>
    <w:uiPriority w:val="99"/>
    <w:qFormat/>
    <w:pPr>
      <w:tabs>
        <w:tab w:val="center" w:pos="4153"/>
        <w:tab w:val="right" w:pos="8306"/>
      </w:tabs>
      <w:snapToGrid w:val="0"/>
      <w:jc w:val="left"/>
    </w:pPr>
    <w:rPr>
      <w:sz w:val="18"/>
    </w:rPr>
  </w:style>
  <w:style w:type="paragraph" w:styleId="Header">
    <w:name w:val="header"/>
    <w:basedOn w:val="Normal"/>
    <w:link w:val="HeaderChar"/>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noteText">
    <w:name w:val="footnote text"/>
    <w:basedOn w:val="Normal"/>
    <w:uiPriority w:val="99"/>
    <w:qFormat/>
    <w:pPr>
      <w:snapToGrid w:val="0"/>
      <w:jc w:val="left"/>
    </w:pPr>
    <w:rPr>
      <w:sz w:val="18"/>
    </w:rPr>
  </w:style>
  <w:style w:type="paragraph" w:styleId="NormalWeb">
    <w:name w:val="Normal (Web)"/>
    <w:basedOn w:val="Normal"/>
    <w:qFormat/>
    <w:rPr>
      <w:sz w:val="24"/>
    </w:rPr>
  </w:style>
  <w:style w:type="paragraph" w:styleId="Title">
    <w:name w:val="Title"/>
    <w:basedOn w:val="Normal"/>
    <w:next w:val="Normal"/>
    <w:link w:val="TitleChar"/>
    <w:qFormat/>
    <w:pPr>
      <w:adjustRightInd w:val="0"/>
      <w:snapToGrid w:val="0"/>
      <w:spacing w:beforeLines="50" w:before="50" w:afterLines="50" w:after="50"/>
      <w:jc w:val="left"/>
      <w:outlineLvl w:val="0"/>
    </w:pPr>
    <w:rPr>
      <w:rFonts w:ascii="Cambria" w:eastAsia="Cambria" w:hAnsi="Cambria" w:cstheme="majorBidi"/>
      <w:b/>
      <w:bCs/>
      <w:sz w:val="44"/>
      <w:szCs w:val="32"/>
    </w:rPr>
  </w:style>
  <w:style w:type="paragraph" w:styleId="CommentSubject">
    <w:name w:val="annotation subject"/>
    <w:basedOn w:val="CommentText"/>
    <w:next w:val="CommentText"/>
    <w:link w:val="CommentSubjectChar"/>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qFormat/>
    <w:rPr>
      <w:vertAlign w:val="superscript"/>
    </w:rPr>
  </w:style>
  <w:style w:type="character" w:styleId="Emphasis">
    <w:name w:val="Emphasis"/>
    <w:basedOn w:val="DefaultParagraphFont"/>
    <w:qFormat/>
    <w:rPr>
      <w:i/>
    </w:rPr>
  </w:style>
  <w:style w:type="character" w:styleId="Hyperlink">
    <w:name w:val="Hyperlink"/>
    <w:basedOn w:val="DefaultParagraphFont"/>
    <w:uiPriority w:val="99"/>
    <w:qFormat/>
    <w:rPr>
      <w:color w:val="0000FF"/>
      <w:u w:val="single"/>
    </w:rPr>
  </w:style>
  <w:style w:type="character" w:styleId="CommentReference">
    <w:name w:val="annotation reference"/>
    <w:basedOn w:val="DefaultParagraphFont"/>
    <w:rPr>
      <w:sz w:val="16"/>
      <w:szCs w:val="16"/>
    </w:rPr>
  </w:style>
  <w:style w:type="character" w:styleId="FootnoteReference">
    <w:name w:val="footnote reference"/>
    <w:basedOn w:val="DefaultParagraphFont"/>
    <w:uiPriority w:val="99"/>
    <w:qFormat/>
    <w:rPr>
      <w:vertAlign w:val="superscript"/>
    </w:rPr>
  </w:style>
  <w:style w:type="character" w:customStyle="1" w:styleId="Heading1Char">
    <w:name w:val="Heading 1 Char"/>
    <w:basedOn w:val="DefaultParagraphFont"/>
    <w:link w:val="Heading1"/>
    <w:uiPriority w:val="9"/>
    <w:qFormat/>
    <w:rPr>
      <w:rFonts w:ascii="Times New Roman" w:eastAsia="SimSun" w:hAnsi="Times New Roman" w:cs="SimSun"/>
      <w:b/>
      <w:bCs/>
      <w:kern w:val="44"/>
      <w:sz w:val="28"/>
      <w:szCs w:val="44"/>
    </w:rPr>
  </w:style>
  <w:style w:type="character" w:customStyle="1" w:styleId="Heading2Char">
    <w:name w:val="Heading 2 Char"/>
    <w:basedOn w:val="DefaultParagraphFont"/>
    <w:link w:val="Heading2"/>
    <w:uiPriority w:val="9"/>
    <w:qFormat/>
    <w:rPr>
      <w:rFonts w:ascii="Arial" w:eastAsia="SimSun" w:hAnsi="Arial" w:cs="Times New Roman"/>
      <w:b/>
      <w:bCs/>
      <w:sz w:val="28"/>
      <w:szCs w:val="32"/>
    </w:rPr>
  </w:style>
  <w:style w:type="paragraph" w:customStyle="1" w:styleId="1">
    <w:name w:val="样式1"/>
    <w:basedOn w:val="Heading1"/>
    <w:next w:val="Normal"/>
    <w:qFormat/>
    <w:pPr>
      <w:spacing w:before="0" w:after="0"/>
    </w:pPr>
  </w:style>
  <w:style w:type="character" w:customStyle="1" w:styleId="Heading3Char">
    <w:name w:val="Heading 3 Char"/>
    <w:link w:val="Heading3"/>
    <w:qFormat/>
    <w:rPr>
      <w:rFonts w:ascii="Times New Roman" w:eastAsia="SimSun" w:hAnsi="Times New Roman" w:cs="Times New Roman"/>
      <w:b/>
      <w:sz w:val="24"/>
    </w:rPr>
  </w:style>
  <w:style w:type="character" w:customStyle="1" w:styleId="hps">
    <w:name w:val="hps"/>
    <w:qFormat/>
  </w:style>
  <w:style w:type="paragraph" w:customStyle="1" w:styleId="a">
    <w:name w:val="文章标题"/>
    <w:basedOn w:val="Normal"/>
    <w:link w:val="a0"/>
    <w:qFormat/>
    <w:pPr>
      <w:tabs>
        <w:tab w:val="left" w:pos="1430"/>
      </w:tabs>
      <w:snapToGrid w:val="0"/>
      <w:jc w:val="left"/>
    </w:pPr>
    <w:rPr>
      <w:rFonts w:ascii="Cambria"/>
      <w:b/>
      <w:sz w:val="44"/>
      <w:szCs w:val="44"/>
    </w:rPr>
  </w:style>
  <w:style w:type="paragraph" w:customStyle="1" w:styleId="a1">
    <w:name w:val="期刊文章标题"/>
    <w:basedOn w:val="a"/>
    <w:next w:val="Heading1"/>
    <w:link w:val="a2"/>
  </w:style>
  <w:style w:type="character" w:customStyle="1" w:styleId="a0">
    <w:name w:val="文章标题 字符"/>
    <w:basedOn w:val="DefaultParagraphFont"/>
    <w:link w:val="a"/>
    <w:qFormat/>
    <w:rPr>
      <w:rFonts w:ascii="Cambria" w:eastAsiaTheme="minorEastAsia" w:hAnsiTheme="minorHAnsi" w:cstheme="minorBidi"/>
      <w:b/>
      <w:kern w:val="2"/>
      <w:sz w:val="44"/>
      <w:szCs w:val="44"/>
    </w:rPr>
  </w:style>
  <w:style w:type="paragraph" w:customStyle="1" w:styleId="BBW">
    <w:name w:val="BBW期刊文章标题"/>
    <w:basedOn w:val="a1"/>
    <w:link w:val="BBW0"/>
    <w:qFormat/>
    <w:pPr>
      <w:adjustRightInd w:val="0"/>
      <w:spacing w:afterLines="50" w:after="156"/>
    </w:pPr>
  </w:style>
  <w:style w:type="character" w:customStyle="1" w:styleId="a2">
    <w:name w:val="期刊文章标题 字符"/>
    <w:basedOn w:val="a0"/>
    <w:link w:val="a1"/>
    <w:qFormat/>
    <w:rPr>
      <w:rFonts w:ascii="Cambria" w:eastAsiaTheme="minorEastAsia" w:hAnsiTheme="minorHAnsi" w:cstheme="minorBidi"/>
      <w:b/>
      <w:kern w:val="2"/>
      <w:sz w:val="44"/>
      <w:szCs w:val="44"/>
    </w:rPr>
  </w:style>
  <w:style w:type="paragraph" w:customStyle="1" w:styleId="a3">
    <w:name w:val="作者姓名"/>
    <w:basedOn w:val="Normal"/>
    <w:link w:val="a4"/>
    <w:qFormat/>
    <w:pPr>
      <w:adjustRightInd w:val="0"/>
      <w:snapToGrid w:val="0"/>
      <w:spacing w:beforeLines="50" w:before="50" w:afterLines="50" w:after="50"/>
      <w:outlineLvl w:val="1"/>
    </w:pPr>
    <w:rPr>
      <w:rFonts w:ascii="Cambria" w:eastAsia="Cambria" w:hAnsi="Cambria" w:cs="Palatino Linotype"/>
      <w:b/>
      <w:kern w:val="0"/>
      <w:sz w:val="22"/>
      <w:szCs w:val="22"/>
      <w:lang w:bidi="en-US"/>
    </w:rPr>
  </w:style>
  <w:style w:type="character" w:customStyle="1" w:styleId="BBW0">
    <w:name w:val="BBW期刊文章标题 字符"/>
    <w:basedOn w:val="a2"/>
    <w:link w:val="BBW"/>
    <w:qFormat/>
    <w:rPr>
      <w:rFonts w:ascii="Cambria" w:eastAsiaTheme="minorEastAsia" w:hAnsiTheme="minorHAnsi" w:cstheme="minorBidi"/>
      <w:b/>
      <w:kern w:val="2"/>
      <w:sz w:val="44"/>
      <w:szCs w:val="44"/>
    </w:rPr>
  </w:style>
  <w:style w:type="paragraph" w:customStyle="1" w:styleId="a5">
    <w:name w:val="作者单位"/>
    <w:basedOn w:val="Normal"/>
    <w:link w:val="a6"/>
    <w:qFormat/>
    <w:pPr>
      <w:snapToGrid w:val="0"/>
      <w:spacing w:afterLines="50" w:after="50"/>
    </w:pPr>
    <w:rPr>
      <w:rFonts w:ascii="Cambria"/>
      <w:bCs/>
      <w:sz w:val="20"/>
      <w:szCs w:val="20"/>
    </w:rPr>
  </w:style>
  <w:style w:type="character" w:customStyle="1" w:styleId="a4">
    <w:name w:val="作者姓名 字符"/>
    <w:basedOn w:val="DefaultParagraphFont"/>
    <w:link w:val="a3"/>
    <w:qFormat/>
    <w:rPr>
      <w:rFonts w:ascii="Cambria" w:eastAsia="Cambria" w:hAnsi="Cambria" w:cs="Palatino Linotype"/>
      <w:b/>
      <w:sz w:val="22"/>
      <w:szCs w:val="22"/>
      <w:lang w:bidi="en-US"/>
    </w:rPr>
  </w:style>
  <w:style w:type="character" w:customStyle="1" w:styleId="a6">
    <w:name w:val="作者单位 字符"/>
    <w:basedOn w:val="DefaultParagraphFont"/>
    <w:link w:val="a5"/>
    <w:rPr>
      <w:rFonts w:ascii="Cambria" w:eastAsiaTheme="minorEastAsia" w:hAnsiTheme="minorHAnsi" w:cstheme="minorBidi"/>
      <w:bCs/>
      <w:kern w:val="2"/>
    </w:rPr>
  </w:style>
  <w:style w:type="character" w:customStyle="1" w:styleId="TitleChar">
    <w:name w:val="Title Char"/>
    <w:basedOn w:val="DefaultParagraphFont"/>
    <w:link w:val="Title"/>
    <w:rPr>
      <w:rFonts w:ascii="Cambria" w:eastAsia="Cambria" w:hAnsi="Cambria" w:cstheme="majorBidi"/>
      <w:b/>
      <w:bCs/>
      <w:kern w:val="2"/>
      <w:sz w:val="44"/>
      <w:szCs w:val="32"/>
    </w:rPr>
  </w:style>
  <w:style w:type="paragraph" w:customStyle="1" w:styleId="BBW1">
    <w:name w:val="BBW文章标题"/>
    <w:basedOn w:val="Title"/>
    <w:link w:val="BBW2"/>
    <w:qFormat/>
    <w:pPr>
      <w:spacing w:before="156"/>
    </w:pPr>
  </w:style>
  <w:style w:type="paragraph" w:customStyle="1" w:styleId="a7">
    <w:name w:val="期刊顶端期刊名称年份卷期信息"/>
    <w:basedOn w:val="Normal"/>
    <w:link w:val="a8"/>
    <w:qFormat/>
    <w:pPr>
      <w:snapToGrid w:val="0"/>
      <w:ind w:right="136"/>
      <w:jc w:val="right"/>
    </w:pPr>
    <w:rPr>
      <w:rFonts w:ascii="Calibri" w:hAnsi="Calibri"/>
    </w:rPr>
  </w:style>
  <w:style w:type="character" w:customStyle="1" w:styleId="BBW2">
    <w:name w:val="BBW文章标题 字符"/>
    <w:basedOn w:val="TitleChar"/>
    <w:link w:val="BBW1"/>
    <w:rPr>
      <w:rFonts w:ascii="Cambria" w:eastAsia="Cambria" w:hAnsi="Cambria" w:cstheme="majorBidi"/>
      <w:b/>
      <w:bCs/>
      <w:kern w:val="2"/>
      <w:sz w:val="44"/>
      <w:szCs w:val="32"/>
    </w:rPr>
  </w:style>
  <w:style w:type="paragraph" w:customStyle="1" w:styleId="a9">
    <w:name w:val="期刊顶部名称卷期信息"/>
    <w:basedOn w:val="Normal"/>
    <w:link w:val="aa"/>
    <w:qFormat/>
    <w:pPr>
      <w:snapToGrid w:val="0"/>
      <w:ind w:right="136"/>
      <w:jc w:val="right"/>
    </w:pPr>
    <w:rPr>
      <w:b/>
      <w:sz w:val="18"/>
    </w:rPr>
  </w:style>
  <w:style w:type="character" w:customStyle="1" w:styleId="a8">
    <w:name w:val="期刊顶端期刊名称年份卷期信息 字符"/>
    <w:basedOn w:val="DefaultParagraphFont"/>
    <w:link w:val="a7"/>
    <w:qFormat/>
    <w:rPr>
      <w:rFonts w:ascii="Calibri" w:eastAsiaTheme="minorEastAsia" w:hAnsi="Calibri" w:cstheme="minorBidi"/>
      <w:kern w:val="2"/>
      <w:sz w:val="21"/>
      <w:szCs w:val="24"/>
    </w:rPr>
  </w:style>
  <w:style w:type="paragraph" w:customStyle="1" w:styleId="ab">
    <w:name w:val="文章摘要"/>
    <w:basedOn w:val="Normal"/>
    <w:link w:val="ac"/>
    <w:qFormat/>
    <w:pPr>
      <w:snapToGrid w:val="0"/>
      <w:spacing w:beforeLines="20" w:before="20" w:afterLines="20" w:after="20" w:line="300" w:lineRule="exact"/>
    </w:pPr>
    <w:rPr>
      <w:rFonts w:ascii="Times New Roman" w:eastAsia="Times New Roman" w:hAnsi="Times New Roman" w:cs="Times New Roman"/>
      <w:bCs/>
      <w:iCs/>
      <w:sz w:val="20"/>
      <w:szCs w:val="20"/>
    </w:rPr>
  </w:style>
  <w:style w:type="character" w:customStyle="1" w:styleId="aa">
    <w:name w:val="期刊顶部名称卷期信息 字符"/>
    <w:basedOn w:val="DefaultParagraphFont"/>
    <w:link w:val="a9"/>
    <w:qFormat/>
    <w:rPr>
      <w:rFonts w:asciiTheme="minorHAnsi" w:eastAsiaTheme="minorEastAsia" w:hAnsiTheme="minorHAnsi" w:cstheme="minorBidi"/>
      <w:b/>
      <w:kern w:val="2"/>
      <w:sz w:val="18"/>
      <w:szCs w:val="24"/>
    </w:rPr>
  </w:style>
  <w:style w:type="character" w:customStyle="1" w:styleId="ac">
    <w:name w:val="文章摘要 字符"/>
    <w:basedOn w:val="DefaultParagraphFont"/>
    <w:link w:val="ab"/>
    <w:qFormat/>
    <w:rPr>
      <w:rFonts w:eastAsia="Times New Roman"/>
      <w:bCs/>
      <w:iCs/>
      <w:kern w:val="2"/>
    </w:rPr>
  </w:style>
  <w:style w:type="table" w:customStyle="1" w:styleId="ad">
    <w:name w:val="期刊摘要"/>
    <w:basedOn w:val="TableNormal"/>
    <w:uiPriority w:val="99"/>
    <w:qFormat/>
    <w:tblPr>
      <w:tblBorders>
        <w:top w:val="single" w:sz="4" w:space="0" w:color="auto"/>
        <w:bottom w:val="single" w:sz="4" w:space="0" w:color="auto"/>
      </w:tblBorders>
    </w:tblPr>
  </w:style>
  <w:style w:type="table" w:customStyle="1" w:styleId="2">
    <w:name w:val="样式2"/>
    <w:basedOn w:val="ad"/>
    <w:uiPriority w:val="99"/>
    <w:qFormat/>
    <w:tblPr/>
  </w:style>
  <w:style w:type="paragraph" w:customStyle="1" w:styleId="10">
    <w:name w:val="文章1级标题"/>
    <w:basedOn w:val="Normal"/>
    <w:link w:val="11"/>
    <w:qFormat/>
    <w:pPr>
      <w:adjustRightInd w:val="0"/>
      <w:snapToGrid w:val="0"/>
      <w:spacing w:beforeLines="20" w:before="20" w:afterLines="20" w:after="20" w:line="360" w:lineRule="auto"/>
      <w:jc w:val="left"/>
    </w:pPr>
    <w:rPr>
      <w:rFonts w:ascii="Times New Roman" w:hAnsi="Times New Roman"/>
      <w:b/>
      <w:sz w:val="24"/>
    </w:rPr>
  </w:style>
  <w:style w:type="character" w:customStyle="1" w:styleId="FooterChar">
    <w:name w:val="Footer Char"/>
    <w:basedOn w:val="DefaultParagraphFont"/>
    <w:link w:val="Footer"/>
    <w:uiPriority w:val="99"/>
    <w:rPr>
      <w:rFonts w:asciiTheme="minorHAnsi" w:eastAsiaTheme="minorEastAsia" w:hAnsiTheme="minorHAnsi" w:cstheme="minorBidi"/>
      <w:kern w:val="2"/>
      <w:sz w:val="18"/>
      <w:szCs w:val="24"/>
    </w:rPr>
  </w:style>
  <w:style w:type="character" w:customStyle="1" w:styleId="11">
    <w:name w:val="文章1级标题 字符"/>
    <w:basedOn w:val="DefaultParagraphFont"/>
    <w:link w:val="10"/>
    <w:qFormat/>
    <w:rPr>
      <w:rFonts w:eastAsiaTheme="minorEastAsia" w:cstheme="minorBidi"/>
      <w:b/>
      <w:kern w:val="2"/>
      <w:sz w:val="24"/>
      <w:szCs w:val="24"/>
    </w:rPr>
  </w:style>
  <w:style w:type="character" w:customStyle="1" w:styleId="HeaderChar">
    <w:name w:val="Header Char"/>
    <w:basedOn w:val="DefaultParagraphFont"/>
    <w:link w:val="Header"/>
    <w:uiPriority w:val="99"/>
    <w:rPr>
      <w:rFonts w:asciiTheme="minorHAnsi" w:eastAsiaTheme="minorEastAsia" w:hAnsiTheme="minorHAnsi" w:cstheme="minorBidi"/>
      <w:kern w:val="2"/>
      <w:sz w:val="18"/>
      <w:szCs w:val="24"/>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20">
    <w:name w:val="文章2级标题"/>
    <w:basedOn w:val="10"/>
    <w:link w:val="21"/>
    <w:qFormat/>
    <w:pPr>
      <w:spacing w:beforeLines="0" w:before="0" w:afterLines="0" w:after="0" w:line="300" w:lineRule="exact"/>
    </w:pPr>
    <w:rPr>
      <w:rFonts w:cs="Times New Roman"/>
      <w:sz w:val="22"/>
      <w:szCs w:val="22"/>
    </w:rPr>
  </w:style>
  <w:style w:type="character" w:customStyle="1" w:styleId="jlqj4b">
    <w:name w:val="jlqj4b"/>
    <w:basedOn w:val="DefaultParagraphFont"/>
  </w:style>
  <w:style w:type="character" w:customStyle="1" w:styleId="21">
    <w:name w:val="文章2级标题 字符"/>
    <w:basedOn w:val="11"/>
    <w:link w:val="20"/>
    <w:qFormat/>
    <w:rPr>
      <w:rFonts w:eastAsiaTheme="minorEastAsia" w:cstheme="minorBidi"/>
      <w:b/>
      <w:kern w:val="2"/>
      <w:sz w:val="22"/>
      <w:szCs w:val="22"/>
    </w:rPr>
  </w:style>
  <w:style w:type="paragraph" w:customStyle="1" w:styleId="3">
    <w:name w:val="文章3级标题"/>
    <w:basedOn w:val="20"/>
    <w:link w:val="30"/>
    <w:qFormat/>
    <w:rPr>
      <w:sz w:val="20"/>
      <w:szCs w:val="20"/>
    </w:rPr>
  </w:style>
  <w:style w:type="character" w:customStyle="1" w:styleId="30">
    <w:name w:val="文章3级标题 字符"/>
    <w:basedOn w:val="21"/>
    <w:link w:val="3"/>
    <w:rPr>
      <w:rFonts w:eastAsiaTheme="minorEastAsia" w:cstheme="minorBidi"/>
      <w:b/>
      <w:kern w:val="2"/>
      <w:sz w:val="22"/>
      <w:szCs w:val="22"/>
    </w:rPr>
  </w:style>
  <w:style w:type="paragraph" w:customStyle="1" w:styleId="Article-Title">
    <w:name w:val="Article-Title"/>
    <w:basedOn w:val="Normal"/>
    <w:qFormat/>
    <w:pPr>
      <w:widowControl/>
      <w:spacing w:before="720"/>
      <w:jc w:val="center"/>
    </w:pPr>
    <w:rPr>
      <w:rFonts w:ascii="Times New Roman" w:eastAsia="DengXian" w:hAnsi="Times New Roman" w:cs="Arial"/>
      <w:b/>
      <w:bCs/>
      <w:color w:val="000000"/>
      <w:kern w:val="0"/>
      <w:sz w:val="40"/>
      <w:szCs w:val="28"/>
      <w:lang w:val="en-IN" w:eastAsia="en-US"/>
    </w:rPr>
  </w:style>
  <w:style w:type="paragraph" w:styleId="ListParagraph">
    <w:name w:val="List Paragraph"/>
    <w:basedOn w:val="Normal"/>
    <w:uiPriority w:val="34"/>
    <w:qFormat/>
    <w:pPr>
      <w:widowControl/>
      <w:spacing w:after="120" w:line="228" w:lineRule="auto"/>
      <w:ind w:firstLine="420"/>
    </w:pPr>
    <w:rPr>
      <w:rFonts w:ascii="Times New Roman" w:eastAsia="SimSun" w:hAnsi="Times New Roman" w:cs="Times New Roman"/>
      <w:spacing w:val="-1"/>
      <w:kern w:val="0"/>
      <w:sz w:val="20"/>
    </w:rPr>
  </w:style>
  <w:style w:type="paragraph" w:customStyle="1" w:styleId="Para">
    <w:name w:val="Para"/>
    <w:basedOn w:val="Normal"/>
    <w:qFormat/>
    <w:pPr>
      <w:widowControl/>
      <w:spacing w:after="120" w:line="240" w:lineRule="atLeast"/>
      <w:ind w:firstLine="288"/>
    </w:pPr>
    <w:rPr>
      <w:rFonts w:ascii="Times New Roman" w:eastAsia="DengXian" w:hAnsi="Times New Roman" w:cs="Minion Pro"/>
      <w:color w:val="000000"/>
      <w:kern w:val="0"/>
      <w:sz w:val="20"/>
      <w:szCs w:val="19"/>
      <w:lang w:val="en-IN" w:eastAsia="en-IN"/>
    </w:rPr>
  </w:style>
  <w:style w:type="paragraph" w:customStyle="1" w:styleId="Acknowledgment">
    <w:name w:val="Acknowledgment"/>
    <w:basedOn w:val="Normal"/>
    <w:qFormat/>
    <w:pPr>
      <w:widowControl/>
      <w:spacing w:before="240" w:after="160"/>
      <w:jc w:val="left"/>
    </w:pPr>
    <w:rPr>
      <w:rFonts w:ascii="Times New Roman" w:eastAsia="DengXian" w:hAnsi="Times New Roman" w:cs="Minion Pro"/>
      <w:color w:val="000000"/>
      <w:kern w:val="0"/>
      <w:sz w:val="23"/>
      <w:szCs w:val="19"/>
      <w:lang w:val="en-IN" w:eastAsia="en-IN"/>
    </w:rPr>
  </w:style>
  <w:style w:type="paragraph" w:customStyle="1" w:styleId="Contribution">
    <w:name w:val="Contribution"/>
    <w:basedOn w:val="Acknowledgment"/>
    <w:qFormat/>
    <w:rPr>
      <w:b/>
    </w:rPr>
  </w:style>
  <w:style w:type="character" w:customStyle="1" w:styleId="CommentTextChar">
    <w:name w:val="Comment Text Char"/>
    <w:basedOn w:val="DefaultParagraphFont"/>
    <w:link w:val="CommentText"/>
    <w:qFormat/>
    <w:rPr>
      <w:rFonts w:asciiTheme="minorHAnsi" w:eastAsiaTheme="minorEastAsia" w:hAnsiTheme="minorHAnsi" w:cstheme="minorBidi"/>
      <w:kern w:val="2"/>
    </w:rPr>
  </w:style>
  <w:style w:type="character" w:customStyle="1" w:styleId="CommentSubjectChar">
    <w:name w:val="Comment Subject Char"/>
    <w:basedOn w:val="CommentTextChar"/>
    <w:link w:val="CommentSubject"/>
    <w:qFormat/>
    <w:rPr>
      <w:rFonts w:asciiTheme="minorHAnsi" w:eastAsiaTheme="minorEastAsia" w:hAnsiTheme="minorHAnsi" w:cstheme="minorBidi"/>
      <w:b/>
      <w:bCs/>
      <w:kern w:val="2"/>
    </w:rPr>
  </w:style>
  <w:style w:type="character" w:customStyle="1" w:styleId="BalloonTextChar">
    <w:name w:val="Balloon Text Char"/>
    <w:basedOn w:val="DefaultParagraphFont"/>
    <w:link w:val="BalloonText"/>
    <w:rPr>
      <w:rFonts w:ascii="Segoe UI" w:eastAsiaTheme="minorEastAsia" w:hAnsi="Segoe UI" w:cs="Segoe UI"/>
      <w:kern w:val="2"/>
      <w:sz w:val="18"/>
      <w:szCs w:val="18"/>
    </w:rPr>
  </w:style>
  <w:style w:type="character" w:styleId="PlaceholderText">
    <w:name w:val="Placeholder Text"/>
    <w:basedOn w:val="DefaultParagraphFont"/>
    <w:uiPriority w:val="99"/>
    <w:semiHidden/>
    <w:rPr>
      <w:color w:val="666666"/>
    </w:rPr>
  </w:style>
  <w:style w:type="character" w:styleId="UnresolvedMention">
    <w:name w:val="Unresolved Mention"/>
    <w:basedOn w:val="DefaultParagraphFont"/>
    <w:uiPriority w:val="99"/>
    <w:semiHidden/>
    <w:unhideWhenUsed/>
    <w:rsid w:val="00EC0DC2"/>
    <w:rPr>
      <w:color w:val="605E5C"/>
      <w:shd w:val="clear" w:color="auto" w:fill="E1DFDD"/>
    </w:rPr>
  </w:style>
  <w:style w:type="paragraph" w:styleId="Revision">
    <w:name w:val="Revision"/>
    <w:hidden/>
    <w:uiPriority w:val="99"/>
    <w:unhideWhenUsed/>
    <w:rsid w:val="00C67DF2"/>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09C066-4BAC-40B7-ADCF-15B4FFAE7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2568</Words>
  <Characters>14641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永远不可能！！！</dc:creator>
  <cp:lastModifiedBy>Acer NB</cp:lastModifiedBy>
  <cp:revision>2</cp:revision>
  <cp:lastPrinted>2021-04-23T01:31:00Z</cp:lastPrinted>
  <dcterms:created xsi:type="dcterms:W3CDTF">2026-07-10T07:10:00Z</dcterms:created>
  <dcterms:modified xsi:type="dcterms:W3CDTF">2026-07-10T07:10:00Z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A35C9D5F4F4C41B68CD64E0BE41F4CF4</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30ff4b82-4f32-4e18-9ec4-c187a65da4a3</vt:lpwstr>
  </property>
</Properties>
</file>