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CF55" w14:textId="613DF344" w:rsidR="00621BC9" w:rsidRPr="00754F92" w:rsidRDefault="00000000" w:rsidP="00B5629E">
      <w:pPr>
        <w:spacing w:line="240" w:lineRule="auto"/>
        <w:rPr>
          <w:rFonts w:cs="Times New Roman"/>
          <w:b/>
          <w:bCs/>
          <w:sz w:val="44"/>
          <w:szCs w:val="44"/>
          <w:lang w:eastAsia="zh-CN" w:bidi="zh-CN"/>
        </w:rPr>
      </w:pPr>
      <w:r w:rsidRPr="00754F92">
        <w:rPr>
          <w:rFonts w:cs="Times New Roman"/>
          <w:b/>
          <w:bCs/>
          <w:sz w:val="44"/>
          <w:szCs w:val="44"/>
          <w:lang w:eastAsia="zh-CN" w:bidi="zh-CN"/>
        </w:rPr>
        <w:t>Research on Statistical Inclusion Methods Under New Economic Forms Such as Platform Economy</w:t>
      </w:r>
    </w:p>
    <w:p w14:paraId="13729366" w14:textId="77777777" w:rsidR="00621BC9" w:rsidRPr="00754F92" w:rsidRDefault="00000000" w:rsidP="00522685">
      <w:pPr>
        <w:spacing w:line="240" w:lineRule="auto"/>
        <w:jc w:val="both"/>
        <w:rPr>
          <w:rFonts w:cs="Times New Roman"/>
          <w:b/>
          <w:bCs/>
          <w:sz w:val="24"/>
          <w:lang w:eastAsia="zh-CN" w:bidi="zh-CN"/>
        </w:rPr>
      </w:pPr>
      <w:r w:rsidRPr="00754F92">
        <w:rPr>
          <w:rFonts w:cs="Times New Roman"/>
          <w:b/>
          <w:bCs/>
          <w:sz w:val="24"/>
          <w:lang w:eastAsia="zh-CN" w:bidi="zh-CN"/>
        </w:rPr>
        <w:t>Xiaoping Zhong</w:t>
      </w:r>
      <w:r w:rsidRPr="00C9672E">
        <w:rPr>
          <w:rFonts w:cs="Times New Roman"/>
          <w:b/>
          <w:bCs/>
          <w:sz w:val="24"/>
          <w:lang w:eastAsia="zh-CN" w:bidi="zh-CN"/>
        </w:rPr>
        <w:t>*</w:t>
      </w:r>
      <w:r w:rsidRPr="00754F92">
        <w:rPr>
          <w:rFonts w:cs="Times New Roman"/>
          <w:b/>
          <w:bCs/>
          <w:sz w:val="24"/>
          <w:lang w:eastAsia="zh-CN" w:bidi="zh-CN"/>
        </w:rPr>
        <w:t>, Yun Jian</w:t>
      </w:r>
      <w:r w:rsidRPr="00C9672E">
        <w:rPr>
          <w:rFonts w:cs="Times New Roman"/>
          <w:b/>
          <w:bCs/>
          <w:sz w:val="24"/>
          <w:lang w:eastAsia="zh-CN"/>
        </w:rPr>
        <w:t>g</w:t>
      </w:r>
      <w:r w:rsidRPr="00754F92">
        <w:rPr>
          <w:rFonts w:cs="Times New Roman"/>
          <w:b/>
          <w:bCs/>
          <w:sz w:val="24"/>
          <w:lang w:eastAsia="zh-CN" w:bidi="zh-CN"/>
        </w:rPr>
        <w:t>, Dejun</w:t>
      </w:r>
      <w:r w:rsidRPr="00C9672E">
        <w:rPr>
          <w:rFonts w:cs="Times New Roman"/>
          <w:b/>
          <w:bCs/>
          <w:sz w:val="24"/>
          <w:lang w:eastAsia="zh-CN" w:bidi="zh-CN"/>
        </w:rPr>
        <w:t xml:space="preserve"> </w:t>
      </w:r>
      <w:r w:rsidRPr="00754F92">
        <w:rPr>
          <w:rFonts w:cs="Times New Roman"/>
          <w:b/>
          <w:bCs/>
          <w:sz w:val="24"/>
          <w:lang w:eastAsia="zh-CN" w:bidi="zh-CN"/>
        </w:rPr>
        <w:t>Chen, Xiaowen</w:t>
      </w:r>
      <w:r w:rsidRPr="00C9672E">
        <w:rPr>
          <w:rFonts w:cs="Times New Roman"/>
          <w:b/>
          <w:bCs/>
          <w:sz w:val="24"/>
          <w:lang w:eastAsia="zh-CN" w:bidi="zh-CN"/>
        </w:rPr>
        <w:t xml:space="preserve"> </w:t>
      </w:r>
      <w:r w:rsidRPr="00754F92">
        <w:rPr>
          <w:rFonts w:cs="Times New Roman"/>
          <w:b/>
          <w:bCs/>
          <w:sz w:val="24"/>
          <w:lang w:eastAsia="zh-CN" w:bidi="zh-CN"/>
        </w:rPr>
        <w:t>Ye, Wei</w:t>
      </w:r>
      <w:r w:rsidRPr="00C9672E">
        <w:rPr>
          <w:rFonts w:cs="Times New Roman"/>
          <w:b/>
          <w:bCs/>
          <w:sz w:val="24"/>
          <w:lang w:eastAsia="zh-CN" w:bidi="zh-CN"/>
        </w:rPr>
        <w:t xml:space="preserve"> </w:t>
      </w:r>
      <w:r w:rsidRPr="00754F92">
        <w:rPr>
          <w:rFonts w:cs="Times New Roman"/>
          <w:b/>
          <w:bCs/>
          <w:sz w:val="24"/>
          <w:lang w:eastAsia="zh-CN" w:bidi="zh-CN"/>
        </w:rPr>
        <w:t>Lin</w:t>
      </w:r>
    </w:p>
    <w:p w14:paraId="2D8D6748" w14:textId="77777777" w:rsidR="00621BC9" w:rsidRPr="00754F92" w:rsidRDefault="00000000" w:rsidP="00522685">
      <w:pPr>
        <w:spacing w:line="240" w:lineRule="auto"/>
        <w:jc w:val="both"/>
        <w:rPr>
          <w:rFonts w:cs="Times New Roman"/>
          <w:sz w:val="24"/>
          <w:lang w:eastAsia="zh-CN" w:bidi="zh-CN"/>
        </w:rPr>
      </w:pPr>
      <w:r w:rsidRPr="00754F92">
        <w:rPr>
          <w:rFonts w:cs="Times New Roman"/>
          <w:sz w:val="24"/>
          <w:lang w:eastAsia="zh-CN" w:bidi="zh-CN"/>
        </w:rPr>
        <w:t>Shanghai Zhongqiao Vocational and Technical University, Shanghai 201514, China</w:t>
      </w:r>
    </w:p>
    <w:p w14:paraId="484C1327" w14:textId="77777777" w:rsidR="00B5629E" w:rsidRPr="00386376" w:rsidRDefault="00B5629E" w:rsidP="00B5629E">
      <w:pPr>
        <w:spacing w:line="240" w:lineRule="auto"/>
        <w:rPr>
          <w:rFonts w:cs="Times New Roman"/>
          <w:b/>
          <w:bCs/>
          <w:i/>
          <w:iCs/>
          <w:sz w:val="24"/>
        </w:rPr>
      </w:pPr>
      <w:r w:rsidRPr="00386376">
        <w:rPr>
          <w:rFonts w:cs="Times New Roman"/>
          <w:b/>
          <w:bCs/>
          <w:i/>
          <w:iCs/>
          <w:sz w:val="24"/>
        </w:rPr>
        <w:t>*Author to whom correspondence should be addressed.</w:t>
      </w:r>
    </w:p>
    <w:p w14:paraId="29879317" w14:textId="77777777" w:rsidR="00B5629E" w:rsidRPr="00C9672E" w:rsidRDefault="00B5629E" w:rsidP="00B5629E">
      <w:pPr>
        <w:spacing w:line="240" w:lineRule="auto"/>
        <w:rPr>
          <w:rFonts w:cs="Times New Roman"/>
          <w:sz w:val="24"/>
        </w:rPr>
      </w:pPr>
    </w:p>
    <w:p w14:paraId="51229D9D" w14:textId="77777777" w:rsidR="00B5629E" w:rsidRPr="00C9672E" w:rsidRDefault="00B5629E" w:rsidP="00B5629E">
      <w:pPr>
        <w:spacing w:line="240" w:lineRule="auto"/>
        <w:rPr>
          <w:rFonts w:cs="Times New Roman"/>
          <w:sz w:val="20"/>
        </w:rPr>
      </w:pPr>
      <w:r w:rsidRPr="00C9672E">
        <w:rPr>
          <w:rFonts w:cs="Times New Roman"/>
          <w:b/>
          <w:sz w:val="20"/>
        </w:rPr>
        <w:t>Copyright:</w:t>
      </w:r>
      <w:r w:rsidRPr="00C9672E">
        <w:rPr>
          <w:rFonts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2450555" w14:textId="77777777" w:rsidR="00621BC9" w:rsidRPr="00C9672E" w:rsidRDefault="00621BC9" w:rsidP="00522685">
      <w:pPr>
        <w:spacing w:line="240" w:lineRule="auto"/>
        <w:jc w:val="both"/>
        <w:rPr>
          <w:rFonts w:cs="Times New Roman"/>
          <w:sz w:val="24"/>
          <w:lang w:eastAsia="zh-CN"/>
        </w:rPr>
      </w:pPr>
    </w:p>
    <w:p w14:paraId="2E7A7058" w14:textId="1AC2BDA1" w:rsidR="00621BC9" w:rsidRPr="00754F92" w:rsidRDefault="00000000" w:rsidP="00522685">
      <w:pPr>
        <w:spacing w:line="240" w:lineRule="auto"/>
        <w:jc w:val="both"/>
        <w:rPr>
          <w:rFonts w:cs="Times New Roman"/>
          <w:color w:val="231F20"/>
          <w:sz w:val="24"/>
          <w:lang w:eastAsia="zh-CN" w:bidi="zh-CN"/>
        </w:rPr>
      </w:pPr>
      <w:r w:rsidRPr="00754F92">
        <w:rPr>
          <w:rFonts w:cs="Times New Roman"/>
          <w:b/>
          <w:bCs/>
          <w:color w:val="231F20"/>
          <w:sz w:val="24"/>
          <w:lang w:eastAsia="zh-CN" w:bidi="zh-CN"/>
        </w:rPr>
        <w:t>Abstract</w:t>
      </w:r>
      <w:r w:rsidR="00522685" w:rsidRPr="00754F92">
        <w:rPr>
          <w:rFonts w:cs="Times New Roman"/>
          <w:b/>
          <w:bCs/>
          <w:color w:val="231F20"/>
          <w:sz w:val="24"/>
          <w:lang w:eastAsia="zh-CN" w:bidi="zh-CN"/>
        </w:rPr>
        <w:t>:</w:t>
      </w:r>
      <w:r w:rsidRPr="00754F92">
        <w:rPr>
          <w:rFonts w:cs="Times New Roman"/>
          <w:color w:val="231F20"/>
          <w:sz w:val="24"/>
          <w:lang w:eastAsia="zh-CN" w:bidi="zh-CN"/>
        </w:rPr>
        <w:t xml:space="preserve"> Amid the sweeping wave of the digital economy, the platform economy, as an emerging economic form, has profoundly reshaped social production relations and the structure of market transactions. This paper delves into the concept and development status of the platform economy as well as the challenges it poses to the traditional statistical accounting system, and analyzes the theoretical limitations and practical dilemmas of existing statistical inclusion methods.</w:t>
      </w:r>
      <w:r w:rsidR="00C9672E" w:rsidRPr="00754F92">
        <w:rPr>
          <w:rFonts w:cs="Times New Roman"/>
          <w:color w:val="231F20"/>
          <w:sz w:val="24"/>
          <w:lang w:eastAsia="zh-CN" w:bidi="zh-CN"/>
        </w:rPr>
        <w:t xml:space="preserve"> </w:t>
      </w:r>
      <w:r w:rsidRPr="00754F92">
        <w:rPr>
          <w:rFonts w:cs="Times New Roman"/>
          <w:color w:val="231F20"/>
          <w:sz w:val="24"/>
          <w:lang w:eastAsia="zh-CN" w:bidi="zh-CN"/>
        </w:rPr>
        <w:t xml:space="preserve">The paper notes that the platform economy features a two-sided market attribute and network externalities, which render traditional statistical methods ineffective in capturing the patterns of value creation and circulation within the platform economy. To address these challenges, this paper explores innovative paths for statistical inclusion methods adapted to new economic forms, with a view to providing </w:t>
      </w:r>
      <w:r w:rsidR="00C9672E">
        <w:rPr>
          <w:rFonts w:cs="Times New Roman"/>
          <w:color w:val="231F20"/>
          <w:sz w:val="24"/>
          <w:lang w:eastAsia="zh-CN" w:bidi="zh-CN"/>
        </w:rPr>
        <w:t xml:space="preserve">a </w:t>
      </w:r>
      <w:r w:rsidRPr="00754F92">
        <w:rPr>
          <w:rFonts w:cs="Times New Roman"/>
          <w:color w:val="231F20"/>
          <w:sz w:val="24"/>
          <w:lang w:eastAsia="zh-CN" w:bidi="zh-CN"/>
        </w:rPr>
        <w:t>theoretical basis and practical reference for improving the statistical accounting system of the digital economy.</w:t>
      </w:r>
      <w:r w:rsidR="00C9672E">
        <w:rPr>
          <w:rFonts w:cs="Times New Roman"/>
          <w:color w:val="231F20"/>
          <w:sz w:val="24"/>
          <w:lang w:eastAsia="zh-CN" w:bidi="zh-CN"/>
        </w:rPr>
        <w:t xml:space="preserve"> </w:t>
      </w:r>
      <w:r w:rsidRPr="00754F92">
        <w:rPr>
          <w:rFonts w:cs="Times New Roman"/>
          <w:color w:val="231F20"/>
          <w:sz w:val="24"/>
          <w:lang w:eastAsia="zh-CN" w:bidi="zh-CN"/>
        </w:rPr>
        <w:t>Research findings indicate that the statistical accounting of the platform economy requires not only the holistic capture of interactive value in multi-sided markets, but also the clarification of the economic contribution of data factors and the systematic documentation of new employment forms. Ultimately, innovation in statistical inclusion methods for the platform economy will facilitate high-quality development, thereby providing solid support and optimization directions for the construction of the national economic accounting system.</w:t>
      </w:r>
    </w:p>
    <w:p w14:paraId="2A349E50" w14:textId="34917816" w:rsidR="00621BC9" w:rsidRPr="00754F92" w:rsidRDefault="00000000" w:rsidP="00522685">
      <w:pPr>
        <w:spacing w:line="240" w:lineRule="auto"/>
        <w:jc w:val="both"/>
        <w:rPr>
          <w:rFonts w:cs="Times New Roman"/>
          <w:color w:val="231F20"/>
          <w:sz w:val="24"/>
          <w:lang w:eastAsia="zh-CN" w:bidi="zh-CN"/>
        </w:rPr>
      </w:pPr>
      <w:r w:rsidRPr="00754F92">
        <w:rPr>
          <w:rFonts w:cs="Times New Roman"/>
          <w:b/>
          <w:bCs/>
          <w:iCs/>
          <w:color w:val="231F20"/>
          <w:sz w:val="24"/>
          <w:lang w:eastAsia="zh-CN" w:bidi="zh-CN"/>
        </w:rPr>
        <w:t>Keywords</w:t>
      </w:r>
      <w:r w:rsidR="00522685" w:rsidRPr="00754F92">
        <w:rPr>
          <w:rFonts w:cs="Times New Roman"/>
          <w:b/>
          <w:bCs/>
          <w:iCs/>
          <w:color w:val="231F20"/>
          <w:sz w:val="24"/>
          <w:lang w:eastAsia="zh-CN" w:bidi="zh-CN"/>
        </w:rPr>
        <w:t>:</w:t>
      </w:r>
      <w:r w:rsidRPr="00754F92">
        <w:rPr>
          <w:rFonts w:cs="Times New Roman"/>
          <w:i/>
          <w:color w:val="231F20"/>
          <w:sz w:val="24"/>
          <w:lang w:eastAsia="zh-CN" w:bidi="zh-CN"/>
        </w:rPr>
        <w:t xml:space="preserve"> </w:t>
      </w:r>
      <w:r w:rsidR="00C9672E" w:rsidRPr="00C9672E">
        <w:rPr>
          <w:rFonts w:cs="Times New Roman"/>
          <w:color w:val="231F20"/>
          <w:sz w:val="24"/>
          <w:lang w:eastAsia="zh-CN" w:bidi="zh-CN"/>
        </w:rPr>
        <w:t>Pla</w:t>
      </w:r>
      <w:r w:rsidRPr="00754F92">
        <w:rPr>
          <w:rFonts w:cs="Times New Roman"/>
          <w:color w:val="231F20"/>
          <w:sz w:val="24"/>
          <w:lang w:eastAsia="zh-CN" w:bidi="zh-CN"/>
        </w:rPr>
        <w:t>tform economy</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w:t>
      </w:r>
      <w:r w:rsidR="00C9672E" w:rsidRPr="00C9672E">
        <w:rPr>
          <w:rFonts w:cs="Times New Roman"/>
          <w:color w:val="231F20"/>
          <w:sz w:val="24"/>
          <w:lang w:eastAsia="zh-CN" w:bidi="zh-CN"/>
        </w:rPr>
        <w:t>Sta</w:t>
      </w:r>
      <w:r w:rsidRPr="00754F92">
        <w:rPr>
          <w:rFonts w:cs="Times New Roman"/>
          <w:color w:val="231F20"/>
          <w:sz w:val="24"/>
          <w:lang w:eastAsia="zh-CN" w:bidi="zh-CN"/>
        </w:rPr>
        <w:t>tistical accounting</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w:t>
      </w:r>
      <w:r w:rsidR="00C9672E" w:rsidRPr="00C9672E">
        <w:rPr>
          <w:rFonts w:cs="Times New Roman"/>
          <w:color w:val="231F20"/>
          <w:sz w:val="24"/>
          <w:lang w:eastAsia="zh-CN" w:bidi="zh-CN"/>
        </w:rPr>
        <w:t>Sta</w:t>
      </w:r>
      <w:r w:rsidRPr="00754F92">
        <w:rPr>
          <w:rFonts w:cs="Times New Roman"/>
          <w:color w:val="231F20"/>
          <w:sz w:val="24"/>
          <w:lang w:eastAsia="zh-CN" w:bidi="zh-CN"/>
        </w:rPr>
        <w:t>tistical inclusion methods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w:t>
      </w:r>
      <w:r w:rsidR="00C9672E" w:rsidRPr="00C9672E">
        <w:rPr>
          <w:rFonts w:cs="Times New Roman"/>
          <w:color w:val="231F20"/>
          <w:sz w:val="24"/>
          <w:lang w:eastAsia="zh-CN" w:bidi="zh-CN"/>
        </w:rPr>
        <w:t>Tw</w:t>
      </w:r>
      <w:r w:rsidRPr="00754F92">
        <w:rPr>
          <w:rFonts w:cs="Times New Roman"/>
          <w:color w:val="231F20"/>
          <w:sz w:val="24"/>
          <w:lang w:eastAsia="zh-CN" w:bidi="zh-CN"/>
        </w:rPr>
        <w:t>o-sided market attribute</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w:t>
      </w:r>
      <w:r w:rsidR="00C9672E" w:rsidRPr="00C9672E">
        <w:rPr>
          <w:rFonts w:cs="Times New Roman"/>
          <w:color w:val="231F20"/>
          <w:sz w:val="24"/>
          <w:lang w:eastAsia="zh-CN" w:bidi="zh-CN"/>
        </w:rPr>
        <w:t>Ne</w:t>
      </w:r>
      <w:r w:rsidRPr="00754F92">
        <w:rPr>
          <w:rFonts w:cs="Times New Roman"/>
          <w:color w:val="231F20"/>
          <w:sz w:val="24"/>
          <w:lang w:eastAsia="zh-CN" w:bidi="zh-CN"/>
        </w:rPr>
        <w:t>twork externality</w:t>
      </w:r>
    </w:p>
    <w:p w14:paraId="6975611D" w14:textId="77777777" w:rsidR="00B5629E" w:rsidRPr="00754F92" w:rsidRDefault="00B5629E" w:rsidP="00522685">
      <w:pPr>
        <w:spacing w:line="240" w:lineRule="auto"/>
        <w:jc w:val="both"/>
        <w:rPr>
          <w:rFonts w:cs="Times New Roman"/>
          <w:b/>
          <w:bCs/>
          <w:color w:val="231F20"/>
          <w:sz w:val="20"/>
          <w:szCs w:val="20"/>
          <w:lang w:eastAsia="zh-CN" w:bidi="zh-CN"/>
        </w:rPr>
      </w:pPr>
    </w:p>
    <w:p w14:paraId="54D12D6C" w14:textId="1D93452F" w:rsidR="00B5629E" w:rsidRPr="00754F92" w:rsidRDefault="00B5629E" w:rsidP="00522685">
      <w:pPr>
        <w:spacing w:line="240" w:lineRule="auto"/>
        <w:jc w:val="both"/>
        <w:rPr>
          <w:rFonts w:cs="Times New Roman"/>
          <w:b/>
          <w:bCs/>
          <w:color w:val="231F20"/>
          <w:sz w:val="20"/>
          <w:szCs w:val="20"/>
          <w:lang w:eastAsia="zh-CN" w:bidi="zh-CN"/>
        </w:rPr>
      </w:pPr>
      <w:r w:rsidRPr="00754F92">
        <w:rPr>
          <w:rFonts w:cs="Times New Roman"/>
          <w:b/>
          <w:bCs/>
          <w:color w:val="231F20"/>
          <w:sz w:val="20"/>
          <w:szCs w:val="20"/>
          <w:lang w:eastAsia="zh-CN" w:bidi="zh-CN"/>
        </w:rPr>
        <w:t>Online publication:</w:t>
      </w:r>
    </w:p>
    <w:p w14:paraId="7679CFE6" w14:textId="77777777" w:rsidR="00B5629E" w:rsidRPr="00C9672E" w:rsidRDefault="00B5629E" w:rsidP="00522685">
      <w:pPr>
        <w:spacing w:line="240" w:lineRule="auto"/>
        <w:jc w:val="both"/>
        <w:rPr>
          <w:rFonts w:cs="Times New Roman"/>
          <w:kern w:val="2"/>
          <w:sz w:val="24"/>
          <w:lang w:eastAsia="zh-CN"/>
        </w:rPr>
      </w:pPr>
    </w:p>
    <w:p w14:paraId="3FAA1B56" w14:textId="77777777" w:rsidR="00621BC9" w:rsidRPr="00754F92" w:rsidRDefault="00000000" w:rsidP="00522685">
      <w:pPr>
        <w:spacing w:line="240" w:lineRule="auto"/>
        <w:jc w:val="both"/>
        <w:rPr>
          <w:rFonts w:cs="Times New Roman"/>
          <w:b/>
          <w:color w:val="231F20"/>
          <w:spacing w:val="-6"/>
          <w:sz w:val="24"/>
          <w:lang w:eastAsia="zh-CN" w:bidi="zh-CN"/>
        </w:rPr>
      </w:pPr>
      <w:bookmarkStart w:id="0" w:name="heading_0"/>
      <w:r w:rsidRPr="00754F92">
        <w:rPr>
          <w:rFonts w:cs="Times New Roman"/>
          <w:b/>
          <w:color w:val="231F20"/>
          <w:spacing w:val="-6"/>
          <w:sz w:val="24"/>
          <w:lang w:eastAsia="zh-CN" w:bidi="zh-CN"/>
        </w:rPr>
        <w:t>1. Introduction</w:t>
      </w:r>
      <w:bookmarkEnd w:id="0"/>
    </w:p>
    <w:p w14:paraId="19CA9EB6" w14:textId="20388C67" w:rsidR="006B41D4"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The digital economy wave is sweeping across the globe, and the platform economy, as the most representative new economic form therein, is profoundly reshaping social production relations and the structure of market transactions. The platform economy is a new economic system composed of economic activity units that are based on digital technology, driven by data, supported by platforms, and coordinated through networks. It is a general term for various economic relations built upon digital platforms</w:t>
      </w:r>
      <w:r w:rsidR="00B5629E" w:rsidRPr="00754F92">
        <w:rPr>
          <w:rFonts w:cs="Times New Roman"/>
          <w:color w:val="231F20"/>
          <w:sz w:val="24"/>
          <w:lang w:eastAsia="zh-CN" w:bidi="zh-CN"/>
        </w:rPr>
        <w:t xml:space="preserve"> </w:t>
      </w:r>
      <w:r w:rsidR="00B5629E" w:rsidRPr="00754F92">
        <w:rPr>
          <w:rFonts w:cs="Times New Roman"/>
          <w:color w:val="231F20"/>
          <w:sz w:val="24"/>
          <w:vertAlign w:val="superscript"/>
          <w:lang w:eastAsia="zh-CN" w:bidi="zh-CN"/>
        </w:rPr>
        <w:t>[1]</w:t>
      </w:r>
      <w:r w:rsidRPr="00754F92">
        <w:rPr>
          <w:rFonts w:cs="Times New Roman"/>
          <w:color w:val="231F20"/>
          <w:sz w:val="24"/>
          <w:lang w:eastAsia="zh-CN" w:bidi="zh-CN"/>
        </w:rPr>
        <w:t>. Whether it is e-commerce platforms represented by Taobao and Amazon, social media platforms represented by WeChat and Facebook, or search engine platforms represented by Baidu and Google, the platform economy has penetrated every aspect of modern economic life</w:t>
      </w:r>
      <w:r w:rsidR="00C9672E">
        <w:rPr>
          <w:rFonts w:cs="Times New Roman"/>
          <w:color w:val="231F20"/>
          <w:sz w:val="24"/>
          <w:lang w:eastAsia="zh-CN" w:bidi="zh-CN"/>
        </w:rPr>
        <w:t xml:space="preserve"> </w:t>
      </w:r>
      <w:r w:rsidR="00C9672E" w:rsidRPr="00754F92">
        <w:rPr>
          <w:rFonts w:cs="Times New Roman"/>
          <w:color w:val="231F20"/>
          <w:sz w:val="24"/>
          <w:vertAlign w:val="superscript"/>
          <w:lang w:eastAsia="zh-CN" w:bidi="zh-CN"/>
        </w:rPr>
        <w:t>[2]</w:t>
      </w:r>
      <w:r w:rsidRPr="00754F92">
        <w:rPr>
          <w:rFonts w:cs="Times New Roman"/>
          <w:color w:val="231F20"/>
          <w:sz w:val="24"/>
          <w:lang w:eastAsia="zh-CN" w:bidi="zh-CN"/>
        </w:rPr>
        <w:t>. While such deep penetration brings tremendous economic vitality, it also poses fundamental challenges to the traditional statistical accounting system.</w:t>
      </w:r>
      <w:r w:rsidR="00C9672E">
        <w:rPr>
          <w:rFonts w:cs="Times New Roman"/>
          <w:color w:val="231F20"/>
          <w:sz w:val="24"/>
          <w:lang w:eastAsia="zh-CN" w:bidi="zh-CN"/>
        </w:rPr>
        <w:t xml:space="preserve"> </w:t>
      </w:r>
      <w:r w:rsidRPr="00754F92">
        <w:rPr>
          <w:rFonts w:cs="Times New Roman"/>
          <w:color w:val="231F20"/>
          <w:sz w:val="24"/>
          <w:lang w:eastAsia="zh-CN" w:bidi="zh-CN"/>
        </w:rPr>
        <w:t xml:space="preserve">Traditional statistical inclusion methods are built on the material production logic of the industrial economy era, making it difficult to effectively capture the </w:t>
      </w:r>
      <w:r w:rsidRPr="00754F92">
        <w:rPr>
          <w:rFonts w:cs="Times New Roman"/>
          <w:color w:val="231F20"/>
          <w:sz w:val="24"/>
          <w:lang w:eastAsia="zh-CN" w:bidi="zh-CN"/>
        </w:rPr>
        <w:lastRenderedPageBreak/>
        <w:t>laws of value creation and circulation in the platform economy. The platform economy has two core characteristics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two-sided market attribute and network externalities. Its two-sided market attribute is reflected in that platform-based enterprises can integrate two-sided users with complementary demands, and the two-sided users of platform enterprises fulfill their respective responsibilities and jointly contribute to the normal operation of the platform. Its network externality is manifested in that as the number of users on the platform increases, the value and attractiveness of the platform also expand accordingly</w:t>
      </w:r>
      <w:r w:rsidR="006B41D4">
        <w:rPr>
          <w:rFonts w:cs="Times New Roman"/>
          <w:color w:val="231F20"/>
          <w:sz w:val="24"/>
          <w:lang w:eastAsia="zh-CN" w:bidi="zh-CN"/>
        </w:rPr>
        <w:t xml:space="preserve"> </w:t>
      </w:r>
      <w:r w:rsidR="006B41D4" w:rsidRPr="00754F92">
        <w:rPr>
          <w:rFonts w:cs="Times New Roman"/>
          <w:color w:val="231F20"/>
          <w:sz w:val="24"/>
          <w:vertAlign w:val="superscript"/>
          <w:lang w:eastAsia="zh-CN" w:bidi="zh-CN"/>
        </w:rPr>
        <w:t>[</w:t>
      </w:r>
      <w:r w:rsidR="008B50BE">
        <w:rPr>
          <w:rFonts w:cs="Times New Roman"/>
          <w:color w:val="231F20"/>
          <w:sz w:val="24"/>
          <w:vertAlign w:val="superscript"/>
          <w:lang w:eastAsia="zh-CN" w:bidi="zh-CN"/>
        </w:rPr>
        <w:t>3</w:t>
      </w:r>
      <w:r w:rsidR="006B41D4" w:rsidRPr="00754F92">
        <w:rPr>
          <w:rFonts w:cs="Times New Roman"/>
          <w:color w:val="231F20"/>
          <w:sz w:val="24"/>
          <w:vertAlign w:val="superscript"/>
          <w:lang w:eastAsia="zh-CN" w:bidi="zh-CN"/>
        </w:rPr>
        <w:t>]</w:t>
      </w:r>
      <w:r w:rsidRPr="00754F92">
        <w:rPr>
          <w:rFonts w:cs="Times New Roman"/>
          <w:color w:val="231F20"/>
          <w:sz w:val="24"/>
          <w:lang w:eastAsia="zh-CN" w:bidi="zh-CN"/>
        </w:rPr>
        <w:t>. This unique economic structure causes a large amount of implicit value created by platforms to drift outside the current accounting framework, making it difficult for statistical authorities to measure it with traditional calibers.</w:t>
      </w:r>
      <w:r w:rsidR="006B41D4">
        <w:rPr>
          <w:rFonts w:cs="Times New Roman"/>
          <w:color w:val="231F20"/>
          <w:sz w:val="24"/>
          <w:lang w:eastAsia="zh-CN" w:bidi="zh-CN"/>
        </w:rPr>
        <w:t xml:space="preserve"> </w:t>
      </w:r>
      <w:r w:rsidRPr="00754F92">
        <w:rPr>
          <w:rFonts w:cs="Times New Roman"/>
          <w:color w:val="231F20"/>
          <w:sz w:val="24"/>
          <w:lang w:eastAsia="zh-CN" w:bidi="zh-CN"/>
        </w:rPr>
        <w:t>If a simplified model is used to express the impact of platform network effects on economic scale, it can be approximately written as</w:t>
      </w:r>
      <w:r w:rsidR="00522685" w:rsidRPr="00754F92">
        <w:rPr>
          <w:rFonts w:cs="Times New Roman"/>
          <w:color w:val="231F20"/>
          <w:sz w:val="24"/>
          <w:lang w:eastAsia="zh-CN" w:bidi="zh-CN"/>
        </w:rPr>
        <w:t>:</w:t>
      </w:r>
    </w:p>
    <w:p w14:paraId="7BE77586" w14:textId="1C6CECF1" w:rsidR="00621BC9" w:rsidRPr="00C9672E" w:rsidRDefault="00000000" w:rsidP="00522685">
      <w:pPr>
        <w:spacing w:line="240" w:lineRule="auto"/>
        <w:jc w:val="both"/>
        <w:rPr>
          <w:rFonts w:cs="Times New Roman"/>
          <w:sz w:val="24"/>
        </w:rPr>
      </w:pPr>
      <w:r w:rsidRPr="00C9672E">
        <w:rPr>
          <w:rFonts w:eastAsia="DengXian" w:cs="Times New Roman"/>
          <w:sz w:val="24"/>
        </w:rPr>
        <w:br/>
      </w:r>
      <m:oMathPara>
        <m:oMathParaPr>
          <m:jc m:val="center"/>
        </m:oMathParaPr>
        <m:oMath>
          <m:r>
            <w:rPr>
              <w:rFonts w:ascii="Cambria Math" w:eastAsia="Cambria Math" w:hAnsi="Cambria Math" w:cs="Times New Roman"/>
              <w:sz w:val="24"/>
            </w:rPr>
            <m:t>V</m:t>
          </m:r>
          <m:d>
            <m:dPr>
              <m:ctrlPr>
                <w:rPr>
                  <w:rFonts w:ascii="Cambria Math" w:hAnsi="Cambria Math" w:cs="Times New Roman"/>
                  <w:sz w:val="24"/>
                </w:rPr>
              </m:ctrlPr>
            </m:dPr>
            <m:e>
              <m:r>
                <w:rPr>
                  <w:rFonts w:ascii="Cambria Math" w:eastAsia="Cambria Math" w:hAnsi="Cambria Math" w:cs="Times New Roman"/>
                  <w:sz w:val="24"/>
                </w:rPr>
                <m:t>n</m:t>
              </m:r>
            </m:e>
          </m:d>
          <m:r>
            <m:rPr>
              <m:sty m:val="p"/>
            </m:rPr>
            <w:rPr>
              <w:rFonts w:ascii="Cambria Math" w:eastAsia="Cambria Math" w:hAnsi="Cambria Math" w:cs="Times New Roman"/>
              <w:sz w:val="24"/>
            </w:rPr>
            <m:t>=</m:t>
          </m:r>
          <m:r>
            <w:rPr>
              <w:rFonts w:ascii="Cambria Math" w:eastAsia="Cambria Math" w:hAnsi="Cambria Math" w:cs="Times New Roman"/>
              <w:sz w:val="24"/>
            </w:rPr>
            <m:t>k</m:t>
          </m:r>
          <m:r>
            <m:rPr>
              <m:sty m:val="p"/>
            </m:rPr>
            <w:rPr>
              <w:rFonts w:ascii="Cambria Math" w:eastAsia="Cambria Math" w:hAnsi="Cambria Math" w:cs="Times New Roman"/>
              <w:sz w:val="24"/>
            </w:rPr>
            <m:t>⋅</m:t>
          </m:r>
          <m:sSup>
            <m:sSupPr>
              <m:ctrlPr>
                <w:rPr>
                  <w:rFonts w:ascii="Cambria Math" w:hAnsi="Cambria Math" w:cs="Times New Roman"/>
                  <w:sz w:val="24"/>
                </w:rPr>
              </m:ctrlPr>
            </m:sSupPr>
            <m:e>
              <m:r>
                <w:rPr>
                  <w:rFonts w:ascii="Cambria Math" w:eastAsia="Cambria Math" w:hAnsi="Cambria Math" w:cs="Times New Roman"/>
                  <w:sz w:val="24"/>
                </w:rPr>
                <m:t>n</m:t>
              </m:r>
            </m:e>
            <m:sup>
              <m:r>
                <w:rPr>
                  <w:rFonts w:ascii="Cambria Math" w:eastAsia="Cambria Math" w:hAnsi="Cambria Math" w:cs="Times New Roman"/>
                  <w:sz w:val="24"/>
                </w:rPr>
                <m:t>α</m:t>
              </m:r>
            </m:sup>
          </m:sSup>
          <m:r>
            <m:rPr>
              <m:sty m:val="p"/>
            </m:rPr>
            <w:rPr>
              <w:rFonts w:ascii="Cambria Math" w:eastAsia="Cambria Math" w:hAnsi="Cambria Math" w:cs="Times New Roman"/>
              <w:sz w:val="24"/>
            </w:rPr>
            <m:t>,</m:t>
          </m:r>
          <m:r>
            <w:rPr>
              <w:rFonts w:ascii="Cambria Math" w:eastAsia="Cambria Math" w:hAnsi="Cambria Math" w:cs="Times New Roman"/>
              <w:sz w:val="24"/>
            </w:rPr>
            <m:t> α</m:t>
          </m:r>
          <m:r>
            <m:rPr>
              <m:sty m:val="p"/>
            </m:rPr>
            <w:rPr>
              <w:rFonts w:ascii="Cambria Math" w:eastAsia="Cambria Math" w:hAnsi="Cambria Math" w:cs="Times New Roman"/>
              <w:sz w:val="24"/>
            </w:rPr>
            <m:t>&gt;</m:t>
          </m:r>
          <m:r>
            <w:rPr>
              <w:rFonts w:ascii="Cambria Math" w:eastAsia="Cambria Math" w:hAnsi="Cambria Math" w:cs="Times New Roman"/>
              <w:sz w:val="24"/>
            </w:rPr>
            <m:t>1</m:t>
          </m:r>
        </m:oMath>
      </m:oMathPara>
    </w:p>
    <w:p w14:paraId="7AEA4097" w14:textId="77777777" w:rsidR="006B41D4" w:rsidRDefault="006B41D4" w:rsidP="00522685">
      <w:pPr>
        <w:spacing w:line="240" w:lineRule="auto"/>
        <w:jc w:val="both"/>
        <w:rPr>
          <w:rFonts w:cs="Times New Roman"/>
          <w:color w:val="231F20"/>
          <w:sz w:val="24"/>
          <w:lang w:eastAsia="zh-CN" w:bidi="zh-CN"/>
        </w:rPr>
      </w:pPr>
    </w:p>
    <w:p w14:paraId="79949A3A" w14:textId="21EA80B8"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where</w:t>
      </w:r>
      <m:oMath>
        <m:r>
          <w:rPr>
            <w:rFonts w:ascii="Cambria Math" w:hAnsi="Cambria Math" w:cs="Times New Roman"/>
            <w:color w:val="231F20"/>
            <w:sz w:val="24"/>
            <w:lang w:eastAsia="zh-CN" w:bidi="zh-CN"/>
          </w:rPr>
          <m:t xml:space="preserve"> </m:t>
        </m:r>
        <m:r>
          <m:rPr>
            <m:sty m:val="p"/>
          </m:rPr>
          <w:rPr>
            <w:rFonts w:ascii="Cambria Math" w:hAnsi="Cambria Math" w:cs="Times New Roman"/>
            <w:color w:val="231F20"/>
            <w:sz w:val="24"/>
            <w:lang w:eastAsia="zh-CN" w:bidi="zh-CN"/>
          </w:rPr>
          <m:t>V</m:t>
        </m:r>
        <m:d>
          <m:dPr>
            <m:ctrlPr>
              <w:rPr>
                <w:rFonts w:ascii="Cambria Math" w:hAnsi="Cambria Math" w:cs="Times New Roman"/>
                <w:color w:val="231F20"/>
                <w:sz w:val="24"/>
                <w:lang w:eastAsia="zh-CN" w:bidi="zh-CN"/>
              </w:rPr>
            </m:ctrlPr>
          </m:dPr>
          <m:e>
            <m:r>
              <m:rPr>
                <m:sty m:val="p"/>
              </m:rPr>
              <w:rPr>
                <w:rFonts w:ascii="Cambria Math" w:hAnsi="Cambria Math" w:cs="Times New Roman"/>
                <w:color w:val="231F20"/>
                <w:sz w:val="24"/>
                <w:lang w:eastAsia="zh-CN" w:bidi="zh-CN"/>
              </w:rPr>
              <m:t>n</m:t>
            </m:r>
          </m:e>
        </m:d>
      </m:oMath>
      <w:r w:rsidRPr="00754F92">
        <w:rPr>
          <w:rFonts w:cs="Times New Roman"/>
          <w:color w:val="231F20"/>
          <w:sz w:val="24"/>
          <w:lang w:eastAsia="zh-CN" w:bidi="zh-CN"/>
        </w:rPr>
        <w:t xml:space="preserve"> denotes the total value generated by the platform when its user scale is </w:t>
      </w:r>
      <m:oMath>
        <m:r>
          <m:rPr>
            <m:sty m:val="p"/>
          </m:rPr>
          <w:rPr>
            <w:rFonts w:ascii="Cambria Math" w:hAnsi="Cambria Math" w:cs="Times New Roman"/>
            <w:color w:val="231F20"/>
            <w:sz w:val="24"/>
            <w:lang w:eastAsia="zh-CN" w:bidi="zh-CN"/>
          </w:rPr>
          <m:t>n</m:t>
        </m:r>
      </m:oMath>
      <w:r w:rsidRPr="00754F92">
        <w:rPr>
          <w:rFonts w:cs="Times New Roman"/>
          <w:color w:val="231F20"/>
          <w:sz w:val="24"/>
          <w:lang w:eastAsia="zh-CN" w:bidi="zh-CN"/>
        </w:rPr>
        <w:t xml:space="preserve">, </w:t>
      </w:r>
      <m:oMath>
        <m:r>
          <m:rPr>
            <m:sty m:val="p"/>
          </m:rPr>
          <w:rPr>
            <w:rFonts w:ascii="Cambria Math" w:hAnsi="Cambria Math" w:cs="Times New Roman"/>
            <w:color w:val="231F20"/>
            <w:sz w:val="24"/>
            <w:lang w:eastAsia="zh-CN" w:bidi="zh-CN"/>
          </w:rPr>
          <m:t>k</m:t>
        </m:r>
      </m:oMath>
      <w:r w:rsidRPr="00754F92">
        <w:rPr>
          <w:rFonts w:cs="Times New Roman"/>
          <w:color w:val="231F20"/>
          <w:sz w:val="24"/>
          <w:lang w:eastAsia="zh-CN" w:bidi="zh-CN"/>
        </w:rPr>
        <w:t xml:space="preserve"> is the basic coefficient of the platform, and </w:t>
      </w:r>
      <m:oMath>
        <m:r>
          <m:rPr>
            <m:sty m:val="p"/>
          </m:rPr>
          <w:rPr>
            <w:rFonts w:ascii="Cambria Math" w:hAnsi="Cambria Math" w:cs="Times New Roman"/>
            <w:color w:val="231F20"/>
            <w:sz w:val="24"/>
            <w:lang w:eastAsia="zh-CN" w:bidi="zh-CN"/>
          </w:rPr>
          <m:t>α</m:t>
        </m:r>
      </m:oMath>
      <w:r w:rsidRPr="00754F92">
        <w:rPr>
          <w:rFonts w:cs="Times New Roman"/>
          <w:color w:val="231F20"/>
          <w:sz w:val="24"/>
          <w:lang w:eastAsia="zh-CN" w:bidi="zh-CN"/>
        </w:rPr>
        <w:t xml:space="preserve"> is the amplification index of the network effect. When </w:t>
      </w:r>
      <m:oMath>
        <m:r>
          <m:rPr>
            <m:sty m:val="p"/>
          </m:rPr>
          <w:rPr>
            <w:rFonts w:ascii="Cambria Math" w:hAnsi="Cambria Math" w:cs="Times New Roman"/>
            <w:color w:val="231F20"/>
            <w:sz w:val="24"/>
            <w:lang w:eastAsia="zh-CN" w:bidi="zh-CN"/>
          </w:rPr>
          <m:t>α&gt;1</m:t>
        </m:r>
      </m:oMath>
      <w:r w:rsidRPr="00754F92">
        <w:rPr>
          <w:rFonts w:cs="Times New Roman"/>
          <w:color w:val="231F20"/>
          <w:sz w:val="24"/>
          <w:lang w:eastAsia="zh-CN" w:bidi="zh-CN"/>
        </w:rPr>
        <w:t>, it indicates that the platform value expands superlinearly with user growth. This feature places the traditional linear statistical framework</w:t>
      </w:r>
      <w:r w:rsidRPr="00C9672E">
        <w:rPr>
          <w:rFonts w:cs="Times New Roman"/>
          <w:color w:val="231F20"/>
          <w:sz w:val="24"/>
          <w:lang w:eastAsia="zh-CN" w:bidi="zh-CN"/>
        </w:rPr>
        <w:t xml:space="preserve"> </w:t>
      </w:r>
      <w:r w:rsidRPr="00754F92">
        <w:rPr>
          <w:rFonts w:cs="Times New Roman"/>
          <w:color w:val="231F20"/>
          <w:sz w:val="24"/>
          <w:lang w:eastAsia="zh-CN" w:bidi="zh-CN"/>
        </w:rPr>
        <w:t>in a fundamental adaptation dilemma.</w:t>
      </w:r>
      <w:r w:rsidR="006B41D4">
        <w:rPr>
          <w:rFonts w:cs="Times New Roman"/>
          <w:color w:val="231F20"/>
          <w:sz w:val="24"/>
          <w:lang w:eastAsia="zh-CN" w:bidi="zh-CN"/>
        </w:rPr>
        <w:t xml:space="preserve"> </w:t>
      </w:r>
      <w:r w:rsidRPr="00754F92">
        <w:rPr>
          <w:rFonts w:cs="Times New Roman"/>
          <w:color w:val="231F20"/>
          <w:sz w:val="24"/>
          <w:lang w:eastAsia="zh-CN" w:bidi="zh-CN"/>
        </w:rPr>
        <w:t>Against this background, how to construct a scientific, complete</w:t>
      </w:r>
      <w:r w:rsidR="006B41D4">
        <w:rPr>
          <w:rFonts w:cs="Times New Roman"/>
          <w:color w:val="231F20"/>
          <w:sz w:val="24"/>
          <w:lang w:eastAsia="zh-CN" w:bidi="zh-CN"/>
        </w:rPr>
        <w:t>,</w:t>
      </w:r>
      <w:r w:rsidRPr="00754F92">
        <w:rPr>
          <w:rFonts w:cs="Times New Roman"/>
          <w:color w:val="231F20"/>
          <w:sz w:val="24"/>
          <w:lang w:eastAsia="zh-CN" w:bidi="zh-CN"/>
        </w:rPr>
        <w:t xml:space="preserve"> and dynamic statistical inclusion method system has become a core issue of common concern to the statistical community and policy-making departments. Based on the new generation of network information technology, the platform economy generates revenue by facilitating efficient transaction interactions between two or more parties in the market, and has become a new factor affecting the future trend of economic development</w:t>
      </w:r>
      <w:r w:rsidR="006B41D4">
        <w:rPr>
          <w:rFonts w:cs="Times New Roman"/>
          <w:color w:val="231F20"/>
          <w:sz w:val="24"/>
          <w:lang w:eastAsia="zh-CN" w:bidi="zh-CN"/>
        </w:rPr>
        <w:t xml:space="preserve"> </w:t>
      </w:r>
      <w:r w:rsidR="006B41D4" w:rsidRPr="00754F92">
        <w:rPr>
          <w:rFonts w:cs="Times New Roman"/>
          <w:color w:val="231F20"/>
          <w:sz w:val="24"/>
          <w:vertAlign w:val="superscript"/>
          <w:lang w:eastAsia="zh-CN" w:bidi="zh-CN"/>
        </w:rPr>
        <w:t>[</w:t>
      </w:r>
      <w:r w:rsidR="008B50BE">
        <w:rPr>
          <w:rFonts w:cs="Times New Roman"/>
          <w:color w:val="231F20"/>
          <w:sz w:val="24"/>
          <w:vertAlign w:val="superscript"/>
          <w:lang w:eastAsia="zh-CN" w:bidi="zh-CN"/>
        </w:rPr>
        <w:t>4</w:t>
      </w:r>
      <w:r w:rsidR="006B41D4" w:rsidRPr="00754F92">
        <w:rPr>
          <w:rFonts w:cs="Times New Roman"/>
          <w:color w:val="231F20"/>
          <w:sz w:val="24"/>
          <w:vertAlign w:val="superscript"/>
          <w:lang w:eastAsia="zh-CN" w:bidi="zh-CN"/>
        </w:rPr>
        <w:t>]</w:t>
      </w:r>
      <w:r w:rsidRPr="00754F92">
        <w:rPr>
          <w:rFonts w:cs="Times New Roman"/>
          <w:color w:val="231F20"/>
          <w:sz w:val="24"/>
          <w:lang w:eastAsia="zh-CN" w:bidi="zh-CN"/>
        </w:rPr>
        <w:t>. At the same time, the platform economy has also become a new driving force and engine for economic development, and the accuracy of its statistical accounting is directly related to the scientificity and effectiveness of macroeconomic decision-making</w:t>
      </w:r>
      <w:r w:rsidR="006B41D4">
        <w:rPr>
          <w:rFonts w:cs="Times New Roman"/>
          <w:color w:val="231F20"/>
          <w:sz w:val="24"/>
          <w:lang w:eastAsia="zh-CN" w:bidi="zh-CN"/>
        </w:rPr>
        <w:t xml:space="preserve"> </w:t>
      </w:r>
      <w:r w:rsidR="006B41D4" w:rsidRPr="00754F92">
        <w:rPr>
          <w:rFonts w:cs="Times New Roman"/>
          <w:color w:val="231F20"/>
          <w:sz w:val="24"/>
          <w:vertAlign w:val="superscript"/>
          <w:lang w:eastAsia="zh-CN" w:bidi="zh-CN"/>
        </w:rPr>
        <w:t>[</w:t>
      </w:r>
      <w:r w:rsidR="008B50BE">
        <w:rPr>
          <w:rFonts w:cs="Times New Roman"/>
          <w:color w:val="231F20"/>
          <w:sz w:val="24"/>
          <w:vertAlign w:val="superscript"/>
          <w:lang w:eastAsia="zh-CN" w:bidi="zh-CN"/>
        </w:rPr>
        <w:t>5</w:t>
      </w:r>
      <w:r w:rsidR="006B41D4" w:rsidRPr="00754F92">
        <w:rPr>
          <w:rFonts w:cs="Times New Roman"/>
          <w:color w:val="231F20"/>
          <w:sz w:val="24"/>
          <w:vertAlign w:val="superscript"/>
          <w:lang w:eastAsia="zh-CN" w:bidi="zh-CN"/>
        </w:rPr>
        <w:t>]</w:t>
      </w:r>
      <w:r w:rsidRPr="00754F92">
        <w:rPr>
          <w:rFonts w:cs="Times New Roman"/>
          <w:color w:val="231F20"/>
          <w:sz w:val="24"/>
          <w:lang w:eastAsia="zh-CN" w:bidi="zh-CN"/>
        </w:rPr>
        <w:t xml:space="preserve">. This paper aims to systematically sort out the conceptual connotation and development status of the platform economy, deeply analyze the theoretical limitations and practical challenges of current statistical inclusion methods, and on this basis explore innovative paths of statistical inclusion methods adapted to new economic forms, so as to provide </w:t>
      </w:r>
      <w:r w:rsidR="006B41D4">
        <w:rPr>
          <w:rFonts w:cs="Times New Roman"/>
          <w:color w:val="231F20"/>
          <w:sz w:val="24"/>
          <w:lang w:eastAsia="zh-CN" w:bidi="zh-CN"/>
        </w:rPr>
        <w:t xml:space="preserve">a </w:t>
      </w:r>
      <w:r w:rsidRPr="00754F92">
        <w:rPr>
          <w:rFonts w:cs="Times New Roman"/>
          <w:color w:val="231F20"/>
          <w:sz w:val="24"/>
          <w:lang w:eastAsia="zh-CN" w:bidi="zh-CN"/>
        </w:rPr>
        <w:t>theoretical basis and practical reference for improving the statistical accounting system of the digital economy.</w:t>
      </w:r>
    </w:p>
    <w:p w14:paraId="54ED8959" w14:textId="3601DAD9"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Statistical Inclusion</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Statistical inclusion refers to the process of incorporating specific economic activities or economic entities into the official statistical accounting system in accordance with standardized criteria, serving as a crucial link in statistical work.</w:t>
      </w:r>
    </w:p>
    <w:p w14:paraId="40E5A13E" w14:textId="77777777" w:rsidR="006B41D4" w:rsidRPr="00754F92" w:rsidRDefault="006B41D4" w:rsidP="00522685">
      <w:pPr>
        <w:spacing w:line="240" w:lineRule="auto"/>
        <w:jc w:val="both"/>
        <w:rPr>
          <w:rFonts w:cs="Times New Roman"/>
          <w:color w:val="231F20"/>
          <w:sz w:val="24"/>
          <w:lang w:eastAsia="zh-CN" w:bidi="zh-CN"/>
        </w:rPr>
      </w:pPr>
    </w:p>
    <w:p w14:paraId="37BAF2ED" w14:textId="39B24DD0" w:rsidR="00621BC9" w:rsidRPr="00754F92" w:rsidRDefault="00000000" w:rsidP="00522685">
      <w:pPr>
        <w:spacing w:line="240" w:lineRule="auto"/>
        <w:jc w:val="both"/>
        <w:rPr>
          <w:rFonts w:cs="Times New Roman"/>
          <w:b/>
          <w:color w:val="231F20"/>
          <w:spacing w:val="-6"/>
          <w:sz w:val="24"/>
          <w:lang w:eastAsia="zh-CN" w:bidi="zh-CN"/>
        </w:rPr>
      </w:pPr>
      <w:bookmarkStart w:id="1" w:name="heading_1"/>
      <w:r w:rsidRPr="00754F92">
        <w:rPr>
          <w:rFonts w:cs="Times New Roman"/>
          <w:b/>
          <w:color w:val="231F20"/>
          <w:spacing w:val="-6"/>
          <w:sz w:val="24"/>
          <w:lang w:eastAsia="zh-CN" w:bidi="zh-CN"/>
        </w:rPr>
        <w:t xml:space="preserve">2. Concept and </w:t>
      </w:r>
      <w:r w:rsidR="006B41D4" w:rsidRPr="00754F92">
        <w:rPr>
          <w:rFonts w:cs="Times New Roman"/>
          <w:b/>
          <w:color w:val="231F20"/>
          <w:spacing w:val="-6"/>
          <w:sz w:val="24"/>
          <w:lang w:eastAsia="zh-CN" w:bidi="zh-CN"/>
        </w:rPr>
        <w:t>development status of the platform economy</w:t>
      </w:r>
      <w:bookmarkEnd w:id="1"/>
    </w:p>
    <w:p w14:paraId="1A062E8A" w14:textId="00358AE8"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As an emerging economic form in the digital era, the platform economy is essentially supported by digital technology and grounded in data-driven digital platforms. It aggregates a large number of scattered resources, connects multi-party entities with interdependent relationships, facilitates mutual interaction and transactions, and forms a healthy and diversified digital platform ecosystem. From a more macro perspective, the platform economy is a new economic form composed of elements such as platforms, data, algorithms</w:t>
      </w:r>
      <w:r w:rsidR="002C5E3F">
        <w:rPr>
          <w:rFonts w:cs="Times New Roman"/>
          <w:color w:val="231F20"/>
          <w:sz w:val="24"/>
          <w:lang w:eastAsia="zh-CN" w:bidi="zh-CN"/>
        </w:rPr>
        <w:t>,</w:t>
      </w:r>
      <w:r w:rsidRPr="00754F92">
        <w:rPr>
          <w:rFonts w:cs="Times New Roman"/>
          <w:color w:val="231F20"/>
          <w:sz w:val="24"/>
          <w:lang w:eastAsia="zh-CN" w:bidi="zh-CN"/>
        </w:rPr>
        <w:t xml:space="preserve"> and technologies. The platform itself can be understood as a venue for transactions between buyers and sellers, and a medium for connecting and interacting with related partie</w:t>
      </w:r>
      <w:r w:rsidR="002C5E3F">
        <w:rPr>
          <w:rFonts w:cs="Times New Roman"/>
          <w:color w:val="231F20"/>
          <w:sz w:val="24"/>
          <w:lang w:eastAsia="zh-CN" w:bidi="zh-CN"/>
        </w:rPr>
        <w:t xml:space="preserve">s </w:t>
      </w:r>
      <w:r w:rsidR="002C5E3F" w:rsidRPr="00754F92">
        <w:rPr>
          <w:rFonts w:cs="Times New Roman"/>
          <w:color w:val="231F20"/>
          <w:sz w:val="24"/>
          <w:vertAlign w:val="superscript"/>
          <w:lang w:eastAsia="zh-CN" w:bidi="zh-CN"/>
        </w:rPr>
        <w:t>[2]</w:t>
      </w:r>
      <w:r w:rsidRPr="00754F92">
        <w:rPr>
          <w:rFonts w:cs="Times New Roman"/>
          <w:color w:val="231F20"/>
          <w:sz w:val="24"/>
          <w:lang w:eastAsia="zh-CN" w:bidi="zh-CN"/>
        </w:rPr>
        <w:t>. This economic model does not exist in isolation, but covers multiple types such as e-commerce platforms represented by Taobao and Amazon, social media platforms represented by WeChat and Facebook, and search engine platforms represented by Baidu and Google.</w:t>
      </w:r>
    </w:p>
    <w:p w14:paraId="7A341FB3" w14:textId="000F5DBD"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lastRenderedPageBreak/>
        <w:t>Different from traditional economic models, the platform economy has several distinctive structural characteristics. The two-sided market attribute is its most prominent feature</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buyers and sellers of platform-based enterprises attract each other, the platform can integrate two-sided users with complementary demands, and the two-sided users fulfill their respective responsibilities to jointly maintain the normal operation of the platform. Meanwhile, the existence of network externalities enables the platform value to increase significantly with the expansion of user scale — the increase of users on one side will drive the corresponding growth of users on the other side, forming a positive cycle</w:t>
      </w:r>
      <w:r w:rsidR="002C5E3F">
        <w:rPr>
          <w:rFonts w:cs="Times New Roman"/>
          <w:color w:val="231F20"/>
          <w:sz w:val="24"/>
          <w:lang w:eastAsia="zh-CN" w:bidi="zh-CN"/>
        </w:rPr>
        <w:t xml:space="preserve"> </w:t>
      </w:r>
      <w:r w:rsidR="002C5E3F" w:rsidRPr="00754F92">
        <w:rPr>
          <w:rFonts w:cs="Times New Roman"/>
          <w:color w:val="231F20"/>
          <w:sz w:val="24"/>
          <w:vertAlign w:val="superscript"/>
          <w:lang w:eastAsia="zh-CN" w:bidi="zh-CN"/>
        </w:rPr>
        <w:t>[6]</w:t>
      </w:r>
      <w:r w:rsidRPr="00754F92">
        <w:rPr>
          <w:rFonts w:cs="Times New Roman"/>
          <w:color w:val="231F20"/>
          <w:sz w:val="24"/>
          <w:lang w:eastAsia="zh-CN" w:bidi="zh-CN"/>
        </w:rPr>
        <w:t>. The following table systematically sorts out the core characteristics of the platform economy</w:t>
      </w:r>
      <w:r w:rsidR="002C5E3F">
        <w:rPr>
          <w:rFonts w:cs="Times New Roman"/>
          <w:color w:val="231F20"/>
          <w:sz w:val="24"/>
          <w:lang w:eastAsia="zh-CN" w:bidi="zh-CN"/>
        </w:rPr>
        <w:t xml:space="preserve"> </w:t>
      </w:r>
      <w:r w:rsidR="002C5E3F" w:rsidRPr="00754F92">
        <w:rPr>
          <w:rFonts w:cs="Times New Roman"/>
          <w:b/>
          <w:bCs/>
          <w:color w:val="231F20"/>
          <w:sz w:val="24"/>
          <w:lang w:eastAsia="zh-CN" w:bidi="zh-CN"/>
        </w:rPr>
        <w:t>Table 1</w:t>
      </w:r>
      <w:r w:rsidR="00522685" w:rsidRPr="00754F92">
        <w:rPr>
          <w:rFonts w:cs="Times New Roman"/>
          <w:color w:val="231F20"/>
          <w:sz w:val="24"/>
          <w:lang w:eastAsia="zh-CN" w:bidi="zh-CN"/>
        </w:rPr>
        <w:t>:</w:t>
      </w:r>
    </w:p>
    <w:p w14:paraId="1CD26DB2" w14:textId="77777777" w:rsidR="002C5E3F" w:rsidRPr="00754F92" w:rsidRDefault="002C5E3F" w:rsidP="00522685">
      <w:pPr>
        <w:spacing w:line="240" w:lineRule="auto"/>
        <w:jc w:val="both"/>
        <w:rPr>
          <w:rFonts w:cs="Times New Roman"/>
          <w:color w:val="231F20"/>
          <w:sz w:val="24"/>
          <w:lang w:eastAsia="zh-CN" w:bidi="zh-CN"/>
        </w:rPr>
      </w:pPr>
    </w:p>
    <w:p w14:paraId="3CB0FF61" w14:textId="7898C3CE" w:rsidR="00621BC9" w:rsidRDefault="00000000" w:rsidP="00522685">
      <w:pPr>
        <w:spacing w:line="240" w:lineRule="auto"/>
        <w:jc w:val="both"/>
        <w:rPr>
          <w:rFonts w:cs="Times New Roman"/>
          <w:color w:val="231F20"/>
          <w:sz w:val="24"/>
          <w:lang w:eastAsia="zh-CN" w:bidi="zh-CN"/>
        </w:rPr>
      </w:pPr>
      <w:r w:rsidRPr="00754F92">
        <w:rPr>
          <w:rFonts w:cs="Times New Roman"/>
          <w:b/>
          <w:bCs/>
          <w:color w:val="231F20"/>
          <w:sz w:val="24"/>
          <w:lang w:eastAsia="zh-CN" w:bidi="zh-CN"/>
        </w:rPr>
        <w:t>Table</w:t>
      </w:r>
      <w:r w:rsidR="002C5E3F" w:rsidRPr="00754F92">
        <w:rPr>
          <w:rFonts w:cs="Times New Roman"/>
          <w:b/>
          <w:bCs/>
          <w:color w:val="231F20"/>
          <w:sz w:val="24"/>
          <w:lang w:eastAsia="zh-CN" w:bidi="zh-CN"/>
        </w:rPr>
        <w:t xml:space="preserve"> </w:t>
      </w:r>
      <w:r w:rsidRPr="00754F92">
        <w:rPr>
          <w:rFonts w:cs="Times New Roman"/>
          <w:b/>
          <w:bCs/>
          <w:color w:val="231F20"/>
          <w:sz w:val="24"/>
          <w:lang w:eastAsia="zh-CN" w:bidi="zh-CN"/>
        </w:rPr>
        <w:t>1</w:t>
      </w:r>
      <w:r w:rsidRPr="00C9672E">
        <w:rPr>
          <w:rFonts w:cs="Times New Roman"/>
          <w:color w:val="231F20"/>
          <w:sz w:val="24"/>
          <w:lang w:eastAsia="zh-CN" w:bidi="zh-CN"/>
        </w:rPr>
        <w:t>.</w:t>
      </w:r>
      <w:r w:rsidR="002C5E3F">
        <w:rPr>
          <w:rFonts w:cs="Times New Roman"/>
          <w:color w:val="231F20"/>
          <w:sz w:val="24"/>
          <w:lang w:eastAsia="zh-CN" w:bidi="zh-CN"/>
        </w:rPr>
        <w:t xml:space="preserve"> </w:t>
      </w:r>
      <w:r w:rsidRPr="00754F92">
        <w:rPr>
          <w:rFonts w:cs="Times New Roman"/>
          <w:color w:val="231F20"/>
          <w:sz w:val="24"/>
          <w:lang w:eastAsia="zh-CN" w:bidi="zh-CN"/>
        </w:rPr>
        <w:t xml:space="preserve">Core </w:t>
      </w:r>
      <w:r w:rsidR="002C5E3F" w:rsidRPr="002C5E3F">
        <w:rPr>
          <w:rFonts w:cs="Times New Roman"/>
          <w:color w:val="231F20"/>
          <w:sz w:val="24"/>
          <w:lang w:eastAsia="zh-CN" w:bidi="zh-CN"/>
        </w:rPr>
        <w:t>characteristics of the digital platform economy</w:t>
      </w:r>
    </w:p>
    <w:p w14:paraId="08605724" w14:textId="77777777" w:rsidR="002C5E3F" w:rsidRPr="00754F92" w:rsidRDefault="002C5E3F" w:rsidP="00522685">
      <w:pPr>
        <w:spacing w:line="240" w:lineRule="auto"/>
        <w:jc w:val="both"/>
        <w:rPr>
          <w:rFonts w:cs="Times New Roman"/>
          <w:color w:val="231F20"/>
          <w:sz w:val="24"/>
          <w:lang w:eastAsia="zh-CN" w:bidi="zh-CN"/>
        </w:rPr>
      </w:pPr>
    </w:p>
    <w:tbl>
      <w:tblPr>
        <w:tblW w:w="4999" w:type="pct"/>
        <w:jc w:val="center"/>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945"/>
        <w:gridCol w:w="4389"/>
        <w:gridCol w:w="3404"/>
      </w:tblGrid>
      <w:tr w:rsidR="00621BC9" w:rsidRPr="00754F92" w14:paraId="7AB6FA77" w14:textId="77777777" w:rsidTr="00754F92">
        <w:trPr>
          <w:tblHeader/>
          <w:jc w:val="center"/>
        </w:trPr>
        <w:tc>
          <w:tcPr>
            <w:tcW w:w="998" w:type="pct"/>
            <w:tcBorders>
              <w:top w:val="single" w:sz="4" w:space="0" w:color="auto"/>
              <w:bottom w:val="single" w:sz="4" w:space="0" w:color="auto"/>
            </w:tcBorders>
            <w:tcMar>
              <w:top w:w="60" w:type="dxa"/>
              <w:left w:w="120" w:type="dxa"/>
              <w:bottom w:w="30" w:type="dxa"/>
              <w:right w:w="120" w:type="dxa"/>
            </w:tcMar>
            <w:vAlign w:val="center"/>
          </w:tcPr>
          <w:p w14:paraId="6D41EEB2"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Core Characteristics</w:t>
            </w:r>
          </w:p>
        </w:tc>
        <w:tc>
          <w:tcPr>
            <w:tcW w:w="2253" w:type="pct"/>
            <w:tcBorders>
              <w:top w:val="single" w:sz="4" w:space="0" w:color="auto"/>
              <w:bottom w:val="single" w:sz="4" w:space="0" w:color="auto"/>
            </w:tcBorders>
            <w:tcMar>
              <w:top w:w="60" w:type="dxa"/>
              <w:left w:w="120" w:type="dxa"/>
              <w:bottom w:w="30" w:type="dxa"/>
              <w:right w:w="120" w:type="dxa"/>
            </w:tcMar>
            <w:vAlign w:val="center"/>
          </w:tcPr>
          <w:p w14:paraId="156F274A"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Specific Manifestations</w:t>
            </w:r>
          </w:p>
        </w:tc>
        <w:tc>
          <w:tcPr>
            <w:tcW w:w="1748" w:type="pct"/>
            <w:tcBorders>
              <w:top w:val="single" w:sz="4" w:space="0" w:color="auto"/>
              <w:bottom w:val="single" w:sz="4" w:space="0" w:color="auto"/>
            </w:tcBorders>
            <w:tcMar>
              <w:top w:w="60" w:type="dxa"/>
              <w:left w:w="120" w:type="dxa"/>
              <w:bottom w:w="30" w:type="dxa"/>
              <w:right w:w="120" w:type="dxa"/>
            </w:tcMar>
            <w:vAlign w:val="center"/>
          </w:tcPr>
          <w:p w14:paraId="644308D7"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Typical Cases</w:t>
            </w:r>
          </w:p>
        </w:tc>
      </w:tr>
      <w:tr w:rsidR="00621BC9" w:rsidRPr="00754F92" w14:paraId="723308BD" w14:textId="77777777" w:rsidTr="00754F92">
        <w:trPr>
          <w:jc w:val="center"/>
        </w:trPr>
        <w:tc>
          <w:tcPr>
            <w:tcW w:w="998" w:type="pct"/>
            <w:tcBorders>
              <w:top w:val="single" w:sz="4" w:space="0" w:color="auto"/>
            </w:tcBorders>
            <w:tcMar>
              <w:top w:w="60" w:type="dxa"/>
              <w:left w:w="120" w:type="dxa"/>
              <w:bottom w:w="30" w:type="dxa"/>
              <w:right w:w="120" w:type="dxa"/>
            </w:tcMar>
            <w:vAlign w:val="center"/>
          </w:tcPr>
          <w:p w14:paraId="58B3A9AE"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Two-sided Market Attribute</w:t>
            </w:r>
          </w:p>
        </w:tc>
        <w:tc>
          <w:tcPr>
            <w:tcW w:w="2253" w:type="pct"/>
            <w:tcBorders>
              <w:top w:val="single" w:sz="4" w:space="0" w:color="auto"/>
            </w:tcBorders>
            <w:tcMar>
              <w:top w:w="60" w:type="dxa"/>
              <w:left w:w="120" w:type="dxa"/>
              <w:bottom w:w="30" w:type="dxa"/>
              <w:right w:w="120" w:type="dxa"/>
            </w:tcMar>
            <w:vAlign w:val="center"/>
          </w:tcPr>
          <w:p w14:paraId="7F815B30" w14:textId="42A03354"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Supply and demand sides attract each other</w:t>
            </w:r>
            <w:r w:rsidR="00522685" w:rsidRPr="00754F92">
              <w:rPr>
                <w:rFonts w:eastAsia="DengXian" w:cs="Times New Roman"/>
                <w:sz w:val="20"/>
                <w:szCs w:val="20"/>
              </w:rPr>
              <w:t>;</w:t>
            </w:r>
            <w:r w:rsidRPr="00754F92">
              <w:rPr>
                <w:rFonts w:eastAsia="DengXian" w:cs="Times New Roman"/>
                <w:sz w:val="20"/>
                <w:szCs w:val="20"/>
              </w:rPr>
              <w:t xml:space="preserve"> the platform acts as an intermediary to match and connect multiple user groups</w:t>
            </w:r>
          </w:p>
        </w:tc>
        <w:tc>
          <w:tcPr>
            <w:tcW w:w="1748" w:type="pct"/>
            <w:tcBorders>
              <w:top w:val="single" w:sz="4" w:space="0" w:color="auto"/>
            </w:tcBorders>
            <w:tcMar>
              <w:top w:w="60" w:type="dxa"/>
              <w:left w:w="120" w:type="dxa"/>
              <w:bottom w:w="30" w:type="dxa"/>
              <w:right w:w="120" w:type="dxa"/>
            </w:tcMar>
            <w:vAlign w:val="center"/>
          </w:tcPr>
          <w:p w14:paraId="20943E9E" w14:textId="5D92224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Taobao connects buyers and sellers</w:t>
            </w:r>
            <w:r w:rsidR="00522685" w:rsidRPr="00754F92">
              <w:rPr>
                <w:rFonts w:eastAsia="DengXian" w:cs="Times New Roman"/>
                <w:sz w:val="20"/>
                <w:szCs w:val="20"/>
              </w:rPr>
              <w:t>;</w:t>
            </w:r>
            <w:r w:rsidRPr="00754F92">
              <w:rPr>
                <w:rFonts w:eastAsia="DengXian" w:cs="Times New Roman"/>
                <w:sz w:val="20"/>
                <w:szCs w:val="20"/>
              </w:rPr>
              <w:t xml:space="preserve"> Didi matches passengers and drivers</w:t>
            </w:r>
          </w:p>
        </w:tc>
      </w:tr>
      <w:tr w:rsidR="00621BC9" w:rsidRPr="00754F92" w14:paraId="33500224" w14:textId="77777777" w:rsidTr="00754F92">
        <w:trPr>
          <w:jc w:val="center"/>
        </w:trPr>
        <w:tc>
          <w:tcPr>
            <w:tcW w:w="998" w:type="pct"/>
            <w:tcMar>
              <w:top w:w="60" w:type="dxa"/>
              <w:left w:w="120" w:type="dxa"/>
              <w:bottom w:w="30" w:type="dxa"/>
              <w:right w:w="120" w:type="dxa"/>
            </w:tcMar>
            <w:vAlign w:val="center"/>
          </w:tcPr>
          <w:p w14:paraId="2AE33698"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Network Externality</w:t>
            </w:r>
          </w:p>
        </w:tc>
        <w:tc>
          <w:tcPr>
            <w:tcW w:w="2253" w:type="pct"/>
            <w:tcMar>
              <w:top w:w="60" w:type="dxa"/>
              <w:left w:w="120" w:type="dxa"/>
              <w:bottom w:w="30" w:type="dxa"/>
              <w:right w:w="120" w:type="dxa"/>
            </w:tcMar>
            <w:vAlign w:val="center"/>
          </w:tcPr>
          <w:p w14:paraId="69B2297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 expansion of user scale continuously enhances the overall use value of the platform, forming a scale effect</w:t>
            </w:r>
          </w:p>
        </w:tc>
        <w:tc>
          <w:tcPr>
            <w:tcW w:w="1748" w:type="pct"/>
            <w:tcMar>
              <w:top w:w="60" w:type="dxa"/>
              <w:left w:w="120" w:type="dxa"/>
              <w:bottom w:w="30" w:type="dxa"/>
              <w:right w:w="120" w:type="dxa"/>
            </w:tcMar>
            <w:vAlign w:val="center"/>
          </w:tcPr>
          <w:p w14:paraId="72EE195D"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WeChat social network, Douyin content ecosystem</w:t>
            </w:r>
          </w:p>
        </w:tc>
      </w:tr>
      <w:tr w:rsidR="00621BC9" w:rsidRPr="00754F92" w14:paraId="14368482" w14:textId="77777777" w:rsidTr="00754F92">
        <w:trPr>
          <w:jc w:val="center"/>
        </w:trPr>
        <w:tc>
          <w:tcPr>
            <w:tcW w:w="998" w:type="pct"/>
            <w:tcMar>
              <w:top w:w="60" w:type="dxa"/>
              <w:left w:w="120" w:type="dxa"/>
              <w:bottom w:w="30" w:type="dxa"/>
              <w:right w:w="120" w:type="dxa"/>
            </w:tcMar>
            <w:vAlign w:val="center"/>
          </w:tcPr>
          <w:p w14:paraId="1F6EF493"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Intermediary Role</w:t>
            </w:r>
          </w:p>
        </w:tc>
        <w:tc>
          <w:tcPr>
            <w:tcW w:w="2253" w:type="pct"/>
            <w:tcMar>
              <w:top w:w="60" w:type="dxa"/>
              <w:left w:w="120" w:type="dxa"/>
              <w:bottom w:w="30" w:type="dxa"/>
              <w:right w:w="120" w:type="dxa"/>
            </w:tcMar>
            <w:vAlign w:val="center"/>
          </w:tcPr>
          <w:p w14:paraId="7EA9688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 platform builds online interaction venues, does not hold ownership of goods, and generates revenue through commissions and advertisements</w:t>
            </w:r>
          </w:p>
        </w:tc>
        <w:tc>
          <w:tcPr>
            <w:tcW w:w="1748" w:type="pct"/>
            <w:tcMar>
              <w:top w:w="60" w:type="dxa"/>
              <w:left w:w="120" w:type="dxa"/>
              <w:bottom w:w="30" w:type="dxa"/>
              <w:right w:w="120" w:type="dxa"/>
            </w:tcMar>
            <w:vAlign w:val="center"/>
          </w:tcPr>
          <w:p w14:paraId="441C7EB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Google search advertising, Ctrip booking commissions</w:t>
            </w:r>
          </w:p>
        </w:tc>
      </w:tr>
      <w:tr w:rsidR="00621BC9" w:rsidRPr="00754F92" w14:paraId="4A6EC783" w14:textId="77777777" w:rsidTr="00754F92">
        <w:trPr>
          <w:jc w:val="center"/>
        </w:trPr>
        <w:tc>
          <w:tcPr>
            <w:tcW w:w="998" w:type="pct"/>
            <w:tcMar>
              <w:top w:w="60" w:type="dxa"/>
              <w:left w:w="120" w:type="dxa"/>
              <w:bottom w:w="30" w:type="dxa"/>
              <w:right w:w="120" w:type="dxa"/>
            </w:tcMar>
            <w:vAlign w:val="center"/>
          </w:tcPr>
          <w:p w14:paraId="0A862807"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Data-Driven</w:t>
            </w:r>
          </w:p>
        </w:tc>
        <w:tc>
          <w:tcPr>
            <w:tcW w:w="2253" w:type="pct"/>
            <w:tcMar>
              <w:top w:w="60" w:type="dxa"/>
              <w:left w:w="120" w:type="dxa"/>
              <w:bottom w:w="30" w:type="dxa"/>
              <w:right w:w="120" w:type="dxa"/>
            </w:tcMar>
            <w:vAlign w:val="center"/>
          </w:tcPr>
          <w:p w14:paraId="57BA3BE1"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User data is taken as the core production factor, and intelligent algorithms are relied on to optimize resource matching and operational efficiency</w:t>
            </w:r>
          </w:p>
        </w:tc>
        <w:tc>
          <w:tcPr>
            <w:tcW w:w="1748" w:type="pct"/>
            <w:tcMar>
              <w:top w:w="60" w:type="dxa"/>
              <w:left w:w="120" w:type="dxa"/>
              <w:bottom w:w="30" w:type="dxa"/>
              <w:right w:w="120" w:type="dxa"/>
            </w:tcMar>
            <w:vAlign w:val="center"/>
          </w:tcPr>
          <w:p w14:paraId="1E980E71"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Content recommendation on Douyin/Xiaohongshu, personalized marketing in e-commerce</w:t>
            </w:r>
          </w:p>
        </w:tc>
      </w:tr>
      <w:tr w:rsidR="00621BC9" w:rsidRPr="00754F92" w14:paraId="1AFF87B7" w14:textId="77777777" w:rsidTr="00754F92">
        <w:trPr>
          <w:jc w:val="center"/>
        </w:trPr>
        <w:tc>
          <w:tcPr>
            <w:tcW w:w="998" w:type="pct"/>
            <w:tcMar>
              <w:top w:w="60" w:type="dxa"/>
              <w:left w:w="120" w:type="dxa"/>
              <w:bottom w:w="30" w:type="dxa"/>
              <w:right w:w="120" w:type="dxa"/>
            </w:tcMar>
            <w:vAlign w:val="center"/>
          </w:tcPr>
          <w:p w14:paraId="16E8CAD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Asset-Light Operation</w:t>
            </w:r>
          </w:p>
        </w:tc>
        <w:tc>
          <w:tcPr>
            <w:tcW w:w="2253" w:type="pct"/>
            <w:tcMar>
              <w:top w:w="60" w:type="dxa"/>
              <w:left w:w="120" w:type="dxa"/>
              <w:bottom w:w="30" w:type="dxa"/>
              <w:right w:w="120" w:type="dxa"/>
            </w:tcMar>
            <w:vAlign w:val="center"/>
          </w:tcPr>
          <w:p w14:paraId="7BBAD400"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Operates businesses relying on online networks, without the need for large physical inventories or offline stores, with low expansion costs</w:t>
            </w:r>
          </w:p>
        </w:tc>
        <w:tc>
          <w:tcPr>
            <w:tcW w:w="1748" w:type="pct"/>
            <w:tcMar>
              <w:top w:w="60" w:type="dxa"/>
              <w:left w:w="120" w:type="dxa"/>
              <w:bottom w:w="30" w:type="dxa"/>
              <w:right w:w="120" w:type="dxa"/>
            </w:tcMar>
            <w:vAlign w:val="center"/>
          </w:tcPr>
          <w:p w14:paraId="4963F6C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Bilibili, Xianyu online platforms</w:t>
            </w:r>
          </w:p>
        </w:tc>
      </w:tr>
      <w:tr w:rsidR="00621BC9" w:rsidRPr="00754F92" w14:paraId="31E140E5" w14:textId="77777777" w:rsidTr="00754F92">
        <w:trPr>
          <w:jc w:val="center"/>
        </w:trPr>
        <w:tc>
          <w:tcPr>
            <w:tcW w:w="998" w:type="pct"/>
            <w:tcMar>
              <w:top w:w="60" w:type="dxa"/>
              <w:left w:w="120" w:type="dxa"/>
              <w:bottom w:w="30" w:type="dxa"/>
              <w:right w:w="120" w:type="dxa"/>
            </w:tcMar>
            <w:vAlign w:val="center"/>
          </w:tcPr>
          <w:p w14:paraId="58063346"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Ecological Cross-Boundary Nature</w:t>
            </w:r>
          </w:p>
        </w:tc>
        <w:tc>
          <w:tcPr>
            <w:tcW w:w="2253" w:type="pct"/>
            <w:tcMar>
              <w:top w:w="60" w:type="dxa"/>
              <w:left w:w="120" w:type="dxa"/>
              <w:bottom w:w="30" w:type="dxa"/>
              <w:right w:w="120" w:type="dxa"/>
            </w:tcMar>
            <w:vAlign w:val="center"/>
          </w:tcPr>
          <w:p w14:paraId="00E9DC53"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A single platform integrates multi-scenario services such as social networking, consumption, payment, and entertainment to build a traffic ecosystem</w:t>
            </w:r>
          </w:p>
        </w:tc>
        <w:tc>
          <w:tcPr>
            <w:tcW w:w="1748" w:type="pct"/>
            <w:tcMar>
              <w:top w:w="60" w:type="dxa"/>
              <w:left w:w="120" w:type="dxa"/>
              <w:bottom w:w="30" w:type="dxa"/>
              <w:right w:w="120" w:type="dxa"/>
            </w:tcMar>
            <w:vAlign w:val="center"/>
          </w:tcPr>
          <w:p w14:paraId="26B6121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WeChat ecosystem matrix, Alipay life service platform</w:t>
            </w:r>
          </w:p>
        </w:tc>
      </w:tr>
    </w:tbl>
    <w:p w14:paraId="6127F0CA" w14:textId="77777777" w:rsidR="00586D4B" w:rsidRDefault="00586D4B" w:rsidP="00522685">
      <w:pPr>
        <w:spacing w:line="240" w:lineRule="auto"/>
        <w:jc w:val="both"/>
        <w:rPr>
          <w:rFonts w:cs="Times New Roman"/>
          <w:color w:val="231F20"/>
          <w:sz w:val="24"/>
          <w:lang w:eastAsia="zh-CN" w:bidi="zh-CN"/>
        </w:rPr>
      </w:pPr>
    </w:p>
    <w:p w14:paraId="2983612E" w14:textId="688BBEE0"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 xml:space="preserve">In terms of development status, the platform economy has become a new driving force and engine for economic development. Digital platforms have created an operating environment where production factors flow across spaces and industries on a global scale, greatly reducing intermediate links within enterprises, between enterprises, and across industries. Many economic activities have been reduced to the simplest direct interactions between suppliers and consumers </w:t>
      </w:r>
      <w:r w:rsidR="00586D4B" w:rsidRPr="00754F92">
        <w:rPr>
          <w:rFonts w:cs="Times New Roman"/>
          <w:color w:val="231F20"/>
          <w:sz w:val="24"/>
          <w:vertAlign w:val="superscript"/>
          <w:lang w:eastAsia="zh-CN" w:bidi="zh-CN"/>
        </w:rPr>
        <w:t>[7]</w:t>
      </w:r>
      <w:r w:rsidR="00586D4B">
        <w:rPr>
          <w:rFonts w:cs="Times New Roman"/>
          <w:color w:val="231F20"/>
          <w:sz w:val="24"/>
          <w:lang w:eastAsia="zh-CN" w:bidi="zh-CN"/>
        </w:rPr>
        <w:t xml:space="preserve">. </w:t>
      </w:r>
      <w:r w:rsidRPr="00754F92">
        <w:rPr>
          <w:rFonts w:cs="Times New Roman"/>
          <w:color w:val="231F20"/>
          <w:sz w:val="24"/>
          <w:lang w:eastAsia="zh-CN" w:bidi="zh-CN"/>
        </w:rPr>
        <w:t xml:space="preserve">The rapid expansion of platforms has also given rise to a significant market concentration effect in some local fields. Taking bullet-screen video websites as an example, leading platforms have taken a dominant position in their segmented fields, highly concentrating the video content market that interests young people on a single platform. This trend not only reflects the strong resource aggregation capability of the platform </w:t>
      </w:r>
      <w:r w:rsidRPr="00754F92">
        <w:rPr>
          <w:rFonts w:cs="Times New Roman"/>
          <w:color w:val="231F20"/>
          <w:sz w:val="24"/>
          <w:lang w:eastAsia="zh-CN" w:bidi="zh-CN"/>
        </w:rPr>
        <w:lastRenderedPageBreak/>
        <w:t>economy, but also indicates the deep challenges it brings to statistical measurement and standardized governance.</w:t>
      </w:r>
    </w:p>
    <w:p w14:paraId="64D3BCFD" w14:textId="77777777" w:rsidR="00586D4B" w:rsidRPr="00754F92" w:rsidRDefault="00586D4B" w:rsidP="00522685">
      <w:pPr>
        <w:spacing w:line="240" w:lineRule="auto"/>
        <w:jc w:val="both"/>
        <w:rPr>
          <w:rFonts w:cs="Times New Roman"/>
          <w:color w:val="231F20"/>
          <w:sz w:val="24"/>
          <w:lang w:eastAsia="zh-CN" w:bidi="zh-CN"/>
        </w:rPr>
      </w:pPr>
    </w:p>
    <w:p w14:paraId="3033E496" w14:textId="2752F21A" w:rsidR="00621BC9" w:rsidRPr="00754F92" w:rsidRDefault="00000000" w:rsidP="00522685">
      <w:pPr>
        <w:spacing w:line="240" w:lineRule="auto"/>
        <w:jc w:val="both"/>
        <w:rPr>
          <w:rFonts w:cs="Times New Roman"/>
          <w:b/>
          <w:color w:val="231F20"/>
          <w:spacing w:val="-6"/>
          <w:sz w:val="24"/>
          <w:lang w:eastAsia="zh-CN" w:bidi="zh-CN"/>
        </w:rPr>
      </w:pPr>
      <w:bookmarkStart w:id="2" w:name="heading_2"/>
      <w:r w:rsidRPr="00754F92">
        <w:rPr>
          <w:rFonts w:cs="Times New Roman"/>
          <w:b/>
          <w:color w:val="231F20"/>
          <w:spacing w:val="-6"/>
          <w:sz w:val="24"/>
          <w:lang w:eastAsia="zh-CN" w:bidi="zh-CN"/>
        </w:rPr>
        <w:t xml:space="preserve">3. Theoretical </w:t>
      </w:r>
      <w:r w:rsidR="00586D4B" w:rsidRPr="00754F92">
        <w:rPr>
          <w:rFonts w:cs="Times New Roman"/>
          <w:b/>
          <w:color w:val="231F20"/>
          <w:spacing w:val="-6"/>
          <w:sz w:val="24"/>
          <w:lang w:eastAsia="zh-CN" w:bidi="zh-CN"/>
        </w:rPr>
        <w:t>basis and practical challenges of statistical inclusion methods</w:t>
      </w:r>
      <w:bookmarkEnd w:id="2"/>
    </w:p>
    <w:p w14:paraId="51D51988" w14:textId="2B2170F3"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The theoretical foundation of statistical inclusion methods is deeply rooted in traditional statistics and the national economic accounting system. The classical statistical framework takes the real economy as the basic measurement object, and completes the accounting of total economic output relying on quantifiable indicators such as enterprise registration information, tax declaration data, and physical output. This system operated smoothly in the industrial economy era, but when the carrier of economic activities shifts from tangible factories and goods to intangible data flows and platform interactions, the adaptability of existing methods begins to be challenged.</w:t>
      </w:r>
      <w:r w:rsidR="00586D4B">
        <w:rPr>
          <w:rFonts w:cs="Times New Roman"/>
          <w:color w:val="231F20"/>
          <w:sz w:val="24"/>
          <w:lang w:eastAsia="zh-CN" w:bidi="zh-CN"/>
        </w:rPr>
        <w:t xml:space="preserve"> </w:t>
      </w:r>
      <w:r w:rsidRPr="00754F92">
        <w:rPr>
          <w:rFonts w:cs="Times New Roman"/>
          <w:color w:val="231F20"/>
          <w:sz w:val="24"/>
          <w:lang w:eastAsia="zh-CN" w:bidi="zh-CN"/>
        </w:rPr>
        <w:t xml:space="preserve">The essence of the platform economy lies in relying on digital technology to gather massive scattered resources, connect multi-party entities with interdependent relationships, and facilitate interaction and transactions among them. This </w:t>
      </w:r>
      <w:r w:rsidR="00522685" w:rsidRPr="00754F92">
        <w:rPr>
          <w:rFonts w:cs="Times New Roman"/>
          <w:color w:val="231F20"/>
          <w:sz w:val="24"/>
          <w:lang w:eastAsia="zh-CN" w:bidi="zh-CN"/>
        </w:rPr>
        <w:t>“</w:t>
      </w:r>
      <w:r w:rsidRPr="00754F92">
        <w:rPr>
          <w:rFonts w:cs="Times New Roman"/>
          <w:color w:val="231F20"/>
          <w:sz w:val="24"/>
          <w:lang w:eastAsia="zh-CN" w:bidi="zh-CN"/>
        </w:rPr>
        <w:t>two-sided market attribute</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determines that the value created by platforms is often distributed on both the supply side and the demand side at the same time, and cross-subsidization behaviors between the two sides make unilateral accounting prone to double counting or omission of value. When facing such a structure, the traditional statistical inclusion framework lacks an effective mechanism to separately identify, consolidate</w:t>
      </w:r>
      <w:r w:rsidR="00586D4B">
        <w:rPr>
          <w:rFonts w:cs="Times New Roman"/>
          <w:color w:val="231F20"/>
          <w:sz w:val="24"/>
          <w:lang w:eastAsia="zh-CN" w:bidi="zh-CN"/>
        </w:rPr>
        <w:t>,</w:t>
      </w:r>
      <w:r w:rsidRPr="00754F92">
        <w:rPr>
          <w:rFonts w:cs="Times New Roman"/>
          <w:color w:val="231F20"/>
          <w:sz w:val="24"/>
          <w:lang w:eastAsia="zh-CN" w:bidi="zh-CN"/>
        </w:rPr>
        <w:t xml:space="preserve"> and deduplicate the two sides of the platform, resulting in systematic deviations between statistical calibers and economic reality.</w:t>
      </w:r>
      <w:bookmarkStart w:id="3" w:name="fig:container-tech"/>
    </w:p>
    <w:bookmarkEnd w:id="3"/>
    <w:p w14:paraId="79C17CA8" w14:textId="5CB7EE4D"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Practical challenges should not be overlooked either. The platform economy features prominent network effects — as the number of users on the platform increases, its value and attractiveness also grow</w:t>
      </w:r>
      <w:r w:rsidR="00586D4B">
        <w:rPr>
          <w:rFonts w:cs="Times New Roman"/>
          <w:color w:val="231F20"/>
          <w:sz w:val="24"/>
          <w:lang w:eastAsia="zh-CN" w:bidi="zh-CN"/>
        </w:rPr>
        <w:t xml:space="preserve"> </w:t>
      </w:r>
      <w:r w:rsidRPr="00754F92">
        <w:rPr>
          <w:rFonts w:cs="Times New Roman"/>
          <w:color w:val="231F20"/>
          <w:sz w:val="24"/>
          <w:lang w:eastAsia="zh-CN" w:bidi="zh-CN"/>
        </w:rPr>
        <w:t>— which means the economic contribution of platforms is characterized by non-linear growth</w:t>
      </w:r>
      <w:r w:rsidR="00586D4B">
        <w:rPr>
          <w:rFonts w:cs="Times New Roman"/>
          <w:color w:val="231F20"/>
          <w:sz w:val="24"/>
          <w:lang w:eastAsia="zh-CN" w:bidi="zh-CN"/>
        </w:rPr>
        <w:t xml:space="preserve"> </w:t>
      </w:r>
      <w:r w:rsidR="00586D4B" w:rsidRPr="00754F92">
        <w:rPr>
          <w:rFonts w:cs="Times New Roman"/>
          <w:color w:val="231F20"/>
          <w:sz w:val="24"/>
          <w:vertAlign w:val="superscript"/>
          <w:lang w:eastAsia="zh-CN" w:bidi="zh-CN"/>
        </w:rPr>
        <w:t>[</w:t>
      </w:r>
      <w:r w:rsidR="008B50BE">
        <w:rPr>
          <w:rFonts w:cs="Times New Roman"/>
          <w:color w:val="231F20"/>
          <w:sz w:val="24"/>
          <w:vertAlign w:val="superscript"/>
          <w:lang w:eastAsia="zh-CN" w:bidi="zh-CN"/>
        </w:rPr>
        <w:t>3</w:t>
      </w:r>
      <w:r w:rsidR="00586D4B" w:rsidRPr="00754F92">
        <w:rPr>
          <w:rFonts w:cs="Times New Roman"/>
          <w:color w:val="231F20"/>
          <w:sz w:val="24"/>
          <w:vertAlign w:val="superscript"/>
          <w:lang w:eastAsia="zh-CN" w:bidi="zh-CN"/>
        </w:rPr>
        <w:t>]</w:t>
      </w:r>
      <w:r w:rsidRPr="00754F92">
        <w:rPr>
          <w:rFonts w:cs="Times New Roman"/>
          <w:color w:val="231F20"/>
          <w:sz w:val="24"/>
          <w:lang w:eastAsia="zh-CN" w:bidi="zh-CN"/>
        </w:rPr>
        <w:t>. However, most existing statistical systems conduct static cross-sectional sampling on an annual or quarterly basis, making it difficult to capture the dynamic value surges brought by network effects. Meanwhile, the data factors relied on by platform enterprises inherently have the dual attributes of means of production and products, and there is still no universally recognized accounting standard for their value evaluation, which further exacerbates the uncertainty of statistical inclusion.</w:t>
      </w:r>
      <w:r w:rsidR="00586D4B">
        <w:rPr>
          <w:rFonts w:cs="Times New Roman"/>
          <w:color w:val="231F20"/>
          <w:sz w:val="24"/>
          <w:lang w:eastAsia="zh-CN" w:bidi="zh-CN"/>
        </w:rPr>
        <w:t xml:space="preserve"> </w:t>
      </w:r>
      <w:r w:rsidRPr="00754F92">
        <w:rPr>
          <w:rFonts w:cs="Times New Roman"/>
          <w:color w:val="231F20"/>
          <w:sz w:val="24"/>
          <w:lang w:eastAsia="zh-CN" w:bidi="zh-CN"/>
        </w:rPr>
        <w:t>In terms of the identification and attribution of business entities, the platform economy has spawned a large number of flexible workers and self-employed operators. Various business models based on internet platforms as infrastructure have increasingly blurred the boundary between suppliers and consumers</w:t>
      </w:r>
      <w:r w:rsidR="00586D4B">
        <w:rPr>
          <w:rFonts w:cs="Times New Roman"/>
          <w:color w:val="231F20"/>
          <w:sz w:val="24"/>
          <w:lang w:eastAsia="zh-CN" w:bidi="zh-CN"/>
        </w:rPr>
        <w:t xml:space="preserve"> </w:t>
      </w:r>
      <w:r w:rsidR="00586D4B" w:rsidRPr="00754F92">
        <w:rPr>
          <w:rFonts w:cs="Times New Roman"/>
          <w:color w:val="231F20"/>
          <w:sz w:val="24"/>
          <w:vertAlign w:val="superscript"/>
          <w:lang w:eastAsia="zh-CN" w:bidi="zh-CN"/>
        </w:rPr>
        <w:t>[8]</w:t>
      </w:r>
      <w:r w:rsidRPr="00754F92">
        <w:rPr>
          <w:rFonts w:cs="Times New Roman"/>
          <w:color w:val="231F20"/>
          <w:sz w:val="24"/>
          <w:lang w:eastAsia="zh-CN" w:bidi="zh-CN"/>
        </w:rPr>
        <w:t>. The traditional statistical practice of taking legal entity units as basic statistical units cannot effectively cover these dispersed and mobile economic entities. This not only leads to incomplete statistical directories, but also poses a considerable risk of underestimation in the measurement of core indicators such as value-added and employment size, which imposes substantial constraints on the quality of support for macroeconomic decision-making</w:t>
      </w:r>
      <w:r w:rsidR="00586D4B">
        <w:rPr>
          <w:rFonts w:cs="Times New Roman"/>
          <w:color w:val="231F20"/>
          <w:sz w:val="24"/>
          <w:lang w:eastAsia="zh-CN" w:bidi="zh-CN"/>
        </w:rPr>
        <w:t xml:space="preserve"> (</w:t>
      </w:r>
      <w:r w:rsidR="00586D4B" w:rsidRPr="00754F92">
        <w:rPr>
          <w:rFonts w:cs="Times New Roman"/>
          <w:b/>
          <w:bCs/>
          <w:color w:val="231F20"/>
          <w:sz w:val="24"/>
          <w:lang w:eastAsia="zh-CN" w:bidi="zh-CN"/>
        </w:rPr>
        <w:t>Figure 1</w:t>
      </w:r>
      <w:r w:rsidR="00586D4B">
        <w:rPr>
          <w:rFonts w:cs="Times New Roman"/>
          <w:color w:val="231F20"/>
          <w:sz w:val="24"/>
          <w:lang w:eastAsia="zh-CN" w:bidi="zh-CN"/>
        </w:rPr>
        <w:t>).</w:t>
      </w:r>
    </w:p>
    <w:p w14:paraId="1FA861E3" w14:textId="77777777" w:rsidR="00586D4B" w:rsidRDefault="00586D4B" w:rsidP="00522685">
      <w:pPr>
        <w:spacing w:line="240" w:lineRule="auto"/>
        <w:jc w:val="both"/>
        <w:rPr>
          <w:rFonts w:cs="Times New Roman"/>
          <w:color w:val="231F20"/>
          <w:sz w:val="24"/>
          <w:lang w:eastAsia="zh-CN" w:bidi="zh-CN"/>
        </w:rPr>
      </w:pPr>
    </w:p>
    <w:p w14:paraId="3DD93700" w14:textId="77777777" w:rsidR="002F156F" w:rsidRPr="00C9672E" w:rsidRDefault="002F156F" w:rsidP="002F156F">
      <w:pPr>
        <w:spacing w:line="240" w:lineRule="auto"/>
        <w:jc w:val="center"/>
        <w:rPr>
          <w:rFonts w:cs="Times New Roman"/>
          <w:sz w:val="24"/>
          <w:lang w:eastAsia="zh-CN"/>
        </w:rPr>
      </w:pPr>
      <w:r w:rsidRPr="00F87CB6">
        <w:rPr>
          <w:rFonts w:cs="Times New Roman"/>
          <w:noProof/>
          <w:sz w:val="24"/>
          <w:lang w:eastAsia="zh-CN"/>
        </w:rPr>
        <w:lastRenderedPageBreak/>
        <w:drawing>
          <wp:inline distT="0" distB="0" distL="114300" distR="114300" wp14:anchorId="4F517577" wp14:editId="03142822">
            <wp:extent cx="3455035" cy="2093595"/>
            <wp:effectExtent l="0" t="0" r="12065" b="1905"/>
            <wp:docPr id="776819943" name="图片 1" descr="0333c0d749c9b061010955d5d3c94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333c0d749c9b061010955d5d3c94cb1"/>
                    <pic:cNvPicPr>
                      <a:picLocks noChangeAspect="1"/>
                    </pic:cNvPicPr>
                  </pic:nvPicPr>
                  <pic:blipFill>
                    <a:blip r:embed="rId9"/>
                    <a:stretch>
                      <a:fillRect/>
                    </a:stretch>
                  </pic:blipFill>
                  <pic:spPr>
                    <a:xfrm>
                      <a:off x="0" y="0"/>
                      <a:ext cx="3455035" cy="2093595"/>
                    </a:xfrm>
                    <a:prstGeom prst="rect">
                      <a:avLst/>
                    </a:prstGeom>
                  </pic:spPr>
                </pic:pic>
              </a:graphicData>
            </a:graphic>
          </wp:inline>
        </w:drawing>
      </w:r>
    </w:p>
    <w:p w14:paraId="511FE2ED" w14:textId="77777777" w:rsidR="002F156F" w:rsidRPr="00F87CB6" w:rsidRDefault="002F156F" w:rsidP="002F156F">
      <w:pPr>
        <w:spacing w:line="240" w:lineRule="auto"/>
        <w:jc w:val="center"/>
        <w:rPr>
          <w:rFonts w:cs="Times New Roman"/>
          <w:color w:val="231F20"/>
          <w:sz w:val="20"/>
          <w:szCs w:val="20"/>
          <w:lang w:eastAsia="zh-CN" w:bidi="zh-CN"/>
        </w:rPr>
      </w:pPr>
      <w:r w:rsidRPr="00F87CB6">
        <w:rPr>
          <w:rFonts w:cs="Times New Roman"/>
          <w:b/>
          <w:bCs/>
          <w:color w:val="231F20"/>
          <w:sz w:val="20"/>
          <w:szCs w:val="20"/>
        </w:rPr>
        <w:t>Figure 1</w:t>
      </w:r>
      <w:r w:rsidRPr="00F87CB6">
        <w:rPr>
          <w:rFonts w:cs="Times New Roman"/>
          <w:color w:val="231F20"/>
          <w:sz w:val="20"/>
          <w:szCs w:val="20"/>
        </w:rPr>
        <w:t>.</w:t>
      </w:r>
      <w:r w:rsidRPr="00F87CB6">
        <w:rPr>
          <w:rFonts w:cs="Times New Roman"/>
          <w:color w:val="231F20"/>
          <w:sz w:val="20"/>
          <w:szCs w:val="20"/>
          <w:lang w:eastAsia="zh-CN" w:bidi="zh-CN"/>
        </w:rPr>
        <w:t xml:space="preserve"> Comparison of statistical difficulties</w:t>
      </w:r>
    </w:p>
    <w:p w14:paraId="699BF23A" w14:textId="77777777" w:rsidR="002F156F" w:rsidRPr="00754F92" w:rsidRDefault="002F156F" w:rsidP="00522685">
      <w:pPr>
        <w:spacing w:line="240" w:lineRule="auto"/>
        <w:jc w:val="both"/>
        <w:rPr>
          <w:rFonts w:cs="Times New Roman"/>
          <w:color w:val="231F20"/>
          <w:sz w:val="24"/>
          <w:lang w:eastAsia="zh-CN" w:bidi="zh-CN"/>
        </w:rPr>
      </w:pPr>
    </w:p>
    <w:p w14:paraId="0ED841C7" w14:textId="6AB7FDD0" w:rsidR="00621BC9" w:rsidRPr="00754F92" w:rsidRDefault="00000000" w:rsidP="00522685">
      <w:pPr>
        <w:spacing w:line="240" w:lineRule="auto"/>
        <w:jc w:val="both"/>
        <w:rPr>
          <w:rFonts w:cs="Times New Roman"/>
          <w:b/>
          <w:color w:val="231F20"/>
          <w:spacing w:val="-6"/>
          <w:sz w:val="24"/>
          <w:lang w:eastAsia="zh-CN" w:bidi="zh-CN"/>
        </w:rPr>
      </w:pPr>
      <w:r w:rsidRPr="00754F92">
        <w:rPr>
          <w:rFonts w:cs="Times New Roman"/>
          <w:b/>
          <w:color w:val="231F20"/>
          <w:spacing w:val="-6"/>
          <w:sz w:val="24"/>
          <w:lang w:eastAsia="zh-CN" w:bidi="zh-CN"/>
        </w:rPr>
        <w:t xml:space="preserve">4. Analysis of </w:t>
      </w:r>
      <w:r w:rsidR="002F156F" w:rsidRPr="00754F92">
        <w:rPr>
          <w:rFonts w:cs="Times New Roman"/>
          <w:b/>
          <w:color w:val="231F20"/>
          <w:spacing w:val="-6"/>
          <w:sz w:val="24"/>
          <w:lang w:eastAsia="zh-CN" w:bidi="zh-CN"/>
        </w:rPr>
        <w:t>statistical inclusion demand under new economic forms</w:t>
      </w:r>
    </w:p>
    <w:p w14:paraId="196035CE" w14:textId="77777777"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As a new business model in the era of the digital economy, the platform economy has significant differences in its internal operation logic from traditional economic forms, which causes structural gaps in the existing statistical system when capturing new economic activities. The platform economy is characterized by data-driven operation, platform support, and network coordination, and its value creation process is highly dispersed and dynamic. The traditional statistical framework centered on physical output can hardly effectively measure its real economic contribution. The analysis of statistical inclusion demand must start from the essential attributes of the platform economy and clarify its value generation paths, so as to provide a solid basis for the improvement of statistical methods.</w:t>
      </w:r>
    </w:p>
    <w:p w14:paraId="50E61800" w14:textId="0B280BD4" w:rsidR="002F156F"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 xml:space="preserve">From the perspective of the two-sided market attribute of the platform economy, platforms connect multi-party entities with complementary demands, and the mutual attraction between buyers and sellers constitutes the basic driving force for platform operation. This multi-lateral interaction structure means that the traditional statistical logic of </w:t>
      </w:r>
      <w:r w:rsidR="00522685" w:rsidRPr="00754F92">
        <w:rPr>
          <w:rFonts w:cs="Times New Roman"/>
          <w:color w:val="231F20"/>
          <w:sz w:val="24"/>
          <w:lang w:eastAsia="zh-CN" w:bidi="zh-CN"/>
        </w:rPr>
        <w:t>“</w:t>
      </w:r>
      <w:r w:rsidRPr="00754F92">
        <w:rPr>
          <w:rFonts w:cs="Times New Roman"/>
          <w:color w:val="231F20"/>
          <w:sz w:val="24"/>
          <w:lang w:eastAsia="zh-CN" w:bidi="zh-CN"/>
        </w:rPr>
        <w:t>unidirectional flow</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fails here. Let the number of participating entities on the platform be</w:t>
      </w:r>
      <w:r w:rsidRPr="00754F92">
        <w:rPr>
          <w:rFonts w:cs="Times New Roman"/>
          <w:bCs/>
          <w:color w:val="231F20"/>
          <w:sz w:val="24"/>
          <w:lang w:eastAsia="zh-CN" w:bidi="zh-CN"/>
        </w:rPr>
        <w:t xml:space="preserve"> N</w:t>
      </w:r>
      <w:r w:rsidRPr="00754F92">
        <w:rPr>
          <w:rFonts w:cs="Times New Roman"/>
          <w:color w:val="231F20"/>
          <w:sz w:val="24"/>
          <w:lang w:eastAsia="zh-CN" w:bidi="zh-CN"/>
        </w:rPr>
        <w:t xml:space="preserve">, and the network effect value </w:t>
      </w:r>
      <w:r w:rsidRPr="00754F92">
        <w:rPr>
          <w:rFonts w:cs="Times New Roman"/>
          <w:bCs/>
          <w:color w:val="231F20"/>
          <w:sz w:val="24"/>
          <w:lang w:eastAsia="zh-CN" w:bidi="zh-CN"/>
        </w:rPr>
        <w:t>V</w:t>
      </w:r>
      <w:r w:rsidRPr="00754F92">
        <w:rPr>
          <w:rFonts w:cs="Times New Roman"/>
          <w:color w:val="231F20"/>
          <w:sz w:val="24"/>
          <w:lang w:eastAsia="zh-CN" w:bidi="zh-CN"/>
        </w:rPr>
        <w:t xml:space="preserve"> generated by the platform can be approximately expressed as</w:t>
      </w:r>
      <w:r w:rsidR="00522685" w:rsidRPr="00754F92">
        <w:rPr>
          <w:rFonts w:cs="Times New Roman"/>
          <w:color w:val="231F20"/>
          <w:sz w:val="24"/>
          <w:lang w:eastAsia="zh-CN" w:bidi="zh-CN"/>
        </w:rPr>
        <w:t>:</w:t>
      </w:r>
    </w:p>
    <w:p w14:paraId="11D9A3A1" w14:textId="77777777" w:rsidR="002F156F" w:rsidRDefault="002F156F" w:rsidP="00522685">
      <w:pPr>
        <w:spacing w:line="240" w:lineRule="auto"/>
        <w:jc w:val="both"/>
        <w:rPr>
          <w:rFonts w:cs="Times New Roman"/>
          <w:color w:val="231F20"/>
          <w:sz w:val="24"/>
          <w:lang w:eastAsia="zh-CN" w:bidi="zh-CN"/>
        </w:rPr>
      </w:pPr>
    </w:p>
    <w:p w14:paraId="484309BC" w14:textId="024CCE30" w:rsidR="002F156F" w:rsidRDefault="007C7A96" w:rsidP="00522685">
      <w:pPr>
        <w:spacing w:line="240" w:lineRule="auto"/>
        <w:jc w:val="both"/>
        <w:rPr>
          <w:rFonts w:cs="Times New Roman"/>
          <w:color w:val="231F20"/>
          <w:sz w:val="24"/>
          <w:lang w:eastAsia="zh-CN" w:bidi="zh-CN"/>
        </w:rPr>
      </w:pPr>
      <m:oMathPara>
        <m:oMath>
          <m:r>
            <w:rPr>
              <w:rFonts w:ascii="Cambria Math" w:hAnsi="Cambria Math" w:cs="Times New Roman"/>
              <w:color w:val="231F20"/>
              <w:sz w:val="24"/>
              <w:lang w:eastAsia="zh-CN" w:bidi="zh-CN"/>
            </w:rPr>
            <m:t>V∝</m:t>
          </m:r>
          <m:sSup>
            <m:sSupPr>
              <m:ctrlPr>
                <w:rPr>
                  <w:rFonts w:ascii="Cambria Math" w:hAnsi="Cambria Math" w:cs="Times New Roman"/>
                  <w:i/>
                  <w:color w:val="231F20"/>
                  <w:sz w:val="24"/>
                  <w:lang w:eastAsia="zh-CN" w:bidi="zh-CN"/>
                </w:rPr>
              </m:ctrlPr>
            </m:sSupPr>
            <m:e>
              <m:r>
                <w:rPr>
                  <w:rFonts w:ascii="Cambria Math" w:hAnsi="Cambria Math" w:cs="Times New Roman"/>
                  <w:color w:val="231F20"/>
                  <w:sz w:val="24"/>
                  <w:lang w:eastAsia="zh-CN" w:bidi="zh-CN"/>
                </w:rPr>
                <m:t>N</m:t>
              </m:r>
            </m:e>
            <m:sup>
              <m:r>
                <w:rPr>
                  <w:rFonts w:ascii="Cambria Math" w:hAnsi="Cambria Math" w:cs="Times New Roman"/>
                  <w:color w:val="231F20"/>
                  <w:sz w:val="24"/>
                  <w:lang w:eastAsia="zh-CN" w:bidi="zh-CN"/>
                </w:rPr>
                <m:t>2</m:t>
              </m:r>
            </m:sup>
          </m:sSup>
        </m:oMath>
      </m:oMathPara>
    </w:p>
    <w:p w14:paraId="70FF461D" w14:textId="77777777" w:rsidR="007C7A96" w:rsidRDefault="007C7A96" w:rsidP="00522685">
      <w:pPr>
        <w:spacing w:line="240" w:lineRule="auto"/>
        <w:jc w:val="both"/>
        <w:rPr>
          <w:rFonts w:cs="Times New Roman"/>
          <w:color w:val="231F20"/>
          <w:sz w:val="24"/>
          <w:lang w:eastAsia="zh-CN" w:bidi="zh-CN"/>
        </w:rPr>
      </w:pPr>
    </w:p>
    <w:p w14:paraId="6FD35AC7" w14:textId="0D6A7624"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This approximate expression of Metcalfe</w:t>
      </w:r>
      <w:r w:rsidR="00522685" w:rsidRPr="00754F92">
        <w:rPr>
          <w:rFonts w:cs="Times New Roman"/>
          <w:color w:val="231F20"/>
          <w:sz w:val="24"/>
          <w:lang w:eastAsia="zh-CN" w:bidi="zh-CN"/>
        </w:rPr>
        <w:t>’</w:t>
      </w:r>
      <w:r w:rsidRPr="00754F92">
        <w:rPr>
          <w:rFonts w:cs="Times New Roman"/>
          <w:color w:val="231F20"/>
          <w:sz w:val="24"/>
          <w:lang w:eastAsia="zh-CN" w:bidi="zh-CN"/>
        </w:rPr>
        <w:t>s Law indicates that with the non-linear growth of the scale of participants, the statistical value of the platform economy will also expand exponentially. The traditional enterprise-based accounting method faces severe challenges here, and it is urgent to introduce statistical dimensions that can depict multi-lateral interaction relationships.</w:t>
      </w:r>
    </w:p>
    <w:p w14:paraId="1A4E64F4" w14:textId="1C6785C8"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The core position of data resources in the platform economy also gives rise to new demand for statistical inclusion. Platform enterprises rely on data accumulation to achieve efficient resource allocation and personalized services through big data analytics and intelligent algorithms</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[9]</w:t>
      </w:r>
      <w:r w:rsidR="007C7A96">
        <w:rPr>
          <w:rFonts w:cs="Times New Roman"/>
          <w:color w:val="231F20"/>
          <w:sz w:val="24"/>
          <w:lang w:eastAsia="zh-CN" w:bidi="zh-CN"/>
        </w:rPr>
        <w:t>.</w:t>
      </w:r>
      <w:r w:rsidRPr="00754F92">
        <w:rPr>
          <w:rFonts w:cs="Times New Roman"/>
          <w:color w:val="231F20"/>
          <w:sz w:val="24"/>
          <w:lang w:eastAsia="zh-CN" w:bidi="zh-CN"/>
        </w:rPr>
        <w:t xml:space="preserve"> However, as a production factor, data has characteristics such as non-consumable nature, reusability, and marginal cost approaching zero. The current System of National Accounts (SNA) still has an incomplete definition of its asset attributes, resulting in systematic underestimation of the contribution of data factors to economic growth in statistics. Meanwhile, the platform economy covers many industries such as e-commerce, digital media, online education, and transportation, and the blurring of industry boundaries further aggravates the difficulty of classified statistics</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[10]</w:t>
      </w:r>
      <w:r w:rsidRPr="00754F92">
        <w:rPr>
          <w:rFonts w:cs="Times New Roman"/>
          <w:color w:val="231F20"/>
          <w:sz w:val="24"/>
          <w:lang w:eastAsia="zh-CN" w:bidi="zh-CN"/>
        </w:rPr>
        <w:t>.</w:t>
      </w:r>
    </w:p>
    <w:p w14:paraId="4C83A467" w14:textId="4A841B7A"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lastRenderedPageBreak/>
        <w:t>In terms of the gig economy and flexible employment, the platform economy has spawned a large number of non-standard employment forms, and the relationship between workers and platforms is difficult to define by traditional employment relationships</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[9]</w:t>
      </w:r>
      <w:r w:rsidRPr="00754F92">
        <w:rPr>
          <w:rFonts w:cs="Times New Roman"/>
          <w:color w:val="231F20"/>
          <w:sz w:val="24"/>
          <w:lang w:eastAsia="zh-CN" w:bidi="zh-CN"/>
        </w:rPr>
        <w:t>. This requires the statistical system to introduce new identity categories into labor accounts and design matching income accounting calibers. On the whole, the demand for statistical inclusion under new economic forms can be summed up in three dimensions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the holistic capture of the interactive value of multi-lateral markets, the quantitative accounting of the economic contribution of data factors, and the systematic recording of new employment forms. These three layers of demand are intertwined and jointly constitute the practical driving force for the innovation of statistical methods for the platform economy.</w:t>
      </w:r>
    </w:p>
    <w:p w14:paraId="336DB7C4" w14:textId="77777777" w:rsidR="007C7A96" w:rsidRDefault="007C7A96" w:rsidP="00522685">
      <w:pPr>
        <w:spacing w:line="240" w:lineRule="auto"/>
        <w:jc w:val="both"/>
        <w:rPr>
          <w:rFonts w:cs="Times New Roman"/>
          <w:color w:val="231F20"/>
          <w:sz w:val="24"/>
          <w:lang w:eastAsia="zh-CN" w:bidi="zh-CN"/>
        </w:rPr>
      </w:pPr>
    </w:p>
    <w:p w14:paraId="558B3643" w14:textId="6C78F651" w:rsidR="007C7A96" w:rsidRPr="00754F92" w:rsidRDefault="007C7A96" w:rsidP="00522685">
      <w:pPr>
        <w:spacing w:line="240" w:lineRule="auto"/>
        <w:jc w:val="both"/>
        <w:rPr>
          <w:rFonts w:cs="Times New Roman"/>
          <w:b/>
          <w:bCs/>
          <w:color w:val="231F20"/>
          <w:sz w:val="24"/>
          <w:lang w:eastAsia="zh-CN" w:bidi="zh-CN"/>
        </w:rPr>
      </w:pPr>
      <w:r w:rsidRPr="00754F92">
        <w:rPr>
          <w:rFonts w:cs="Times New Roman"/>
          <w:b/>
          <w:bCs/>
          <w:color w:val="231F20"/>
          <w:sz w:val="24"/>
          <w:lang w:eastAsia="zh-CN" w:bidi="zh-CN"/>
        </w:rPr>
        <w:t>5. Innovation of statistical inclusion methods against the background of the platform economy</w:t>
      </w:r>
    </w:p>
    <w:p w14:paraId="49F2F87F" w14:textId="77777777"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As a new economic system based on digital technology, driven by data, supported by platforms, and coordinated through networks, the inherent two-sided market attribute and network externalities of the platform economy expose traditional statistical inclusion methods to structural challenges. Against this background, the innovation of statistical inclusion methods is not only an iteration at the technical level, but also a holistic reconstruction of statistical concepts and statistical frameworks. The platform economy efficiently connects suppliers and consumers through online platforms and facilitates multi-party transaction interactions. Its complex value flow paths require statistical inclusion methods to have stronger dynamic capture capability.</w:t>
      </w:r>
    </w:p>
    <w:p w14:paraId="09340585" w14:textId="02E05F33"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 xml:space="preserve">Facing the reality of massive data volume, fragmented transactions, and diversified entities in the platform economy, the innovation of statistical inclusion methods can be examined from the following dimensions. The table below summarizes the core differences between traditional statistical inclusion methods and innovative statistical inclusion methods </w:t>
      </w:r>
      <w:r w:rsidR="007C7A96">
        <w:rPr>
          <w:rFonts w:cs="Times New Roman"/>
          <w:color w:val="231F20"/>
          <w:sz w:val="24"/>
          <w:lang w:eastAsia="zh-CN" w:bidi="zh-CN"/>
        </w:rPr>
        <w:t>in</w:t>
      </w:r>
      <w:r w:rsidR="007C7A96" w:rsidRPr="00754F92">
        <w:rPr>
          <w:rFonts w:cs="Times New Roman"/>
          <w:color w:val="231F20"/>
          <w:sz w:val="24"/>
          <w:lang w:eastAsia="zh-CN" w:bidi="zh-CN"/>
        </w:rPr>
        <w:t xml:space="preserve"> </w:t>
      </w:r>
      <w:r w:rsidRPr="00754F92">
        <w:rPr>
          <w:rFonts w:cs="Times New Roman"/>
          <w:color w:val="231F20"/>
          <w:sz w:val="24"/>
          <w:lang w:eastAsia="zh-CN" w:bidi="zh-CN"/>
        </w:rPr>
        <w:t xml:space="preserve">the </w:t>
      </w:r>
      <w:r w:rsidR="007C7A96">
        <w:rPr>
          <w:rFonts w:cs="Times New Roman"/>
          <w:color w:val="231F20"/>
          <w:sz w:val="24"/>
          <w:lang w:eastAsia="zh-CN" w:bidi="zh-CN"/>
        </w:rPr>
        <w:t>context</w:t>
      </w:r>
      <w:r w:rsidR="007C7A96" w:rsidRPr="00754F92">
        <w:rPr>
          <w:rFonts w:cs="Times New Roman"/>
          <w:color w:val="231F20"/>
          <w:sz w:val="24"/>
          <w:lang w:eastAsia="zh-CN" w:bidi="zh-CN"/>
        </w:rPr>
        <w:t xml:space="preserve"> </w:t>
      </w:r>
      <w:r w:rsidRPr="00754F92">
        <w:rPr>
          <w:rFonts w:cs="Times New Roman"/>
          <w:color w:val="231F20"/>
          <w:sz w:val="24"/>
          <w:lang w:eastAsia="zh-CN" w:bidi="zh-CN"/>
        </w:rPr>
        <w:t>of the platform economy</w:t>
      </w:r>
      <w:r w:rsidR="007C7A96">
        <w:rPr>
          <w:rFonts w:cs="Times New Roman"/>
          <w:color w:val="231F20"/>
          <w:sz w:val="24"/>
          <w:lang w:eastAsia="zh-CN" w:bidi="zh-CN"/>
        </w:rPr>
        <w:t xml:space="preserve"> </w:t>
      </w:r>
      <w:r w:rsidR="007C7A96" w:rsidRPr="00754F92">
        <w:rPr>
          <w:rFonts w:cs="Times New Roman"/>
          <w:b/>
          <w:bCs/>
          <w:color w:val="231F20"/>
          <w:sz w:val="24"/>
          <w:lang w:eastAsia="zh-CN" w:bidi="zh-CN"/>
        </w:rPr>
        <w:t>Table 2</w:t>
      </w:r>
      <w:r w:rsidR="00522685" w:rsidRPr="00754F92">
        <w:rPr>
          <w:rFonts w:cs="Times New Roman"/>
          <w:color w:val="231F20"/>
          <w:sz w:val="24"/>
          <w:lang w:eastAsia="zh-CN" w:bidi="zh-CN"/>
        </w:rPr>
        <w:t>:</w:t>
      </w:r>
    </w:p>
    <w:p w14:paraId="51412203" w14:textId="77777777" w:rsidR="007C7A96" w:rsidRPr="00754F92" w:rsidRDefault="007C7A96" w:rsidP="00522685">
      <w:pPr>
        <w:spacing w:line="240" w:lineRule="auto"/>
        <w:jc w:val="both"/>
        <w:rPr>
          <w:rFonts w:cs="Times New Roman"/>
          <w:color w:val="231F20"/>
          <w:sz w:val="24"/>
          <w:lang w:eastAsia="zh-CN" w:bidi="zh-CN"/>
        </w:rPr>
      </w:pPr>
    </w:p>
    <w:p w14:paraId="2BC46994" w14:textId="719EEFC2" w:rsidR="00621BC9" w:rsidRDefault="00000000" w:rsidP="00522685">
      <w:pPr>
        <w:spacing w:line="240" w:lineRule="auto"/>
        <w:jc w:val="both"/>
        <w:rPr>
          <w:rFonts w:cs="Times New Roman"/>
          <w:color w:val="231F20"/>
          <w:sz w:val="24"/>
          <w:lang w:eastAsia="zh-CN" w:bidi="zh-CN"/>
        </w:rPr>
      </w:pPr>
      <w:r w:rsidRPr="00754F92">
        <w:rPr>
          <w:rFonts w:cs="Times New Roman"/>
          <w:b/>
          <w:bCs/>
          <w:color w:val="231F20"/>
          <w:sz w:val="24"/>
          <w:lang w:eastAsia="zh-CN" w:bidi="zh-CN"/>
        </w:rPr>
        <w:t>Table 2</w:t>
      </w:r>
      <w:r w:rsidRPr="00C9672E">
        <w:rPr>
          <w:rFonts w:cs="Times New Roman"/>
          <w:color w:val="231F20"/>
          <w:sz w:val="24"/>
          <w:lang w:eastAsia="zh-CN" w:bidi="zh-CN"/>
        </w:rPr>
        <w:t>.</w:t>
      </w:r>
      <w:r w:rsidRPr="00754F92">
        <w:rPr>
          <w:rFonts w:cs="Times New Roman"/>
          <w:color w:val="231F20"/>
          <w:sz w:val="24"/>
          <w:lang w:eastAsia="zh-CN" w:bidi="zh-CN"/>
        </w:rPr>
        <w:t xml:space="preserve"> Comparison </w:t>
      </w:r>
      <w:r w:rsidR="007C7A96" w:rsidRPr="007C7A96">
        <w:rPr>
          <w:rFonts w:cs="Times New Roman"/>
          <w:color w:val="231F20"/>
          <w:sz w:val="24"/>
          <w:lang w:eastAsia="zh-CN" w:bidi="zh-CN"/>
        </w:rPr>
        <w:t>between traditional statistical methods and innovative statistical inclusion methods for digital platforms</w:t>
      </w:r>
    </w:p>
    <w:p w14:paraId="0A97BAFB" w14:textId="77777777" w:rsidR="007C7A96" w:rsidRPr="00754F92" w:rsidRDefault="007C7A96" w:rsidP="00522685">
      <w:pPr>
        <w:spacing w:line="240" w:lineRule="auto"/>
        <w:jc w:val="both"/>
        <w:rPr>
          <w:rFonts w:cs="Times New Roman"/>
          <w:color w:val="231F20"/>
          <w:sz w:val="24"/>
          <w:lang w:eastAsia="zh-CN" w:bidi="zh-CN"/>
        </w:rPr>
      </w:pPr>
    </w:p>
    <w:tbl>
      <w:tblPr>
        <w:tblW w:w="4998" w:type="pct"/>
        <w:jc w:val="center"/>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456"/>
        <w:gridCol w:w="3108"/>
        <w:gridCol w:w="5172"/>
      </w:tblGrid>
      <w:tr w:rsidR="00621BC9" w:rsidRPr="00754F92" w14:paraId="7D7E390A" w14:textId="77777777" w:rsidTr="00754F92">
        <w:trPr>
          <w:tblHeader/>
          <w:jc w:val="center"/>
        </w:trPr>
        <w:tc>
          <w:tcPr>
            <w:tcW w:w="748" w:type="pct"/>
            <w:tcBorders>
              <w:top w:val="single" w:sz="4" w:space="0" w:color="auto"/>
              <w:bottom w:val="single" w:sz="4" w:space="0" w:color="auto"/>
            </w:tcBorders>
            <w:tcMar>
              <w:top w:w="60" w:type="dxa"/>
              <w:left w:w="120" w:type="dxa"/>
              <w:bottom w:w="30" w:type="dxa"/>
              <w:right w:w="120" w:type="dxa"/>
            </w:tcMar>
          </w:tcPr>
          <w:p w14:paraId="29131754" w14:textId="77777777" w:rsidR="00621BC9" w:rsidRPr="00754F92" w:rsidRDefault="00000000" w:rsidP="00522685">
            <w:pPr>
              <w:spacing w:line="240" w:lineRule="auto"/>
              <w:jc w:val="both"/>
              <w:rPr>
                <w:rFonts w:cs="Times New Roman"/>
                <w:b/>
                <w:bCs/>
                <w:sz w:val="20"/>
                <w:szCs w:val="20"/>
              </w:rPr>
            </w:pPr>
            <w:r w:rsidRPr="00754F92">
              <w:rPr>
                <w:rFonts w:eastAsia="DengXian" w:cs="Times New Roman"/>
                <w:b/>
                <w:bCs/>
                <w:sz w:val="20"/>
                <w:szCs w:val="20"/>
              </w:rPr>
              <w:lastRenderedPageBreak/>
              <w:t>Dimension</w:t>
            </w:r>
          </w:p>
        </w:tc>
        <w:tc>
          <w:tcPr>
            <w:tcW w:w="1596" w:type="pct"/>
            <w:tcBorders>
              <w:top w:val="single" w:sz="4" w:space="0" w:color="auto"/>
              <w:bottom w:val="single" w:sz="4" w:space="0" w:color="auto"/>
            </w:tcBorders>
            <w:tcMar>
              <w:top w:w="60" w:type="dxa"/>
              <w:left w:w="120" w:type="dxa"/>
              <w:bottom w:w="30" w:type="dxa"/>
              <w:right w:w="120" w:type="dxa"/>
            </w:tcMar>
          </w:tcPr>
          <w:p w14:paraId="5C72ACB5" w14:textId="77777777" w:rsidR="00621BC9" w:rsidRPr="00754F92" w:rsidRDefault="00000000" w:rsidP="00522685">
            <w:pPr>
              <w:spacing w:line="240" w:lineRule="auto"/>
              <w:jc w:val="both"/>
              <w:rPr>
                <w:rFonts w:cs="Times New Roman"/>
                <w:b/>
                <w:bCs/>
                <w:sz w:val="20"/>
                <w:szCs w:val="20"/>
              </w:rPr>
            </w:pPr>
            <w:r w:rsidRPr="00754F92">
              <w:rPr>
                <w:rFonts w:eastAsia="DengXian" w:cs="Times New Roman"/>
                <w:b/>
                <w:bCs/>
                <w:sz w:val="20"/>
                <w:szCs w:val="20"/>
              </w:rPr>
              <w:t>Traditional Statistical Inclusion Methods</w:t>
            </w:r>
          </w:p>
        </w:tc>
        <w:tc>
          <w:tcPr>
            <w:tcW w:w="2655" w:type="pct"/>
            <w:tcBorders>
              <w:top w:val="single" w:sz="4" w:space="0" w:color="auto"/>
              <w:bottom w:val="single" w:sz="4" w:space="0" w:color="auto"/>
            </w:tcBorders>
            <w:tcMar>
              <w:top w:w="60" w:type="dxa"/>
              <w:left w:w="120" w:type="dxa"/>
              <w:bottom w:w="30" w:type="dxa"/>
              <w:right w:w="120" w:type="dxa"/>
            </w:tcMar>
          </w:tcPr>
          <w:p w14:paraId="365888A0" w14:textId="77777777" w:rsidR="00621BC9" w:rsidRPr="00754F92" w:rsidRDefault="00000000" w:rsidP="00522685">
            <w:pPr>
              <w:spacing w:line="240" w:lineRule="auto"/>
              <w:jc w:val="both"/>
              <w:rPr>
                <w:rFonts w:cs="Times New Roman"/>
                <w:b/>
                <w:bCs/>
                <w:sz w:val="20"/>
                <w:szCs w:val="20"/>
              </w:rPr>
            </w:pPr>
            <w:r w:rsidRPr="00754F92">
              <w:rPr>
                <w:rFonts w:eastAsia="DengXian" w:cs="Times New Roman"/>
                <w:b/>
                <w:bCs/>
                <w:sz w:val="20"/>
                <w:szCs w:val="20"/>
              </w:rPr>
              <w:t>Innovative Statistical Inclusion Methods</w:t>
            </w:r>
          </w:p>
        </w:tc>
      </w:tr>
      <w:tr w:rsidR="00621BC9" w:rsidRPr="00754F92" w14:paraId="6CAC1EB8" w14:textId="77777777" w:rsidTr="00754F92">
        <w:trPr>
          <w:tblHeader/>
          <w:jc w:val="center"/>
        </w:trPr>
        <w:tc>
          <w:tcPr>
            <w:tcW w:w="748" w:type="pct"/>
            <w:tcBorders>
              <w:top w:val="single" w:sz="4" w:space="0" w:color="auto"/>
            </w:tcBorders>
            <w:tcMar>
              <w:top w:w="60" w:type="dxa"/>
              <w:left w:w="120" w:type="dxa"/>
              <w:bottom w:w="30" w:type="dxa"/>
              <w:right w:w="120" w:type="dxa"/>
            </w:tcMar>
          </w:tcPr>
          <w:p w14:paraId="6E5F2972"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Data Sources</w:t>
            </w:r>
          </w:p>
        </w:tc>
        <w:tc>
          <w:tcPr>
            <w:tcW w:w="1596" w:type="pct"/>
            <w:tcBorders>
              <w:top w:val="single" w:sz="4" w:space="0" w:color="auto"/>
            </w:tcBorders>
            <w:tcMar>
              <w:top w:w="60" w:type="dxa"/>
              <w:left w:w="120" w:type="dxa"/>
              <w:bottom w:w="30" w:type="dxa"/>
              <w:right w:w="120" w:type="dxa"/>
            </w:tcMar>
          </w:tcPr>
          <w:p w14:paraId="53C5DB25"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Enterprise financial statements, offline sample surveys, regular censuses</w:t>
            </w:r>
          </w:p>
        </w:tc>
        <w:tc>
          <w:tcPr>
            <w:tcW w:w="2655" w:type="pct"/>
            <w:tcBorders>
              <w:top w:val="single" w:sz="4" w:space="0" w:color="auto"/>
            </w:tcBorders>
            <w:tcMar>
              <w:top w:w="60" w:type="dxa"/>
              <w:left w:w="120" w:type="dxa"/>
              <w:bottom w:w="30" w:type="dxa"/>
              <w:right w:w="120" w:type="dxa"/>
            </w:tcMar>
          </w:tcPr>
          <w:p w14:paraId="68750776"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Real-time full-volume big data from digital platforms, automated algorithm-based capture of transaction flows</w:t>
            </w:r>
          </w:p>
        </w:tc>
      </w:tr>
      <w:tr w:rsidR="00621BC9" w:rsidRPr="00754F92" w14:paraId="1A804D9A" w14:textId="77777777" w:rsidTr="00754F92">
        <w:trPr>
          <w:tblHeader/>
          <w:jc w:val="center"/>
        </w:trPr>
        <w:tc>
          <w:tcPr>
            <w:tcW w:w="748" w:type="pct"/>
            <w:tcMar>
              <w:top w:w="60" w:type="dxa"/>
              <w:left w:w="120" w:type="dxa"/>
              <w:bottom w:w="30" w:type="dxa"/>
              <w:right w:w="120" w:type="dxa"/>
            </w:tcMar>
          </w:tcPr>
          <w:p w14:paraId="2223656B"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Statistical Units</w:t>
            </w:r>
          </w:p>
        </w:tc>
        <w:tc>
          <w:tcPr>
            <w:tcW w:w="1596" w:type="pct"/>
            <w:tcMar>
              <w:top w:w="60" w:type="dxa"/>
              <w:left w:w="120" w:type="dxa"/>
              <w:bottom w:w="30" w:type="dxa"/>
              <w:right w:w="120" w:type="dxa"/>
            </w:tcMar>
          </w:tcPr>
          <w:p w14:paraId="42F674FD"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Centered on legal person enterprises and above-scale business entities</w:t>
            </w:r>
          </w:p>
        </w:tc>
        <w:tc>
          <w:tcPr>
            <w:tcW w:w="2655" w:type="pct"/>
            <w:tcMar>
              <w:top w:w="60" w:type="dxa"/>
              <w:left w:w="120" w:type="dxa"/>
              <w:bottom w:w="30" w:type="dxa"/>
              <w:right w:w="120" w:type="dxa"/>
            </w:tcMar>
          </w:tcPr>
          <w:p w14:paraId="03F2F3D1"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Parallel statistics of multiple entities, including platforms, small and medium-sized sellers, individual users, and flexible practitioners</w:t>
            </w:r>
          </w:p>
        </w:tc>
      </w:tr>
      <w:tr w:rsidR="00621BC9" w:rsidRPr="00754F92" w14:paraId="343D95B1" w14:textId="77777777" w:rsidTr="00754F92">
        <w:trPr>
          <w:tblHeader/>
          <w:jc w:val="center"/>
        </w:trPr>
        <w:tc>
          <w:tcPr>
            <w:tcW w:w="748" w:type="pct"/>
            <w:tcMar>
              <w:top w:w="60" w:type="dxa"/>
              <w:left w:w="120" w:type="dxa"/>
              <w:bottom w:w="30" w:type="dxa"/>
              <w:right w:w="120" w:type="dxa"/>
            </w:tcMar>
          </w:tcPr>
          <w:p w14:paraId="472DDB05"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Value Measurement</w:t>
            </w:r>
          </w:p>
        </w:tc>
        <w:tc>
          <w:tcPr>
            <w:tcW w:w="1596" w:type="pct"/>
            <w:tcMar>
              <w:top w:w="60" w:type="dxa"/>
              <w:left w:w="120" w:type="dxa"/>
              <w:bottom w:w="30" w:type="dxa"/>
              <w:right w:w="120" w:type="dxa"/>
            </w:tcMar>
          </w:tcPr>
          <w:p w14:paraId="453832FF"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Only counts offline transaction value of physical products and physical revenue</w:t>
            </w:r>
          </w:p>
        </w:tc>
        <w:tc>
          <w:tcPr>
            <w:tcW w:w="2655" w:type="pct"/>
            <w:tcMar>
              <w:top w:w="60" w:type="dxa"/>
              <w:left w:w="120" w:type="dxa"/>
              <w:bottom w:w="30" w:type="dxa"/>
              <w:right w:w="120" w:type="dxa"/>
            </w:tcMar>
          </w:tcPr>
          <w:p w14:paraId="180934DC"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Comprehensively covers diversified values such as commodity transactions, intermediary services, data services, advertising, and digital value-added services</w:t>
            </w:r>
          </w:p>
        </w:tc>
      </w:tr>
      <w:tr w:rsidR="00621BC9" w:rsidRPr="00754F92" w14:paraId="67CF15F7" w14:textId="77777777" w:rsidTr="00754F92">
        <w:trPr>
          <w:tblHeader/>
          <w:jc w:val="center"/>
        </w:trPr>
        <w:tc>
          <w:tcPr>
            <w:tcW w:w="748" w:type="pct"/>
            <w:tcMar>
              <w:top w:w="60" w:type="dxa"/>
              <w:left w:w="120" w:type="dxa"/>
              <w:bottom w:w="30" w:type="dxa"/>
              <w:right w:w="120" w:type="dxa"/>
            </w:tcMar>
          </w:tcPr>
          <w:p w14:paraId="39A482DD"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Update Frequency</w:t>
            </w:r>
          </w:p>
        </w:tc>
        <w:tc>
          <w:tcPr>
            <w:tcW w:w="1596" w:type="pct"/>
            <w:tcMar>
              <w:top w:w="60" w:type="dxa"/>
              <w:left w:w="120" w:type="dxa"/>
              <w:bottom w:w="30" w:type="dxa"/>
              <w:right w:w="120" w:type="dxa"/>
            </w:tcMar>
          </w:tcPr>
          <w:p w14:paraId="773D30C6"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Periodic reporting on a quarterly and annual basis with significant time lag in data</w:t>
            </w:r>
          </w:p>
        </w:tc>
        <w:tc>
          <w:tcPr>
            <w:tcW w:w="2655" w:type="pct"/>
            <w:tcMar>
              <w:top w:w="60" w:type="dxa"/>
              <w:left w:w="120" w:type="dxa"/>
              <w:bottom w:w="30" w:type="dxa"/>
              <w:right w:w="120" w:type="dxa"/>
            </w:tcMar>
          </w:tcPr>
          <w:p w14:paraId="018509A1"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Supports real-time/near-real-time dynamic updates and enables high-frequency dynamic monitoring</w:t>
            </w:r>
          </w:p>
        </w:tc>
      </w:tr>
      <w:tr w:rsidR="00621BC9" w:rsidRPr="00754F92" w14:paraId="54C6B3F0" w14:textId="77777777" w:rsidTr="00754F92">
        <w:trPr>
          <w:tblHeader/>
          <w:jc w:val="center"/>
        </w:trPr>
        <w:tc>
          <w:tcPr>
            <w:tcW w:w="748" w:type="pct"/>
            <w:tcMar>
              <w:top w:w="60" w:type="dxa"/>
              <w:left w:w="120" w:type="dxa"/>
              <w:bottom w:w="30" w:type="dxa"/>
              <w:right w:w="120" w:type="dxa"/>
            </w:tcMar>
          </w:tcPr>
          <w:p w14:paraId="0E8A9294"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Coverage Scope</w:t>
            </w:r>
          </w:p>
        </w:tc>
        <w:tc>
          <w:tcPr>
            <w:tcW w:w="1596" w:type="pct"/>
            <w:tcMar>
              <w:top w:w="60" w:type="dxa"/>
              <w:left w:w="120" w:type="dxa"/>
              <w:bottom w:w="30" w:type="dxa"/>
              <w:right w:w="120" w:type="dxa"/>
            </w:tcMar>
          </w:tcPr>
          <w:p w14:paraId="752601A4"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Dominated by offline real economy with large coverage gaps in online new business forms</w:t>
            </w:r>
          </w:p>
        </w:tc>
        <w:tc>
          <w:tcPr>
            <w:tcW w:w="2655" w:type="pct"/>
            <w:tcMar>
              <w:top w:w="60" w:type="dxa"/>
              <w:left w:w="120" w:type="dxa"/>
              <w:bottom w:w="30" w:type="dxa"/>
              <w:right w:w="120" w:type="dxa"/>
            </w:tcMar>
          </w:tcPr>
          <w:p w14:paraId="4E19F487" w14:textId="77777777" w:rsidR="00621BC9" w:rsidRPr="00754F92" w:rsidRDefault="00000000" w:rsidP="00522685">
            <w:pPr>
              <w:spacing w:line="240" w:lineRule="auto"/>
              <w:jc w:val="both"/>
              <w:rPr>
                <w:rFonts w:cs="Times New Roman"/>
                <w:sz w:val="20"/>
                <w:szCs w:val="20"/>
              </w:rPr>
            </w:pPr>
            <w:r w:rsidRPr="00754F92">
              <w:rPr>
                <w:rFonts w:eastAsia="DengXian" w:cs="Times New Roman"/>
                <w:sz w:val="20"/>
                <w:szCs w:val="20"/>
              </w:rPr>
              <w:t>Integrated online-offline accounting with full coverage of various new business forms in the digital economy</w:t>
            </w:r>
          </w:p>
        </w:tc>
      </w:tr>
    </w:tbl>
    <w:p w14:paraId="12CC977D" w14:textId="77777777" w:rsidR="007C7A96" w:rsidRDefault="007C7A96" w:rsidP="00522685">
      <w:pPr>
        <w:spacing w:line="240" w:lineRule="auto"/>
        <w:jc w:val="both"/>
        <w:rPr>
          <w:rFonts w:cs="Times New Roman"/>
          <w:color w:val="231F20"/>
          <w:sz w:val="24"/>
          <w:lang w:eastAsia="zh-CN" w:bidi="zh-CN"/>
        </w:rPr>
      </w:pPr>
    </w:p>
    <w:p w14:paraId="65F1D04F" w14:textId="7B015F53"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From the perspective of data sources, platform-based enterprises themselves have accumulated massive transaction data and user behavior data, which provide unprecedented raw materials for statistical inclusion</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[11]</w:t>
      </w:r>
      <w:r w:rsidRPr="00754F92">
        <w:rPr>
          <w:rFonts w:cs="Times New Roman"/>
          <w:color w:val="231F20"/>
          <w:sz w:val="24"/>
          <w:lang w:eastAsia="zh-CN" w:bidi="zh-CN"/>
        </w:rPr>
        <w:t>. By establishing data sharing mechanisms with platform operators, statistical authorities can break through the limitations of traditional report filling and achieve more comprehensive and timely coverage of platform economic activities. The platform economy has prominent network effects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the increase in the number of users on one side will drive the growth of users on the other side. This dynamic expansion feature requires statistical inclusion calibers to flexibly adapt to the rapid changes in platform scale.</w:t>
      </w:r>
    </w:p>
    <w:p w14:paraId="08D1438A" w14:textId="77777777"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In terms of the definition of statistical units, the multi-entity structure of the platform economy breaks the traditional statistical logic centered on a single legal person enterprise. Platform operators, merchants on platforms, content producers, and even ordinary users may play non-negligible roles in the value creation chain. Therefore, innovative statistical inclusion methods need to build a multi-level statistical unit system, which can not only identify the overall economic contribution of the platform, but also penetrate to specific participating entities, so as to avoid the dual errors of simultaneous double counting and omission. For interactive media platforms represented by bullet-screen video platforms, which have highly concentrated the market of video content fields that young people are interested in, their diversified monetization paths such as advertising revenue, membership subscriptions, and content distribution all need clear classification and attribution in the statistical inclusion framework.</w:t>
      </w:r>
    </w:p>
    <w:p w14:paraId="192CCCD0" w14:textId="7EB2DBE6" w:rsidR="007C7A96"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The value measurement dimension is also in urgent need of innovation. The revenue sources of the platform economy are not limited to the price spreads of commodity trading, but also cover various forms such as advertising placement, data services, and software and hardware leasing</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[12]</w:t>
      </w:r>
      <w:r w:rsidRPr="00754F92">
        <w:rPr>
          <w:rFonts w:cs="Times New Roman"/>
          <w:color w:val="231F20"/>
          <w:sz w:val="24"/>
          <w:lang w:eastAsia="zh-CN" w:bidi="zh-CN"/>
        </w:rPr>
        <w:t>. The current System of National Accounts has obvious gaps in the accounting of the above-mentioned non-physical and indirect revenue. Future innovation in statistical inclusion methods should, on the basis of fully drawing on international statistical standards and combining the local characteristics of China</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s platform economy, gradually establish comprehensive accounting models covering new value forms </w:t>
      </w:r>
      <w:r w:rsidRPr="00754F92">
        <w:rPr>
          <w:rFonts w:cs="Times New Roman"/>
          <w:color w:val="231F20"/>
          <w:sz w:val="24"/>
          <w:lang w:eastAsia="zh-CN" w:bidi="zh-CN"/>
        </w:rPr>
        <w:lastRenderedPageBreak/>
        <w:t>such as the value of data factors and network externality spillovers, so as to truly reflect the substantial contribution of the platform economy to the development of the regional economy and even the overall national economy.</w:t>
      </w:r>
    </w:p>
    <w:p w14:paraId="66842A5E" w14:textId="77777777" w:rsidR="007C7A96" w:rsidRDefault="007C7A96" w:rsidP="00522685">
      <w:pPr>
        <w:spacing w:line="240" w:lineRule="auto"/>
        <w:jc w:val="both"/>
        <w:rPr>
          <w:rFonts w:cs="Times New Roman"/>
          <w:color w:val="231F20"/>
          <w:sz w:val="24"/>
          <w:lang w:eastAsia="zh-CN" w:bidi="zh-CN"/>
        </w:rPr>
      </w:pPr>
    </w:p>
    <w:p w14:paraId="2765FFCE" w14:textId="3C3BCD05" w:rsidR="007C7A96" w:rsidRPr="00754F92" w:rsidRDefault="007C7A96" w:rsidP="00522685">
      <w:pPr>
        <w:spacing w:line="240" w:lineRule="auto"/>
        <w:jc w:val="both"/>
        <w:rPr>
          <w:rFonts w:cs="Times New Roman"/>
          <w:b/>
          <w:bCs/>
          <w:color w:val="231F20"/>
          <w:sz w:val="24"/>
          <w:lang w:eastAsia="zh-CN" w:bidi="zh-CN"/>
        </w:rPr>
      </w:pPr>
      <w:r w:rsidRPr="00754F92">
        <w:rPr>
          <w:rFonts w:cs="Times New Roman"/>
          <w:b/>
          <w:bCs/>
          <w:color w:val="231F20"/>
          <w:sz w:val="24"/>
          <w:lang w:eastAsia="zh-CN" w:bidi="zh-CN"/>
        </w:rPr>
        <w:t xml:space="preserve">6. Conclusions and </w:t>
      </w:r>
      <w:r w:rsidRPr="007C7A96">
        <w:rPr>
          <w:rFonts w:cs="Times New Roman"/>
          <w:b/>
          <w:bCs/>
          <w:color w:val="231F20"/>
          <w:sz w:val="24"/>
          <w:lang w:eastAsia="zh-CN" w:bidi="zh-CN"/>
        </w:rPr>
        <w:t>future research directions</w:t>
      </w:r>
    </w:p>
    <w:p w14:paraId="2A59D668" w14:textId="2EAB045C" w:rsidR="00621BC9" w:rsidRPr="00754F92" w:rsidRDefault="00000000" w:rsidP="00522685">
      <w:pPr>
        <w:spacing w:line="240" w:lineRule="auto"/>
        <w:jc w:val="both"/>
        <w:rPr>
          <w:rFonts w:cs="Times New Roman"/>
          <w:color w:val="231F20"/>
          <w:sz w:val="24"/>
          <w:lang w:eastAsia="zh-CN" w:bidi="zh-CN"/>
        </w:rPr>
      </w:pPr>
      <w:r w:rsidRPr="00754F92">
        <w:rPr>
          <w:rFonts w:cs="Times New Roman"/>
          <w:color w:val="231F20"/>
          <w:sz w:val="24"/>
          <w:lang w:eastAsia="zh-CN" w:bidi="zh-CN"/>
        </w:rPr>
        <w:t>As a core component of new economic forms, the statistical accounting of the platform economy has become a key topic in the development of the national economic accounting system. This paper conducts a systematic study on statistical inclusion methods for the platform economy, sorts out the conceptual boundaries and development status of the platform economy, analyzes the theoretical dilemmas and practical challenges faced by statistical inclusion work, and on this basis, proposes innovative paths for statistical inclusion methods adapted to the characteristics of new economic forms. The platform economy has become an important economic model for enhancing China</w:t>
      </w:r>
      <w:r w:rsidR="00522685" w:rsidRPr="00754F92">
        <w:rPr>
          <w:rFonts w:cs="Times New Roman"/>
          <w:color w:val="231F20"/>
          <w:sz w:val="24"/>
          <w:lang w:eastAsia="zh-CN" w:bidi="zh-CN"/>
        </w:rPr>
        <w:t>’</w:t>
      </w:r>
      <w:r w:rsidRPr="00754F92">
        <w:rPr>
          <w:rFonts w:cs="Times New Roman"/>
          <w:color w:val="231F20"/>
          <w:sz w:val="24"/>
          <w:lang w:eastAsia="zh-CN" w:bidi="zh-CN"/>
        </w:rPr>
        <w:t>s competitiveness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it developed rapidly especially during the COVID-19 pandemic, strongly supporting the quick recovery of the national economy</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[13]</w:t>
      </w:r>
      <w:r w:rsidRPr="00754F92">
        <w:rPr>
          <w:rFonts w:cs="Times New Roman"/>
          <w:color w:val="231F20"/>
          <w:sz w:val="24"/>
          <w:lang w:eastAsia="zh-CN" w:bidi="zh-CN"/>
        </w:rPr>
        <w:t>. Accurately measuring its scale is not only a necessary prerequisite for understanding the current economic structure, but also provides data support for promoting high-quality development.</w:t>
      </w:r>
    </w:p>
    <w:p w14:paraId="53832C1F" w14:textId="0B6E50F2" w:rsidR="00621BC9"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Several core conclusions can be drawn from existing studies and the analysis in this paper. At present, the statistical measurement of the platform economy mainly follows two approaches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first, constructing a multi-dimensional indicator system to synthesize the platform economy index</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second, measuring the scale of value-added of the platform economy based on the production approach. The two methods have their respective focuses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the former is suitable for macro trend judgment, while the latter is more consistent with the institutional framework of national economic accounting. Meanwhile, as the statistical caliber and measurement methods for the digital economy have not yet been unified in China, the measurement results of different institutions vary greatly with insufficient comparability, making it difficult to truly reflect the actual scale of the platform economy. This phenomenon indicates that promoting statistical standardization and methodological coordination is an urgent task for current statistical inclusion work</w:t>
      </w:r>
      <w:r w:rsidR="007C7A96">
        <w:rPr>
          <w:rFonts w:cs="Times New Roman"/>
          <w:color w:val="231F20"/>
          <w:sz w:val="24"/>
          <w:lang w:eastAsia="zh-CN" w:bidi="zh-CN"/>
        </w:rPr>
        <w:t xml:space="preserve"> (</w:t>
      </w:r>
      <w:r w:rsidR="007C7A96" w:rsidRPr="00754F92">
        <w:rPr>
          <w:rFonts w:cs="Times New Roman"/>
          <w:b/>
          <w:bCs/>
          <w:color w:val="231F20"/>
          <w:sz w:val="24"/>
          <w:lang w:eastAsia="zh-CN" w:bidi="zh-CN"/>
        </w:rPr>
        <w:t>Table 3</w:t>
      </w:r>
      <w:r w:rsidR="007C7A96">
        <w:rPr>
          <w:rFonts w:cs="Times New Roman"/>
          <w:color w:val="231F20"/>
          <w:sz w:val="24"/>
          <w:lang w:eastAsia="zh-CN" w:bidi="zh-CN"/>
        </w:rPr>
        <w:t>)</w:t>
      </w:r>
      <w:r w:rsidRPr="00754F92">
        <w:rPr>
          <w:rFonts w:cs="Times New Roman"/>
          <w:color w:val="231F20"/>
          <w:sz w:val="24"/>
          <w:lang w:eastAsia="zh-CN" w:bidi="zh-CN"/>
        </w:rPr>
        <w:t>.</w:t>
      </w:r>
    </w:p>
    <w:p w14:paraId="74721607" w14:textId="77777777" w:rsidR="007C7A96" w:rsidRPr="00754F92" w:rsidRDefault="007C7A96" w:rsidP="00522685">
      <w:pPr>
        <w:spacing w:line="240" w:lineRule="auto"/>
        <w:jc w:val="both"/>
        <w:rPr>
          <w:rFonts w:cs="Times New Roman"/>
          <w:color w:val="231F20"/>
          <w:sz w:val="24"/>
          <w:lang w:eastAsia="zh-CN" w:bidi="zh-CN"/>
        </w:rPr>
      </w:pPr>
    </w:p>
    <w:p w14:paraId="6A408105" w14:textId="145F36F0" w:rsidR="00621BC9" w:rsidRDefault="00000000" w:rsidP="00522685">
      <w:pPr>
        <w:spacing w:line="240" w:lineRule="auto"/>
        <w:jc w:val="both"/>
        <w:rPr>
          <w:rFonts w:cs="Times New Roman"/>
          <w:color w:val="231F20"/>
          <w:sz w:val="24"/>
          <w:lang w:eastAsia="zh-CN" w:bidi="zh-CN"/>
        </w:rPr>
      </w:pPr>
      <w:r w:rsidRPr="00754F92">
        <w:rPr>
          <w:rFonts w:cs="Times New Roman"/>
          <w:b/>
          <w:bCs/>
          <w:color w:val="231F20"/>
          <w:sz w:val="24"/>
          <w:lang w:eastAsia="zh-CN" w:bidi="zh-CN"/>
        </w:rPr>
        <w:t>Table</w:t>
      </w:r>
      <w:r w:rsidR="007C7A96" w:rsidRPr="00754F92">
        <w:rPr>
          <w:rFonts w:cs="Times New Roman"/>
          <w:b/>
          <w:bCs/>
          <w:color w:val="231F20"/>
          <w:sz w:val="24"/>
          <w:lang w:eastAsia="zh-CN" w:bidi="zh-CN"/>
        </w:rPr>
        <w:t xml:space="preserve"> </w:t>
      </w:r>
      <w:r w:rsidRPr="00754F92">
        <w:rPr>
          <w:rFonts w:cs="Times New Roman"/>
          <w:b/>
          <w:bCs/>
          <w:color w:val="231F20"/>
          <w:sz w:val="24"/>
          <w:lang w:eastAsia="zh-CN" w:bidi="zh-CN"/>
        </w:rPr>
        <w:t>3</w:t>
      </w:r>
      <w:r w:rsidRPr="00C9672E">
        <w:rPr>
          <w:rFonts w:cs="Times New Roman"/>
          <w:color w:val="231F20"/>
          <w:sz w:val="24"/>
          <w:lang w:eastAsia="zh-CN" w:bidi="zh-CN"/>
        </w:rPr>
        <w:t>.</w:t>
      </w:r>
      <w:r w:rsidR="007C7A96">
        <w:rPr>
          <w:rFonts w:cs="Times New Roman"/>
          <w:color w:val="231F20"/>
          <w:sz w:val="24"/>
          <w:lang w:eastAsia="zh-CN" w:bidi="zh-CN"/>
        </w:rPr>
        <w:t xml:space="preserve"> </w:t>
      </w:r>
      <w:r w:rsidRPr="00754F92">
        <w:rPr>
          <w:rFonts w:cs="Times New Roman"/>
          <w:color w:val="231F20"/>
          <w:sz w:val="24"/>
          <w:lang w:eastAsia="zh-CN" w:bidi="zh-CN"/>
        </w:rPr>
        <w:t xml:space="preserve">Summary </w:t>
      </w:r>
      <w:r w:rsidR="007C7A96" w:rsidRPr="007C7A96">
        <w:rPr>
          <w:rFonts w:cs="Times New Roman"/>
          <w:color w:val="231F20"/>
          <w:sz w:val="24"/>
          <w:lang w:eastAsia="zh-CN" w:bidi="zh-CN"/>
        </w:rPr>
        <w:t>of research progress and existing deficiencies in digital economy statistical measurement</w:t>
      </w:r>
    </w:p>
    <w:p w14:paraId="742DBCFD" w14:textId="77777777" w:rsidR="007C7A96" w:rsidRPr="00754F92" w:rsidRDefault="007C7A96" w:rsidP="00522685">
      <w:pPr>
        <w:spacing w:line="240" w:lineRule="auto"/>
        <w:jc w:val="both"/>
        <w:rPr>
          <w:rFonts w:cs="Times New Roman"/>
          <w:color w:val="231F20"/>
          <w:sz w:val="24"/>
          <w:lang w:eastAsia="zh-CN" w:bidi="zh-CN"/>
        </w:rPr>
      </w:pPr>
    </w:p>
    <w:tbl>
      <w:tblPr>
        <w:tblW w:w="4999" w:type="pct"/>
        <w:jc w:val="center"/>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951"/>
        <w:gridCol w:w="4087"/>
        <w:gridCol w:w="3700"/>
      </w:tblGrid>
      <w:tr w:rsidR="00621BC9" w:rsidRPr="00754F92" w14:paraId="3C62BB13" w14:textId="77777777" w:rsidTr="00651049">
        <w:trPr>
          <w:jc w:val="center"/>
        </w:trPr>
        <w:tc>
          <w:tcPr>
            <w:tcW w:w="1001" w:type="pct"/>
            <w:tcBorders>
              <w:top w:val="single" w:sz="4" w:space="0" w:color="auto"/>
              <w:bottom w:val="single" w:sz="4" w:space="0" w:color="auto"/>
            </w:tcBorders>
            <w:tcMar>
              <w:top w:w="60" w:type="dxa"/>
              <w:left w:w="120" w:type="dxa"/>
              <w:bottom w:w="30" w:type="dxa"/>
              <w:right w:w="120" w:type="dxa"/>
            </w:tcMar>
            <w:vAlign w:val="center"/>
          </w:tcPr>
          <w:p w14:paraId="47A27BE6"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Research Dimension</w:t>
            </w:r>
          </w:p>
        </w:tc>
        <w:tc>
          <w:tcPr>
            <w:tcW w:w="2098" w:type="pct"/>
            <w:tcBorders>
              <w:top w:val="single" w:sz="4" w:space="0" w:color="auto"/>
              <w:bottom w:val="single" w:sz="4" w:space="0" w:color="auto"/>
            </w:tcBorders>
            <w:tcMar>
              <w:top w:w="60" w:type="dxa"/>
              <w:left w:w="120" w:type="dxa"/>
              <w:bottom w:w="30" w:type="dxa"/>
              <w:right w:w="120" w:type="dxa"/>
            </w:tcMar>
            <w:vAlign w:val="center"/>
          </w:tcPr>
          <w:p w14:paraId="3F7813A7"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Existing Progress</w:t>
            </w:r>
          </w:p>
        </w:tc>
        <w:tc>
          <w:tcPr>
            <w:tcW w:w="1900" w:type="pct"/>
            <w:tcBorders>
              <w:top w:val="single" w:sz="4" w:space="0" w:color="auto"/>
              <w:bottom w:val="single" w:sz="4" w:space="0" w:color="auto"/>
            </w:tcBorders>
            <w:tcMar>
              <w:top w:w="60" w:type="dxa"/>
              <w:left w:w="120" w:type="dxa"/>
              <w:bottom w:w="30" w:type="dxa"/>
              <w:right w:w="120" w:type="dxa"/>
            </w:tcMar>
            <w:vAlign w:val="center"/>
          </w:tcPr>
          <w:p w14:paraId="7C96B320" w14:textId="77777777" w:rsidR="00621BC9" w:rsidRPr="00754F92" w:rsidRDefault="00000000" w:rsidP="00522685">
            <w:pPr>
              <w:spacing w:line="240" w:lineRule="auto"/>
              <w:jc w:val="both"/>
              <w:rPr>
                <w:rFonts w:eastAsia="DengXian" w:cs="Times New Roman"/>
                <w:b/>
                <w:bCs/>
                <w:sz w:val="20"/>
                <w:szCs w:val="20"/>
              </w:rPr>
            </w:pPr>
            <w:r w:rsidRPr="00754F92">
              <w:rPr>
                <w:rFonts w:eastAsia="DengXian" w:cs="Times New Roman"/>
                <w:b/>
                <w:bCs/>
                <w:sz w:val="20"/>
                <w:szCs w:val="20"/>
              </w:rPr>
              <w:t>Main Deficiencies</w:t>
            </w:r>
          </w:p>
        </w:tc>
      </w:tr>
      <w:tr w:rsidR="00621BC9" w:rsidRPr="00754F92" w14:paraId="25C3AA36" w14:textId="77777777" w:rsidTr="00651049">
        <w:trPr>
          <w:jc w:val="center"/>
        </w:trPr>
        <w:tc>
          <w:tcPr>
            <w:tcW w:w="1001" w:type="pct"/>
            <w:tcBorders>
              <w:top w:val="single" w:sz="4" w:space="0" w:color="auto"/>
            </w:tcBorders>
            <w:tcMar>
              <w:top w:w="60" w:type="dxa"/>
              <w:left w:w="120" w:type="dxa"/>
              <w:bottom w:w="30" w:type="dxa"/>
              <w:right w:w="120" w:type="dxa"/>
            </w:tcMar>
            <w:vAlign w:val="center"/>
          </w:tcPr>
          <w:p w14:paraId="32AFA9D6"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Statistical Measurement Methods</w:t>
            </w:r>
          </w:p>
        </w:tc>
        <w:tc>
          <w:tcPr>
            <w:tcW w:w="2098" w:type="pct"/>
            <w:tcBorders>
              <w:top w:val="single" w:sz="4" w:space="0" w:color="auto"/>
            </w:tcBorders>
            <w:tcMar>
              <w:top w:w="60" w:type="dxa"/>
              <w:left w:w="120" w:type="dxa"/>
              <w:bottom w:w="30" w:type="dxa"/>
              <w:right w:w="120" w:type="dxa"/>
            </w:tcMar>
            <w:vAlign w:val="center"/>
          </w:tcPr>
          <w:p w14:paraId="181339BB"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 two mainstream accounting paths, namely the indicator system method and the production approach, are applied in parallel, and some studies have constructed input-output measurement frameworks.</w:t>
            </w:r>
          </w:p>
        </w:tc>
        <w:tc>
          <w:tcPr>
            <w:tcW w:w="1900" w:type="pct"/>
            <w:tcBorders>
              <w:top w:val="single" w:sz="4" w:space="0" w:color="auto"/>
            </w:tcBorders>
            <w:tcMar>
              <w:top w:w="60" w:type="dxa"/>
              <w:left w:w="120" w:type="dxa"/>
              <w:bottom w:w="30" w:type="dxa"/>
              <w:right w:w="120" w:type="dxa"/>
            </w:tcMar>
            <w:vAlign w:val="center"/>
          </w:tcPr>
          <w:p w14:paraId="349A7D3F"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 classification standards for various measurement calibers are not unified, and the horizontal comparability of cross-regional and cross-period measurement results is relatively low.</w:t>
            </w:r>
          </w:p>
        </w:tc>
      </w:tr>
      <w:tr w:rsidR="00621BC9" w:rsidRPr="00754F92" w14:paraId="2CDF07C3" w14:textId="77777777" w:rsidTr="00651049">
        <w:trPr>
          <w:jc w:val="center"/>
        </w:trPr>
        <w:tc>
          <w:tcPr>
            <w:tcW w:w="1001" w:type="pct"/>
            <w:tcMar>
              <w:top w:w="60" w:type="dxa"/>
              <w:left w:w="120" w:type="dxa"/>
              <w:bottom w:w="30" w:type="dxa"/>
              <w:right w:w="120" w:type="dxa"/>
            </w:tcMar>
            <w:vAlign w:val="center"/>
          </w:tcPr>
          <w:p w14:paraId="5E65A8AA"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Data Sources</w:t>
            </w:r>
          </w:p>
        </w:tc>
        <w:tc>
          <w:tcPr>
            <w:tcW w:w="2098" w:type="pct"/>
            <w:tcMar>
              <w:top w:w="60" w:type="dxa"/>
              <w:left w:w="120" w:type="dxa"/>
              <w:bottom w:w="30" w:type="dxa"/>
              <w:right w:w="120" w:type="dxa"/>
            </w:tcMar>
            <w:vAlign w:val="center"/>
          </w:tcPr>
          <w:p w14:paraId="7D0473CC"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Mainly relying on traditional survey channels such as enterprise censuses, questionnaires for above-scale enterprises, and household sample surveys.</w:t>
            </w:r>
          </w:p>
        </w:tc>
        <w:tc>
          <w:tcPr>
            <w:tcW w:w="1900" w:type="pct"/>
            <w:tcMar>
              <w:top w:w="60" w:type="dxa"/>
              <w:left w:w="120" w:type="dxa"/>
              <w:bottom w:w="30" w:type="dxa"/>
              <w:right w:w="120" w:type="dxa"/>
            </w:tcMar>
            <w:vAlign w:val="center"/>
          </w:tcPr>
          <w:p w14:paraId="2EDB447C"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Manual survey data has poor timeliness and high errors, and the data granularity of micro segmented industries is insufficient.</w:t>
            </w:r>
          </w:p>
        </w:tc>
      </w:tr>
      <w:tr w:rsidR="00621BC9" w:rsidRPr="00754F92" w14:paraId="3FF8AA73" w14:textId="77777777" w:rsidTr="00651049">
        <w:trPr>
          <w:jc w:val="center"/>
        </w:trPr>
        <w:tc>
          <w:tcPr>
            <w:tcW w:w="1001" w:type="pct"/>
            <w:tcMar>
              <w:top w:w="60" w:type="dxa"/>
              <w:left w:w="120" w:type="dxa"/>
              <w:bottom w:w="30" w:type="dxa"/>
              <w:right w:w="120" w:type="dxa"/>
            </w:tcMar>
            <w:vAlign w:val="center"/>
          </w:tcPr>
          <w:p w14:paraId="03399EF5"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lastRenderedPageBreak/>
              <w:t>International Experience Reference</w:t>
            </w:r>
          </w:p>
        </w:tc>
        <w:tc>
          <w:tcPr>
            <w:tcW w:w="2098" w:type="pct"/>
            <w:tcMar>
              <w:top w:w="60" w:type="dxa"/>
              <w:left w:w="120" w:type="dxa"/>
              <w:bottom w:w="30" w:type="dxa"/>
              <w:right w:w="120" w:type="dxa"/>
            </w:tcMar>
            <w:vAlign w:val="center"/>
          </w:tcPr>
          <w:p w14:paraId="5493CBAF"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Economies such as Canada and the European Union have established mature standardized accounting systems for digital economy satellite accounts.</w:t>
            </w:r>
          </w:p>
        </w:tc>
        <w:tc>
          <w:tcPr>
            <w:tcW w:w="1900" w:type="pct"/>
            <w:tcMar>
              <w:top w:w="60" w:type="dxa"/>
              <w:left w:w="120" w:type="dxa"/>
              <w:bottom w:w="30" w:type="dxa"/>
              <w:right w:w="120" w:type="dxa"/>
            </w:tcMar>
            <w:vAlign w:val="center"/>
          </w:tcPr>
          <w:p w14:paraId="44F9D8A2"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 construction of domestic digital economy satellite accounts is still in its initial stage, and the theoretical and practical systems are not yet mature.</w:t>
            </w:r>
          </w:p>
        </w:tc>
      </w:tr>
      <w:tr w:rsidR="00621BC9" w:rsidRPr="00754F92" w14:paraId="093F90A8" w14:textId="77777777" w:rsidTr="00651049">
        <w:trPr>
          <w:jc w:val="center"/>
        </w:trPr>
        <w:tc>
          <w:tcPr>
            <w:tcW w:w="1001" w:type="pct"/>
            <w:tcMar>
              <w:top w:w="60" w:type="dxa"/>
              <w:left w:w="120" w:type="dxa"/>
              <w:bottom w:w="30" w:type="dxa"/>
              <w:right w:w="120" w:type="dxa"/>
            </w:tcMar>
            <w:vAlign w:val="center"/>
          </w:tcPr>
          <w:p w14:paraId="41AFD153"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Prediction Models</w:t>
            </w:r>
          </w:p>
        </w:tc>
        <w:tc>
          <w:tcPr>
            <w:tcW w:w="2098" w:type="pct"/>
            <w:tcMar>
              <w:top w:w="60" w:type="dxa"/>
              <w:left w:w="120" w:type="dxa"/>
              <w:bottom w:w="30" w:type="dxa"/>
              <w:right w:w="120" w:type="dxa"/>
            </w:tcMar>
            <w:vAlign w:val="center"/>
          </w:tcPr>
          <w:p w14:paraId="10FE24F0"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Time series models such as ARIMA have been applied to carry out preliminary empirical research on digital economy scale prediction.</w:t>
            </w:r>
          </w:p>
        </w:tc>
        <w:tc>
          <w:tcPr>
            <w:tcW w:w="1900" w:type="pct"/>
            <w:tcMar>
              <w:top w:w="60" w:type="dxa"/>
              <w:left w:w="120" w:type="dxa"/>
              <w:bottom w:w="30" w:type="dxa"/>
              <w:right w:w="120" w:type="dxa"/>
            </w:tcMar>
            <w:vAlign w:val="center"/>
          </w:tcPr>
          <w:p w14:paraId="00DBBF1E" w14:textId="77777777" w:rsidR="00621BC9" w:rsidRPr="00754F92" w:rsidRDefault="00000000" w:rsidP="00522685">
            <w:pPr>
              <w:spacing w:line="240" w:lineRule="auto"/>
              <w:jc w:val="both"/>
              <w:rPr>
                <w:rFonts w:eastAsia="DengXian" w:cs="Times New Roman"/>
                <w:sz w:val="20"/>
                <w:szCs w:val="20"/>
              </w:rPr>
            </w:pPr>
            <w:r w:rsidRPr="00754F92">
              <w:rPr>
                <w:rFonts w:eastAsia="DengXian" w:cs="Times New Roman"/>
                <w:sz w:val="20"/>
                <w:szCs w:val="20"/>
              </w:rPr>
              <w:t>There is a lack of long-period continuous sample data, and the stability and accuracy of model prediction need to be improved.</w:t>
            </w:r>
          </w:p>
        </w:tc>
      </w:tr>
    </w:tbl>
    <w:p w14:paraId="35FAB1B4" w14:textId="77777777" w:rsidR="007C7A96" w:rsidRDefault="007C7A96" w:rsidP="00522685">
      <w:pPr>
        <w:spacing w:line="240" w:lineRule="auto"/>
        <w:jc w:val="both"/>
        <w:rPr>
          <w:rFonts w:cs="Times New Roman"/>
          <w:color w:val="231F20"/>
          <w:sz w:val="24"/>
          <w:lang w:eastAsia="zh-CN" w:bidi="zh-CN"/>
        </w:rPr>
      </w:pPr>
    </w:p>
    <w:p w14:paraId="669D3DB2" w14:textId="046BC895"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Looking ahead, there is broad room for expansion in research on statistical inclusion of the platform economy. Some foreign countries are establishing satellite accounts that cover the platform economy. China should closely follow the latest international research trends in platform economy accounting, and incorporate advanced statistical classifications, methods and data sources into the domestic accounting system. In terms of data acquisition, special platform surveys should be strengthened, the design of enterprise surveys and household surveys should be optimized, and emerging means such as big data mining and web crawling should be fully utilized to continuously enrich the data foundation required for accounting. The introduction of million-level high-granularity data, such as big data on urban online recruitment, helps to address the inherent shortcomings of traditional macro indicators, including limited data volume and large statistical errors.</w:t>
      </w:r>
    </w:p>
    <w:p w14:paraId="3954B1A4" w14:textId="22240538" w:rsidR="00621BC9" w:rsidRPr="00754F92" w:rsidRDefault="00000000" w:rsidP="00754F92">
      <w:pPr>
        <w:spacing w:line="240" w:lineRule="auto"/>
        <w:ind w:firstLineChars="200" w:firstLine="480"/>
        <w:jc w:val="both"/>
        <w:rPr>
          <w:rFonts w:cs="Times New Roman"/>
          <w:color w:val="231F20"/>
          <w:sz w:val="24"/>
          <w:lang w:eastAsia="zh-CN" w:bidi="zh-CN"/>
        </w:rPr>
      </w:pPr>
      <w:r w:rsidRPr="00754F92">
        <w:rPr>
          <w:rFonts w:cs="Times New Roman"/>
          <w:color w:val="231F20"/>
          <w:sz w:val="24"/>
          <w:lang w:eastAsia="zh-CN" w:bidi="zh-CN"/>
        </w:rPr>
        <w:t>Follow-up research can be further deepened in the following directions</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expanding the sample size and time span of platform economy accounting, and adopting more diverse models to improve the accuracy of scale prediction</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exploring the transmission mechanism of the platform economy in fields such as the real economy and coordinated regional development in depth, so as to provide more refined empirical evidence for policy formulation</w:t>
      </w:r>
      <w:r w:rsidR="007C7A96">
        <w:rPr>
          <w:rFonts w:cs="Times New Roman"/>
          <w:color w:val="231F20"/>
          <w:sz w:val="24"/>
          <w:lang w:eastAsia="zh-CN" w:bidi="zh-CN"/>
        </w:rPr>
        <w:t xml:space="preserve"> </w:t>
      </w:r>
      <w:r w:rsidR="007C7A96" w:rsidRPr="00754F92">
        <w:rPr>
          <w:rFonts w:cs="Times New Roman"/>
          <w:color w:val="231F20"/>
          <w:sz w:val="24"/>
          <w:vertAlign w:val="superscript"/>
          <w:lang w:eastAsia="zh-CN" w:bidi="zh-CN"/>
        </w:rPr>
        <w:t>[14]</w:t>
      </w:r>
      <w:r w:rsidR="00522685" w:rsidRPr="00754F92">
        <w:rPr>
          <w:rFonts w:cs="Times New Roman"/>
          <w:color w:val="231F20"/>
          <w:sz w:val="24"/>
          <w:lang w:eastAsia="zh-CN" w:bidi="zh-CN"/>
        </w:rPr>
        <w:t>;</w:t>
      </w:r>
      <w:r w:rsidRPr="00754F92">
        <w:rPr>
          <w:rFonts w:cs="Times New Roman"/>
          <w:color w:val="231F20"/>
          <w:sz w:val="24"/>
          <w:lang w:eastAsia="zh-CN" w:bidi="zh-CN"/>
        </w:rPr>
        <w:t xml:space="preserve"> promoting the institutionalization and standardization of statistical accounting for the platform economy, and forming a replicable and scalable accounting standard system. The continuous improvement of statistical inclusion work for the platform economy will ultimately provide solid methodological support for China to grasp the development laws of new economic forms and optimize the national economic accounting system.</w:t>
      </w:r>
    </w:p>
    <w:p w14:paraId="687E56F0" w14:textId="77777777" w:rsidR="00B5629E" w:rsidRPr="00754F92" w:rsidRDefault="00B5629E" w:rsidP="00522685">
      <w:pPr>
        <w:spacing w:line="240" w:lineRule="auto"/>
        <w:jc w:val="both"/>
        <w:rPr>
          <w:rFonts w:cs="Times New Roman"/>
          <w:color w:val="231F20"/>
          <w:sz w:val="24"/>
          <w:lang w:eastAsia="zh-CN" w:bidi="zh-CN"/>
        </w:rPr>
      </w:pPr>
    </w:p>
    <w:p w14:paraId="5B55EBED" w14:textId="77777777" w:rsidR="00B5629E" w:rsidRPr="00754F92" w:rsidRDefault="00B5629E" w:rsidP="00B5629E">
      <w:pPr>
        <w:spacing w:line="240" w:lineRule="auto"/>
        <w:jc w:val="both"/>
        <w:rPr>
          <w:rFonts w:cs="Times New Roman"/>
          <w:b/>
          <w:bCs/>
          <w:color w:val="231F20"/>
          <w:sz w:val="24"/>
          <w:lang w:eastAsia="zh-CN" w:bidi="zh-CN"/>
        </w:rPr>
      </w:pPr>
      <w:r w:rsidRPr="00754F92">
        <w:rPr>
          <w:rFonts w:cs="Times New Roman"/>
          <w:b/>
          <w:bCs/>
          <w:color w:val="231F20"/>
          <w:sz w:val="24"/>
          <w:lang w:eastAsia="zh-CN" w:bidi="zh-CN"/>
        </w:rPr>
        <w:t>Disclosure statement</w:t>
      </w:r>
    </w:p>
    <w:p w14:paraId="3274088C" w14:textId="0C4C1CA2" w:rsidR="00B5629E" w:rsidRPr="00754F92" w:rsidRDefault="00B5629E" w:rsidP="00B5629E">
      <w:pPr>
        <w:spacing w:line="240" w:lineRule="auto"/>
        <w:jc w:val="both"/>
        <w:rPr>
          <w:rFonts w:cs="Times New Roman"/>
          <w:color w:val="231F20"/>
          <w:sz w:val="24"/>
          <w:lang w:eastAsia="zh-CN" w:bidi="zh-CN"/>
        </w:rPr>
      </w:pPr>
      <w:r w:rsidRPr="00754F92">
        <w:rPr>
          <w:rFonts w:cs="Times New Roman"/>
          <w:color w:val="231F20"/>
          <w:sz w:val="24"/>
          <w:lang w:eastAsia="zh-CN" w:bidi="zh-CN"/>
        </w:rPr>
        <w:t>The author</w:t>
      </w:r>
      <w:r w:rsidR="00651049">
        <w:rPr>
          <w:rFonts w:cs="Times New Roman"/>
          <w:color w:val="231F20"/>
          <w:sz w:val="24"/>
          <w:lang w:eastAsia="zh-CN" w:bidi="zh-CN"/>
        </w:rPr>
        <w:t>s</w:t>
      </w:r>
      <w:r w:rsidRPr="00754F92">
        <w:rPr>
          <w:rFonts w:cs="Times New Roman"/>
          <w:color w:val="231F20"/>
          <w:sz w:val="24"/>
          <w:lang w:eastAsia="zh-CN" w:bidi="zh-CN"/>
        </w:rPr>
        <w:t xml:space="preserve"> declare no conflict of interest.</w:t>
      </w:r>
    </w:p>
    <w:p w14:paraId="3995A224" w14:textId="77777777" w:rsidR="00B5629E" w:rsidRPr="00754F92" w:rsidRDefault="00B5629E" w:rsidP="00522685">
      <w:pPr>
        <w:spacing w:line="240" w:lineRule="auto"/>
        <w:jc w:val="both"/>
        <w:rPr>
          <w:rFonts w:cs="Times New Roman"/>
          <w:color w:val="231F20"/>
          <w:sz w:val="24"/>
          <w:lang w:eastAsia="zh-CN" w:bidi="zh-CN"/>
        </w:rPr>
      </w:pPr>
    </w:p>
    <w:p w14:paraId="012FA5D1" w14:textId="77777777" w:rsidR="00621BC9" w:rsidRPr="00754F92" w:rsidRDefault="00000000" w:rsidP="00522685">
      <w:pPr>
        <w:spacing w:line="240" w:lineRule="auto"/>
        <w:jc w:val="both"/>
        <w:rPr>
          <w:rFonts w:cs="Times New Roman"/>
          <w:b/>
          <w:color w:val="231F20"/>
          <w:spacing w:val="-6"/>
          <w:sz w:val="24"/>
          <w:lang w:eastAsia="zh-CN" w:bidi="zh-CN"/>
        </w:rPr>
      </w:pPr>
      <w:r w:rsidRPr="00754F92">
        <w:rPr>
          <w:rFonts w:cs="Times New Roman"/>
          <w:b/>
          <w:color w:val="231F20"/>
          <w:spacing w:val="-6"/>
          <w:sz w:val="24"/>
          <w:lang w:eastAsia="zh-CN" w:bidi="zh-CN"/>
        </w:rPr>
        <w:t>References</w:t>
      </w:r>
    </w:p>
    <w:p w14:paraId="6AF479A5" w14:textId="04549BBB" w:rsidR="008B50BE" w:rsidRPr="008B50BE" w:rsidRDefault="008B50BE" w:rsidP="008B50BE">
      <w:pPr>
        <w:spacing w:line="240" w:lineRule="auto"/>
        <w:jc w:val="both"/>
        <w:rPr>
          <w:rFonts w:cs="Times New Roman"/>
          <w:color w:val="231F20"/>
          <w:sz w:val="24"/>
        </w:rPr>
      </w:pPr>
      <w:r w:rsidRPr="008B50BE">
        <w:rPr>
          <w:rFonts w:cs="Times New Roman"/>
          <w:color w:val="231F20"/>
          <w:sz w:val="24"/>
        </w:rPr>
        <w:t>[1]</w:t>
      </w:r>
      <w:r>
        <w:rPr>
          <w:rFonts w:cs="Times New Roman"/>
          <w:color w:val="231F20"/>
          <w:sz w:val="24"/>
        </w:rPr>
        <w:t xml:space="preserve"> </w:t>
      </w:r>
      <w:r w:rsidRPr="008B50BE">
        <w:rPr>
          <w:rFonts w:cs="Times New Roman"/>
          <w:color w:val="231F20"/>
          <w:sz w:val="24"/>
        </w:rPr>
        <w:t>Tan X</w:t>
      </w:r>
      <w:r>
        <w:rPr>
          <w:rFonts w:cs="Times New Roman"/>
          <w:color w:val="231F20"/>
          <w:sz w:val="24"/>
        </w:rPr>
        <w:t>Y</w:t>
      </w:r>
      <w:r w:rsidRPr="008B50BE">
        <w:rPr>
          <w:rFonts w:cs="Times New Roman"/>
          <w:color w:val="231F20"/>
          <w:sz w:val="24"/>
        </w:rPr>
        <w:t>, Xu Y, Ge Y</w:t>
      </w:r>
      <w:r>
        <w:rPr>
          <w:rFonts w:cs="Times New Roman"/>
          <w:color w:val="231F20"/>
          <w:sz w:val="24"/>
        </w:rPr>
        <w:t>Q</w:t>
      </w:r>
      <w:r w:rsidRPr="008B50BE">
        <w:rPr>
          <w:rFonts w:cs="Times New Roman"/>
          <w:color w:val="231F20"/>
          <w:sz w:val="24"/>
        </w:rPr>
        <w:t xml:space="preserve">, </w:t>
      </w:r>
      <w:r>
        <w:rPr>
          <w:rFonts w:cs="Times New Roman"/>
          <w:color w:val="231F20"/>
          <w:sz w:val="24"/>
        </w:rPr>
        <w:t>et al., 2024,</w:t>
      </w:r>
      <w:r w:rsidRPr="008B50BE">
        <w:rPr>
          <w:rFonts w:cs="Times New Roman"/>
          <w:color w:val="231F20"/>
          <w:sz w:val="24"/>
        </w:rPr>
        <w:t xml:space="preserve"> Research on Market Behavior and Business Strategy of Interactive Media Companies: A Case Study of Enterprise A on a Bullet-Chat Video Website. Enterprise Reform and Management, 2024(1): 48</w:t>
      </w:r>
      <w:r>
        <w:rPr>
          <w:rFonts w:cs="Times New Roman"/>
          <w:color w:val="231F20"/>
          <w:sz w:val="24"/>
        </w:rPr>
        <w:t>–</w:t>
      </w:r>
      <w:r w:rsidRPr="008B50BE">
        <w:rPr>
          <w:rFonts w:cs="Times New Roman"/>
          <w:color w:val="231F20"/>
          <w:sz w:val="24"/>
        </w:rPr>
        <w:t>51.</w:t>
      </w:r>
    </w:p>
    <w:p w14:paraId="3FEB8EDA" w14:textId="64CE9789" w:rsidR="008B50BE" w:rsidRPr="008B50BE" w:rsidRDefault="008B50BE" w:rsidP="008B50BE">
      <w:pPr>
        <w:spacing w:line="240" w:lineRule="auto"/>
        <w:jc w:val="both"/>
        <w:rPr>
          <w:rFonts w:cs="Times New Roman"/>
          <w:color w:val="231F20"/>
          <w:sz w:val="24"/>
        </w:rPr>
      </w:pPr>
      <w:r w:rsidRPr="008B50BE">
        <w:rPr>
          <w:rFonts w:cs="Times New Roman"/>
          <w:color w:val="231F20"/>
          <w:sz w:val="24"/>
        </w:rPr>
        <w:t>[2]</w:t>
      </w:r>
      <w:r>
        <w:rPr>
          <w:rFonts w:cs="Times New Roman"/>
          <w:color w:val="231F20"/>
          <w:sz w:val="24"/>
        </w:rPr>
        <w:t xml:space="preserve"> </w:t>
      </w:r>
      <w:r w:rsidRPr="008B50BE">
        <w:rPr>
          <w:rFonts w:cs="Times New Roman"/>
          <w:color w:val="231F20"/>
          <w:sz w:val="24"/>
        </w:rPr>
        <w:t>Zhang Y</w:t>
      </w:r>
      <w:r>
        <w:rPr>
          <w:rFonts w:cs="Times New Roman"/>
          <w:color w:val="231F20"/>
          <w:sz w:val="24"/>
        </w:rPr>
        <w:t>M</w:t>
      </w:r>
      <w:r w:rsidRPr="008B50BE">
        <w:rPr>
          <w:rFonts w:cs="Times New Roman"/>
          <w:color w:val="231F20"/>
          <w:sz w:val="24"/>
        </w:rPr>
        <w:t>, Sun R</w:t>
      </w:r>
      <w:r>
        <w:rPr>
          <w:rFonts w:cs="Times New Roman"/>
          <w:color w:val="231F20"/>
          <w:sz w:val="24"/>
        </w:rPr>
        <w:t>M, 2024,</w:t>
      </w:r>
      <w:r w:rsidRPr="008B50BE">
        <w:rPr>
          <w:rFonts w:cs="Times New Roman"/>
          <w:color w:val="231F20"/>
          <w:sz w:val="24"/>
        </w:rPr>
        <w:t xml:space="preserve"> Research on the Motivation and Impact of Platform Enterprises Choosing Dual-Class Share Structure: A Case Study of Meituan. Communication of Finance and Accounting, 2024(10): 94</w:t>
      </w:r>
      <w:r>
        <w:rPr>
          <w:rFonts w:cs="Times New Roman"/>
          <w:color w:val="231F20"/>
          <w:sz w:val="24"/>
        </w:rPr>
        <w:t>–</w:t>
      </w:r>
      <w:r w:rsidRPr="008B50BE">
        <w:rPr>
          <w:rFonts w:cs="Times New Roman"/>
          <w:color w:val="231F20"/>
          <w:sz w:val="24"/>
        </w:rPr>
        <w:t>103.</w:t>
      </w:r>
    </w:p>
    <w:p w14:paraId="60AF7021" w14:textId="13F21375" w:rsidR="008B50BE" w:rsidRDefault="008B50BE" w:rsidP="008B50BE">
      <w:pPr>
        <w:spacing w:line="240" w:lineRule="auto"/>
        <w:jc w:val="both"/>
        <w:rPr>
          <w:rFonts w:cs="Times New Roman"/>
          <w:color w:val="231F20"/>
          <w:sz w:val="24"/>
        </w:rPr>
      </w:pPr>
      <w:r w:rsidRPr="008B50BE">
        <w:rPr>
          <w:rFonts w:cs="Times New Roman"/>
          <w:color w:val="231F20"/>
          <w:sz w:val="24"/>
        </w:rPr>
        <w:t>[3]</w:t>
      </w:r>
      <w:r>
        <w:rPr>
          <w:rFonts w:cs="Times New Roman"/>
          <w:color w:val="231F20"/>
          <w:sz w:val="24"/>
        </w:rPr>
        <w:t xml:space="preserve"> </w:t>
      </w:r>
      <w:r w:rsidRPr="008B50BE">
        <w:rPr>
          <w:rFonts w:cs="Times New Roman"/>
          <w:color w:val="231F20"/>
          <w:sz w:val="24"/>
        </w:rPr>
        <w:t>Zhang L</w:t>
      </w:r>
      <w:r w:rsidR="001028C6">
        <w:rPr>
          <w:rFonts w:cs="Times New Roman"/>
          <w:color w:val="231F20"/>
          <w:sz w:val="24"/>
        </w:rPr>
        <w:t>Y, 2024,</w:t>
      </w:r>
      <w:r w:rsidRPr="008B50BE">
        <w:rPr>
          <w:rFonts w:cs="Times New Roman"/>
          <w:color w:val="231F20"/>
          <w:sz w:val="24"/>
        </w:rPr>
        <w:t xml:space="preserve"> Research on the Development of Human Resource Service Enterprises Under the Platform Economy. Market Weekly, 37(17): 171</w:t>
      </w:r>
      <w:r w:rsidR="001028C6">
        <w:rPr>
          <w:rFonts w:cs="Times New Roman"/>
          <w:color w:val="231F20"/>
          <w:sz w:val="24"/>
        </w:rPr>
        <w:t>–</w:t>
      </w:r>
      <w:r w:rsidRPr="008B50BE">
        <w:rPr>
          <w:rFonts w:cs="Times New Roman"/>
          <w:color w:val="231F20"/>
          <w:sz w:val="24"/>
        </w:rPr>
        <w:t>174.</w:t>
      </w:r>
      <w:r>
        <w:rPr>
          <w:rFonts w:cs="Times New Roman"/>
          <w:color w:val="231F20"/>
          <w:sz w:val="24"/>
        </w:rPr>
        <w:t xml:space="preserve"> </w:t>
      </w:r>
    </w:p>
    <w:p w14:paraId="433E1B0D" w14:textId="2DDBE169" w:rsidR="008B50BE" w:rsidRPr="008B50BE" w:rsidRDefault="008B50BE" w:rsidP="008B50BE">
      <w:pPr>
        <w:spacing w:line="240" w:lineRule="auto"/>
        <w:jc w:val="both"/>
        <w:rPr>
          <w:rFonts w:cs="Times New Roman"/>
          <w:color w:val="231F20"/>
          <w:sz w:val="24"/>
        </w:rPr>
      </w:pPr>
      <w:r w:rsidRPr="008B50BE">
        <w:rPr>
          <w:rFonts w:cs="Times New Roman"/>
          <w:color w:val="231F20"/>
          <w:sz w:val="24"/>
        </w:rPr>
        <w:t>[4]</w:t>
      </w:r>
      <w:r>
        <w:rPr>
          <w:rFonts w:cs="Times New Roman"/>
          <w:color w:val="231F20"/>
          <w:sz w:val="24"/>
        </w:rPr>
        <w:t xml:space="preserve"> </w:t>
      </w:r>
      <w:r w:rsidRPr="008B50BE">
        <w:rPr>
          <w:rFonts w:cs="Times New Roman"/>
          <w:color w:val="231F20"/>
          <w:sz w:val="24"/>
        </w:rPr>
        <w:t>Li J</w:t>
      </w:r>
      <w:r w:rsidR="001028C6">
        <w:rPr>
          <w:rFonts w:cs="Times New Roman"/>
          <w:color w:val="231F20"/>
          <w:sz w:val="24"/>
        </w:rPr>
        <w:t>C</w:t>
      </w:r>
      <w:r w:rsidRPr="008B50BE">
        <w:rPr>
          <w:rFonts w:cs="Times New Roman"/>
          <w:color w:val="231F20"/>
          <w:sz w:val="24"/>
        </w:rPr>
        <w:t>, Zhang T, Huang S</w:t>
      </w:r>
      <w:r w:rsidR="001028C6">
        <w:rPr>
          <w:rFonts w:cs="Times New Roman"/>
          <w:color w:val="231F20"/>
          <w:sz w:val="24"/>
        </w:rPr>
        <w:t>, 2024,</w:t>
      </w:r>
      <w:r w:rsidRPr="008B50BE">
        <w:rPr>
          <w:rFonts w:cs="Times New Roman"/>
          <w:color w:val="231F20"/>
          <w:sz w:val="24"/>
        </w:rPr>
        <w:t xml:space="preserve"> Research on the Impact of Platform Economy on Coordinated Regional Development: A Quantitative Analysis Based on Big Data of Urban Online Recruitment. Urban Problems, 2024(5): 50</w:t>
      </w:r>
      <w:r w:rsidR="001028C6">
        <w:rPr>
          <w:rFonts w:cs="Times New Roman"/>
          <w:color w:val="231F20"/>
          <w:sz w:val="24"/>
        </w:rPr>
        <w:t>–</w:t>
      </w:r>
      <w:r w:rsidRPr="008B50BE">
        <w:rPr>
          <w:rFonts w:cs="Times New Roman"/>
          <w:color w:val="231F20"/>
          <w:sz w:val="24"/>
        </w:rPr>
        <w:t>61.</w:t>
      </w:r>
    </w:p>
    <w:p w14:paraId="03659EB0" w14:textId="5325B523" w:rsidR="008B50BE" w:rsidRPr="008B50BE" w:rsidRDefault="008B50BE" w:rsidP="008B50BE">
      <w:pPr>
        <w:spacing w:line="240" w:lineRule="auto"/>
        <w:jc w:val="both"/>
        <w:rPr>
          <w:rFonts w:cs="Times New Roman"/>
          <w:color w:val="231F20"/>
          <w:sz w:val="24"/>
        </w:rPr>
      </w:pPr>
      <w:r w:rsidRPr="008B50BE">
        <w:rPr>
          <w:rFonts w:cs="Times New Roman"/>
          <w:color w:val="231F20"/>
          <w:sz w:val="24"/>
        </w:rPr>
        <w:lastRenderedPageBreak/>
        <w:t>[5]</w:t>
      </w:r>
      <w:r>
        <w:rPr>
          <w:rFonts w:cs="Times New Roman"/>
          <w:color w:val="231F20"/>
          <w:sz w:val="24"/>
        </w:rPr>
        <w:t xml:space="preserve"> </w:t>
      </w:r>
      <w:r w:rsidRPr="008B50BE">
        <w:rPr>
          <w:rFonts w:cs="Times New Roman"/>
          <w:color w:val="231F20"/>
          <w:sz w:val="24"/>
        </w:rPr>
        <w:t>Zhang W, Bai Y</w:t>
      </w:r>
      <w:r w:rsidR="001028C6">
        <w:rPr>
          <w:rFonts w:cs="Times New Roman"/>
          <w:color w:val="231F20"/>
          <w:sz w:val="24"/>
        </w:rPr>
        <w:t>X, 2024,</w:t>
      </w:r>
      <w:r w:rsidRPr="008B50BE">
        <w:rPr>
          <w:rFonts w:cs="Times New Roman"/>
          <w:color w:val="231F20"/>
          <w:sz w:val="24"/>
        </w:rPr>
        <w:t xml:space="preserve"> A Political Economy Analysis of the Production and Circulation of Data Commodities. Contemporary Economic Research, 2024(5): 5</w:t>
      </w:r>
      <w:r w:rsidR="001028C6">
        <w:rPr>
          <w:rFonts w:cs="Times New Roman"/>
          <w:color w:val="231F20"/>
          <w:sz w:val="24"/>
        </w:rPr>
        <w:t>–</w:t>
      </w:r>
      <w:r w:rsidRPr="008B50BE">
        <w:rPr>
          <w:rFonts w:cs="Times New Roman"/>
          <w:color w:val="231F20"/>
          <w:sz w:val="24"/>
        </w:rPr>
        <w:t>16.</w:t>
      </w:r>
    </w:p>
    <w:p w14:paraId="698B96DE" w14:textId="074FCDA4" w:rsidR="008B50BE" w:rsidRPr="008B50BE" w:rsidRDefault="008B50BE" w:rsidP="008B50BE">
      <w:pPr>
        <w:spacing w:line="240" w:lineRule="auto"/>
        <w:jc w:val="both"/>
        <w:rPr>
          <w:rFonts w:cs="Times New Roman"/>
          <w:color w:val="231F20"/>
          <w:sz w:val="24"/>
        </w:rPr>
      </w:pPr>
      <w:r w:rsidRPr="008B50BE">
        <w:rPr>
          <w:rFonts w:cs="Times New Roman"/>
          <w:color w:val="231F20"/>
          <w:sz w:val="24"/>
        </w:rPr>
        <w:t>[6]</w:t>
      </w:r>
      <w:r>
        <w:rPr>
          <w:rFonts w:cs="Times New Roman"/>
          <w:color w:val="231F20"/>
          <w:sz w:val="24"/>
        </w:rPr>
        <w:t xml:space="preserve"> </w:t>
      </w:r>
      <w:r w:rsidRPr="008B50BE">
        <w:rPr>
          <w:rFonts w:cs="Times New Roman"/>
          <w:color w:val="231F20"/>
          <w:sz w:val="24"/>
        </w:rPr>
        <w:t>Zhang X</w:t>
      </w:r>
      <w:r w:rsidR="001028C6">
        <w:rPr>
          <w:rFonts w:cs="Times New Roman"/>
          <w:color w:val="231F20"/>
          <w:sz w:val="24"/>
        </w:rPr>
        <w:t>M</w:t>
      </w:r>
      <w:r w:rsidRPr="008B50BE">
        <w:rPr>
          <w:rFonts w:cs="Times New Roman"/>
          <w:color w:val="231F20"/>
          <w:sz w:val="24"/>
        </w:rPr>
        <w:t>, Guo L</w:t>
      </w:r>
      <w:r w:rsidR="001028C6">
        <w:rPr>
          <w:rFonts w:cs="Times New Roman"/>
          <w:color w:val="231F20"/>
          <w:sz w:val="24"/>
        </w:rPr>
        <w:t>H, 2024,</w:t>
      </w:r>
      <w:r w:rsidRPr="008B50BE">
        <w:rPr>
          <w:rFonts w:cs="Times New Roman"/>
          <w:color w:val="231F20"/>
          <w:sz w:val="24"/>
        </w:rPr>
        <w:t xml:space="preserve"> Research on Anti-Monopoly of Platform Economy from the Perspective of Marxist Monopoly Theory. Taste Classics, 2024(10): 21</w:t>
      </w:r>
      <w:r w:rsidR="001028C6">
        <w:rPr>
          <w:rFonts w:cs="Times New Roman"/>
          <w:color w:val="231F20"/>
          <w:sz w:val="24"/>
        </w:rPr>
        <w:t>–</w:t>
      </w:r>
      <w:r w:rsidRPr="008B50BE">
        <w:rPr>
          <w:rFonts w:cs="Times New Roman"/>
          <w:color w:val="231F20"/>
          <w:sz w:val="24"/>
        </w:rPr>
        <w:t>23</w:t>
      </w:r>
      <w:r w:rsidR="001028C6">
        <w:rPr>
          <w:rFonts w:cs="Times New Roman"/>
          <w:color w:val="231F20"/>
          <w:sz w:val="24"/>
        </w:rPr>
        <w:t xml:space="preserve"> </w:t>
      </w:r>
      <w:r w:rsidRPr="008B50BE">
        <w:rPr>
          <w:rFonts w:cs="Times New Roman"/>
          <w:color w:val="231F20"/>
          <w:sz w:val="24"/>
        </w:rPr>
        <w:t>+</w:t>
      </w:r>
      <w:r w:rsidR="001028C6">
        <w:rPr>
          <w:rFonts w:cs="Times New Roman"/>
          <w:color w:val="231F20"/>
          <w:sz w:val="24"/>
        </w:rPr>
        <w:t xml:space="preserve"> </w:t>
      </w:r>
      <w:r w:rsidRPr="008B50BE">
        <w:rPr>
          <w:rFonts w:cs="Times New Roman"/>
          <w:color w:val="231F20"/>
          <w:sz w:val="24"/>
        </w:rPr>
        <w:t>168.</w:t>
      </w:r>
    </w:p>
    <w:p w14:paraId="2B27A196" w14:textId="019629BD" w:rsidR="008B50BE" w:rsidRPr="008B50BE" w:rsidRDefault="008B50BE" w:rsidP="008B50BE">
      <w:pPr>
        <w:spacing w:line="240" w:lineRule="auto"/>
        <w:jc w:val="both"/>
        <w:rPr>
          <w:rFonts w:cs="Times New Roman"/>
          <w:color w:val="231F20"/>
          <w:sz w:val="24"/>
        </w:rPr>
      </w:pPr>
      <w:r w:rsidRPr="008B50BE">
        <w:rPr>
          <w:rFonts w:cs="Times New Roman"/>
          <w:color w:val="231F20"/>
          <w:sz w:val="24"/>
        </w:rPr>
        <w:t>[7]</w:t>
      </w:r>
      <w:r>
        <w:rPr>
          <w:rFonts w:cs="Times New Roman"/>
          <w:color w:val="231F20"/>
          <w:sz w:val="24"/>
        </w:rPr>
        <w:t xml:space="preserve"> </w:t>
      </w:r>
      <w:r w:rsidRPr="008B50BE">
        <w:rPr>
          <w:rFonts w:cs="Times New Roman"/>
          <w:color w:val="231F20"/>
          <w:sz w:val="24"/>
        </w:rPr>
        <w:t>Cai H</w:t>
      </w:r>
      <w:r w:rsidR="001028C6">
        <w:rPr>
          <w:rFonts w:cs="Times New Roman"/>
          <w:color w:val="231F20"/>
          <w:sz w:val="24"/>
        </w:rPr>
        <w:t>, 2024,</w:t>
      </w:r>
      <w:r w:rsidRPr="008B50BE">
        <w:rPr>
          <w:rFonts w:cs="Times New Roman"/>
          <w:color w:val="231F20"/>
          <w:sz w:val="24"/>
        </w:rPr>
        <w:t xml:space="preserve"> The Impact of Platform Economy on Social Structure: The “Rebirth” of the Middle Class of Small Owners and Its Influence. Social Science Journal, 2024(5): 131</w:t>
      </w:r>
      <w:r w:rsidR="001028C6">
        <w:rPr>
          <w:rFonts w:cs="Times New Roman"/>
          <w:color w:val="231F20"/>
          <w:sz w:val="24"/>
        </w:rPr>
        <w:t>–</w:t>
      </w:r>
      <w:r w:rsidRPr="008B50BE">
        <w:rPr>
          <w:rFonts w:cs="Times New Roman"/>
          <w:color w:val="231F20"/>
          <w:sz w:val="24"/>
        </w:rPr>
        <w:t>136</w:t>
      </w:r>
      <w:r w:rsidR="001028C6">
        <w:rPr>
          <w:rFonts w:cs="Times New Roman"/>
          <w:color w:val="231F20"/>
          <w:sz w:val="24"/>
        </w:rPr>
        <w:t xml:space="preserve"> </w:t>
      </w:r>
      <w:r w:rsidRPr="008B50BE">
        <w:rPr>
          <w:rFonts w:cs="Times New Roman"/>
          <w:color w:val="231F20"/>
          <w:sz w:val="24"/>
        </w:rPr>
        <w:t>+</w:t>
      </w:r>
      <w:r w:rsidR="001028C6">
        <w:rPr>
          <w:rFonts w:cs="Times New Roman"/>
          <w:color w:val="231F20"/>
          <w:sz w:val="24"/>
        </w:rPr>
        <w:t xml:space="preserve"> </w:t>
      </w:r>
      <w:r w:rsidRPr="008B50BE">
        <w:rPr>
          <w:rFonts w:cs="Times New Roman"/>
          <w:color w:val="231F20"/>
          <w:sz w:val="24"/>
        </w:rPr>
        <w:t>238</w:t>
      </w:r>
      <w:r w:rsidR="001028C6">
        <w:rPr>
          <w:rFonts w:cs="Times New Roman"/>
          <w:color w:val="231F20"/>
          <w:sz w:val="24"/>
        </w:rPr>
        <w:t xml:space="preserve"> </w:t>
      </w:r>
      <w:r w:rsidRPr="008B50BE">
        <w:rPr>
          <w:rFonts w:cs="Times New Roman"/>
          <w:color w:val="231F20"/>
          <w:sz w:val="24"/>
        </w:rPr>
        <w:t>+</w:t>
      </w:r>
      <w:r w:rsidR="001028C6">
        <w:rPr>
          <w:rFonts w:cs="Times New Roman"/>
          <w:color w:val="231F20"/>
          <w:sz w:val="24"/>
        </w:rPr>
        <w:t xml:space="preserve"> </w:t>
      </w:r>
      <w:r w:rsidRPr="008B50BE">
        <w:rPr>
          <w:rFonts w:cs="Times New Roman"/>
          <w:color w:val="231F20"/>
          <w:sz w:val="24"/>
        </w:rPr>
        <w:t>241.</w:t>
      </w:r>
    </w:p>
    <w:p w14:paraId="2A6EB04A" w14:textId="2D1742A5" w:rsidR="008B50BE" w:rsidRPr="008B50BE" w:rsidRDefault="008B50BE" w:rsidP="008B50BE">
      <w:pPr>
        <w:spacing w:line="240" w:lineRule="auto"/>
        <w:jc w:val="both"/>
        <w:rPr>
          <w:rFonts w:cs="Times New Roman"/>
          <w:color w:val="231F20"/>
          <w:sz w:val="24"/>
        </w:rPr>
      </w:pPr>
      <w:r w:rsidRPr="008B50BE">
        <w:rPr>
          <w:rFonts w:cs="Times New Roman"/>
          <w:color w:val="231F20"/>
          <w:sz w:val="24"/>
        </w:rPr>
        <w:t>[8]</w:t>
      </w:r>
      <w:r>
        <w:rPr>
          <w:rFonts w:cs="Times New Roman"/>
          <w:color w:val="231F20"/>
          <w:sz w:val="24"/>
        </w:rPr>
        <w:t xml:space="preserve"> </w:t>
      </w:r>
      <w:r w:rsidRPr="008B50BE">
        <w:rPr>
          <w:rFonts w:cs="Times New Roman"/>
          <w:color w:val="231F20"/>
          <w:sz w:val="24"/>
        </w:rPr>
        <w:t>Zhang W</w:t>
      </w:r>
      <w:r w:rsidR="001028C6">
        <w:rPr>
          <w:rFonts w:cs="Times New Roman"/>
          <w:color w:val="231F20"/>
          <w:sz w:val="24"/>
        </w:rPr>
        <w:t>Y, 2024,</w:t>
      </w:r>
      <w:r w:rsidRPr="008B50BE">
        <w:rPr>
          <w:rFonts w:cs="Times New Roman"/>
          <w:color w:val="231F20"/>
          <w:sz w:val="24"/>
        </w:rPr>
        <w:t xml:space="preserve"> Research on the Impact of Platform Economy on the Digital Transformation of Traditional Industries. Jiangsu Science and Technology Information, 41(4): 181</w:t>
      </w:r>
      <w:r w:rsidR="001028C6">
        <w:rPr>
          <w:rFonts w:cs="Times New Roman"/>
          <w:color w:val="231F20"/>
          <w:sz w:val="24"/>
        </w:rPr>
        <w:t>–</w:t>
      </w:r>
      <w:r w:rsidRPr="008B50BE">
        <w:rPr>
          <w:rFonts w:cs="Times New Roman"/>
          <w:color w:val="231F20"/>
          <w:sz w:val="24"/>
        </w:rPr>
        <w:t>121</w:t>
      </w:r>
      <w:r w:rsidR="001028C6">
        <w:rPr>
          <w:rFonts w:cs="Times New Roman"/>
          <w:color w:val="231F20"/>
          <w:sz w:val="24"/>
        </w:rPr>
        <w:t xml:space="preserve"> </w:t>
      </w:r>
      <w:r w:rsidRPr="008B50BE">
        <w:rPr>
          <w:rFonts w:cs="Times New Roman"/>
          <w:color w:val="231F20"/>
          <w:sz w:val="24"/>
        </w:rPr>
        <w:t>+</w:t>
      </w:r>
      <w:r w:rsidR="001028C6">
        <w:rPr>
          <w:rFonts w:cs="Times New Roman"/>
          <w:color w:val="231F20"/>
          <w:sz w:val="24"/>
        </w:rPr>
        <w:t xml:space="preserve"> </w:t>
      </w:r>
      <w:r w:rsidRPr="008B50BE">
        <w:rPr>
          <w:rFonts w:cs="Times New Roman"/>
          <w:color w:val="231F20"/>
          <w:sz w:val="24"/>
        </w:rPr>
        <w:t>133.</w:t>
      </w:r>
    </w:p>
    <w:p w14:paraId="736DD495" w14:textId="7455B77F" w:rsidR="008B50BE" w:rsidRPr="008B50BE" w:rsidRDefault="008B50BE" w:rsidP="008B50BE">
      <w:pPr>
        <w:spacing w:line="240" w:lineRule="auto"/>
        <w:jc w:val="both"/>
        <w:rPr>
          <w:rFonts w:cs="Times New Roman"/>
          <w:color w:val="231F20"/>
          <w:sz w:val="24"/>
        </w:rPr>
      </w:pPr>
      <w:r w:rsidRPr="008B50BE">
        <w:rPr>
          <w:rFonts w:cs="Times New Roman"/>
          <w:color w:val="231F20"/>
          <w:sz w:val="24"/>
        </w:rPr>
        <w:t>[9]</w:t>
      </w:r>
      <w:r>
        <w:rPr>
          <w:rFonts w:cs="Times New Roman"/>
          <w:color w:val="231F20"/>
          <w:sz w:val="24"/>
        </w:rPr>
        <w:t xml:space="preserve"> </w:t>
      </w:r>
      <w:r w:rsidRPr="008B50BE">
        <w:rPr>
          <w:rFonts w:cs="Times New Roman"/>
          <w:color w:val="231F20"/>
          <w:sz w:val="24"/>
        </w:rPr>
        <w:t>Liu X</w:t>
      </w:r>
      <w:r w:rsidR="001028C6">
        <w:rPr>
          <w:rFonts w:cs="Times New Roman"/>
          <w:color w:val="231F20"/>
          <w:sz w:val="24"/>
        </w:rPr>
        <w:t>Y, 2024,</w:t>
      </w:r>
      <w:r w:rsidRPr="008B50BE">
        <w:rPr>
          <w:rFonts w:cs="Times New Roman"/>
          <w:color w:val="231F20"/>
          <w:sz w:val="24"/>
        </w:rPr>
        <w:t xml:space="preserve"> Research on the Formation Mechanism of Employment Vulnerability of Gig Workers Under the Background of Platform Economy. Journal of Urban Studies, 45(3): 25</w:t>
      </w:r>
      <w:r w:rsidR="00666C16">
        <w:rPr>
          <w:rFonts w:cs="Times New Roman"/>
          <w:color w:val="231F20"/>
          <w:sz w:val="24"/>
        </w:rPr>
        <w:t>–</w:t>
      </w:r>
      <w:r w:rsidRPr="008B50BE">
        <w:rPr>
          <w:rFonts w:cs="Times New Roman"/>
          <w:color w:val="231F20"/>
          <w:sz w:val="24"/>
        </w:rPr>
        <w:t>30.</w:t>
      </w:r>
    </w:p>
    <w:p w14:paraId="57813FD4" w14:textId="3B3ED906" w:rsidR="008B50BE" w:rsidRPr="008B50BE" w:rsidRDefault="008B50BE" w:rsidP="008B50BE">
      <w:pPr>
        <w:spacing w:line="240" w:lineRule="auto"/>
        <w:jc w:val="both"/>
        <w:rPr>
          <w:rFonts w:cs="Times New Roman"/>
          <w:color w:val="231F20"/>
          <w:sz w:val="24"/>
        </w:rPr>
      </w:pPr>
      <w:r w:rsidRPr="008B50BE">
        <w:rPr>
          <w:rFonts w:cs="Times New Roman"/>
          <w:color w:val="231F20"/>
          <w:sz w:val="24"/>
        </w:rPr>
        <w:t>[10]</w:t>
      </w:r>
      <w:r>
        <w:rPr>
          <w:rFonts w:cs="Times New Roman"/>
          <w:color w:val="231F20"/>
          <w:sz w:val="24"/>
        </w:rPr>
        <w:t xml:space="preserve"> </w:t>
      </w:r>
      <w:r w:rsidRPr="008B50BE">
        <w:rPr>
          <w:rFonts w:cs="Times New Roman"/>
          <w:color w:val="231F20"/>
          <w:sz w:val="24"/>
        </w:rPr>
        <w:t>Cheng C</w:t>
      </w:r>
      <w:r w:rsidR="00666C16">
        <w:rPr>
          <w:rFonts w:cs="Times New Roman"/>
          <w:color w:val="231F20"/>
          <w:sz w:val="24"/>
        </w:rPr>
        <w:t>H</w:t>
      </w:r>
      <w:r w:rsidRPr="008B50BE">
        <w:rPr>
          <w:rFonts w:cs="Times New Roman"/>
          <w:color w:val="231F20"/>
          <w:sz w:val="24"/>
        </w:rPr>
        <w:t>, Liu Y</w:t>
      </w:r>
      <w:r w:rsidR="00666C16">
        <w:rPr>
          <w:rFonts w:cs="Times New Roman"/>
          <w:color w:val="231F20"/>
          <w:sz w:val="24"/>
        </w:rPr>
        <w:t>C, 2024,</w:t>
      </w:r>
      <w:r w:rsidRPr="008B50BE">
        <w:rPr>
          <w:rFonts w:cs="Times New Roman"/>
          <w:color w:val="231F20"/>
          <w:sz w:val="24"/>
        </w:rPr>
        <w:t xml:space="preserve"> Platform Economy Development and Rural Entrepreneurship Activity. Studies in Science of Science, 42(10): 2138</w:t>
      </w:r>
      <w:r w:rsidR="00666C16">
        <w:rPr>
          <w:rFonts w:cs="Times New Roman"/>
          <w:color w:val="231F20"/>
          <w:sz w:val="24"/>
        </w:rPr>
        <w:t>–</w:t>
      </w:r>
      <w:r w:rsidRPr="008B50BE">
        <w:rPr>
          <w:rFonts w:cs="Times New Roman"/>
          <w:color w:val="231F20"/>
          <w:sz w:val="24"/>
        </w:rPr>
        <w:t>2149.</w:t>
      </w:r>
    </w:p>
    <w:p w14:paraId="147A90D8" w14:textId="75CC332B" w:rsidR="008B50BE" w:rsidRPr="008B50BE" w:rsidRDefault="008B50BE" w:rsidP="008B50BE">
      <w:pPr>
        <w:spacing w:line="240" w:lineRule="auto"/>
        <w:jc w:val="both"/>
        <w:rPr>
          <w:rFonts w:cs="Times New Roman"/>
          <w:color w:val="231F20"/>
          <w:sz w:val="24"/>
        </w:rPr>
      </w:pPr>
      <w:r w:rsidRPr="008B50BE">
        <w:rPr>
          <w:rFonts w:cs="Times New Roman"/>
          <w:color w:val="231F20"/>
          <w:sz w:val="24"/>
        </w:rPr>
        <w:t>[11]</w:t>
      </w:r>
      <w:r>
        <w:rPr>
          <w:rFonts w:cs="Times New Roman"/>
          <w:color w:val="231F20"/>
          <w:sz w:val="24"/>
        </w:rPr>
        <w:t xml:space="preserve"> </w:t>
      </w:r>
      <w:r w:rsidRPr="008B50BE">
        <w:rPr>
          <w:rFonts w:cs="Times New Roman"/>
          <w:color w:val="231F20"/>
          <w:sz w:val="24"/>
        </w:rPr>
        <w:t>Zhang X</w:t>
      </w:r>
      <w:r w:rsidR="00666C16">
        <w:rPr>
          <w:rFonts w:cs="Times New Roman"/>
          <w:color w:val="231F20"/>
          <w:sz w:val="24"/>
        </w:rPr>
        <w:t>N, 2024,</w:t>
      </w:r>
      <w:r w:rsidRPr="008B50BE">
        <w:rPr>
          <w:rFonts w:cs="Times New Roman"/>
          <w:color w:val="231F20"/>
          <w:sz w:val="24"/>
        </w:rPr>
        <w:t xml:space="preserve"> Research on the Financialization of Platform Economy from the Perspective of Political Economy Critique. Journal of Pu’er University, 40(1): 31</w:t>
      </w:r>
      <w:r w:rsidR="00666C16">
        <w:rPr>
          <w:rFonts w:cs="Times New Roman"/>
          <w:color w:val="231F20"/>
          <w:sz w:val="24"/>
        </w:rPr>
        <w:t>–</w:t>
      </w:r>
      <w:r w:rsidRPr="008B50BE">
        <w:rPr>
          <w:rFonts w:cs="Times New Roman"/>
          <w:color w:val="231F20"/>
          <w:sz w:val="24"/>
        </w:rPr>
        <w:t>33.</w:t>
      </w:r>
    </w:p>
    <w:p w14:paraId="3D13665E" w14:textId="6D24A83E" w:rsidR="008B50BE" w:rsidRPr="008B50BE" w:rsidRDefault="008B50BE" w:rsidP="008B50BE">
      <w:pPr>
        <w:spacing w:line="240" w:lineRule="auto"/>
        <w:jc w:val="both"/>
        <w:rPr>
          <w:rFonts w:cs="Times New Roman"/>
          <w:color w:val="231F20"/>
          <w:sz w:val="24"/>
        </w:rPr>
      </w:pPr>
      <w:r w:rsidRPr="008B50BE">
        <w:rPr>
          <w:rFonts w:cs="Times New Roman"/>
          <w:color w:val="231F20"/>
          <w:sz w:val="24"/>
        </w:rPr>
        <w:t>[12]</w:t>
      </w:r>
      <w:r>
        <w:rPr>
          <w:rFonts w:cs="Times New Roman"/>
          <w:color w:val="231F20"/>
          <w:sz w:val="24"/>
        </w:rPr>
        <w:t xml:space="preserve"> </w:t>
      </w:r>
      <w:r w:rsidRPr="008B50BE">
        <w:rPr>
          <w:rFonts w:cs="Times New Roman"/>
          <w:color w:val="231F20"/>
          <w:sz w:val="24"/>
        </w:rPr>
        <w:t>Yan H</w:t>
      </w:r>
      <w:r w:rsidR="00666C16">
        <w:rPr>
          <w:rFonts w:cs="Times New Roman"/>
          <w:color w:val="231F20"/>
          <w:sz w:val="24"/>
        </w:rPr>
        <w:t>, 2024,</w:t>
      </w:r>
      <w:r w:rsidRPr="008B50BE">
        <w:rPr>
          <w:rFonts w:cs="Times New Roman"/>
          <w:color w:val="231F20"/>
          <w:sz w:val="24"/>
        </w:rPr>
        <w:t xml:space="preserve"> Content Ecological Characteristics and Cultural Communication Strategies of Short Video Platforms. Jiaying Literature, 2024(5): 137</w:t>
      </w:r>
      <w:r w:rsidR="00666C16">
        <w:rPr>
          <w:rFonts w:cs="Times New Roman"/>
          <w:color w:val="231F20"/>
          <w:sz w:val="24"/>
        </w:rPr>
        <w:t>–</w:t>
      </w:r>
      <w:r w:rsidRPr="008B50BE">
        <w:rPr>
          <w:rFonts w:cs="Times New Roman"/>
          <w:color w:val="231F20"/>
          <w:sz w:val="24"/>
        </w:rPr>
        <w:t>139.</w:t>
      </w:r>
    </w:p>
    <w:p w14:paraId="2C4AEAF5" w14:textId="7B22A170" w:rsidR="008B50BE" w:rsidRPr="008B50BE" w:rsidRDefault="008B50BE" w:rsidP="008B50BE">
      <w:pPr>
        <w:spacing w:line="240" w:lineRule="auto"/>
        <w:jc w:val="both"/>
        <w:rPr>
          <w:rFonts w:cs="Times New Roman"/>
          <w:color w:val="231F20"/>
          <w:sz w:val="24"/>
        </w:rPr>
      </w:pPr>
      <w:r w:rsidRPr="008B50BE">
        <w:rPr>
          <w:rFonts w:cs="Times New Roman"/>
          <w:color w:val="231F20"/>
          <w:sz w:val="24"/>
        </w:rPr>
        <w:t>[13]</w:t>
      </w:r>
      <w:r>
        <w:rPr>
          <w:rFonts w:cs="Times New Roman"/>
          <w:color w:val="231F20"/>
          <w:sz w:val="24"/>
        </w:rPr>
        <w:t xml:space="preserve"> </w:t>
      </w:r>
      <w:r w:rsidRPr="008B50BE">
        <w:rPr>
          <w:rFonts w:cs="Times New Roman"/>
          <w:color w:val="231F20"/>
          <w:sz w:val="24"/>
        </w:rPr>
        <w:t>Yan C</w:t>
      </w:r>
      <w:r w:rsidR="00666C16">
        <w:rPr>
          <w:rFonts w:cs="Times New Roman"/>
          <w:color w:val="231F20"/>
          <w:sz w:val="24"/>
        </w:rPr>
        <w:t>C</w:t>
      </w:r>
      <w:r w:rsidRPr="008B50BE">
        <w:rPr>
          <w:rFonts w:cs="Times New Roman"/>
          <w:color w:val="231F20"/>
          <w:sz w:val="24"/>
        </w:rPr>
        <w:t>, Liao J</w:t>
      </w:r>
      <w:r w:rsidR="00666C16">
        <w:rPr>
          <w:rFonts w:cs="Times New Roman"/>
          <w:color w:val="231F20"/>
          <w:sz w:val="24"/>
        </w:rPr>
        <w:t>, 2024,</w:t>
      </w:r>
      <w:r w:rsidRPr="008B50BE">
        <w:rPr>
          <w:rFonts w:cs="Times New Roman"/>
          <w:color w:val="231F20"/>
          <w:sz w:val="24"/>
        </w:rPr>
        <w:t xml:space="preserve"> Accounting and Prediction of China’s Platform Economy Scale. The World of Survey and Research, 2024(2): 3</w:t>
      </w:r>
      <w:r w:rsidR="00666C16">
        <w:rPr>
          <w:rFonts w:cs="Times New Roman"/>
          <w:color w:val="231F20"/>
          <w:sz w:val="24"/>
        </w:rPr>
        <w:t>–</w:t>
      </w:r>
      <w:r w:rsidRPr="008B50BE">
        <w:rPr>
          <w:rFonts w:cs="Times New Roman"/>
          <w:color w:val="231F20"/>
          <w:sz w:val="24"/>
        </w:rPr>
        <w:t>15.</w:t>
      </w:r>
    </w:p>
    <w:p w14:paraId="4EC99C36" w14:textId="115AA5EF" w:rsidR="00621BC9" w:rsidRDefault="008B50BE" w:rsidP="00522685">
      <w:pPr>
        <w:spacing w:line="240" w:lineRule="auto"/>
        <w:jc w:val="both"/>
        <w:rPr>
          <w:rFonts w:eastAsia="DengXian" w:cs="Times New Roman"/>
          <w:sz w:val="24"/>
        </w:rPr>
      </w:pPr>
      <w:r w:rsidRPr="008B50BE">
        <w:rPr>
          <w:rFonts w:cs="Times New Roman"/>
          <w:color w:val="231F20"/>
          <w:sz w:val="24"/>
        </w:rPr>
        <w:t>[14]</w:t>
      </w:r>
      <w:r>
        <w:rPr>
          <w:rFonts w:cs="Times New Roman"/>
          <w:color w:val="231F20"/>
          <w:sz w:val="24"/>
        </w:rPr>
        <w:t xml:space="preserve"> </w:t>
      </w:r>
      <w:r w:rsidRPr="008B50BE">
        <w:rPr>
          <w:rFonts w:cs="Times New Roman"/>
          <w:color w:val="231F20"/>
          <w:sz w:val="24"/>
        </w:rPr>
        <w:t>Feng Z, Wu Q</w:t>
      </w:r>
      <w:r w:rsidR="00666C16">
        <w:rPr>
          <w:rFonts w:cs="Times New Roman"/>
          <w:color w:val="231F20"/>
          <w:sz w:val="24"/>
        </w:rPr>
        <w:t>, 2024,</w:t>
      </w:r>
      <w:r w:rsidRPr="008B50BE">
        <w:rPr>
          <w:rFonts w:cs="Times New Roman"/>
          <w:color w:val="231F20"/>
          <w:sz w:val="24"/>
        </w:rPr>
        <w:t xml:space="preserve"> Research on Platform Economy Empowering the Development of Real Economy: Evidence from China’s Provincial Panel Data. Journal of Industrial Technological Economics,</w:t>
      </w:r>
      <w:r w:rsidR="00666C16">
        <w:rPr>
          <w:rFonts w:cs="Times New Roman"/>
          <w:color w:val="231F20"/>
          <w:sz w:val="24"/>
        </w:rPr>
        <w:t xml:space="preserve"> </w:t>
      </w:r>
      <w:r w:rsidRPr="008B50BE">
        <w:rPr>
          <w:rFonts w:cs="Times New Roman"/>
          <w:color w:val="231F20"/>
          <w:sz w:val="24"/>
        </w:rPr>
        <w:t>43(6): 103</w:t>
      </w:r>
      <w:r w:rsidR="00666C16">
        <w:rPr>
          <w:rFonts w:cs="Times New Roman"/>
          <w:color w:val="231F20"/>
          <w:sz w:val="24"/>
        </w:rPr>
        <w:t>–</w:t>
      </w:r>
      <w:r w:rsidRPr="008B50BE">
        <w:rPr>
          <w:rFonts w:cs="Times New Roman"/>
          <w:color w:val="231F20"/>
          <w:sz w:val="24"/>
        </w:rPr>
        <w:t>112.</w:t>
      </w:r>
    </w:p>
    <w:p w14:paraId="138D2D30" w14:textId="77777777" w:rsidR="008B50BE" w:rsidRPr="00C9672E" w:rsidRDefault="008B50BE" w:rsidP="00522685">
      <w:pPr>
        <w:spacing w:line="240" w:lineRule="auto"/>
        <w:jc w:val="both"/>
        <w:rPr>
          <w:rFonts w:eastAsia="DengXian" w:cs="Times New Roman"/>
          <w:sz w:val="24"/>
        </w:rPr>
      </w:pPr>
    </w:p>
    <w:p w14:paraId="3222BB34" w14:textId="77777777" w:rsidR="00B5629E" w:rsidRPr="00C9672E" w:rsidRDefault="00B5629E" w:rsidP="00B5629E">
      <w:pPr>
        <w:spacing w:line="240" w:lineRule="auto"/>
        <w:rPr>
          <w:rFonts w:cs="Times New Roman"/>
          <w:b/>
          <w:bCs/>
          <w:sz w:val="20"/>
          <w:szCs w:val="20"/>
        </w:rPr>
      </w:pPr>
      <w:r w:rsidRPr="00C9672E">
        <w:rPr>
          <w:rFonts w:cs="Times New Roman"/>
          <w:b/>
          <w:bCs/>
          <w:sz w:val="20"/>
          <w:szCs w:val="20"/>
        </w:rPr>
        <w:t>Publisher’s note</w:t>
      </w:r>
    </w:p>
    <w:p w14:paraId="277AA2A1" w14:textId="6BFD26DE" w:rsidR="00621BC9" w:rsidRPr="00B5629E" w:rsidRDefault="00B5629E" w:rsidP="00B5629E">
      <w:pPr>
        <w:spacing w:line="240" w:lineRule="auto"/>
        <w:rPr>
          <w:rFonts w:cs="Times New Roman"/>
          <w:sz w:val="20"/>
          <w:szCs w:val="20"/>
        </w:rPr>
      </w:pPr>
      <w:r w:rsidRPr="00C9672E">
        <w:rPr>
          <w:rFonts w:cs="Times New Roman"/>
          <w:sz w:val="20"/>
          <w:szCs w:val="20"/>
        </w:rPr>
        <w:t>Bio-Byword Scientific Publishing remains neutral with regard to jurisdictional claims in published maps and institutional affiliations.</w:t>
      </w:r>
    </w:p>
    <w:sectPr w:rsidR="00621BC9" w:rsidRPr="00B5629E">
      <w:pgSz w:w="11906" w:h="16838"/>
      <w:pgMar w:top="1621" w:right="1083" w:bottom="1140" w:left="108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C481" w14:textId="77777777" w:rsidR="00887CE3" w:rsidRPr="00C9672E" w:rsidRDefault="00887CE3">
      <w:pPr>
        <w:spacing w:line="240" w:lineRule="auto"/>
      </w:pPr>
    </w:p>
  </w:endnote>
  <w:endnote w:type="continuationSeparator" w:id="0">
    <w:p w14:paraId="16F798CC" w14:textId="77777777" w:rsidR="00887CE3" w:rsidRPr="00C9672E" w:rsidRDefault="00887C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541F" w14:textId="77777777" w:rsidR="00887CE3" w:rsidRPr="00C9672E" w:rsidRDefault="00887CE3"/>
  </w:footnote>
  <w:footnote w:type="continuationSeparator" w:id="0">
    <w:p w14:paraId="3B063A05" w14:textId="77777777" w:rsidR="00887CE3" w:rsidRPr="00C9672E" w:rsidRDefault="00887C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510" w:hanging="401"/>
        <w:jc w:val="left"/>
      </w:pPr>
      <w:rPr>
        <w:rFonts w:ascii="Times New Roman" w:eastAsia="Times New Roman" w:hAnsi="Times New Roman" w:cs="Times New Roman" w:hint="default"/>
        <w:color w:val="231F20"/>
        <w:spacing w:val="-1"/>
        <w:w w:val="100"/>
        <w:sz w:val="20"/>
        <w:szCs w:val="20"/>
        <w:lang w:val="zh-CN" w:eastAsia="zh-CN" w:bidi="zh-CN"/>
      </w:rPr>
    </w:lvl>
    <w:lvl w:ilvl="1">
      <w:numFmt w:val="bullet"/>
      <w:lvlText w:val="•"/>
      <w:lvlJc w:val="left"/>
      <w:pPr>
        <w:ind w:left="1476" w:hanging="401"/>
      </w:pPr>
      <w:rPr>
        <w:rFonts w:hint="default"/>
        <w:lang w:val="zh-CN" w:eastAsia="zh-CN" w:bidi="zh-CN"/>
      </w:rPr>
    </w:lvl>
    <w:lvl w:ilvl="2">
      <w:numFmt w:val="bullet"/>
      <w:lvlText w:val="•"/>
      <w:lvlJc w:val="left"/>
      <w:pPr>
        <w:ind w:left="2433" w:hanging="401"/>
      </w:pPr>
      <w:rPr>
        <w:rFonts w:hint="default"/>
        <w:lang w:val="zh-CN" w:eastAsia="zh-CN" w:bidi="zh-CN"/>
      </w:rPr>
    </w:lvl>
    <w:lvl w:ilvl="3">
      <w:numFmt w:val="bullet"/>
      <w:lvlText w:val="•"/>
      <w:lvlJc w:val="left"/>
      <w:pPr>
        <w:ind w:left="3389" w:hanging="401"/>
      </w:pPr>
      <w:rPr>
        <w:rFonts w:hint="default"/>
        <w:lang w:val="zh-CN" w:eastAsia="zh-CN" w:bidi="zh-CN"/>
      </w:rPr>
    </w:lvl>
    <w:lvl w:ilvl="4">
      <w:numFmt w:val="bullet"/>
      <w:lvlText w:val="•"/>
      <w:lvlJc w:val="left"/>
      <w:pPr>
        <w:ind w:left="4346" w:hanging="401"/>
      </w:pPr>
      <w:rPr>
        <w:rFonts w:hint="default"/>
        <w:lang w:val="zh-CN" w:eastAsia="zh-CN" w:bidi="zh-CN"/>
      </w:rPr>
    </w:lvl>
    <w:lvl w:ilvl="5">
      <w:numFmt w:val="bullet"/>
      <w:lvlText w:val="•"/>
      <w:lvlJc w:val="left"/>
      <w:pPr>
        <w:ind w:left="5302" w:hanging="401"/>
      </w:pPr>
      <w:rPr>
        <w:rFonts w:hint="default"/>
        <w:lang w:val="zh-CN" w:eastAsia="zh-CN" w:bidi="zh-CN"/>
      </w:rPr>
    </w:lvl>
    <w:lvl w:ilvl="6">
      <w:numFmt w:val="bullet"/>
      <w:lvlText w:val="•"/>
      <w:lvlJc w:val="left"/>
      <w:pPr>
        <w:ind w:left="6259" w:hanging="401"/>
      </w:pPr>
      <w:rPr>
        <w:rFonts w:hint="default"/>
        <w:lang w:val="zh-CN" w:eastAsia="zh-CN" w:bidi="zh-CN"/>
      </w:rPr>
    </w:lvl>
    <w:lvl w:ilvl="7">
      <w:numFmt w:val="bullet"/>
      <w:lvlText w:val="•"/>
      <w:lvlJc w:val="left"/>
      <w:pPr>
        <w:ind w:left="7215" w:hanging="401"/>
      </w:pPr>
      <w:rPr>
        <w:rFonts w:hint="default"/>
        <w:lang w:val="zh-CN" w:eastAsia="zh-CN" w:bidi="zh-CN"/>
      </w:rPr>
    </w:lvl>
    <w:lvl w:ilvl="8">
      <w:numFmt w:val="bullet"/>
      <w:lvlText w:val="•"/>
      <w:lvlJc w:val="left"/>
      <w:pPr>
        <w:ind w:left="8172" w:hanging="401"/>
      </w:pPr>
      <w:rPr>
        <w:rFonts w:hint="default"/>
        <w:lang w:val="zh-CN" w:eastAsia="zh-CN" w:bidi="zh-CN"/>
      </w:rPr>
    </w:lvl>
  </w:abstractNum>
  <w:abstractNum w:abstractNumId="1" w15:restartNumberingAfterBreak="0">
    <w:nsid w:val="7DCE2A19"/>
    <w:multiLevelType w:val="hybridMultilevel"/>
    <w:tmpl w:val="6F661398"/>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449930991">
    <w:abstractNumId w:val="0"/>
  </w:num>
  <w:num w:numId="2" w16cid:durableId="1026105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45377B"/>
    <w:rsid w:val="000A73C4"/>
    <w:rsid w:val="001028C6"/>
    <w:rsid w:val="00196948"/>
    <w:rsid w:val="001B6A40"/>
    <w:rsid w:val="002353C3"/>
    <w:rsid w:val="002C5E3F"/>
    <w:rsid w:val="002F156F"/>
    <w:rsid w:val="003752C8"/>
    <w:rsid w:val="00386376"/>
    <w:rsid w:val="004048AA"/>
    <w:rsid w:val="00441793"/>
    <w:rsid w:val="00522685"/>
    <w:rsid w:val="00586D4B"/>
    <w:rsid w:val="0061236D"/>
    <w:rsid w:val="00621BC9"/>
    <w:rsid w:val="00651049"/>
    <w:rsid w:val="00666C16"/>
    <w:rsid w:val="006B41D4"/>
    <w:rsid w:val="00754F92"/>
    <w:rsid w:val="00765903"/>
    <w:rsid w:val="007C7A96"/>
    <w:rsid w:val="00812250"/>
    <w:rsid w:val="008314FC"/>
    <w:rsid w:val="00844285"/>
    <w:rsid w:val="008815F0"/>
    <w:rsid w:val="0088311D"/>
    <w:rsid w:val="00887CE3"/>
    <w:rsid w:val="008B50BE"/>
    <w:rsid w:val="008F198D"/>
    <w:rsid w:val="00920FC5"/>
    <w:rsid w:val="0093159B"/>
    <w:rsid w:val="0098488C"/>
    <w:rsid w:val="009912CC"/>
    <w:rsid w:val="009C4345"/>
    <w:rsid w:val="009D3123"/>
    <w:rsid w:val="00B5629E"/>
    <w:rsid w:val="00C9672E"/>
    <w:rsid w:val="00D1586E"/>
    <w:rsid w:val="00FE31C9"/>
    <w:rsid w:val="01121891"/>
    <w:rsid w:val="015974C0"/>
    <w:rsid w:val="01722330"/>
    <w:rsid w:val="02077A8A"/>
    <w:rsid w:val="02F94AB6"/>
    <w:rsid w:val="03133B25"/>
    <w:rsid w:val="03174F3D"/>
    <w:rsid w:val="03195159"/>
    <w:rsid w:val="0333554D"/>
    <w:rsid w:val="034877EC"/>
    <w:rsid w:val="035E2B6B"/>
    <w:rsid w:val="035E581E"/>
    <w:rsid w:val="036D7252"/>
    <w:rsid w:val="03AA7B5F"/>
    <w:rsid w:val="03F31506"/>
    <w:rsid w:val="043A35D9"/>
    <w:rsid w:val="04912BD1"/>
    <w:rsid w:val="049A5E25"/>
    <w:rsid w:val="04BC5D9C"/>
    <w:rsid w:val="04D94B9F"/>
    <w:rsid w:val="05121E5F"/>
    <w:rsid w:val="052249EA"/>
    <w:rsid w:val="05A607FA"/>
    <w:rsid w:val="05D45367"/>
    <w:rsid w:val="05FE23E4"/>
    <w:rsid w:val="06224B83"/>
    <w:rsid w:val="06344057"/>
    <w:rsid w:val="068943A3"/>
    <w:rsid w:val="06AC1E40"/>
    <w:rsid w:val="074B3407"/>
    <w:rsid w:val="0822060B"/>
    <w:rsid w:val="08964B56"/>
    <w:rsid w:val="08D35DAA"/>
    <w:rsid w:val="09150170"/>
    <w:rsid w:val="095C5D9F"/>
    <w:rsid w:val="09FD227D"/>
    <w:rsid w:val="0A005C1C"/>
    <w:rsid w:val="0A1B7A08"/>
    <w:rsid w:val="0A23066B"/>
    <w:rsid w:val="0AF3628F"/>
    <w:rsid w:val="0B025788"/>
    <w:rsid w:val="0B440899"/>
    <w:rsid w:val="0B466B4E"/>
    <w:rsid w:val="0C45377B"/>
    <w:rsid w:val="0CB34C61"/>
    <w:rsid w:val="0CBC5489"/>
    <w:rsid w:val="0CF32576"/>
    <w:rsid w:val="0D335069"/>
    <w:rsid w:val="0D352B8F"/>
    <w:rsid w:val="0D3861DB"/>
    <w:rsid w:val="0D646FD0"/>
    <w:rsid w:val="0DFE7425"/>
    <w:rsid w:val="0EA55AF2"/>
    <w:rsid w:val="0EEA6919"/>
    <w:rsid w:val="0F1A028E"/>
    <w:rsid w:val="0F6C5013"/>
    <w:rsid w:val="0FC63F72"/>
    <w:rsid w:val="100A086B"/>
    <w:rsid w:val="10637A13"/>
    <w:rsid w:val="10B1077E"/>
    <w:rsid w:val="115135FC"/>
    <w:rsid w:val="117444FA"/>
    <w:rsid w:val="11A6405B"/>
    <w:rsid w:val="12BB58E4"/>
    <w:rsid w:val="12D0379E"/>
    <w:rsid w:val="130A061A"/>
    <w:rsid w:val="130B0801"/>
    <w:rsid w:val="130C6140"/>
    <w:rsid w:val="133A2B6A"/>
    <w:rsid w:val="13B54A2A"/>
    <w:rsid w:val="141B1890"/>
    <w:rsid w:val="14997EA7"/>
    <w:rsid w:val="14A800EA"/>
    <w:rsid w:val="150C0679"/>
    <w:rsid w:val="15477903"/>
    <w:rsid w:val="156264EB"/>
    <w:rsid w:val="15F874DA"/>
    <w:rsid w:val="168801D3"/>
    <w:rsid w:val="169F551D"/>
    <w:rsid w:val="16AD7C3A"/>
    <w:rsid w:val="16B9038D"/>
    <w:rsid w:val="17092996"/>
    <w:rsid w:val="174F484D"/>
    <w:rsid w:val="17A50911"/>
    <w:rsid w:val="17A76437"/>
    <w:rsid w:val="17B374D2"/>
    <w:rsid w:val="17BD5C5B"/>
    <w:rsid w:val="17CC781A"/>
    <w:rsid w:val="17DF02C7"/>
    <w:rsid w:val="18115FA7"/>
    <w:rsid w:val="18ED6A14"/>
    <w:rsid w:val="18F733EE"/>
    <w:rsid w:val="190D676E"/>
    <w:rsid w:val="192C5F04"/>
    <w:rsid w:val="1A56667A"/>
    <w:rsid w:val="1A840CB2"/>
    <w:rsid w:val="1AA34FB4"/>
    <w:rsid w:val="1ACB68E1"/>
    <w:rsid w:val="1B23671D"/>
    <w:rsid w:val="1B2E0C1E"/>
    <w:rsid w:val="1BF260EF"/>
    <w:rsid w:val="1BF564A2"/>
    <w:rsid w:val="1C36422E"/>
    <w:rsid w:val="1C737230"/>
    <w:rsid w:val="1CA37410"/>
    <w:rsid w:val="1D0B5412"/>
    <w:rsid w:val="1D434E54"/>
    <w:rsid w:val="1D9C4564"/>
    <w:rsid w:val="1DAB29F9"/>
    <w:rsid w:val="1F332CA6"/>
    <w:rsid w:val="1F4E5D32"/>
    <w:rsid w:val="1F8B3820"/>
    <w:rsid w:val="1FB45B95"/>
    <w:rsid w:val="1FC87893"/>
    <w:rsid w:val="1FE110D8"/>
    <w:rsid w:val="1FF40688"/>
    <w:rsid w:val="20021529"/>
    <w:rsid w:val="200D34F7"/>
    <w:rsid w:val="203C5B8B"/>
    <w:rsid w:val="20D504B9"/>
    <w:rsid w:val="20EF2BFD"/>
    <w:rsid w:val="211803A6"/>
    <w:rsid w:val="214B166A"/>
    <w:rsid w:val="21737C40"/>
    <w:rsid w:val="21920158"/>
    <w:rsid w:val="21B75D99"/>
    <w:rsid w:val="21B856E5"/>
    <w:rsid w:val="220B593A"/>
    <w:rsid w:val="22342FBD"/>
    <w:rsid w:val="2241392C"/>
    <w:rsid w:val="2297354C"/>
    <w:rsid w:val="22D636B5"/>
    <w:rsid w:val="233D40F4"/>
    <w:rsid w:val="23607DE2"/>
    <w:rsid w:val="236773C3"/>
    <w:rsid w:val="23E26A49"/>
    <w:rsid w:val="24521E21"/>
    <w:rsid w:val="25381017"/>
    <w:rsid w:val="253D03DB"/>
    <w:rsid w:val="254E4396"/>
    <w:rsid w:val="25A93CC2"/>
    <w:rsid w:val="25E76599"/>
    <w:rsid w:val="261849A4"/>
    <w:rsid w:val="26E31456"/>
    <w:rsid w:val="270D0281"/>
    <w:rsid w:val="274243CE"/>
    <w:rsid w:val="27D50D9F"/>
    <w:rsid w:val="281A4A03"/>
    <w:rsid w:val="28461C9C"/>
    <w:rsid w:val="285443B9"/>
    <w:rsid w:val="28833F3B"/>
    <w:rsid w:val="28F2772E"/>
    <w:rsid w:val="290A4A78"/>
    <w:rsid w:val="29DB6414"/>
    <w:rsid w:val="29EC0622"/>
    <w:rsid w:val="29F94062"/>
    <w:rsid w:val="29FA689B"/>
    <w:rsid w:val="2A731B75"/>
    <w:rsid w:val="2AB56C65"/>
    <w:rsid w:val="2B2F4C6A"/>
    <w:rsid w:val="2B532859"/>
    <w:rsid w:val="2BC03B14"/>
    <w:rsid w:val="2BEA293F"/>
    <w:rsid w:val="2BFD6B16"/>
    <w:rsid w:val="2C047EA4"/>
    <w:rsid w:val="2C0734F1"/>
    <w:rsid w:val="2C0B560D"/>
    <w:rsid w:val="2C6B1CD2"/>
    <w:rsid w:val="2CBE62A5"/>
    <w:rsid w:val="2D157E8F"/>
    <w:rsid w:val="2DAF5BEE"/>
    <w:rsid w:val="2DF06932"/>
    <w:rsid w:val="2E864BA1"/>
    <w:rsid w:val="2E9C2616"/>
    <w:rsid w:val="2EC15C6B"/>
    <w:rsid w:val="2ED23210"/>
    <w:rsid w:val="2F6A001E"/>
    <w:rsid w:val="2FF40230"/>
    <w:rsid w:val="301461DC"/>
    <w:rsid w:val="302169BE"/>
    <w:rsid w:val="309D4424"/>
    <w:rsid w:val="30F229C1"/>
    <w:rsid w:val="310444A3"/>
    <w:rsid w:val="3138414C"/>
    <w:rsid w:val="324C4353"/>
    <w:rsid w:val="324E1E79"/>
    <w:rsid w:val="327F0285"/>
    <w:rsid w:val="33C5616B"/>
    <w:rsid w:val="341D7D55"/>
    <w:rsid w:val="341E587B"/>
    <w:rsid w:val="343E1A7A"/>
    <w:rsid w:val="34DD5737"/>
    <w:rsid w:val="34E359F4"/>
    <w:rsid w:val="34E73EBF"/>
    <w:rsid w:val="358E6A31"/>
    <w:rsid w:val="35A3791B"/>
    <w:rsid w:val="35B91D00"/>
    <w:rsid w:val="35F20D6E"/>
    <w:rsid w:val="360F1920"/>
    <w:rsid w:val="36176A26"/>
    <w:rsid w:val="36A4650C"/>
    <w:rsid w:val="36A54032"/>
    <w:rsid w:val="36F44D4F"/>
    <w:rsid w:val="36F52036"/>
    <w:rsid w:val="37092813"/>
    <w:rsid w:val="379A16BD"/>
    <w:rsid w:val="37A4253C"/>
    <w:rsid w:val="38196A86"/>
    <w:rsid w:val="384C5AA5"/>
    <w:rsid w:val="389205E6"/>
    <w:rsid w:val="38AA1DD4"/>
    <w:rsid w:val="393618B9"/>
    <w:rsid w:val="399F745E"/>
    <w:rsid w:val="39CC4EA1"/>
    <w:rsid w:val="3A52627F"/>
    <w:rsid w:val="3A5E4C24"/>
    <w:rsid w:val="3AA446F9"/>
    <w:rsid w:val="3B117EE8"/>
    <w:rsid w:val="3B1A12EE"/>
    <w:rsid w:val="3B2714BA"/>
    <w:rsid w:val="3B7017EA"/>
    <w:rsid w:val="3BBF7944"/>
    <w:rsid w:val="3BD03F10"/>
    <w:rsid w:val="3C5408B1"/>
    <w:rsid w:val="3C9568F7"/>
    <w:rsid w:val="3C9F4380"/>
    <w:rsid w:val="3CAA23A2"/>
    <w:rsid w:val="3CD13DD3"/>
    <w:rsid w:val="3CEC4769"/>
    <w:rsid w:val="3D22462E"/>
    <w:rsid w:val="3D98669F"/>
    <w:rsid w:val="3DA908AC"/>
    <w:rsid w:val="3E5A7DF8"/>
    <w:rsid w:val="3E6B5B61"/>
    <w:rsid w:val="3E6E12B1"/>
    <w:rsid w:val="3E78424B"/>
    <w:rsid w:val="3E876A24"/>
    <w:rsid w:val="3F5900B0"/>
    <w:rsid w:val="3F721126"/>
    <w:rsid w:val="3F80388E"/>
    <w:rsid w:val="403F72A5"/>
    <w:rsid w:val="408D0A33"/>
    <w:rsid w:val="408E3D89"/>
    <w:rsid w:val="40D043A1"/>
    <w:rsid w:val="40DC705B"/>
    <w:rsid w:val="410F3A7D"/>
    <w:rsid w:val="41856F3A"/>
    <w:rsid w:val="418F7DB9"/>
    <w:rsid w:val="4191768D"/>
    <w:rsid w:val="41CC0438"/>
    <w:rsid w:val="420C31B7"/>
    <w:rsid w:val="425132C0"/>
    <w:rsid w:val="429A4C67"/>
    <w:rsid w:val="42A94EAA"/>
    <w:rsid w:val="42C24FD2"/>
    <w:rsid w:val="430E5F3A"/>
    <w:rsid w:val="435C1F1C"/>
    <w:rsid w:val="43B75896"/>
    <w:rsid w:val="43BC29BB"/>
    <w:rsid w:val="43F32881"/>
    <w:rsid w:val="44204C51"/>
    <w:rsid w:val="44544A76"/>
    <w:rsid w:val="445B21D4"/>
    <w:rsid w:val="44DA57EF"/>
    <w:rsid w:val="44FA19ED"/>
    <w:rsid w:val="45264590"/>
    <w:rsid w:val="45682DFA"/>
    <w:rsid w:val="45AF4585"/>
    <w:rsid w:val="45D65FB6"/>
    <w:rsid w:val="45D95AA6"/>
    <w:rsid w:val="46080139"/>
    <w:rsid w:val="464A1ABC"/>
    <w:rsid w:val="46E12E64"/>
    <w:rsid w:val="47724B3E"/>
    <w:rsid w:val="477517FF"/>
    <w:rsid w:val="47E63C32"/>
    <w:rsid w:val="47E744AA"/>
    <w:rsid w:val="494D0152"/>
    <w:rsid w:val="49836455"/>
    <w:rsid w:val="49FC7FB5"/>
    <w:rsid w:val="4A981A8C"/>
    <w:rsid w:val="4B252975"/>
    <w:rsid w:val="4B2652EA"/>
    <w:rsid w:val="4BD016F9"/>
    <w:rsid w:val="4BEB02E1"/>
    <w:rsid w:val="4C053323"/>
    <w:rsid w:val="4C211F55"/>
    <w:rsid w:val="4C3E67FC"/>
    <w:rsid w:val="4C5639AD"/>
    <w:rsid w:val="4C6267F5"/>
    <w:rsid w:val="4CC052CA"/>
    <w:rsid w:val="4CD12DC0"/>
    <w:rsid w:val="4CE23492"/>
    <w:rsid w:val="4CFD02CC"/>
    <w:rsid w:val="4D1675E0"/>
    <w:rsid w:val="4D1A2C2C"/>
    <w:rsid w:val="4D5123C6"/>
    <w:rsid w:val="4D8367CC"/>
    <w:rsid w:val="4DB52E11"/>
    <w:rsid w:val="4E597784"/>
    <w:rsid w:val="4E6F0D56"/>
    <w:rsid w:val="4EFF172F"/>
    <w:rsid w:val="4F2A1121"/>
    <w:rsid w:val="4F442D1B"/>
    <w:rsid w:val="4F4C1097"/>
    <w:rsid w:val="4F732AC8"/>
    <w:rsid w:val="4FC6709B"/>
    <w:rsid w:val="4FCB6460"/>
    <w:rsid w:val="50317489"/>
    <w:rsid w:val="5032028D"/>
    <w:rsid w:val="514C1822"/>
    <w:rsid w:val="5187285A"/>
    <w:rsid w:val="520A1FAA"/>
    <w:rsid w:val="52742DDF"/>
    <w:rsid w:val="52903BCE"/>
    <w:rsid w:val="532A6F99"/>
    <w:rsid w:val="533C1422"/>
    <w:rsid w:val="539A6875"/>
    <w:rsid w:val="53C733E2"/>
    <w:rsid w:val="53D1600F"/>
    <w:rsid w:val="543547EF"/>
    <w:rsid w:val="54EF17DD"/>
    <w:rsid w:val="54FB1DD1"/>
    <w:rsid w:val="55052414"/>
    <w:rsid w:val="55BA31FE"/>
    <w:rsid w:val="55C027DF"/>
    <w:rsid w:val="5621327D"/>
    <w:rsid w:val="562767E7"/>
    <w:rsid w:val="563E2521"/>
    <w:rsid w:val="57A56669"/>
    <w:rsid w:val="57AF2B0B"/>
    <w:rsid w:val="587F6039"/>
    <w:rsid w:val="58A41F44"/>
    <w:rsid w:val="59142C25"/>
    <w:rsid w:val="59193B04"/>
    <w:rsid w:val="59401C6C"/>
    <w:rsid w:val="599B3347"/>
    <w:rsid w:val="59BC5A1F"/>
    <w:rsid w:val="5A964725"/>
    <w:rsid w:val="5AB14005"/>
    <w:rsid w:val="5B252ECE"/>
    <w:rsid w:val="5B3C46B5"/>
    <w:rsid w:val="5B977B3E"/>
    <w:rsid w:val="5BC00E43"/>
    <w:rsid w:val="5C190553"/>
    <w:rsid w:val="5C427AAA"/>
    <w:rsid w:val="5CA97C7F"/>
    <w:rsid w:val="5CE13766"/>
    <w:rsid w:val="5D123920"/>
    <w:rsid w:val="5D302934"/>
    <w:rsid w:val="5D9562FF"/>
    <w:rsid w:val="5EBD3D5F"/>
    <w:rsid w:val="5EDD61AF"/>
    <w:rsid w:val="5F011E9E"/>
    <w:rsid w:val="5F0D0843"/>
    <w:rsid w:val="5F2E6A0B"/>
    <w:rsid w:val="5F5521EA"/>
    <w:rsid w:val="601479AF"/>
    <w:rsid w:val="60575AEE"/>
    <w:rsid w:val="60602BF4"/>
    <w:rsid w:val="60B82A30"/>
    <w:rsid w:val="60BE791B"/>
    <w:rsid w:val="60C56EFB"/>
    <w:rsid w:val="60D23403"/>
    <w:rsid w:val="61241E74"/>
    <w:rsid w:val="61595DC4"/>
    <w:rsid w:val="619012B7"/>
    <w:rsid w:val="61CC3462"/>
    <w:rsid w:val="61D92C5E"/>
    <w:rsid w:val="61F23D20"/>
    <w:rsid w:val="62A56FE4"/>
    <w:rsid w:val="62B66AFB"/>
    <w:rsid w:val="62E0001C"/>
    <w:rsid w:val="63462575"/>
    <w:rsid w:val="63A23524"/>
    <w:rsid w:val="63B62AB2"/>
    <w:rsid w:val="64A733C5"/>
    <w:rsid w:val="657B428A"/>
    <w:rsid w:val="65BF03BD"/>
    <w:rsid w:val="66083B12"/>
    <w:rsid w:val="662A132F"/>
    <w:rsid w:val="67531912"/>
    <w:rsid w:val="675D7E8D"/>
    <w:rsid w:val="676A1537"/>
    <w:rsid w:val="679C6C08"/>
    <w:rsid w:val="680D3662"/>
    <w:rsid w:val="682140F7"/>
    <w:rsid w:val="696C260A"/>
    <w:rsid w:val="69A2427D"/>
    <w:rsid w:val="69DB153D"/>
    <w:rsid w:val="69FD1248"/>
    <w:rsid w:val="6A682DD1"/>
    <w:rsid w:val="6ACC2E43"/>
    <w:rsid w:val="6AD40467"/>
    <w:rsid w:val="6B106FC5"/>
    <w:rsid w:val="6BE56D52"/>
    <w:rsid w:val="6C046B2A"/>
    <w:rsid w:val="6C1D72AF"/>
    <w:rsid w:val="6C2607C5"/>
    <w:rsid w:val="6C627CF4"/>
    <w:rsid w:val="6C7F2654"/>
    <w:rsid w:val="6D935BD4"/>
    <w:rsid w:val="6DE36C13"/>
    <w:rsid w:val="6E617EC2"/>
    <w:rsid w:val="6EB56801"/>
    <w:rsid w:val="6EDD378E"/>
    <w:rsid w:val="6F0D03EB"/>
    <w:rsid w:val="6F8F49A6"/>
    <w:rsid w:val="6F95081D"/>
    <w:rsid w:val="6FB940CF"/>
    <w:rsid w:val="6FD76303"/>
    <w:rsid w:val="6FEA072C"/>
    <w:rsid w:val="6FF60E7F"/>
    <w:rsid w:val="70131A31"/>
    <w:rsid w:val="70291255"/>
    <w:rsid w:val="70814BED"/>
    <w:rsid w:val="71155335"/>
    <w:rsid w:val="711F7F62"/>
    <w:rsid w:val="71324139"/>
    <w:rsid w:val="71E35433"/>
    <w:rsid w:val="71FE04BF"/>
    <w:rsid w:val="71FE401B"/>
    <w:rsid w:val="729D3834"/>
    <w:rsid w:val="72A35F21"/>
    <w:rsid w:val="72CE7E91"/>
    <w:rsid w:val="72EF0DCC"/>
    <w:rsid w:val="73075151"/>
    <w:rsid w:val="73164BEE"/>
    <w:rsid w:val="733E6DC5"/>
    <w:rsid w:val="73814F04"/>
    <w:rsid w:val="73893DB8"/>
    <w:rsid w:val="73920EBF"/>
    <w:rsid w:val="73C31078"/>
    <w:rsid w:val="74D86DA5"/>
    <w:rsid w:val="74E03EAC"/>
    <w:rsid w:val="74FC0CE6"/>
    <w:rsid w:val="753A04DC"/>
    <w:rsid w:val="75826D11"/>
    <w:rsid w:val="763C5112"/>
    <w:rsid w:val="768E5BED"/>
    <w:rsid w:val="76CA3B18"/>
    <w:rsid w:val="77270C09"/>
    <w:rsid w:val="7729410C"/>
    <w:rsid w:val="775A5C4B"/>
    <w:rsid w:val="77F40FB7"/>
    <w:rsid w:val="79751067"/>
    <w:rsid w:val="799C1319"/>
    <w:rsid w:val="7A4647B1"/>
    <w:rsid w:val="7A5213A8"/>
    <w:rsid w:val="7A603AC5"/>
    <w:rsid w:val="7A61783D"/>
    <w:rsid w:val="7AD973D3"/>
    <w:rsid w:val="7C0A652A"/>
    <w:rsid w:val="7C174657"/>
    <w:rsid w:val="7C1F350C"/>
    <w:rsid w:val="7C6158D2"/>
    <w:rsid w:val="7C6347E5"/>
    <w:rsid w:val="7C8B0BA1"/>
    <w:rsid w:val="7C8D66C7"/>
    <w:rsid w:val="7CB579CC"/>
    <w:rsid w:val="7CCA16C9"/>
    <w:rsid w:val="7CD9190C"/>
    <w:rsid w:val="7D1F7C67"/>
    <w:rsid w:val="7D456FA2"/>
    <w:rsid w:val="7D67516A"/>
    <w:rsid w:val="7D8E26F7"/>
    <w:rsid w:val="7D9615AC"/>
    <w:rsid w:val="7DCE6F97"/>
    <w:rsid w:val="7F3B6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0CF56"/>
  <w15:docId w15:val="{830050D9-F1FD-48CD-866D-F11768D4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 w:unhideWhenUsed="1" w:qFormat="1"/>
    <w:lsdException w:name="footer" w:uiPriority="99" w:qFormat="1"/>
    <w:lsdException w:name="caption" w:qFormat="1"/>
    <w:lsdException w:name="footnote reference"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pPr>
    <w:rPr>
      <w:rFonts w:cstheme="minorBidi"/>
      <w:sz w:val="21"/>
      <w:szCs w:val="24"/>
      <w:lang w:val="en-US" w:eastAsia="en-US"/>
    </w:rPr>
  </w:style>
  <w:style w:type="paragraph" w:styleId="Heading1">
    <w:name w:val="heading 1"/>
    <w:basedOn w:val="Normal"/>
    <w:uiPriority w:val="9"/>
    <w:qFormat/>
    <w:pPr>
      <w:keepNext/>
      <w:keepLines/>
      <w:spacing w:before="480" w:line="240" w:lineRule="auto"/>
      <w:outlineLvl w:val="0"/>
    </w:pPr>
    <w:rPr>
      <w:rFonts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link w:val="CaptionChar"/>
    <w:qFormat/>
    <w:pPr>
      <w:spacing w:after="120"/>
      <w:jc w:val="center"/>
    </w:pPr>
  </w:style>
  <w:style w:type="paragraph" w:styleId="BodyText">
    <w:name w:val="Body Text"/>
    <w:basedOn w:val="Normal"/>
    <w:qFormat/>
  </w:style>
  <w:style w:type="paragraph" w:styleId="Footer">
    <w:name w:val="footer"/>
    <w:basedOn w:val="Normal"/>
    <w:uiPriority w:val="99"/>
    <w:qFormat/>
    <w:pPr>
      <w:tabs>
        <w:tab w:val="center" w:pos="4153"/>
        <w:tab w:val="right" w:pos="8306"/>
      </w:tabs>
      <w:snapToGrid w:val="0"/>
    </w:pPr>
    <w:rPr>
      <w:sz w:val="18"/>
      <w:szCs w:val="18"/>
    </w:rPr>
  </w:style>
  <w:style w:type="paragraph" w:styleId="FootnoteText">
    <w:name w:val="footnote text"/>
    <w:basedOn w:val="Normal"/>
    <w:uiPriority w:val="9"/>
    <w:unhideWhenUsed/>
    <w:qFormat/>
    <w:rPr>
      <w:sz w:val="18"/>
    </w:rPr>
  </w:style>
  <w:style w:type="paragraph" w:styleId="NormalWeb">
    <w:name w:val="Normal (Web)"/>
    <w:basedOn w:val="Normal"/>
    <w:uiPriority w:val="99"/>
    <w:unhideWhenUsed/>
    <w:qFormat/>
    <w:pPr>
      <w:spacing w:beforeAutospacing="1" w:afterAutospacing="1"/>
    </w:pPr>
    <w:rPr>
      <w:rFonts w:cs="Times New Roman"/>
      <w:sz w:val="24"/>
      <w:lang w:eastAsia="zh-CN"/>
    </w:rPr>
  </w:style>
  <w:style w:type="character" w:styleId="FootnoteReference">
    <w:name w:val="footnote reference"/>
    <w:basedOn w:val="CaptionChar"/>
    <w:qFormat/>
    <w:rPr>
      <w:rFonts w:ascii="Times New Roman" w:eastAsia="SimSun" w:hAnsi="Times New Roman"/>
      <w:vertAlign w:val="superscript"/>
    </w:rPr>
  </w:style>
  <w:style w:type="character" w:customStyle="1" w:styleId="CaptionChar">
    <w:name w:val="Caption Char"/>
    <w:basedOn w:val="DefaultParagraphFont"/>
    <w:link w:val="Caption"/>
    <w:qFormat/>
  </w:style>
  <w:style w:type="paragraph" w:customStyle="1" w:styleId="FirstParagraph">
    <w:name w:val="First Paragraph"/>
    <w:basedOn w:val="Normal"/>
    <w:next w:val="BodyText"/>
    <w:qFormat/>
    <w:pPr>
      <w:spacing w:before="180"/>
      <w:ind w:firstLineChars="200" w:firstLine="480"/>
    </w:pPr>
    <w:rPr>
      <w:lang w:eastAsia="zh-CN"/>
    </w:rPr>
  </w:style>
  <w:style w:type="paragraph" w:customStyle="1" w:styleId="Compact">
    <w:name w:val="Compact"/>
    <w:basedOn w:val="BodyText"/>
    <w:qFormat/>
    <w:pPr>
      <w:spacing w:before="60" w:after="60"/>
    </w:pPr>
  </w:style>
  <w:style w:type="paragraph" w:customStyle="1" w:styleId="Bibliography1">
    <w:name w:val="Bibliography1"/>
    <w:basedOn w:val="Normal"/>
    <w:qFormat/>
    <w:pPr>
      <w:tabs>
        <w:tab w:val="left" w:pos="384"/>
      </w:tabs>
      <w:spacing w:line="240" w:lineRule="auto"/>
      <w:ind w:left="200" w:hangingChars="200" w:hanging="200"/>
    </w:p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0A73C4"/>
    <w:rPr>
      <w:rFonts w:cstheme="minorBidi"/>
      <w:sz w:val="21"/>
      <w:szCs w:val="24"/>
      <w:lang w:val="en-US" w:eastAsia="en-US"/>
    </w:rPr>
  </w:style>
  <w:style w:type="character" w:styleId="PlaceholderText">
    <w:name w:val="Placeholder Text"/>
    <w:basedOn w:val="DefaultParagraphFont"/>
    <w:uiPriority w:val="99"/>
    <w:unhideWhenUsed/>
    <w:rsid w:val="007C7A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9e2897f1fcd9441ebb837a234993a2da</errorID>
      <errorWord>Platform</errorWord>
      <group>L1_English</group>
      <groupName>英文问题</groupName>
      <ability>L2_Word</ability>
      <abilityName>字词问题</abilityName>
      <candidateList>
        <item>the Platform</item>
      </candidateList>
      <explain>此处疑似有限定词缺失，建议将单词Platform修改为the Platform</explain>
      <paraID>5699A497</paraID>
      <start>75</start>
      <end>83</end>
      <status>ignored</status>
      <modifiedWord/>
      <trackRevisions>false</trackRevisions>
    </reviewItem>
    <reviewItem>
      <errorID>b57958158a0344cbb0b4b4a61dfcc292</errorID>
      <errorWord>Abstract: </errorWord>
      <group>L1_English</group>
      <groupName>英文问题</groupName>
      <ability>L2_Other_Grammar</ability>
      <abilityName>其他语法问题</abilityName>
      <candidateList>
        <item/>
      </candidateList>
      <explain>单词Abstract: 疑似冗余，建议删除</explain>
      <paraID>2D38372D</paraID>
      <start>0</start>
      <end>10</end>
      <status>ignored</status>
      <modifiedWord/>
      <trackRevisions>false</trackRevisions>
    </reviewItem>
    <reviewItem>
      <errorID>57c31276d3054454ba3b92d5f8907425</errorID>
      <errorWord>theoretical</errorWord>
      <group>L1_English</group>
      <groupName>英文问题</groupName>
      <ability>L2_Word</ability>
      <abilityName>字词问题</abilityName>
      <candidateList>
        <item>a theoretical</item>
      </candidateList>
      <explain>此处疑似有限定词缺失，建议将单词theoretical修改为a theoretical</explain>
      <paraID>1E575BEA</paraID>
      <start>409</start>
      <end>420</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7FD85-DB3C-45DE-9E54-19D71F7708FB}">
  <ds:schemaRefs>
    <ds:schemaRef ds:uri="http://schemas.wps.cn/vas-ai-hub/contract-review"/>
  </ds:schemaRefs>
</ds:datastoreItem>
</file>

<file path=customXml/itemProps2.xml><?xml version="1.0" encoding="utf-8"?>
<ds:datastoreItem xmlns:ds="http://schemas.openxmlformats.org/officeDocument/2006/customXml" ds:itemID="{6022F128-7481-4EAE-9FA8-AFE639AF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4577</Words>
  <Characters>26090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meipingjiayao</dc:creator>
  <cp:lastModifiedBy>Acer NB</cp:lastModifiedBy>
  <cp:revision>4</cp:revision>
  <dcterms:created xsi:type="dcterms:W3CDTF">2026-07-16T02:36:00Z</dcterms:created>
  <dcterms:modified xsi:type="dcterms:W3CDTF">2026-07-17T06:55:00Z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91B3ED8F038A4F0C9C9B23B7DC511692_13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095b061a-4fb2-480d-9674-50cfaa686318</vt:lpwstr>
  </property>
</Properties>
</file>