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3DFD6" w14:textId="77777777" w:rsidR="00F253D1" w:rsidRPr="006F48FA" w:rsidRDefault="00000000">
      <w:pPr>
        <w:jc w:val="left"/>
        <w:rPr>
          <w:rFonts w:ascii="Times New Roman" w:hAnsi="Times New Roman" w:cs="Times New Roman"/>
          <w:b/>
          <w:bCs/>
          <w:color w:val="000000" w:themeColor="text1"/>
          <w:sz w:val="44"/>
          <w:szCs w:val="44"/>
          <w:lang w:val="en-IN" w:bidi="ar"/>
        </w:rPr>
      </w:pPr>
      <w:r w:rsidRPr="006F48FA">
        <w:rPr>
          <w:rFonts w:ascii="Times New Roman" w:hAnsi="Times New Roman" w:cs="Times New Roman"/>
          <w:b/>
          <w:bCs/>
          <w:color w:val="000000" w:themeColor="text1"/>
          <w:sz w:val="44"/>
          <w:szCs w:val="44"/>
          <w:lang w:bidi="ar"/>
        </w:rPr>
        <w:t>Impact of Digital Services Trade Barriers on the Quality of China’s Manufacturing Export Products</w:t>
      </w:r>
    </w:p>
    <w:p w14:paraId="3D6F141F" w14:textId="77777777" w:rsidR="00F253D1" w:rsidRPr="006F48FA" w:rsidRDefault="00000000">
      <w:pPr>
        <w:rPr>
          <w:rFonts w:ascii="Times New Roman" w:hAnsi="Times New Roman" w:cs="Times New Roman"/>
          <w:b/>
          <w:bCs/>
          <w:color w:val="000000" w:themeColor="text1"/>
          <w:sz w:val="24"/>
          <w:vertAlign w:val="superscript"/>
        </w:rPr>
      </w:pPr>
      <w:r w:rsidRPr="006F48FA">
        <w:rPr>
          <w:rFonts w:ascii="Times New Roman" w:eastAsia="SimSun" w:hAnsi="Times New Roman" w:cs="Times New Roman"/>
          <w:b/>
          <w:bCs/>
          <w:color w:val="000000" w:themeColor="text1"/>
          <w:sz w:val="24"/>
        </w:rPr>
        <w:t>C</w:t>
      </w:r>
      <w:r w:rsidRPr="006F48FA">
        <w:rPr>
          <w:rFonts w:ascii="Times New Roman" w:hAnsi="Times New Roman" w:cs="Times New Roman"/>
          <w:b/>
          <w:bCs/>
          <w:color w:val="000000" w:themeColor="text1"/>
          <w:sz w:val="24"/>
        </w:rPr>
        <w:t xml:space="preserve">hunrong Yan*, </w:t>
      </w:r>
      <w:r w:rsidRPr="006F48FA">
        <w:rPr>
          <w:rFonts w:ascii="Times New Roman" w:eastAsia="SimSun" w:hAnsi="Times New Roman" w:cs="Times New Roman"/>
          <w:b/>
          <w:bCs/>
          <w:color w:val="000000" w:themeColor="text1"/>
          <w:sz w:val="24"/>
        </w:rPr>
        <w:t>Xuan Liu</w:t>
      </w:r>
    </w:p>
    <w:p w14:paraId="6963BB02" w14:textId="77777777" w:rsidR="00F253D1" w:rsidRPr="006F48FA" w:rsidRDefault="00000000">
      <w:pPr>
        <w:rPr>
          <w:rFonts w:ascii="Times New Roman" w:hAnsi="Times New Roman" w:cs="Times New Roman"/>
          <w:color w:val="000000" w:themeColor="text1"/>
          <w:sz w:val="24"/>
          <w:lang w:bidi="ar"/>
        </w:rPr>
      </w:pPr>
      <w:r w:rsidRPr="006F48FA">
        <w:rPr>
          <w:rFonts w:ascii="Times New Roman" w:hAnsi="Times New Roman" w:cs="Times New Roman"/>
          <w:color w:val="000000" w:themeColor="text1"/>
          <w:sz w:val="24"/>
          <w:lang w:bidi="ar"/>
        </w:rPr>
        <w:t>Shanghai Polytechnic University, Shanghai 201209, China</w:t>
      </w:r>
    </w:p>
    <w:p w14:paraId="320A1C16" w14:textId="77777777" w:rsidR="00F253D1" w:rsidRPr="006F48FA" w:rsidRDefault="00000000">
      <w:pPr>
        <w:rPr>
          <w:rFonts w:ascii="Times New Roman" w:eastAsia="SimSun" w:hAnsi="Times New Roman" w:cs="Times New Roman"/>
          <w:color w:val="000000" w:themeColor="text1"/>
          <w:kern w:val="0"/>
          <w:sz w:val="24"/>
          <w:lang w:bidi="ar"/>
        </w:rPr>
      </w:pPr>
      <w:r w:rsidRPr="006F48FA">
        <w:rPr>
          <w:rFonts w:ascii="Times New Roman" w:hAnsi="Times New Roman" w:cs="Times New Roman"/>
          <w:b/>
          <w:bCs/>
          <w:color w:val="000000" w:themeColor="text1"/>
          <w:sz w:val="24"/>
          <w:lang w:val="en-GB"/>
        </w:rPr>
        <w:t>*Corresponding author:</w:t>
      </w:r>
      <w:r w:rsidRPr="006F48FA">
        <w:rPr>
          <w:rFonts w:ascii="Times New Roman" w:hAnsi="Times New Roman" w:cs="Times New Roman"/>
          <w:i/>
          <w:iCs/>
          <w:color w:val="000000" w:themeColor="text1"/>
          <w:sz w:val="24"/>
        </w:rPr>
        <w:t xml:space="preserve"> </w:t>
      </w:r>
      <w:r w:rsidRPr="006F48FA">
        <w:rPr>
          <w:rStyle w:val="hps"/>
          <w:rFonts w:ascii="Times New Roman" w:eastAsia="DengXian" w:hAnsi="Times New Roman" w:cs="Times New Roman"/>
          <w:bCs/>
          <w:color w:val="000000" w:themeColor="text1"/>
          <w:sz w:val="24"/>
        </w:rPr>
        <w:t>Chunrong Yan, cryan@sspu.edu.cn</w:t>
      </w:r>
    </w:p>
    <w:p w14:paraId="5C867241" w14:textId="77777777" w:rsidR="00F253D1" w:rsidRPr="006F48FA" w:rsidRDefault="00F253D1">
      <w:pPr>
        <w:rPr>
          <w:rFonts w:ascii="Times New Roman" w:hAnsi="Times New Roman" w:cs="Times New Roman"/>
          <w:color w:val="000000" w:themeColor="text1"/>
          <w:sz w:val="24"/>
        </w:rPr>
        <w:sectPr w:rsidR="00F253D1" w:rsidRPr="006F48FA">
          <w:headerReference w:type="default" r:id="rId7"/>
          <w:endnotePr>
            <w:numFmt w:val="decimal"/>
          </w:endnotePr>
          <w:type w:val="continuous"/>
          <w:pgSz w:w="11906" w:h="16838"/>
          <w:pgMar w:top="1418" w:right="851" w:bottom="1418" w:left="851" w:header="851" w:footer="737" w:gutter="0"/>
          <w:cols w:space="425"/>
          <w:docGrid w:type="lines" w:linePitch="312"/>
        </w:sectPr>
      </w:pPr>
    </w:p>
    <w:p w14:paraId="3CD55A08" w14:textId="77777777" w:rsidR="00F253D1" w:rsidRPr="006F48FA" w:rsidRDefault="00F253D1">
      <w:pPr>
        <w:rPr>
          <w:rFonts w:ascii="Times New Roman" w:hAnsi="Times New Roman" w:cs="Times New Roman"/>
          <w:color w:val="000000" w:themeColor="text1"/>
          <w:sz w:val="24"/>
        </w:rPr>
      </w:pPr>
    </w:p>
    <w:p w14:paraId="5136CD16" w14:textId="77777777" w:rsidR="00F253D1" w:rsidRPr="006F48FA" w:rsidRDefault="00000000">
      <w:pPr>
        <w:rPr>
          <w:rFonts w:ascii="Times New Roman" w:hAnsi="Times New Roman" w:cs="Times New Roman"/>
          <w:color w:val="000000" w:themeColor="text1"/>
          <w:sz w:val="20"/>
        </w:rPr>
      </w:pPr>
      <w:r w:rsidRPr="006F48FA">
        <w:rPr>
          <w:rFonts w:ascii="Times New Roman" w:hAnsi="Times New Roman" w:cs="Times New Roman"/>
          <w:b/>
          <w:color w:val="000000" w:themeColor="text1"/>
          <w:sz w:val="20"/>
        </w:rPr>
        <w:t>Copyright:</w:t>
      </w:r>
      <w:r w:rsidRPr="006F48FA">
        <w:rPr>
          <w:rFonts w:ascii="Times New Roman" w:hAnsi="Times New Roman" w:cs="Times New Roman"/>
          <w:color w:val="000000" w:themeColor="text1"/>
          <w:sz w:val="20"/>
        </w:rPr>
        <w:t xml:space="preserve"> © 2026 Author(s). This is an open-access article distributed under the terms of the Creative Commons Attribution License (CC BY 4.0), permitting distribution and reproduction in any medium, provided the original work is cited.</w:t>
      </w:r>
    </w:p>
    <w:p w14:paraId="6F9492FE" w14:textId="77777777" w:rsidR="00F253D1" w:rsidRPr="006F48FA" w:rsidRDefault="00F253D1">
      <w:pPr>
        <w:rPr>
          <w:rFonts w:ascii="Times New Roman" w:hAnsi="Times New Roman" w:cs="Times New Roman"/>
          <w:color w:val="000000" w:themeColor="text1"/>
          <w:sz w:val="24"/>
        </w:rPr>
      </w:pPr>
    </w:p>
    <w:p w14:paraId="67CEFD52"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b/>
          <w:bCs/>
          <w:color w:val="000000" w:themeColor="text1"/>
          <w:sz w:val="24"/>
        </w:rPr>
        <w:t>Abstract:</w:t>
      </w:r>
      <w:r w:rsidRPr="006F48FA">
        <w:rPr>
          <w:rFonts w:ascii="Times New Roman" w:hAnsi="Times New Roman" w:cs="Times New Roman"/>
          <w:color w:val="000000" w:themeColor="text1"/>
          <w:sz w:val="24"/>
        </w:rPr>
        <w:t xml:space="preserve"> In the context of increasing fragmentation in global digital trade rules, this paper examines the impact of digital services trade barriers on China’s manufacturing export product quality. Using Chinese product–destination–year export data from 2014–2023, combined with the OECD Digital Services Trade Restrictiveness Index and input–output tables, this study constructs a country–industry-level measure of digital services trade barriers. The results show that digital services trade barriers significantly reduce export product quality. The findings remain robust after instrumental variable estimation, alternative measurements, and higher-dimensional fixed effects. Furthermore, institutional quality mitigates this negative effect. This study highlights digital services trade barriers as an important institutional factor affecting manufacturing export quality upgrading.</w:t>
      </w:r>
    </w:p>
    <w:p w14:paraId="7E8CA8C8"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b/>
          <w:bCs/>
          <w:color w:val="000000" w:themeColor="text1"/>
          <w:sz w:val="24"/>
        </w:rPr>
        <w:t>Keywords:</w:t>
      </w:r>
      <w:r w:rsidRPr="006F48FA">
        <w:rPr>
          <w:rFonts w:ascii="Times New Roman" w:hAnsi="Times New Roman" w:cs="Times New Roman"/>
          <w:color w:val="000000" w:themeColor="text1"/>
          <w:sz w:val="24"/>
        </w:rPr>
        <w:t xml:space="preserve"> Digital services trade barriers; Export quality; Manufacturing exports; Institutional quality</w:t>
      </w:r>
    </w:p>
    <w:p w14:paraId="67C6E198" w14:textId="77777777" w:rsidR="00F253D1" w:rsidRPr="006F48FA" w:rsidRDefault="00F253D1">
      <w:pPr>
        <w:rPr>
          <w:rFonts w:ascii="Times New Roman" w:hAnsi="Times New Roman" w:cs="Times New Roman"/>
          <w:color w:val="000000" w:themeColor="text1"/>
          <w:sz w:val="24"/>
        </w:rPr>
      </w:pPr>
    </w:p>
    <w:p w14:paraId="791ED820" w14:textId="77777777" w:rsidR="00F253D1" w:rsidRPr="006F48FA" w:rsidRDefault="00000000">
      <w:pPr>
        <w:rPr>
          <w:rFonts w:ascii="Times New Roman" w:hAnsi="Times New Roman" w:cs="Times New Roman"/>
          <w:b/>
          <w:bCs/>
          <w:color w:val="000000" w:themeColor="text1"/>
          <w:sz w:val="20"/>
          <w:szCs w:val="20"/>
        </w:rPr>
      </w:pPr>
      <w:r w:rsidRPr="006F48FA">
        <w:rPr>
          <w:rFonts w:ascii="Times New Roman" w:hAnsi="Times New Roman" w:cs="Times New Roman"/>
          <w:b/>
          <w:bCs/>
          <w:color w:val="000000" w:themeColor="text1"/>
          <w:sz w:val="20"/>
          <w:szCs w:val="20"/>
        </w:rPr>
        <w:t>Online publication:</w:t>
      </w:r>
    </w:p>
    <w:p w14:paraId="1AA03756" w14:textId="77777777" w:rsidR="00F253D1" w:rsidRPr="006F48FA" w:rsidRDefault="00F253D1">
      <w:pPr>
        <w:rPr>
          <w:rFonts w:ascii="Times New Roman" w:hAnsi="Times New Roman" w:cs="Times New Roman"/>
          <w:color w:val="000000" w:themeColor="text1"/>
          <w:sz w:val="24"/>
        </w:rPr>
      </w:pPr>
    </w:p>
    <w:p w14:paraId="2CDA04FA" w14:textId="77777777" w:rsidR="00F253D1" w:rsidRPr="006F48FA" w:rsidRDefault="00000000">
      <w:pPr>
        <w:rPr>
          <w:rFonts w:ascii="Times New Roman" w:eastAsia="SimSun" w:hAnsi="Times New Roman" w:cs="Times New Roman"/>
          <w:b/>
          <w:bCs/>
          <w:color w:val="000000" w:themeColor="text1"/>
          <w:kern w:val="0"/>
          <w:sz w:val="24"/>
          <w:lang w:bidi="ar"/>
        </w:rPr>
      </w:pPr>
      <w:r w:rsidRPr="006F48FA">
        <w:rPr>
          <w:rFonts w:ascii="Times New Roman" w:hAnsi="Times New Roman" w:cs="Times New Roman"/>
          <w:b/>
          <w:bCs/>
          <w:color w:val="000000" w:themeColor="text1"/>
          <w:sz w:val="24"/>
        </w:rPr>
        <w:t>1. Introduction</w:t>
      </w:r>
    </w:p>
    <w:p w14:paraId="42FDAABC" w14:textId="77777777" w:rsidR="00F253D1" w:rsidRPr="006F48FA" w:rsidRDefault="00000000">
      <w:pPr>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Against the backdrop of rapid digital transformation and the restructuring of global trade rules, digital services have become important inputs in manufacturing production and export activities. Services such as communication, data processing, software, digital platforms, and digital payments facilitate information flows and transaction efficiency, thereby influencing manufacturing export quality.</w:t>
      </w:r>
    </w:p>
    <w:p w14:paraId="188BC5D1" w14:textId="77777777" w:rsidR="00F253D1" w:rsidRPr="006F48FA" w:rsidRDefault="00000000">
      <w:pPr>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However, the liberalization of digital services trade remains uneven across countries. Regulatory measures concerning data security, privacy protection, intellectual property rights, electronic transactions, and digital payments have contributed to the emergence of digital services trade barriers. Unlike traditional tariffs, these barriers indirectly affect manufacturing exports by increasing the cost and reducing the efficiency of firms’ access to and use of digital services.</w:t>
      </w:r>
    </w:p>
    <w:p w14:paraId="45309C65" w14:textId="77777777" w:rsidR="00F253D1" w:rsidRPr="006F48FA" w:rsidRDefault="00000000">
      <w:pPr>
        <w:ind w:firstLineChars="200" w:firstLine="480"/>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Existing studies mainly examine digital trade restrictions and export quality separately. This paper combines the OECD DSTRI with industry-level digital input intensity to construct a country–industry-level measure of digital services trade barriers. Using Chinese manufacturing product–destination–year export data from 2014–2023, this study examines the impact of digital services trade barriers on export product quality and the moderating role of destination-country institutional quality.</w:t>
      </w:r>
    </w:p>
    <w:p w14:paraId="74ECB4BE" w14:textId="77777777" w:rsidR="00F253D1" w:rsidRPr="006F48FA" w:rsidRDefault="00F253D1">
      <w:pPr>
        <w:rPr>
          <w:rFonts w:ascii="Times New Roman" w:eastAsia="SimSun" w:hAnsi="Times New Roman" w:cs="Times New Roman"/>
          <w:color w:val="000000" w:themeColor="text1"/>
          <w:kern w:val="0"/>
          <w:sz w:val="24"/>
          <w:lang w:bidi="ar"/>
        </w:rPr>
      </w:pPr>
    </w:p>
    <w:p w14:paraId="37DEC600"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2. Literature review</w:t>
      </w:r>
    </w:p>
    <w:p w14:paraId="59777362"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2.1. Digital services trade barriers</w:t>
      </w:r>
    </w:p>
    <w:p w14:paraId="46A34B08"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The OECD Digital Services Trade Restrictiveness Index (DSTRI) and the ECIPE Digital Trade Restrictiveness Index (DTRI) are widely used to measure such restrictions. Among them, the DSTRI </w:t>
      </w:r>
      <w:r w:rsidRPr="006F48FA">
        <w:rPr>
          <w:rFonts w:ascii="Times New Roman" w:hAnsi="Times New Roman" w:cs="Times New Roman"/>
          <w:color w:val="000000" w:themeColor="text1"/>
          <w:sz w:val="24"/>
        </w:rPr>
        <w:lastRenderedPageBreak/>
        <w:t xml:space="preserve">captures restrictions in infrastructure, electronic transactions, payment systems, intellectual property rights, and other policy areas </w:t>
      </w:r>
      <w:r w:rsidRPr="006F48FA">
        <w:rPr>
          <w:rFonts w:ascii="Times New Roman" w:hAnsi="Times New Roman" w:cs="Times New Roman"/>
          <w:color w:val="000000" w:themeColor="text1"/>
          <w:sz w:val="24"/>
          <w:vertAlign w:val="superscript"/>
        </w:rPr>
        <w:t>[1]</w:t>
      </w:r>
      <w:r w:rsidRPr="006F48FA">
        <w:rPr>
          <w:rFonts w:ascii="Times New Roman" w:hAnsi="Times New Roman" w:cs="Times New Roman"/>
          <w:color w:val="000000" w:themeColor="text1"/>
          <w:sz w:val="24"/>
        </w:rPr>
        <w:t>.</w:t>
      </w:r>
    </w:p>
    <w:p w14:paraId="1B2139C3" w14:textId="77777777" w:rsidR="00F253D1" w:rsidRPr="006F48FA" w:rsidRDefault="00F253D1">
      <w:pPr>
        <w:rPr>
          <w:rFonts w:ascii="Times New Roman" w:hAnsi="Times New Roman" w:cs="Times New Roman"/>
          <w:color w:val="000000" w:themeColor="text1"/>
          <w:sz w:val="24"/>
        </w:rPr>
      </w:pPr>
    </w:p>
    <w:p w14:paraId="1910C4DE"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2.2. Export product quality and its determinants</w:t>
      </w:r>
    </w:p>
    <w:p w14:paraId="335D2E13"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Export product quality reflects manufacturing competitiveness and export upgrading. Unlike export volume or price, quality emphasizes vertical differentiation among similar products. Hallak and Schott, and Khandelwal et al. measure product quality using structural demand models, which have been widely applied in subsequent studies </w:t>
      </w:r>
      <w:r w:rsidRPr="006F48FA">
        <w:rPr>
          <w:rFonts w:ascii="Times New Roman" w:hAnsi="Times New Roman" w:cs="Times New Roman"/>
          <w:color w:val="000000" w:themeColor="text1"/>
          <w:sz w:val="24"/>
          <w:vertAlign w:val="superscript"/>
        </w:rPr>
        <w:t>[2–3]</w:t>
      </w:r>
      <w:r w:rsidRPr="006F48FA">
        <w:rPr>
          <w:rFonts w:ascii="Times New Roman" w:hAnsi="Times New Roman" w:cs="Times New Roman"/>
          <w:color w:val="000000" w:themeColor="text1"/>
          <w:sz w:val="24"/>
        </w:rPr>
        <w:t>.</w:t>
      </w:r>
    </w:p>
    <w:p w14:paraId="18BD55F0" w14:textId="2566A03C" w:rsidR="00F253D1" w:rsidRPr="006F48FA" w:rsidRDefault="00000000">
      <w:pPr>
        <w:ind w:firstLineChars="200" w:firstLine="480"/>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Digital economic development promotes quality upgrading by reducing information frictions and search costs, while trade barriers and institutional costs influence quality through cost adjustment and technological upgrading mechanisms </w:t>
      </w:r>
      <w:r w:rsidRPr="006F48FA">
        <w:rPr>
          <w:rFonts w:ascii="Times New Roman" w:hAnsi="Times New Roman" w:cs="Times New Roman"/>
          <w:color w:val="000000" w:themeColor="text1"/>
          <w:sz w:val="24"/>
          <w:vertAlign w:val="superscript"/>
        </w:rPr>
        <w:t>[4</w:t>
      </w:r>
      <w:r w:rsidR="006F48FA" w:rsidRPr="006F48FA">
        <w:rPr>
          <w:rFonts w:ascii="Times New Roman" w:hAnsi="Times New Roman" w:cs="Times New Roman"/>
          <w:color w:val="000000" w:themeColor="text1"/>
          <w:sz w:val="24"/>
          <w:vertAlign w:val="superscript"/>
        </w:rPr>
        <w:t>–</w:t>
      </w:r>
      <w:r w:rsidRPr="006F48FA">
        <w:rPr>
          <w:rFonts w:ascii="Times New Roman" w:hAnsi="Times New Roman" w:cs="Times New Roman"/>
          <w:color w:val="000000" w:themeColor="text1"/>
          <w:sz w:val="24"/>
          <w:vertAlign w:val="superscript"/>
        </w:rPr>
        <w:t>6]</w:t>
      </w:r>
      <w:r w:rsidRPr="006F48FA">
        <w:rPr>
          <w:rFonts w:ascii="Times New Roman" w:hAnsi="Times New Roman" w:cs="Times New Roman"/>
          <w:color w:val="000000" w:themeColor="text1"/>
          <w:sz w:val="24"/>
        </w:rPr>
        <w:t>.</w:t>
      </w:r>
    </w:p>
    <w:p w14:paraId="2B16D69A" w14:textId="77777777" w:rsidR="00F253D1" w:rsidRPr="006F48FA" w:rsidRDefault="00F253D1">
      <w:pPr>
        <w:rPr>
          <w:rFonts w:ascii="Times New Roman" w:hAnsi="Times New Roman" w:cs="Times New Roman"/>
          <w:color w:val="000000" w:themeColor="text1"/>
          <w:sz w:val="24"/>
        </w:rPr>
      </w:pPr>
    </w:p>
    <w:p w14:paraId="32969328"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2.3. The impact of digital services trade barriers on manufacturing activities</w:t>
      </w:r>
    </w:p>
    <w:p w14:paraId="55983D7F" w14:textId="550DE429"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As digital services increasingly become important intermediate inputs, restrictions on digital service utilization may reduce firms’ access to digital resources and weaken production efficiency </w:t>
      </w:r>
      <w:r w:rsidRPr="006F48FA">
        <w:rPr>
          <w:rFonts w:ascii="Times New Roman" w:hAnsi="Times New Roman" w:cs="Times New Roman"/>
          <w:color w:val="000000" w:themeColor="text1"/>
          <w:sz w:val="24"/>
          <w:vertAlign w:val="superscript"/>
        </w:rPr>
        <w:t>[7</w:t>
      </w:r>
      <w:r w:rsidR="008C4888">
        <w:rPr>
          <w:rFonts w:ascii="Times New Roman" w:hAnsi="Times New Roman" w:cs="Times New Roman"/>
          <w:color w:val="000000" w:themeColor="text1"/>
          <w:sz w:val="24"/>
          <w:vertAlign w:val="superscript"/>
        </w:rPr>
        <w:t>–</w:t>
      </w:r>
      <w:r w:rsidRPr="006F48FA">
        <w:rPr>
          <w:rFonts w:ascii="Times New Roman" w:hAnsi="Times New Roman" w:cs="Times New Roman"/>
          <w:color w:val="000000" w:themeColor="text1"/>
          <w:sz w:val="24"/>
          <w:vertAlign w:val="superscript"/>
        </w:rPr>
        <w:t>8]</w:t>
      </w:r>
      <w:r w:rsidRPr="006F48FA">
        <w:rPr>
          <w:rFonts w:ascii="Times New Roman" w:hAnsi="Times New Roman" w:cs="Times New Roman"/>
          <w:color w:val="000000" w:themeColor="text1"/>
          <w:sz w:val="24"/>
        </w:rPr>
        <w:t xml:space="preserve">. Recent research also finds that digital trade barriers negatively affect export product quality upgrading by increasing transaction costs and limiting firms’ ability to utilize digital resources </w:t>
      </w:r>
      <w:r w:rsidRPr="006F48FA">
        <w:rPr>
          <w:rFonts w:ascii="Times New Roman" w:hAnsi="Times New Roman" w:cs="Times New Roman"/>
          <w:color w:val="000000" w:themeColor="text1"/>
          <w:sz w:val="24"/>
          <w:vertAlign w:val="superscript"/>
        </w:rPr>
        <w:t>[9</w:t>
      </w:r>
      <w:r w:rsidR="006F48FA" w:rsidRPr="006F48FA">
        <w:rPr>
          <w:rFonts w:ascii="Times New Roman" w:hAnsi="Times New Roman" w:cs="Times New Roman"/>
          <w:color w:val="000000" w:themeColor="text1"/>
          <w:sz w:val="24"/>
          <w:vertAlign w:val="superscript"/>
        </w:rPr>
        <w:t>–</w:t>
      </w:r>
      <w:r w:rsidRPr="006F48FA">
        <w:rPr>
          <w:rFonts w:ascii="Times New Roman" w:hAnsi="Times New Roman" w:cs="Times New Roman"/>
          <w:color w:val="000000" w:themeColor="text1"/>
          <w:sz w:val="24"/>
          <w:vertAlign w:val="superscript"/>
        </w:rPr>
        <w:t>11]</w:t>
      </w:r>
      <w:r w:rsidRPr="006F48FA">
        <w:rPr>
          <w:rFonts w:ascii="Times New Roman" w:hAnsi="Times New Roman" w:cs="Times New Roman"/>
          <w:color w:val="000000" w:themeColor="text1"/>
          <w:sz w:val="24"/>
        </w:rPr>
        <w:t>.</w:t>
      </w:r>
    </w:p>
    <w:p w14:paraId="2BD26BEE" w14:textId="77777777" w:rsidR="00F253D1" w:rsidRPr="006F48FA" w:rsidRDefault="00F253D1">
      <w:pPr>
        <w:rPr>
          <w:rFonts w:ascii="Times New Roman" w:hAnsi="Times New Roman" w:cs="Times New Roman"/>
          <w:color w:val="000000" w:themeColor="text1"/>
          <w:sz w:val="24"/>
        </w:rPr>
      </w:pPr>
    </w:p>
    <w:p w14:paraId="4C7C146B"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2.4. Literature review and research contributions</w:t>
      </w:r>
    </w:p>
    <w:p w14:paraId="4F281A32"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Existing studies provide important foundations for understanding digital services trade barriers and export product quality. However, the role of destination-country institutional quality in mitigating the negative effects of digital services trade barriers requires further investigation.</w:t>
      </w:r>
    </w:p>
    <w:p w14:paraId="5081DB63" w14:textId="77777777" w:rsidR="00F253D1" w:rsidRPr="006F48FA" w:rsidRDefault="00000000">
      <w:pPr>
        <w:ind w:firstLineChars="200" w:firstLine="480"/>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Therefore, this paper combines destination-country DSTRI with industry-level digital input intensity to construct a country–industry measure of digital services trade barriers and examines their impact on China’s manufacturing export product quality. Furthermore, this paper investigates the moderating role of institutional quality.</w:t>
      </w:r>
    </w:p>
    <w:p w14:paraId="20CA3C09" w14:textId="77777777" w:rsidR="00F253D1" w:rsidRPr="006F48FA" w:rsidRDefault="00F253D1">
      <w:pPr>
        <w:rPr>
          <w:rFonts w:ascii="Times New Roman" w:hAnsi="Times New Roman" w:cs="Times New Roman"/>
          <w:color w:val="000000" w:themeColor="text1"/>
          <w:sz w:val="24"/>
        </w:rPr>
      </w:pPr>
    </w:p>
    <w:p w14:paraId="096DDB4C"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3. Theoretical analysis and research hypotheses</w:t>
      </w:r>
    </w:p>
    <w:p w14:paraId="5682A4A9"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3.1. The impact of digital services trade barriers on export product quality</w:t>
      </w:r>
    </w:p>
    <w:p w14:paraId="60375639" w14:textId="13B69812"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However, digital services trade barriers restrict firms’ access to digital service inputs through limitations on data flows, electronic transactions, and digital platforms </w:t>
      </w:r>
      <w:r w:rsidRPr="006F48FA">
        <w:rPr>
          <w:rFonts w:ascii="Times New Roman" w:hAnsi="Times New Roman" w:cs="Times New Roman"/>
          <w:color w:val="000000" w:themeColor="text1"/>
          <w:sz w:val="24"/>
          <w:vertAlign w:val="superscript"/>
        </w:rPr>
        <w:t>[12</w:t>
      </w:r>
      <w:r w:rsidR="006F48FA" w:rsidRPr="006F48FA">
        <w:rPr>
          <w:rFonts w:ascii="Times New Roman" w:hAnsi="Times New Roman" w:cs="Times New Roman"/>
          <w:color w:val="000000" w:themeColor="text1"/>
          <w:sz w:val="24"/>
          <w:vertAlign w:val="superscript"/>
        </w:rPr>
        <w:t>–</w:t>
      </w:r>
      <w:r w:rsidRPr="006F48FA">
        <w:rPr>
          <w:rFonts w:ascii="Times New Roman" w:hAnsi="Times New Roman" w:cs="Times New Roman"/>
          <w:color w:val="000000" w:themeColor="text1"/>
          <w:sz w:val="24"/>
          <w:vertAlign w:val="superscript"/>
        </w:rPr>
        <w:t>13]</w:t>
      </w:r>
      <w:r w:rsidRPr="006F48FA">
        <w:rPr>
          <w:rFonts w:ascii="Times New Roman" w:hAnsi="Times New Roman" w:cs="Times New Roman"/>
          <w:color w:val="000000" w:themeColor="text1"/>
          <w:sz w:val="24"/>
        </w:rPr>
        <w:t>. Consequently, firms may face greater difficulties in product innovation and quality upgrading.</w:t>
      </w:r>
    </w:p>
    <w:p w14:paraId="45F3B654"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Therefore, this paper proposes:</w:t>
      </w:r>
    </w:p>
    <w:p w14:paraId="31A68464"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H1: Digital services trade barriers have a significant negative impact on the quality of China’s manufacturing export products.</w:t>
      </w:r>
    </w:p>
    <w:p w14:paraId="67600F39" w14:textId="77777777" w:rsidR="00F253D1" w:rsidRPr="006F48FA" w:rsidRDefault="00F253D1">
      <w:pPr>
        <w:rPr>
          <w:rFonts w:ascii="Times New Roman" w:hAnsi="Times New Roman" w:cs="Times New Roman"/>
          <w:color w:val="000000" w:themeColor="text1"/>
          <w:sz w:val="24"/>
        </w:rPr>
      </w:pPr>
    </w:p>
    <w:p w14:paraId="5C31BBEE"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3.2. The moderating role of institutional quality</w:t>
      </w:r>
    </w:p>
    <w:p w14:paraId="7B037DDD" w14:textId="67DDA274"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Institutional quality influences firms’ international operations by shaping regulatory transparency, policy stability, and contractual protection </w:t>
      </w:r>
      <w:r w:rsidRPr="006F48FA">
        <w:rPr>
          <w:rFonts w:ascii="Times New Roman" w:hAnsi="Times New Roman" w:cs="Times New Roman"/>
          <w:color w:val="000000" w:themeColor="text1"/>
          <w:sz w:val="24"/>
          <w:vertAlign w:val="superscript"/>
        </w:rPr>
        <w:t>[14</w:t>
      </w:r>
      <w:r w:rsidR="006F48FA" w:rsidRPr="006F48FA">
        <w:rPr>
          <w:rFonts w:ascii="Times New Roman" w:hAnsi="Times New Roman" w:cs="Times New Roman"/>
          <w:color w:val="000000" w:themeColor="text1"/>
          <w:sz w:val="24"/>
          <w:vertAlign w:val="superscript"/>
        </w:rPr>
        <w:t>–</w:t>
      </w:r>
      <w:r w:rsidRPr="006F48FA">
        <w:rPr>
          <w:rFonts w:ascii="Times New Roman" w:hAnsi="Times New Roman" w:cs="Times New Roman"/>
          <w:color w:val="000000" w:themeColor="text1"/>
          <w:sz w:val="24"/>
          <w:vertAlign w:val="superscript"/>
        </w:rPr>
        <w:t>15]</w:t>
      </w:r>
      <w:r w:rsidRPr="006F48FA">
        <w:rPr>
          <w:rFonts w:ascii="Times New Roman" w:hAnsi="Times New Roman" w:cs="Times New Roman"/>
          <w:color w:val="000000" w:themeColor="text1"/>
          <w:sz w:val="24"/>
        </w:rPr>
        <w:t xml:space="preserve">. </w:t>
      </w:r>
    </w:p>
    <w:p w14:paraId="50007069" w14:textId="77777777" w:rsidR="00F253D1" w:rsidRPr="006F48FA" w:rsidRDefault="00000000">
      <w:pPr>
        <w:ind w:firstLineChars="200" w:firstLine="480"/>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Therefore, institutional quality may weaken the negative impact of digital services trade barriers on export product quality.</w:t>
      </w:r>
    </w:p>
    <w:p w14:paraId="3BE53FFD"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Accordingly, this paper proposes:</w:t>
      </w:r>
    </w:p>
    <w:p w14:paraId="64D4B090"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H2: Institutional quality mitigates the negative impact of digital services trade barriers on the quality of China’s manufacturing export products.</w:t>
      </w:r>
    </w:p>
    <w:p w14:paraId="4E86747B" w14:textId="77777777" w:rsidR="00F253D1" w:rsidRPr="006F48FA" w:rsidRDefault="00F253D1">
      <w:pPr>
        <w:rPr>
          <w:rFonts w:ascii="Times New Roman" w:hAnsi="Times New Roman" w:cs="Times New Roman"/>
          <w:color w:val="000000" w:themeColor="text1"/>
          <w:sz w:val="24"/>
        </w:rPr>
      </w:pPr>
    </w:p>
    <w:p w14:paraId="172F694E" w14:textId="77777777" w:rsidR="00F253D1" w:rsidRPr="006F48FA" w:rsidRDefault="00000000">
      <w:pPr>
        <w:rPr>
          <w:rFonts w:ascii="Times New Roman" w:eastAsia="SimSun" w:hAnsi="Times New Roman" w:cs="Times New Roman"/>
          <w:b/>
          <w:bCs/>
          <w:color w:val="000000" w:themeColor="text1"/>
          <w:kern w:val="0"/>
          <w:sz w:val="24"/>
          <w:lang w:bidi="ar"/>
        </w:rPr>
      </w:pPr>
      <w:r w:rsidRPr="006F48FA">
        <w:rPr>
          <w:rFonts w:ascii="Times New Roman" w:eastAsia="SimSun" w:hAnsi="Times New Roman" w:cs="Times New Roman"/>
          <w:b/>
          <w:bCs/>
          <w:color w:val="000000" w:themeColor="text1"/>
          <w:kern w:val="0"/>
          <w:sz w:val="24"/>
          <w:lang w:bidi="ar"/>
        </w:rPr>
        <w:t>4. Research design</w:t>
      </w:r>
    </w:p>
    <w:p w14:paraId="10E787EA" w14:textId="77777777" w:rsidR="00F253D1" w:rsidRPr="006F48FA" w:rsidRDefault="00000000">
      <w:pPr>
        <w:rPr>
          <w:rFonts w:ascii="Times New Roman" w:eastAsia="SimSun" w:hAnsi="Times New Roman" w:cs="Times New Roman"/>
          <w:b/>
          <w:bCs/>
          <w:color w:val="000000" w:themeColor="text1"/>
          <w:kern w:val="0"/>
          <w:sz w:val="24"/>
          <w:lang w:bidi="ar"/>
        </w:rPr>
      </w:pPr>
      <w:r w:rsidRPr="006F48FA">
        <w:rPr>
          <w:rFonts w:ascii="Times New Roman" w:eastAsia="SimSun" w:hAnsi="Times New Roman" w:cs="Times New Roman"/>
          <w:b/>
          <w:bCs/>
          <w:color w:val="000000" w:themeColor="text1"/>
          <w:kern w:val="0"/>
          <w:sz w:val="24"/>
          <w:lang w:bidi="ar"/>
        </w:rPr>
        <w:t>4.1. Variable measurement and model construction</w:t>
      </w:r>
    </w:p>
    <w:p w14:paraId="1D55E6CA"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4.1.1. Explanatory variable: Digital Services Trade Barrier Index (cdstri)</w:t>
      </w:r>
    </w:p>
    <w:p w14:paraId="0021DEBC"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The core explanatory variable is the digital services trade barrier index. Since the OECD Digital Services Trade Restrictiveness Index (DSTRI) is measured at the country level and manufacturing industries differ in their dependence on digital service inputs, this paper combines destination-country DSTRI with industry-level digital service input intensity to construct a country–industry-level indicator of digital services trade barriers, following Zhang G et al. </w:t>
      </w:r>
      <w:r w:rsidRPr="006F48FA">
        <w:rPr>
          <w:rFonts w:ascii="Times New Roman" w:hAnsi="Times New Roman" w:cs="Times New Roman"/>
          <w:color w:val="000000" w:themeColor="text1"/>
          <w:sz w:val="24"/>
          <w:vertAlign w:val="superscript"/>
        </w:rPr>
        <w:t>[10]</w:t>
      </w:r>
      <w:r w:rsidRPr="006F48FA">
        <w:rPr>
          <w:rFonts w:ascii="Times New Roman" w:hAnsi="Times New Roman" w:cs="Times New Roman"/>
          <w:color w:val="000000" w:themeColor="text1"/>
          <w:sz w:val="24"/>
        </w:rPr>
        <w:t>.</w:t>
      </w:r>
    </w:p>
    <w:p w14:paraId="6971A53A"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Based on China’s 2017 input–output table, the digital service input intensity of industry kkk is calculated as:</w:t>
      </w:r>
    </w:p>
    <w:p w14:paraId="7E375381" w14:textId="77777777" w:rsidR="00F253D1" w:rsidRPr="006F48FA" w:rsidRDefault="00F253D1">
      <w:pPr>
        <w:rPr>
          <w:rFonts w:ascii="Times New Roman" w:hAnsi="Times New Roman" w:cs="Times New Roman"/>
          <w:color w:val="000000" w:themeColor="text1"/>
          <w:sz w:val="24"/>
        </w:rPr>
      </w:pPr>
    </w:p>
    <w:p w14:paraId="47DC9815" w14:textId="77777777" w:rsidR="00F253D1" w:rsidRPr="006F48FA" w:rsidRDefault="00000000">
      <w:pPr>
        <w:jc w:val="center"/>
        <w:rPr>
          <w:rFonts w:ascii="Times New Roman" w:hAnsi="Times New Roman" w:cs="Times New Roman"/>
          <w:i/>
          <w:color w:val="000000" w:themeColor="text1"/>
          <w:sz w:val="24"/>
        </w:rPr>
      </w:pP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m:oMath>
        <m:sSub>
          <m:sSubPr>
            <m:ctrlPr>
              <w:rPr>
                <w:rFonts w:ascii="Cambria Math" w:hAnsi="Cambria Math" w:cs="Times New Roman"/>
                <w:i/>
                <w:color w:val="000000" w:themeColor="text1"/>
                <w:sz w:val="24"/>
              </w:rPr>
            </m:ctrlPr>
          </m:sSubPr>
          <m:e>
            <m:r>
              <m:rPr>
                <m:nor/>
              </m:rPr>
              <w:rPr>
                <w:rFonts w:ascii="Times New Roman" w:hAnsi="Times New Roman" w:cs="Times New Roman"/>
                <w:i/>
                <w:color w:val="000000" w:themeColor="text1"/>
                <w:sz w:val="24"/>
              </w:rPr>
              <m:t>α</m:t>
            </m:r>
          </m:e>
          <m:sub>
            <m:r>
              <m:rPr>
                <m:nor/>
              </m:rPr>
              <w:rPr>
                <w:rFonts w:ascii="Times New Roman" w:hAnsi="Times New Roman" w:cs="Times New Roman"/>
                <w:i/>
                <w:color w:val="000000" w:themeColor="text1"/>
                <w:sz w:val="24"/>
              </w:rPr>
              <m:t>k</m:t>
            </m:r>
          </m:sub>
        </m:sSub>
        <m:r>
          <m:rPr>
            <m:nor/>
          </m:rPr>
          <w:rPr>
            <w:rFonts w:ascii="Times New Roman" w:hAnsi="Times New Roman" w:cs="Times New Roman"/>
            <w:i/>
            <w:color w:val="000000" w:themeColor="text1"/>
            <w:sz w:val="24"/>
          </w:rPr>
          <m:t>=</m:t>
        </m:r>
        <m:nary>
          <m:naryPr>
            <m:chr m:val="∑"/>
            <m:limLoc m:val="subSup"/>
            <m:supHide m:val="1"/>
            <m:ctrlPr>
              <w:rPr>
                <w:rFonts w:ascii="Cambria Math" w:hAnsi="Cambria Math" w:cs="Times New Roman"/>
                <w:i/>
                <w:color w:val="000000" w:themeColor="text1"/>
                <w:sz w:val="24"/>
              </w:rPr>
            </m:ctrlPr>
          </m:naryPr>
          <m:sub>
            <m:r>
              <m:rPr>
                <m:nor/>
              </m:rPr>
              <w:rPr>
                <w:rFonts w:ascii="Times New Roman" w:hAnsi="Times New Roman" w:cs="Times New Roman"/>
                <w:i/>
                <w:color w:val="000000" w:themeColor="text1"/>
                <w:sz w:val="24"/>
              </w:rPr>
              <m:t>s</m:t>
            </m:r>
            <m:r>
              <m:rPr>
                <m:nor/>
              </m:rPr>
              <w:rPr>
                <w:rFonts w:ascii="Cambria Math" w:hAnsi="Cambria Math" w:cs="Cambria Math"/>
                <w:i/>
                <w:color w:val="000000" w:themeColor="text1"/>
                <w:sz w:val="24"/>
              </w:rPr>
              <m:t>∈</m:t>
            </m:r>
            <m:r>
              <m:rPr>
                <m:nor/>
              </m:rPr>
              <w:rPr>
                <w:rFonts w:ascii="Times New Roman" w:hAnsi="Times New Roman" w:cs="Times New Roman"/>
                <w:i/>
                <w:color w:val="000000" w:themeColor="text1"/>
                <w:sz w:val="24"/>
              </w:rPr>
              <m:t>D</m:t>
            </m:r>
          </m:sub>
          <m:sup/>
          <m:e>
            <m:sSub>
              <m:sSubPr>
                <m:ctrlPr>
                  <w:rPr>
                    <w:rFonts w:ascii="Cambria Math" w:hAnsi="Cambria Math" w:cs="Times New Roman"/>
                    <w:i/>
                    <w:color w:val="000000" w:themeColor="text1"/>
                    <w:sz w:val="24"/>
                  </w:rPr>
                </m:ctrlPr>
              </m:sSubPr>
              <m:e>
                <m:r>
                  <m:rPr>
                    <m:nor/>
                  </m:rPr>
                  <w:rPr>
                    <w:rFonts w:ascii="Times New Roman" w:hAnsi="Times New Roman" w:cs="Times New Roman"/>
                    <w:i/>
                    <w:color w:val="000000" w:themeColor="text1"/>
                    <w:sz w:val="24"/>
                  </w:rPr>
                  <m:t>α</m:t>
                </m:r>
              </m:e>
              <m:sub>
                <m:r>
                  <m:rPr>
                    <m:nor/>
                  </m:rPr>
                  <w:rPr>
                    <w:rFonts w:ascii="Times New Roman" w:hAnsi="Times New Roman" w:cs="Times New Roman"/>
                    <w:i/>
                    <w:color w:val="000000" w:themeColor="text1"/>
                    <w:sz w:val="24"/>
                  </w:rPr>
                  <m:t>ks</m:t>
                </m:r>
              </m:sub>
            </m:sSub>
          </m:e>
        </m:nary>
      </m:oMath>
      <w:r w:rsidRPr="006F48FA">
        <w:rPr>
          <w:rFonts w:ascii="Times New Roman" w:hAnsi="Times New Roman" w:cs="Times New Roman"/>
          <w:i/>
          <w:color w:val="000000" w:themeColor="text1"/>
          <w:sz w:val="24"/>
        </w:rPr>
        <w:t xml:space="preserve"> </w:t>
      </w:r>
      <w:r w:rsidRPr="006F48FA">
        <w:rPr>
          <w:rFonts w:ascii="Times New Roman" w:hAnsi="Times New Roman" w:cs="Times New Roman"/>
          <w:i/>
          <w:color w:val="000000" w:themeColor="text1"/>
          <w:sz w:val="24"/>
        </w:rPr>
        <w:tab/>
      </w:r>
      <w:r w:rsidRPr="006F48FA">
        <w:rPr>
          <w:rFonts w:ascii="Times New Roman" w:hAnsi="Times New Roman" w:cs="Times New Roman"/>
          <w:i/>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
          <w:color w:val="000000" w:themeColor="text1"/>
          <w:sz w:val="24"/>
        </w:rPr>
        <w:tab/>
      </w:r>
      <w:r w:rsidRPr="006F48FA">
        <w:rPr>
          <w:rFonts w:ascii="Times New Roman" w:hAnsi="Times New Roman" w:cs="Times New Roman"/>
          <w:iCs/>
          <w:color w:val="000000" w:themeColor="text1"/>
          <w:sz w:val="24"/>
        </w:rPr>
        <w:t>(1)</w:t>
      </w:r>
    </w:p>
    <w:p w14:paraId="223A3D4E" w14:textId="77777777" w:rsidR="00F253D1" w:rsidRPr="006F48FA" w:rsidRDefault="00F253D1">
      <w:pPr>
        <w:rPr>
          <w:rFonts w:ascii="Times New Roman" w:eastAsia="SimSun" w:hAnsi="Times New Roman" w:cs="Times New Roman"/>
          <w:color w:val="000000" w:themeColor="text1"/>
          <w:kern w:val="0"/>
          <w:sz w:val="24"/>
          <w:lang w:bidi="ar"/>
        </w:rPr>
      </w:pPr>
    </w:p>
    <w:p w14:paraId="74C33AB0" w14:textId="77777777" w:rsidR="00F253D1" w:rsidRPr="006F48FA" w:rsidRDefault="00000000">
      <w:pPr>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where</w:t>
      </w: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 xml:space="preserve"> α</m:t>
            </m:r>
          </m:e>
          <m:sub>
            <m:r>
              <w:rPr>
                <w:rFonts w:ascii="Cambria Math" w:hAnsi="Cambria Math" w:cs="Times New Roman"/>
                <w:color w:val="000000" w:themeColor="text1"/>
                <w:sz w:val="24"/>
              </w:rPr>
              <m:t>k</m:t>
            </m:r>
          </m:sub>
        </m:sSub>
        <m:r>
          <m:rPr>
            <m:sty m:val="p"/>
          </m:rPr>
          <w:rPr>
            <w:rFonts w:ascii="Cambria Math" w:hAnsi="Cambria Math" w:cs="Times New Roman"/>
            <w:color w:val="000000" w:themeColor="text1"/>
            <w:sz w:val="24"/>
          </w:rPr>
          <m:t xml:space="preserve"> </m:t>
        </m:r>
      </m:oMath>
      <w:r w:rsidRPr="006F48FA">
        <w:rPr>
          <w:rFonts w:ascii="Times New Roman" w:eastAsia="SimSun" w:hAnsi="Times New Roman" w:cs="Times New Roman"/>
          <w:color w:val="000000" w:themeColor="text1"/>
          <w:kern w:val="0"/>
          <w:sz w:val="24"/>
          <w:lang w:bidi="ar"/>
        </w:rPr>
        <w:t xml:space="preserve">represents the digital input intensity of manufacturing industry </w:t>
      </w:r>
      <m:oMath>
        <m:r>
          <w:rPr>
            <w:rFonts w:ascii="Cambria Math" w:hAnsi="Cambria Math" w:cs="Times New Roman"/>
            <w:color w:val="000000" w:themeColor="text1"/>
            <w:sz w:val="24"/>
          </w:rPr>
          <m:t>k</m:t>
        </m:r>
      </m:oMath>
      <w:r w:rsidRPr="006F48FA">
        <w:rPr>
          <w:rFonts w:ascii="Times New Roman" w:eastAsia="SimSun" w:hAnsi="Times New Roman" w:cs="Times New Roman"/>
          <w:color w:val="000000" w:themeColor="text1"/>
          <w:kern w:val="0"/>
          <w:sz w:val="24"/>
          <w:lang w:bidi="ar"/>
        </w:rPr>
        <w:t xml:space="preserve">; </w:t>
      </w: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α</m:t>
            </m:r>
          </m:e>
          <m:sub>
            <m:r>
              <w:rPr>
                <w:rFonts w:ascii="Cambria Math" w:hAnsi="Cambria Math" w:cs="Times New Roman"/>
                <w:color w:val="000000" w:themeColor="text1"/>
                <w:sz w:val="24"/>
              </w:rPr>
              <m:t>ks</m:t>
            </m:r>
          </m:sub>
        </m:sSub>
      </m:oMath>
      <w:r w:rsidRPr="006F48FA">
        <w:rPr>
          <w:rFonts w:ascii="Times New Roman" w:eastAsia="SimSun" w:hAnsi="Times New Roman" w:cs="Times New Roman"/>
          <w:color w:val="000000" w:themeColor="text1"/>
          <w:sz w:val="24"/>
        </w:rPr>
        <w:t xml:space="preserve"> </w:t>
      </w:r>
      <w:r w:rsidRPr="006F48FA">
        <w:rPr>
          <w:rFonts w:ascii="Times New Roman" w:eastAsia="SimSun" w:hAnsi="Times New Roman" w:cs="Times New Roman"/>
          <w:color w:val="000000" w:themeColor="text1"/>
          <w:kern w:val="0"/>
          <w:sz w:val="24"/>
          <w:lang w:bidi="ar"/>
        </w:rPr>
        <w:t>represents the proportion of the digital service sector</w:t>
      </w:r>
      <m:oMath>
        <m:r>
          <w:rPr>
            <w:rFonts w:ascii="Cambria Math" w:eastAsia="SimSun" w:hAnsi="Cambria Math" w:cs="Times New Roman"/>
            <w:color w:val="000000" w:themeColor="text1"/>
            <w:kern w:val="0"/>
            <w:sz w:val="24"/>
            <w:lang w:bidi="ar"/>
          </w:rPr>
          <m:t xml:space="preserve"> </m:t>
        </m:r>
        <m:r>
          <w:rPr>
            <w:rFonts w:ascii="Cambria Math" w:hAnsi="Cambria Math" w:cs="Times New Roman"/>
            <w:color w:val="000000" w:themeColor="text1"/>
            <w:sz w:val="24"/>
          </w:rPr>
          <m:t xml:space="preserve">s </m:t>
        </m:r>
      </m:oMath>
      <w:r w:rsidRPr="006F48FA">
        <w:rPr>
          <w:rFonts w:ascii="Times New Roman" w:eastAsia="SimSun" w:hAnsi="Times New Roman" w:cs="Times New Roman"/>
          <w:color w:val="000000" w:themeColor="text1"/>
          <w:kern w:val="0"/>
          <w:sz w:val="24"/>
          <w:lang w:bidi="ar"/>
        </w:rPr>
        <w:t>used as an intermediate input by industry</w:t>
      </w:r>
      <m:oMath>
        <m:r>
          <w:rPr>
            <w:rFonts w:ascii="Cambria Math" w:eastAsia="SimSun" w:hAnsi="Cambria Math" w:cs="Times New Roman"/>
            <w:color w:val="000000" w:themeColor="text1"/>
            <w:kern w:val="0"/>
            <w:sz w:val="24"/>
            <w:lang w:bidi="ar"/>
          </w:rPr>
          <m:t xml:space="preserve"> </m:t>
        </m:r>
        <m:r>
          <w:rPr>
            <w:rFonts w:ascii="Cambria Math" w:hAnsi="Cambria Math" w:cs="Times New Roman"/>
            <w:color w:val="000000" w:themeColor="text1"/>
            <w:sz w:val="24"/>
          </w:rPr>
          <m:t>k</m:t>
        </m:r>
        <m:r>
          <m:rPr>
            <m:sty m:val="p"/>
          </m:rPr>
          <w:rPr>
            <w:rFonts w:ascii="Cambria Math" w:hAnsi="Cambria Math" w:cs="Times New Roman"/>
            <w:color w:val="000000" w:themeColor="text1"/>
            <w:sz w:val="24"/>
          </w:rPr>
          <m:t xml:space="preserve"> </m:t>
        </m:r>
      </m:oMath>
      <w:r w:rsidRPr="006F48FA">
        <w:rPr>
          <w:rFonts w:ascii="Times New Roman" w:eastAsia="SimSun" w:hAnsi="Times New Roman" w:cs="Times New Roman"/>
          <w:color w:val="000000" w:themeColor="text1"/>
          <w:kern w:val="0"/>
          <w:sz w:val="24"/>
          <w:lang w:bidi="ar"/>
        </w:rPr>
        <w:t>; and</w:t>
      </w:r>
      <m:oMath>
        <m:r>
          <w:rPr>
            <w:rFonts w:ascii="Cambria Math" w:eastAsia="SimSun" w:hAnsi="Cambria Math" w:cs="Times New Roman"/>
            <w:color w:val="000000" w:themeColor="text1"/>
            <w:kern w:val="0"/>
            <w:sz w:val="24"/>
            <w:lang w:bidi="ar"/>
          </w:rPr>
          <m:t xml:space="preserve">  </m:t>
        </m:r>
        <m:r>
          <w:rPr>
            <w:rFonts w:ascii="Cambria Math" w:hAnsi="Cambria Math" w:cs="Times New Roman"/>
            <w:color w:val="000000" w:themeColor="text1"/>
            <w:sz w:val="24"/>
          </w:rPr>
          <m:t xml:space="preserve">D  </m:t>
        </m:r>
      </m:oMath>
      <w:r w:rsidRPr="006F48FA">
        <w:rPr>
          <w:rFonts w:ascii="Times New Roman" w:eastAsia="SimSun" w:hAnsi="Times New Roman" w:cs="Times New Roman"/>
          <w:color w:val="000000" w:themeColor="text1"/>
          <w:kern w:val="0"/>
          <w:sz w:val="24"/>
          <w:lang w:bidi="ar"/>
        </w:rPr>
        <w:t>represents the set of digital service sectors.</w:t>
      </w:r>
    </w:p>
    <w:p w14:paraId="00AF62B5"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The digital services trade barrier index is then constructed as:</w:t>
      </w:r>
    </w:p>
    <w:p w14:paraId="4D87D5B5" w14:textId="77777777" w:rsidR="00F253D1" w:rsidRPr="006F48FA" w:rsidRDefault="00F253D1">
      <w:pPr>
        <w:rPr>
          <w:rFonts w:ascii="Times New Roman" w:hAnsi="Times New Roman" w:cs="Times New Roman"/>
          <w:color w:val="000000" w:themeColor="text1"/>
          <w:sz w:val="24"/>
        </w:rPr>
      </w:pPr>
    </w:p>
    <w:p w14:paraId="636A7B77" w14:textId="77777777" w:rsidR="00F253D1" w:rsidRPr="006F48FA" w:rsidRDefault="00000000">
      <w:pPr>
        <w:jc w:val="center"/>
        <w:rPr>
          <w:rFonts w:ascii="Times New Roman" w:hAnsi="Times New Roman" w:cs="Times New Roman"/>
          <w:i/>
          <w:color w:val="000000" w:themeColor="text1"/>
          <w:sz w:val="24"/>
        </w:rPr>
      </w:pP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m:oMath>
        <m:r>
          <w:rPr>
            <w:rFonts w:ascii="Cambria Math" w:hAnsi="Cambria Math" w:cs="Times New Roman"/>
            <w:color w:val="000000" w:themeColor="text1"/>
            <w:sz w:val="24"/>
          </w:rPr>
          <m:t>cdstr</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i</m:t>
            </m:r>
          </m:e>
          <m:sub>
            <m:r>
              <w:rPr>
                <w:rFonts w:ascii="Cambria Math" w:hAnsi="Cambria Math" w:cs="Times New Roman"/>
                <w:color w:val="000000" w:themeColor="text1"/>
                <w:sz w:val="24"/>
              </w:rPr>
              <m:t>dkt</m:t>
            </m:r>
          </m:sub>
        </m:sSub>
        <m:r>
          <w:rPr>
            <w:rFonts w:ascii="Cambria Math" w:hAnsi="Cambria Math" w:cs="Times New Roman"/>
            <w:color w:val="000000" w:themeColor="text1"/>
            <w:sz w:val="24"/>
          </w:rPr>
          <m:t>=</m:t>
        </m:r>
        <m:func>
          <m:funcPr>
            <m:ctrlPr>
              <w:rPr>
                <w:rFonts w:ascii="Cambria Math" w:hAnsi="Cambria Math" w:cs="Times New Roman"/>
                <w:i/>
                <w:color w:val="000000" w:themeColor="text1"/>
                <w:sz w:val="24"/>
              </w:rPr>
            </m:ctrlPr>
          </m:funcPr>
          <m:fName>
            <m:r>
              <w:rPr>
                <w:rFonts w:ascii="Cambria Math" w:hAnsi="Cambria Math" w:cs="Times New Roman"/>
                <w:color w:val="000000" w:themeColor="text1"/>
                <w:sz w:val="24"/>
              </w:rPr>
              <m:t>ln</m:t>
            </m:r>
          </m:fName>
          <m:e>
            <m:d>
              <m:dPr>
                <m:ctrlPr>
                  <w:rPr>
                    <w:rFonts w:ascii="Cambria Math" w:hAnsi="Cambria Math" w:cs="Times New Roman"/>
                    <w:i/>
                    <w:color w:val="000000" w:themeColor="text1"/>
                    <w:sz w:val="24"/>
                  </w:rPr>
                </m:ctrlPr>
              </m:dPr>
              <m:e>
                <m:r>
                  <w:rPr>
                    <w:rFonts w:ascii="Cambria Math" w:hAnsi="Cambria Math" w:cs="Times New Roman"/>
                    <w:color w:val="000000" w:themeColor="text1"/>
                    <w:sz w:val="24"/>
                  </w:rPr>
                  <m:t>DSTR</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I</m:t>
                    </m:r>
                  </m:e>
                  <m:sub>
                    <m:r>
                      <w:rPr>
                        <w:rFonts w:ascii="Cambria Math" w:hAnsi="Cambria Math" w:cs="Times New Roman"/>
                        <w:color w:val="000000" w:themeColor="text1"/>
                        <w:sz w:val="24"/>
                      </w:rPr>
                      <m:t>dt</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α</m:t>
                    </m:r>
                  </m:e>
                  <m:sub>
                    <m:r>
                      <w:rPr>
                        <w:rFonts w:ascii="Cambria Math" w:hAnsi="Cambria Math" w:cs="Times New Roman"/>
                        <w:color w:val="000000" w:themeColor="text1"/>
                        <w:sz w:val="24"/>
                      </w:rPr>
                      <m:t>k</m:t>
                    </m:r>
                  </m:sub>
                </m:sSub>
              </m:e>
            </m:d>
          </m:e>
        </m:func>
      </m:oMath>
      <w:r w:rsidRPr="006F48FA">
        <w:rPr>
          <w:rFonts w:ascii="Times New Roman" w:hAnsi="Times New Roman" w:cs="Times New Roman"/>
          <w:iCs/>
          <w:color w:val="000000" w:themeColor="text1"/>
          <w:sz w:val="24"/>
        </w:rPr>
        <w:t xml:space="preserve"> </w:t>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t>(2)</w:t>
      </w:r>
    </w:p>
    <w:p w14:paraId="7AC5880B" w14:textId="77777777" w:rsidR="00F253D1" w:rsidRPr="006F48FA" w:rsidRDefault="00F253D1">
      <w:pPr>
        <w:rPr>
          <w:rFonts w:ascii="Times New Roman" w:eastAsia="SimSun" w:hAnsi="Times New Roman" w:cs="Times New Roman"/>
          <w:color w:val="000000" w:themeColor="text1"/>
          <w:kern w:val="0"/>
          <w:sz w:val="24"/>
          <w:lang w:bidi="ar"/>
        </w:rPr>
      </w:pPr>
    </w:p>
    <w:p w14:paraId="070F698A" w14:textId="77777777" w:rsidR="00F253D1" w:rsidRPr="006F48FA" w:rsidRDefault="00000000">
      <w:pPr>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Where</w:t>
      </w:r>
      <m:oMath>
        <m:r>
          <w:rPr>
            <w:rFonts w:ascii="Cambria Math" w:eastAsia="SimSun" w:hAnsi="Cambria Math" w:cs="Times New Roman"/>
            <w:color w:val="000000" w:themeColor="text1"/>
            <w:kern w:val="0"/>
            <w:sz w:val="24"/>
            <w:lang w:bidi="ar"/>
          </w:rPr>
          <m:t xml:space="preserve"> </m:t>
        </m:r>
        <m:r>
          <w:rPr>
            <w:rFonts w:ascii="Cambria Math" w:eastAsia="SimSun" w:hAnsi="Cambria Math" w:cs="Times New Roman"/>
            <w:color w:val="000000" w:themeColor="text1"/>
            <w:sz w:val="24"/>
          </w:rPr>
          <m:t>cdstr</m:t>
        </m:r>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i</m:t>
            </m:r>
          </m:e>
          <m:sub>
            <m:r>
              <w:rPr>
                <w:rFonts w:ascii="Cambria Math" w:eastAsia="SimSun" w:hAnsi="Cambria Math" w:cs="Times New Roman"/>
                <w:color w:val="000000" w:themeColor="text1"/>
                <w:sz w:val="24"/>
              </w:rPr>
              <m:t>dkt</m:t>
            </m:r>
            <m:r>
              <m:rPr>
                <m:sty m:val="p"/>
              </m:rPr>
              <w:rPr>
                <w:rFonts w:ascii="Cambria Math" w:eastAsia="SimSun" w:hAnsi="Cambria Math" w:cs="Times New Roman"/>
                <w:color w:val="000000" w:themeColor="text1"/>
                <w:sz w:val="24"/>
              </w:rPr>
              <m:t xml:space="preserve"> </m:t>
            </m:r>
          </m:sub>
        </m:sSub>
      </m:oMath>
      <w:r w:rsidRPr="006F48FA">
        <w:rPr>
          <w:rFonts w:ascii="Times New Roman" w:eastAsia="SimSun" w:hAnsi="Times New Roman" w:cs="Times New Roman"/>
          <w:color w:val="000000" w:themeColor="text1"/>
          <w:kern w:val="0"/>
          <w:sz w:val="24"/>
          <w:lang w:bidi="ar"/>
        </w:rPr>
        <w:t xml:space="preserve">represents the digital services trade barrier faced by the manufacturing industry </w:t>
      </w:r>
      <m:oMath>
        <m:r>
          <w:rPr>
            <w:rFonts w:ascii="Cambria Math" w:hAnsi="Cambria Math" w:cs="Times New Roman"/>
            <w:color w:val="000000" w:themeColor="text1"/>
            <w:sz w:val="24"/>
          </w:rPr>
          <m:t>k</m:t>
        </m:r>
      </m:oMath>
      <w:r w:rsidRPr="006F48FA">
        <w:rPr>
          <w:rFonts w:ascii="Times New Roman" w:eastAsia="SimSun" w:hAnsi="Times New Roman" w:cs="Times New Roman"/>
          <w:color w:val="000000" w:themeColor="text1"/>
          <w:kern w:val="0"/>
          <w:sz w:val="24"/>
          <w:lang w:bidi="ar"/>
        </w:rPr>
        <w:t xml:space="preserve"> from destination country </w:t>
      </w:r>
      <m:oMath>
        <m:r>
          <w:rPr>
            <w:rFonts w:ascii="Cambria Math" w:hAnsi="Cambria Math" w:cs="Times New Roman"/>
            <w:color w:val="000000" w:themeColor="text1"/>
            <w:sz w:val="24"/>
          </w:rPr>
          <m:t>d</m:t>
        </m:r>
      </m:oMath>
      <w:r w:rsidRPr="006F48FA">
        <w:rPr>
          <w:rFonts w:ascii="Times New Roman" w:eastAsia="SimSun" w:hAnsi="Times New Roman" w:cs="Times New Roman"/>
          <w:color w:val="000000" w:themeColor="text1"/>
          <w:kern w:val="0"/>
          <w:sz w:val="24"/>
          <w:lang w:bidi="ar"/>
        </w:rPr>
        <w:t xml:space="preserve"> in year </w:t>
      </w:r>
      <m:oMath>
        <m:r>
          <w:rPr>
            <w:rFonts w:ascii="Cambria Math" w:hAnsi="Cambria Math" w:cs="Times New Roman"/>
            <w:color w:val="000000" w:themeColor="text1"/>
            <w:sz w:val="24"/>
          </w:rPr>
          <m:t>t</m:t>
        </m:r>
      </m:oMath>
      <w:r w:rsidRPr="006F48FA">
        <w:rPr>
          <w:rFonts w:ascii="Times New Roman" w:eastAsia="SimSun" w:hAnsi="Times New Roman" w:cs="Times New Roman"/>
          <w:color w:val="000000" w:themeColor="text1"/>
          <w:kern w:val="0"/>
          <w:sz w:val="24"/>
          <w:lang w:bidi="ar"/>
        </w:rPr>
        <w:t xml:space="preserve">; </w:t>
      </w:r>
      <m:oMath>
        <m:r>
          <w:rPr>
            <w:rFonts w:ascii="Cambria Math" w:hAnsi="Cambria Math" w:cs="Times New Roman"/>
            <w:color w:val="000000" w:themeColor="text1"/>
            <w:sz w:val="24"/>
          </w:rPr>
          <m:t>DSTR</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I</m:t>
            </m:r>
          </m:e>
          <m:sub>
            <m:r>
              <w:rPr>
                <w:rFonts w:ascii="Cambria Math" w:hAnsi="Cambria Math" w:cs="Times New Roman"/>
                <w:color w:val="000000" w:themeColor="text1"/>
                <w:sz w:val="24"/>
              </w:rPr>
              <m:t>dt</m:t>
            </m:r>
          </m:sub>
        </m:sSub>
      </m:oMath>
      <w:r w:rsidRPr="006F48FA">
        <w:rPr>
          <w:rFonts w:ascii="Times New Roman" w:eastAsia="SimSun" w:hAnsi="Times New Roman" w:cs="Times New Roman"/>
          <w:color w:val="000000" w:themeColor="text1"/>
          <w:kern w:val="0"/>
          <w:sz w:val="24"/>
          <w:lang w:bidi="ar"/>
        </w:rPr>
        <w:t xml:space="preserve"> represents the digital services trade restrictiveness index of destination country</w:t>
      </w:r>
      <m:oMath>
        <m:r>
          <w:rPr>
            <w:rFonts w:ascii="Cambria Math" w:eastAsia="SimSun" w:hAnsi="Cambria Math" w:cs="Times New Roman"/>
            <w:color w:val="000000" w:themeColor="text1"/>
            <w:kern w:val="0"/>
            <w:sz w:val="24"/>
            <w:lang w:bidi="ar"/>
          </w:rPr>
          <m:t xml:space="preserve"> </m:t>
        </m:r>
        <m:r>
          <w:rPr>
            <w:rFonts w:ascii="Cambria Math" w:hAnsi="Cambria Math" w:cs="Times New Roman"/>
            <w:color w:val="000000" w:themeColor="text1"/>
            <w:sz w:val="24"/>
          </w:rPr>
          <m:t>d</m:t>
        </m:r>
        <m:r>
          <m:rPr>
            <m:sty m:val="p"/>
          </m:rPr>
          <w:rPr>
            <w:rFonts w:ascii="Cambria Math" w:hAnsi="Cambria Math" w:cs="Times New Roman"/>
            <w:color w:val="000000" w:themeColor="text1"/>
            <w:sz w:val="24"/>
          </w:rPr>
          <m:t xml:space="preserve"> </m:t>
        </m:r>
      </m:oMath>
      <w:r w:rsidRPr="006F48FA">
        <w:rPr>
          <w:rFonts w:ascii="Times New Roman" w:eastAsia="SimSun" w:hAnsi="Times New Roman" w:cs="Times New Roman"/>
          <w:color w:val="000000" w:themeColor="text1"/>
          <w:kern w:val="0"/>
          <w:sz w:val="24"/>
          <w:lang w:bidi="ar"/>
        </w:rPr>
        <w:t xml:space="preserve">in year </w:t>
      </w:r>
      <m:oMath>
        <m:r>
          <w:rPr>
            <w:rFonts w:ascii="Cambria Math" w:hAnsi="Cambria Math" w:cs="Times New Roman"/>
            <w:color w:val="000000" w:themeColor="text1"/>
            <w:sz w:val="24"/>
          </w:rPr>
          <m:t>t</m:t>
        </m:r>
      </m:oMath>
      <w:r w:rsidRPr="006F48FA">
        <w:rPr>
          <w:rFonts w:ascii="Times New Roman" w:eastAsia="SimSun" w:hAnsi="Times New Roman" w:cs="Times New Roman"/>
          <w:color w:val="000000" w:themeColor="text1"/>
          <w:kern w:val="0"/>
          <w:sz w:val="24"/>
          <w:lang w:bidi="ar"/>
        </w:rPr>
        <w:t xml:space="preserve">; and </w:t>
      </w: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α</m:t>
            </m:r>
          </m:e>
          <m:sub>
            <m:r>
              <w:rPr>
                <w:rFonts w:ascii="Cambria Math" w:hAnsi="Cambria Math" w:cs="Times New Roman"/>
                <w:color w:val="000000" w:themeColor="text1"/>
                <w:sz w:val="24"/>
              </w:rPr>
              <m:t>k</m:t>
            </m:r>
          </m:sub>
        </m:sSub>
      </m:oMath>
      <w:r w:rsidRPr="006F48FA">
        <w:rPr>
          <w:rFonts w:ascii="Times New Roman" w:hAnsi="Times New Roman" w:cs="Times New Roman"/>
          <w:color w:val="000000" w:themeColor="text1"/>
          <w:sz w:val="24"/>
        </w:rPr>
        <w:t xml:space="preserve"> </w:t>
      </w:r>
      <w:r w:rsidRPr="006F48FA">
        <w:rPr>
          <w:rFonts w:ascii="Times New Roman" w:eastAsia="SimSun" w:hAnsi="Times New Roman" w:cs="Times New Roman"/>
          <w:color w:val="000000" w:themeColor="text1"/>
          <w:kern w:val="0"/>
          <w:sz w:val="24"/>
          <w:lang w:bidi="ar"/>
        </w:rPr>
        <w:t xml:space="preserve">represents the digital service input intensity of industry </w:t>
      </w:r>
      <m:oMath>
        <m:r>
          <w:rPr>
            <w:rFonts w:ascii="Cambria Math" w:hAnsi="Cambria Math" w:cs="Times New Roman"/>
            <w:color w:val="000000" w:themeColor="text1"/>
            <w:sz w:val="24"/>
          </w:rPr>
          <m:t>k</m:t>
        </m:r>
      </m:oMath>
      <w:r w:rsidRPr="006F48FA">
        <w:rPr>
          <w:rFonts w:ascii="Times New Roman" w:eastAsia="SimSun" w:hAnsi="Times New Roman" w:cs="Times New Roman"/>
          <w:color w:val="000000" w:themeColor="text1"/>
          <w:kern w:val="0"/>
          <w:sz w:val="24"/>
          <w:lang w:bidi="ar"/>
        </w:rPr>
        <w:t>.</w:t>
      </w:r>
    </w:p>
    <w:p w14:paraId="755081E3" w14:textId="77777777" w:rsidR="00F253D1" w:rsidRPr="006F48FA" w:rsidRDefault="00000000">
      <w:pPr>
        <w:ind w:firstLineChars="200" w:firstLine="480"/>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This indicator captures both destination-country digital service restrictions and industry dependence on digital service inputs. A higher value indicates stronger digital services trade barriers faced by industries exporting to countries with stricter digital service regulations. Therefore, the expected coefficient is negative.</w:t>
      </w:r>
    </w:p>
    <w:p w14:paraId="742280F0" w14:textId="77777777" w:rsidR="00F253D1" w:rsidRPr="006F48FA" w:rsidRDefault="00F253D1">
      <w:pPr>
        <w:rPr>
          <w:rFonts w:ascii="Times New Roman" w:hAnsi="Times New Roman" w:cs="Times New Roman"/>
          <w:color w:val="000000" w:themeColor="text1"/>
          <w:sz w:val="24"/>
          <w:lang w:bidi="ar"/>
        </w:rPr>
      </w:pPr>
    </w:p>
    <w:p w14:paraId="2C93C87E"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4.1.2. Dependent variable: Export product quality (quality)</w:t>
      </w:r>
    </w:p>
    <w:p w14:paraId="3C7F5A52" w14:textId="77777777" w:rsidR="00F253D1" w:rsidRPr="006F48FA" w:rsidRDefault="00000000">
      <w:pPr>
        <w:rPr>
          <w:rFonts w:ascii="Times New Roman" w:hAnsi="Times New Roman" w:cs="Times New Roman"/>
          <w:color w:val="000000" w:themeColor="text1"/>
          <w:sz w:val="24"/>
          <w:lang w:bidi="ar"/>
        </w:rPr>
      </w:pPr>
      <w:r w:rsidRPr="006F48FA">
        <w:rPr>
          <w:rFonts w:ascii="Times New Roman" w:eastAsia="SimSun" w:hAnsi="Times New Roman" w:cs="Times New Roman"/>
          <w:color w:val="000000" w:themeColor="text1"/>
          <w:kern w:val="0"/>
          <w:sz w:val="24"/>
          <w:lang w:bidi="ar"/>
        </w:rPr>
        <w:t xml:space="preserve">The dependent variable is export product quality. Following Shi and Shao, this paper measures export product quality based on the CES demand framework </w:t>
      </w:r>
      <w:r w:rsidRPr="006F48FA">
        <w:rPr>
          <w:rFonts w:ascii="Times New Roman" w:eastAsia="SimSun" w:hAnsi="Times New Roman" w:cs="Times New Roman"/>
          <w:color w:val="000000" w:themeColor="text1"/>
          <w:kern w:val="0"/>
          <w:sz w:val="24"/>
          <w:vertAlign w:val="superscript"/>
          <w:lang w:bidi="ar"/>
        </w:rPr>
        <w:t>[16]</w:t>
      </w:r>
      <w:r w:rsidRPr="006F48FA">
        <w:rPr>
          <w:rFonts w:ascii="Times New Roman" w:eastAsia="SimSun" w:hAnsi="Times New Roman" w:cs="Times New Roman"/>
          <w:color w:val="000000" w:themeColor="text1"/>
          <w:kern w:val="0"/>
          <w:sz w:val="24"/>
          <w:lang w:bidi="ar"/>
        </w:rPr>
        <w:t>.</w:t>
      </w:r>
    </w:p>
    <w:p w14:paraId="7CB8DFBD" w14:textId="77777777" w:rsidR="00F253D1" w:rsidRPr="006F48FA" w:rsidRDefault="00000000">
      <w:pPr>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Assuming CES preferences among destination-country consumers, export product quality can be inferred from the demand equation:</w:t>
      </w:r>
    </w:p>
    <w:p w14:paraId="3784B3C5" w14:textId="77777777" w:rsidR="00F253D1" w:rsidRPr="006F48FA" w:rsidRDefault="00F253D1">
      <w:pPr>
        <w:rPr>
          <w:rFonts w:ascii="Times New Roman" w:eastAsia="SimSun" w:hAnsi="Times New Roman" w:cs="Times New Roman"/>
          <w:color w:val="000000" w:themeColor="text1"/>
          <w:kern w:val="0"/>
          <w:sz w:val="24"/>
          <w:lang w:bidi="ar"/>
        </w:rPr>
      </w:pPr>
    </w:p>
    <w:p w14:paraId="5D12968F" w14:textId="77777777" w:rsidR="00F253D1" w:rsidRPr="006F48FA" w:rsidRDefault="00F253D1">
      <w:pPr>
        <w:rPr>
          <w:rFonts w:ascii="Times New Roman" w:hAnsi="Times New Roman" w:cs="Times New Roman"/>
          <w:color w:val="000000" w:themeColor="text1"/>
          <w:sz w:val="24"/>
          <w:lang w:bidi="ar"/>
        </w:rPr>
      </w:pPr>
    </w:p>
    <w:p w14:paraId="5B6C61B3" w14:textId="77777777" w:rsidR="00F253D1" w:rsidRPr="006F48FA" w:rsidRDefault="00000000">
      <w:pPr>
        <w:jc w:val="center"/>
        <w:rPr>
          <w:rFonts w:ascii="Times New Roman" w:hAnsi="Times New Roman" w:cs="Times New Roman"/>
          <w:i/>
          <w:color w:val="000000" w:themeColor="text1"/>
          <w:sz w:val="24"/>
        </w:rPr>
      </w:pP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m:oMath>
        <m:func>
          <m:funcPr>
            <m:ctrlPr>
              <w:rPr>
                <w:rFonts w:ascii="Cambria Math" w:eastAsia="SimSun" w:hAnsi="Cambria Math" w:cs="Times New Roman"/>
                <w:color w:val="000000" w:themeColor="text1"/>
                <w:sz w:val="24"/>
              </w:rPr>
            </m:ctrlPr>
          </m:funcPr>
          <m:fName>
            <m:r>
              <m:rPr>
                <m:sty m:val="p"/>
              </m:rPr>
              <w:rPr>
                <w:rFonts w:ascii="Cambria Math" w:eastAsia="SimSun" w:hAnsi="Cambria Math" w:cs="Times New Roman"/>
                <w:color w:val="000000" w:themeColor="text1"/>
                <w:sz w:val="24"/>
              </w:rPr>
              <m:t>ln</m:t>
            </m:r>
          </m:fName>
          <m:e>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q</m:t>
                </m:r>
              </m:e>
              <m:sub>
                <m:r>
                  <w:rPr>
                    <w:rFonts w:ascii="Cambria Math" w:eastAsia="SimSun" w:hAnsi="Cambria Math" w:cs="Times New Roman"/>
                    <w:color w:val="000000" w:themeColor="text1"/>
                    <w:sz w:val="24"/>
                  </w:rPr>
                  <m:t>dgt</m:t>
                </m:r>
              </m:sub>
            </m:sSub>
          </m:e>
        </m:func>
        <m:r>
          <w:rPr>
            <w:rFonts w:ascii="Cambria Math" w:eastAsia="SimSun" w:hAnsi="Cambria Math" w:cs="Times New Roman"/>
            <w:color w:val="000000" w:themeColor="text1"/>
            <w:sz w:val="24"/>
          </w:rPr>
          <m:t>=</m:t>
        </m:r>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x</m:t>
            </m:r>
          </m:e>
          <m:sub>
            <m:r>
              <w:rPr>
                <w:rFonts w:ascii="Cambria Math" w:eastAsia="SimSun" w:hAnsi="Cambria Math" w:cs="Times New Roman"/>
                <w:color w:val="000000" w:themeColor="text1"/>
                <w:sz w:val="24"/>
              </w:rPr>
              <m:t>dt</m:t>
            </m:r>
          </m:sub>
        </m:sSub>
        <m:r>
          <w:rPr>
            <w:rFonts w:ascii="Cambria Math" w:eastAsia="SimSun" w:hAnsi="Cambria Math" w:cs="Times New Roman"/>
            <w:color w:val="000000" w:themeColor="text1"/>
            <w:sz w:val="24"/>
          </w:rPr>
          <m:t>-σ</m:t>
        </m:r>
        <m:func>
          <m:funcPr>
            <m:ctrlPr>
              <w:rPr>
                <w:rFonts w:ascii="Cambria Math" w:eastAsia="SimSun" w:hAnsi="Cambria Math" w:cs="Times New Roman"/>
                <w:color w:val="000000" w:themeColor="text1"/>
                <w:sz w:val="24"/>
              </w:rPr>
            </m:ctrlPr>
          </m:funcPr>
          <m:fName>
            <m:r>
              <m:rPr>
                <m:sty m:val="p"/>
              </m:rPr>
              <w:rPr>
                <w:rFonts w:ascii="Cambria Math" w:eastAsia="SimSun" w:hAnsi="Cambria Math" w:cs="Times New Roman"/>
                <w:color w:val="000000" w:themeColor="text1"/>
                <w:sz w:val="24"/>
              </w:rPr>
              <m:t>ln</m:t>
            </m:r>
          </m:fName>
          <m:e>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p</m:t>
                </m:r>
              </m:e>
              <m:sub>
                <m:r>
                  <w:rPr>
                    <w:rFonts w:ascii="Cambria Math" w:eastAsia="SimSun" w:hAnsi="Cambria Math" w:cs="Times New Roman"/>
                    <w:color w:val="000000" w:themeColor="text1"/>
                    <w:sz w:val="24"/>
                  </w:rPr>
                  <m:t>dgt</m:t>
                </m:r>
              </m:sub>
            </m:sSub>
          </m:e>
        </m:func>
        <m:r>
          <w:rPr>
            <w:rFonts w:ascii="Cambria Math" w:eastAsia="SimSun" w:hAnsi="Cambria Math" w:cs="Times New Roman"/>
            <w:color w:val="000000" w:themeColor="text1"/>
            <w:sz w:val="24"/>
          </w:rPr>
          <m:t>+</m:t>
        </m:r>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μ</m:t>
            </m:r>
          </m:e>
          <m:sub>
            <m:r>
              <w:rPr>
                <w:rFonts w:ascii="Cambria Math" w:eastAsia="SimSun" w:hAnsi="Cambria Math" w:cs="Times New Roman"/>
                <w:color w:val="000000" w:themeColor="text1"/>
                <w:sz w:val="24"/>
              </w:rPr>
              <m:t>dgt</m:t>
            </m:r>
          </m:sub>
        </m:sSub>
      </m:oMath>
      <w:r w:rsidRPr="006F48FA">
        <w:rPr>
          <w:rFonts w:ascii="Times New Roman" w:hAnsi="Times New Roman" w:cs="Times New Roman"/>
          <w:i/>
          <w:color w:val="000000" w:themeColor="text1"/>
          <w:sz w:val="24"/>
        </w:rPr>
        <w:t xml:space="preserve"> </w:t>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t>(3)</w:t>
      </w:r>
    </w:p>
    <w:p w14:paraId="67ECFC99" w14:textId="77777777" w:rsidR="00F253D1" w:rsidRPr="006F48FA" w:rsidRDefault="00000000">
      <w:pPr>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 xml:space="preserve">where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q</m:t>
            </m:r>
          </m:e>
          <m:sub>
            <m:r>
              <w:rPr>
                <w:rFonts w:ascii="Cambria Math" w:hAnsi="Cambria Math" w:cs="Times New Roman"/>
                <w:color w:val="000000" w:themeColor="text1"/>
                <w:sz w:val="24"/>
              </w:rPr>
              <m:t>dgt</m:t>
            </m:r>
          </m:sub>
        </m:sSub>
      </m:oMath>
      <w:r w:rsidRPr="006F48FA">
        <w:rPr>
          <w:rFonts w:ascii="Times New Roman" w:eastAsia="SimSun" w:hAnsi="Times New Roman" w:cs="Times New Roman"/>
          <w:color w:val="000000" w:themeColor="text1"/>
          <w:kern w:val="0"/>
          <w:sz w:val="24"/>
          <w:lang w:bidi="ar"/>
        </w:rPr>
        <w:t xml:space="preserve">and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p</m:t>
            </m:r>
          </m:e>
          <m:sub>
            <m:r>
              <w:rPr>
                <w:rFonts w:ascii="Cambria Math" w:hAnsi="Cambria Math" w:cs="Times New Roman"/>
                <w:color w:val="000000" w:themeColor="text1"/>
                <w:sz w:val="24"/>
              </w:rPr>
              <m:t>dgt</m:t>
            </m:r>
          </m:sub>
        </m:sSub>
      </m:oMath>
      <w:r w:rsidRPr="006F48FA">
        <w:rPr>
          <w:rFonts w:ascii="Times New Roman" w:eastAsia="SimSun" w:hAnsi="Times New Roman" w:cs="Times New Roman"/>
          <w:color w:val="000000" w:themeColor="text1"/>
          <w:kern w:val="0"/>
          <w:sz w:val="24"/>
          <w:lang w:bidi="ar"/>
        </w:rPr>
        <w:t xml:space="preserve"> denote the export quantity and price of product</w:t>
      </w:r>
      <m:oMath>
        <m:r>
          <w:rPr>
            <w:rFonts w:ascii="Cambria Math" w:eastAsia="SimSun" w:hAnsi="Cambria Math" w:cs="Times New Roman"/>
            <w:color w:val="000000" w:themeColor="text1"/>
            <w:sz w:val="24"/>
          </w:rPr>
          <m:t>g</m:t>
        </m:r>
      </m:oMath>
      <w:r w:rsidRPr="006F48FA">
        <w:rPr>
          <w:rFonts w:ascii="Times New Roman" w:eastAsia="SimSun" w:hAnsi="Times New Roman" w:cs="Times New Roman"/>
          <w:color w:val="000000" w:themeColor="text1"/>
          <w:kern w:val="0"/>
          <w:sz w:val="24"/>
          <w:lang w:bidi="ar"/>
        </w:rPr>
        <w:t>from China to destination country</w:t>
      </w:r>
      <m:oMath>
        <m:r>
          <w:rPr>
            <w:rFonts w:ascii="Cambria Math" w:hAnsi="Cambria Math" w:cs="Times New Roman"/>
            <w:color w:val="000000" w:themeColor="text1"/>
            <w:sz w:val="24"/>
          </w:rPr>
          <m:t>d</m:t>
        </m:r>
      </m:oMath>
      <w:r w:rsidRPr="006F48FA">
        <w:rPr>
          <w:rFonts w:ascii="Times New Roman" w:eastAsia="SimSun" w:hAnsi="Times New Roman" w:cs="Times New Roman"/>
          <w:color w:val="000000" w:themeColor="text1"/>
          <w:kern w:val="0"/>
          <w:sz w:val="24"/>
          <w:lang w:bidi="ar"/>
        </w:rPr>
        <w:t>in year</w:t>
      </w:r>
      <m:oMath>
        <m:r>
          <w:rPr>
            <w:rFonts w:ascii="Cambria Math" w:hAnsi="Cambria Math" w:cs="Times New Roman"/>
            <w:color w:val="000000" w:themeColor="text1"/>
            <w:sz w:val="24"/>
          </w:rPr>
          <m:t>t</m:t>
        </m:r>
      </m:oMath>
      <w:r w:rsidRPr="006F48FA">
        <w:rPr>
          <w:rFonts w:ascii="Times New Roman" w:eastAsia="SimSun" w:hAnsi="Times New Roman" w:cs="Times New Roman"/>
          <w:color w:val="000000" w:themeColor="text1"/>
          <w:kern w:val="0"/>
          <w:sz w:val="24"/>
          <w:lang w:bidi="ar"/>
        </w:rPr>
        <w:t>, respectively.</w:t>
      </w:r>
      <m:oMath>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x</m:t>
            </m:r>
          </m:e>
          <m:sub>
            <m:r>
              <w:rPr>
                <w:rFonts w:ascii="Cambria Math" w:eastAsia="SimSun" w:hAnsi="Cambria Math" w:cs="Times New Roman"/>
                <w:color w:val="000000" w:themeColor="text1"/>
                <w:sz w:val="24"/>
              </w:rPr>
              <m:t>dt</m:t>
            </m:r>
          </m:sub>
        </m:sSub>
      </m:oMath>
      <w:r w:rsidRPr="006F48FA">
        <w:rPr>
          <w:rFonts w:ascii="Times New Roman" w:eastAsia="SimSun" w:hAnsi="Times New Roman" w:cs="Times New Roman"/>
          <w:color w:val="000000" w:themeColor="text1"/>
          <w:kern w:val="0"/>
          <w:sz w:val="24"/>
          <w:lang w:bidi="ar"/>
        </w:rPr>
        <w:t xml:space="preserve">represents destination-country–year fixed effects, and </w:t>
      </w:r>
      <m:oMath>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μ</m:t>
            </m:r>
          </m:e>
          <m:sub>
            <m:r>
              <w:rPr>
                <w:rFonts w:ascii="Cambria Math" w:eastAsia="SimSun" w:hAnsi="Cambria Math" w:cs="Times New Roman"/>
                <w:color w:val="000000" w:themeColor="text1"/>
                <w:sz w:val="24"/>
              </w:rPr>
              <m:t>dgt</m:t>
            </m:r>
          </m:sub>
        </m:sSub>
      </m:oMath>
      <w:r w:rsidRPr="006F48FA">
        <w:rPr>
          <w:rFonts w:ascii="Times New Roman" w:eastAsia="SimSun" w:hAnsi="Times New Roman" w:cs="Times New Roman"/>
          <w:color w:val="000000" w:themeColor="text1"/>
          <w:kern w:val="0"/>
          <w:sz w:val="24"/>
          <w:lang w:bidi="ar"/>
        </w:rPr>
        <w:t>contains information on product quality. Therefore, export product quality is obtained from the regression residual:</w:t>
      </w:r>
    </w:p>
    <w:p w14:paraId="46530777" w14:textId="77777777" w:rsidR="00F253D1" w:rsidRPr="006F48FA" w:rsidRDefault="00F253D1">
      <w:pPr>
        <w:rPr>
          <w:rFonts w:ascii="Times New Roman" w:hAnsi="Times New Roman" w:cs="Times New Roman"/>
          <w:color w:val="000000" w:themeColor="text1"/>
          <w:sz w:val="24"/>
          <w:lang w:bidi="ar"/>
        </w:rPr>
      </w:pPr>
    </w:p>
    <w:p w14:paraId="09A35AFE" w14:textId="77777777" w:rsidR="00F253D1" w:rsidRPr="006F48FA" w:rsidRDefault="00000000">
      <w:pPr>
        <w:jc w:val="center"/>
        <w:rPr>
          <w:rFonts w:ascii="Times New Roman" w:hAnsi="Times New Roman" w:cs="Times New Roman"/>
          <w:i/>
          <w:color w:val="000000" w:themeColor="text1"/>
          <w:sz w:val="24"/>
          <w:vertAlign w:val="subscript"/>
        </w:rPr>
      </w:pP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m:oMath>
        <m:r>
          <w:rPr>
            <w:rFonts w:ascii="Cambria Math" w:eastAsia="SimSun" w:hAnsi="Cambria Math" w:cs="Times New Roman"/>
            <w:color w:val="000000" w:themeColor="text1"/>
            <w:sz w:val="24"/>
          </w:rPr>
          <m:t>qualit</m:t>
        </m:r>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y</m:t>
            </m:r>
          </m:e>
          <m:sub>
            <m:r>
              <w:rPr>
                <w:rFonts w:ascii="Cambria Math" w:eastAsia="SimSun" w:hAnsi="Cambria Math" w:cs="Times New Roman"/>
                <w:color w:val="000000" w:themeColor="text1"/>
                <w:sz w:val="24"/>
              </w:rPr>
              <m:t>dgt</m:t>
            </m:r>
          </m:sub>
        </m:sSub>
        <m:r>
          <w:rPr>
            <w:rFonts w:ascii="Cambria Math" w:eastAsia="SimSun" w:hAnsi="Cambria Math" w:cs="Times New Roman"/>
            <w:color w:val="000000" w:themeColor="text1"/>
            <w:sz w:val="24"/>
          </w:rPr>
          <m:t>=</m:t>
        </m:r>
        <m:f>
          <m:fPr>
            <m:ctrlPr>
              <w:rPr>
                <w:rFonts w:ascii="Cambria Math" w:eastAsia="SimSun" w:hAnsi="Cambria Math" w:cs="Times New Roman"/>
                <w:color w:val="000000" w:themeColor="text1"/>
                <w:sz w:val="24"/>
              </w:rPr>
            </m:ctrlPr>
          </m:fPr>
          <m:num>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μ</m:t>
                </m:r>
              </m:e>
              <m:sub>
                <m:r>
                  <w:rPr>
                    <w:rFonts w:ascii="Cambria Math" w:eastAsia="SimSun" w:hAnsi="Cambria Math" w:cs="Times New Roman"/>
                    <w:color w:val="000000" w:themeColor="text1"/>
                    <w:sz w:val="24"/>
                  </w:rPr>
                  <m:t>dgt</m:t>
                </m:r>
              </m:sub>
            </m:sSub>
          </m:num>
          <m:den>
            <m:r>
              <w:rPr>
                <w:rFonts w:ascii="Cambria Math" w:eastAsia="SimSun" w:hAnsi="Cambria Math" w:cs="Times New Roman"/>
                <w:color w:val="000000" w:themeColor="text1"/>
                <w:sz w:val="24"/>
              </w:rPr>
              <m:t>σ-1</m:t>
            </m:r>
          </m:den>
        </m:f>
      </m:oMath>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iCs/>
          <w:color w:val="000000" w:themeColor="text1"/>
          <w:sz w:val="24"/>
        </w:rPr>
        <w:t>(4)</w:t>
      </w:r>
    </w:p>
    <w:p w14:paraId="3F11DBA5" w14:textId="77777777" w:rsidR="00F253D1" w:rsidRPr="006F48FA" w:rsidRDefault="00F253D1">
      <w:pPr>
        <w:rPr>
          <w:rFonts w:ascii="Times New Roman" w:hAnsi="Times New Roman" w:cs="Times New Roman"/>
          <w:color w:val="000000" w:themeColor="text1"/>
          <w:sz w:val="24"/>
        </w:rPr>
      </w:pPr>
    </w:p>
    <w:p w14:paraId="5AE67AD8"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lastRenderedPageBreak/>
        <w:t>To facilitate comparison across products, this paper further normalizes the estimated quality measure:</w:t>
      </w:r>
    </w:p>
    <w:p w14:paraId="2795F59A" w14:textId="77777777" w:rsidR="00F253D1" w:rsidRPr="006F48FA" w:rsidRDefault="00F253D1">
      <w:pPr>
        <w:rPr>
          <w:rFonts w:ascii="Times New Roman" w:hAnsi="Times New Roman" w:cs="Times New Roman"/>
          <w:color w:val="000000" w:themeColor="text1"/>
          <w:sz w:val="24"/>
        </w:rPr>
      </w:pPr>
    </w:p>
    <w:p w14:paraId="57038FA0" w14:textId="77777777" w:rsidR="00F253D1" w:rsidRPr="006F48FA" w:rsidRDefault="00000000">
      <w:pPr>
        <w:jc w:val="center"/>
        <w:rPr>
          <w:rFonts w:ascii="Times New Roman" w:hAnsi="Times New Roman" w:cs="Times New Roman"/>
          <w:i/>
          <w:color w:val="000000" w:themeColor="text1"/>
          <w:sz w:val="24"/>
        </w:rPr>
      </w:pP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m:oMath>
        <m:r>
          <w:rPr>
            <w:rFonts w:ascii="Cambria Math" w:hAnsi="Cambria Math" w:cs="Times New Roman"/>
            <w:color w:val="000000" w:themeColor="text1"/>
            <w:sz w:val="24"/>
          </w:rPr>
          <m:t>rqualit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y</m:t>
            </m:r>
          </m:e>
          <m:sub>
            <m:r>
              <w:rPr>
                <w:rFonts w:ascii="Cambria Math" w:hAnsi="Cambria Math" w:cs="Times New Roman"/>
                <w:color w:val="000000" w:themeColor="text1"/>
                <w:sz w:val="24"/>
              </w:rPr>
              <m:t>dgt</m:t>
            </m:r>
          </m:sub>
        </m:sSub>
        <m:r>
          <w:rPr>
            <w:rFonts w:ascii="Cambria Math" w:hAnsi="Cambria Math" w:cs="Times New Roman"/>
            <w:color w:val="000000" w:themeColor="text1"/>
            <w:sz w:val="24"/>
          </w:rPr>
          <m:t>=</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qualit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y</m:t>
                </m:r>
              </m:e>
              <m:sub>
                <m:r>
                  <w:rPr>
                    <w:rFonts w:ascii="Cambria Math" w:hAnsi="Cambria Math" w:cs="Times New Roman"/>
                    <w:color w:val="000000" w:themeColor="text1"/>
                    <w:sz w:val="24"/>
                  </w:rPr>
                  <m:t>dgt</m:t>
                </m:r>
              </m:sub>
            </m:sSub>
            <m:r>
              <w:rPr>
                <w:rFonts w:ascii="Cambria Math" w:hAnsi="Cambria Math" w:cs="Times New Roman"/>
                <w:color w:val="000000" w:themeColor="text1"/>
                <w:sz w:val="24"/>
              </w:rPr>
              <m:t>-</m:t>
            </m:r>
            <m:func>
              <m:funcPr>
                <m:ctrlPr>
                  <w:rPr>
                    <w:rFonts w:ascii="Cambria Math" w:hAnsi="Cambria Math" w:cs="Times New Roman"/>
                    <w:i/>
                    <w:color w:val="000000" w:themeColor="text1"/>
                    <w:sz w:val="24"/>
                  </w:rPr>
                </m:ctrlPr>
              </m:funcPr>
              <m:fName>
                <m:r>
                  <w:rPr>
                    <w:rFonts w:ascii="Cambria Math" w:hAnsi="Cambria Math" w:cs="Times New Roman"/>
                    <w:color w:val="000000" w:themeColor="text1"/>
                    <w:sz w:val="24"/>
                  </w:rPr>
                  <m:t>min</m:t>
                </m:r>
              </m:fName>
              <m:e>
                <m:d>
                  <m:dPr>
                    <m:ctrlPr>
                      <w:rPr>
                        <w:rFonts w:ascii="Cambria Math" w:hAnsi="Cambria Math" w:cs="Times New Roman"/>
                        <w:i/>
                        <w:color w:val="000000" w:themeColor="text1"/>
                        <w:sz w:val="24"/>
                      </w:rPr>
                    </m:ctrlPr>
                  </m:dPr>
                  <m:e>
                    <m:r>
                      <w:rPr>
                        <w:rFonts w:ascii="Cambria Math" w:hAnsi="Cambria Math" w:cs="Times New Roman"/>
                        <w:color w:val="000000" w:themeColor="text1"/>
                        <w:sz w:val="24"/>
                      </w:rPr>
                      <m:t>qualit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y</m:t>
                        </m:r>
                      </m:e>
                      <m:sub>
                        <m:r>
                          <w:rPr>
                            <w:rFonts w:ascii="Cambria Math" w:hAnsi="Cambria Math" w:cs="Times New Roman"/>
                            <w:color w:val="000000" w:themeColor="text1"/>
                            <w:sz w:val="24"/>
                          </w:rPr>
                          <m:t>dgt</m:t>
                        </m:r>
                      </m:sub>
                    </m:sSub>
                  </m:e>
                </m:d>
              </m:e>
            </m:func>
          </m:num>
          <m:den>
            <m:func>
              <m:funcPr>
                <m:ctrlPr>
                  <w:rPr>
                    <w:rFonts w:ascii="Cambria Math" w:hAnsi="Cambria Math" w:cs="Times New Roman"/>
                    <w:i/>
                    <w:color w:val="000000" w:themeColor="text1"/>
                    <w:sz w:val="24"/>
                  </w:rPr>
                </m:ctrlPr>
              </m:funcPr>
              <m:fName>
                <m:r>
                  <w:rPr>
                    <w:rFonts w:ascii="Cambria Math" w:hAnsi="Cambria Math" w:cs="Times New Roman"/>
                    <w:color w:val="000000" w:themeColor="text1"/>
                    <w:sz w:val="24"/>
                  </w:rPr>
                  <m:t>max</m:t>
                </m:r>
              </m:fName>
              <m:e>
                <m:d>
                  <m:dPr>
                    <m:ctrlPr>
                      <w:rPr>
                        <w:rFonts w:ascii="Cambria Math" w:hAnsi="Cambria Math" w:cs="Times New Roman"/>
                        <w:i/>
                        <w:color w:val="000000" w:themeColor="text1"/>
                        <w:sz w:val="24"/>
                      </w:rPr>
                    </m:ctrlPr>
                  </m:dPr>
                  <m:e>
                    <m:r>
                      <w:rPr>
                        <w:rFonts w:ascii="Cambria Math" w:hAnsi="Cambria Math" w:cs="Times New Roman"/>
                        <w:color w:val="000000" w:themeColor="text1"/>
                        <w:sz w:val="24"/>
                      </w:rPr>
                      <m:t>qualit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y</m:t>
                        </m:r>
                      </m:e>
                      <m:sub>
                        <m:r>
                          <w:rPr>
                            <w:rFonts w:ascii="Cambria Math" w:hAnsi="Cambria Math" w:cs="Times New Roman"/>
                            <w:color w:val="000000" w:themeColor="text1"/>
                            <w:sz w:val="24"/>
                          </w:rPr>
                          <m:t>dgt</m:t>
                        </m:r>
                      </m:sub>
                    </m:sSub>
                  </m:e>
                </m:d>
              </m:e>
            </m:func>
            <m:r>
              <w:rPr>
                <w:rFonts w:ascii="Cambria Math" w:hAnsi="Cambria Math" w:cs="Times New Roman"/>
                <w:color w:val="000000" w:themeColor="text1"/>
                <w:sz w:val="24"/>
              </w:rPr>
              <m:t>-</m:t>
            </m:r>
            <m:func>
              <m:funcPr>
                <m:ctrlPr>
                  <w:rPr>
                    <w:rFonts w:ascii="Cambria Math" w:hAnsi="Cambria Math" w:cs="Times New Roman"/>
                    <w:i/>
                    <w:color w:val="000000" w:themeColor="text1"/>
                    <w:sz w:val="24"/>
                  </w:rPr>
                </m:ctrlPr>
              </m:funcPr>
              <m:fName>
                <m:r>
                  <w:rPr>
                    <w:rFonts w:ascii="Cambria Math" w:hAnsi="Cambria Math" w:cs="Times New Roman"/>
                    <w:color w:val="000000" w:themeColor="text1"/>
                    <w:sz w:val="24"/>
                  </w:rPr>
                  <m:t>min</m:t>
                </m:r>
              </m:fName>
              <m:e>
                <m:d>
                  <m:dPr>
                    <m:ctrlPr>
                      <w:rPr>
                        <w:rFonts w:ascii="Cambria Math" w:hAnsi="Cambria Math" w:cs="Times New Roman"/>
                        <w:i/>
                        <w:color w:val="000000" w:themeColor="text1"/>
                        <w:sz w:val="24"/>
                      </w:rPr>
                    </m:ctrlPr>
                  </m:dPr>
                  <m:e>
                    <m:r>
                      <w:rPr>
                        <w:rFonts w:ascii="Cambria Math" w:hAnsi="Cambria Math" w:cs="Times New Roman"/>
                        <w:color w:val="000000" w:themeColor="text1"/>
                        <w:sz w:val="24"/>
                      </w:rPr>
                      <m:t>qualit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y</m:t>
                        </m:r>
                      </m:e>
                      <m:sub>
                        <m:r>
                          <w:rPr>
                            <w:rFonts w:ascii="Cambria Math" w:hAnsi="Cambria Math" w:cs="Times New Roman"/>
                            <w:color w:val="000000" w:themeColor="text1"/>
                            <w:sz w:val="24"/>
                          </w:rPr>
                          <m:t>dgt</m:t>
                        </m:r>
                      </m:sub>
                    </m:sSub>
                  </m:e>
                </m:d>
              </m:e>
            </m:func>
          </m:den>
        </m:f>
      </m:oMath>
      <w:r w:rsidRPr="006F48FA">
        <w:rPr>
          <w:rFonts w:ascii="Times New Roman" w:hAnsi="Times New Roman" w:cs="Times New Roman"/>
          <w:i/>
          <w:color w:val="000000" w:themeColor="text1"/>
          <w:sz w:val="24"/>
        </w:rPr>
        <w:t xml:space="preserve"> </w:t>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r>
      <w:r w:rsidRPr="006F48FA">
        <w:rPr>
          <w:rFonts w:ascii="Times New Roman" w:hAnsi="Times New Roman" w:cs="Times New Roman"/>
          <w:iCs/>
          <w:color w:val="000000" w:themeColor="text1"/>
          <w:sz w:val="24"/>
        </w:rPr>
        <w:tab/>
        <w:t>(5)</w:t>
      </w:r>
    </w:p>
    <w:p w14:paraId="5D08201C" w14:textId="77777777" w:rsidR="00F253D1" w:rsidRPr="006F48FA" w:rsidRDefault="00F253D1">
      <w:pPr>
        <w:rPr>
          <w:rFonts w:ascii="Times New Roman" w:hAnsi="Times New Roman" w:cs="Times New Roman"/>
          <w:color w:val="000000" w:themeColor="text1"/>
          <w:sz w:val="24"/>
        </w:rPr>
      </w:pPr>
    </w:p>
    <w:p w14:paraId="3EA9E130"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where</w:t>
      </w:r>
      <m:oMath>
        <m:r>
          <w:rPr>
            <w:rFonts w:ascii="Cambria Math" w:hAnsi="Cambria Math" w:cs="Times New Roman"/>
            <w:color w:val="000000" w:themeColor="text1"/>
            <w:sz w:val="24"/>
          </w:rPr>
          <m:t xml:space="preserve"> </m:t>
        </m:r>
        <m:r>
          <w:rPr>
            <w:rFonts w:ascii="Cambria Math" w:eastAsia="SimSun" w:hAnsi="Cambria Math" w:cs="Times New Roman"/>
            <w:color w:val="000000" w:themeColor="text1"/>
            <w:sz w:val="24"/>
          </w:rPr>
          <m:t>rqualit</m:t>
        </m:r>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y</m:t>
            </m:r>
          </m:e>
          <m:sub>
            <m:r>
              <w:rPr>
                <w:rFonts w:ascii="Cambria Math" w:eastAsia="SimSun" w:hAnsi="Cambria Math" w:cs="Times New Roman"/>
                <w:color w:val="000000" w:themeColor="text1"/>
                <w:sz w:val="24"/>
              </w:rPr>
              <m:t>dgt</m:t>
            </m:r>
          </m:sub>
        </m:sSub>
        <m:r>
          <m:rPr>
            <m:sty m:val="p"/>
          </m:rPr>
          <w:rPr>
            <w:rFonts w:ascii="Cambria Math" w:eastAsia="SimSun" w:hAnsi="Cambria Math" w:cs="Times New Roman"/>
            <w:color w:val="000000" w:themeColor="text1"/>
            <w:sz w:val="24"/>
          </w:rPr>
          <m:t xml:space="preserve"> </m:t>
        </m:r>
      </m:oMath>
      <w:r w:rsidRPr="006F48FA">
        <w:rPr>
          <w:rFonts w:ascii="Times New Roman" w:hAnsi="Times New Roman" w:cs="Times New Roman"/>
          <w:color w:val="000000" w:themeColor="text1"/>
          <w:sz w:val="24"/>
        </w:rPr>
        <w:t>represents the relative export product quality at the product level, with values ranging from 0 to 1.</w:t>
      </w:r>
    </w:p>
    <w:p w14:paraId="591CFF71" w14:textId="77777777" w:rsidR="00F253D1" w:rsidRPr="006F48FA" w:rsidRDefault="00F253D1">
      <w:pPr>
        <w:rPr>
          <w:rFonts w:ascii="Times New Roman" w:hAnsi="Times New Roman" w:cs="Times New Roman"/>
          <w:color w:val="000000" w:themeColor="text1"/>
          <w:sz w:val="24"/>
        </w:rPr>
      </w:pPr>
    </w:p>
    <w:p w14:paraId="1630D624" w14:textId="77777777" w:rsidR="00F253D1" w:rsidRPr="006F48FA" w:rsidRDefault="00000000">
      <w:pPr>
        <w:rPr>
          <w:rFonts w:ascii="Times New Roman" w:eastAsia="SimSun" w:hAnsi="Times New Roman" w:cs="Times New Roman"/>
          <w:b/>
          <w:bCs/>
          <w:color w:val="000000" w:themeColor="text1"/>
          <w:kern w:val="0"/>
          <w:sz w:val="24"/>
          <w:lang w:bidi="ar"/>
        </w:rPr>
      </w:pPr>
      <w:r w:rsidRPr="006F48FA">
        <w:rPr>
          <w:rFonts w:ascii="Times New Roman" w:eastAsia="SimSun" w:hAnsi="Times New Roman" w:cs="Times New Roman"/>
          <w:b/>
          <w:bCs/>
          <w:color w:val="000000" w:themeColor="text1"/>
          <w:kern w:val="0"/>
          <w:sz w:val="24"/>
          <w:lang w:bidi="ar"/>
        </w:rPr>
        <w:t>4.2. Empirical model</w:t>
      </w:r>
    </w:p>
    <w:p w14:paraId="6A93E58A"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4.2.1. Baseline model</w:t>
      </w:r>
    </w:p>
    <w:p w14:paraId="46D9BD64" w14:textId="77777777" w:rsidR="00F253D1" w:rsidRPr="006F48FA" w:rsidRDefault="00000000">
      <w:pPr>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To examine the impact of digital services trade barriers on China’s manufacturing export product quality, this paper constructs the following baseline model:</w:t>
      </w:r>
    </w:p>
    <w:p w14:paraId="503D3498" w14:textId="77777777" w:rsidR="00F253D1" w:rsidRPr="006F48FA" w:rsidRDefault="00F253D1">
      <w:pPr>
        <w:rPr>
          <w:rFonts w:ascii="Times New Roman" w:eastAsia="SimSun" w:hAnsi="Times New Roman" w:cs="Times New Roman"/>
          <w:color w:val="000000" w:themeColor="text1"/>
          <w:kern w:val="0"/>
          <w:sz w:val="24"/>
          <w:lang w:bidi="ar"/>
        </w:rPr>
      </w:pPr>
    </w:p>
    <w:p w14:paraId="2A439280" w14:textId="77777777" w:rsidR="00F253D1" w:rsidRPr="006F48FA" w:rsidRDefault="00000000">
      <w:pPr>
        <w:jc w:val="center"/>
        <w:rPr>
          <w:rFonts w:ascii="Times New Roman" w:hAnsi="Times New Roman" w:cs="Times New Roman"/>
          <w:i/>
          <w:color w:val="000000" w:themeColor="text1"/>
          <w:sz w:val="24"/>
        </w:rPr>
      </w:pPr>
      <w:r w:rsidRPr="006F48FA">
        <w:rPr>
          <w:rFonts w:ascii="Times New Roman" w:eastAsia="SimSun" w:hAnsi="Times New Roman" w:cs="Times New Roman"/>
          <w:color w:val="000000" w:themeColor="text1"/>
          <w:sz w:val="24"/>
        </w:rPr>
        <w:tab/>
      </w:r>
      <w:r w:rsidRPr="006F48FA">
        <w:rPr>
          <w:rFonts w:ascii="Times New Roman" w:eastAsia="SimSun" w:hAnsi="Times New Roman" w:cs="Times New Roman"/>
          <w:color w:val="000000" w:themeColor="text1"/>
          <w:sz w:val="24"/>
        </w:rPr>
        <w:tab/>
      </w:r>
      <w:r w:rsidRPr="006F48FA">
        <w:rPr>
          <w:rFonts w:ascii="Times New Roman" w:eastAsia="SimSun" w:hAnsi="Times New Roman" w:cs="Times New Roman"/>
          <w:color w:val="000000" w:themeColor="text1"/>
          <w:sz w:val="24"/>
        </w:rPr>
        <w:tab/>
      </w:r>
      <m:oMath>
        <m:r>
          <w:rPr>
            <w:rFonts w:ascii="Cambria Math" w:hAnsi="Cambria Math" w:cs="Times New Roman"/>
            <w:color w:val="000000" w:themeColor="text1"/>
            <w:sz w:val="24"/>
          </w:rPr>
          <m:t>rqualit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y</m:t>
            </m:r>
          </m:e>
          <m:sub>
            <m:r>
              <w:rPr>
                <w:rFonts w:ascii="Cambria Math" w:hAnsi="Cambria Math" w:cs="Times New Roman"/>
                <w:color w:val="000000" w:themeColor="text1"/>
                <w:sz w:val="24"/>
              </w:rPr>
              <m:t>dgt</m:t>
            </m:r>
          </m:sub>
        </m:sSub>
        <m:r>
          <w:rPr>
            <w:rFonts w:ascii="Cambria Math" w:hAnsi="Cambria Math" w:cs="Times New Roman"/>
            <w:color w:val="000000" w:themeColor="text1"/>
            <w:sz w:val="24"/>
          </w:rPr>
          <m:t>=α+βcdstr</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i</m:t>
            </m:r>
          </m:e>
          <m:sub>
            <m:r>
              <w:rPr>
                <w:rFonts w:ascii="Cambria Math" w:hAnsi="Cambria Math" w:cs="Times New Roman"/>
                <w:color w:val="000000" w:themeColor="text1"/>
                <w:sz w:val="24"/>
              </w:rPr>
              <m:t>dkt</m:t>
            </m:r>
          </m:sub>
        </m:sSub>
        <m:r>
          <w:rPr>
            <w:rFonts w:ascii="Cambria Math" w:hAnsi="Cambria Math" w:cs="Times New Roman"/>
            <w:color w:val="000000" w:themeColor="text1"/>
            <w:sz w:val="24"/>
          </w:rPr>
          <m:t>+γ</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X</m:t>
            </m:r>
          </m:e>
          <m:sub>
            <m:r>
              <w:rPr>
                <w:rFonts w:ascii="Cambria Math" w:hAnsi="Cambria Math" w:cs="Times New Roman"/>
                <w:color w:val="000000" w:themeColor="text1"/>
                <w:sz w:val="24"/>
              </w:rPr>
              <m:t>dgt</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μ</m:t>
            </m:r>
          </m:e>
          <m:sub>
            <m:r>
              <w:rPr>
                <w:rFonts w:ascii="Cambria Math" w:hAnsi="Cambria Math" w:cs="Times New Roman"/>
                <w:color w:val="000000" w:themeColor="text1"/>
                <w:sz w:val="24"/>
              </w:rPr>
              <m:t>g</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λ</m:t>
            </m:r>
          </m:e>
          <m:sub>
            <m:r>
              <w:rPr>
                <w:rFonts w:ascii="Cambria Math" w:hAnsi="Cambria Math" w:cs="Times New Roman"/>
                <w:color w:val="000000" w:themeColor="text1"/>
                <w:sz w:val="24"/>
              </w:rPr>
              <m:t>d</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δ</m:t>
            </m:r>
          </m:e>
          <m:sub>
            <m:r>
              <w:rPr>
                <w:rFonts w:ascii="Cambria Math" w:hAnsi="Cambria Math" w:cs="Times New Roman"/>
                <w:color w:val="000000" w:themeColor="text1"/>
                <w:sz w:val="24"/>
              </w:rPr>
              <m:t>t</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dgt</m:t>
            </m:r>
          </m:sub>
        </m:sSub>
      </m:oMath>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color w:val="000000" w:themeColor="text1"/>
          <w:sz w:val="24"/>
        </w:rPr>
        <w:tab/>
      </w:r>
      <w:r w:rsidRPr="006F48FA">
        <w:rPr>
          <w:rFonts w:ascii="Times New Roman" w:hAnsi="Times New Roman" w:cs="Times New Roman"/>
          <w:iCs/>
          <w:color w:val="000000" w:themeColor="text1"/>
          <w:sz w:val="24"/>
        </w:rPr>
        <w:t>(6)</w:t>
      </w:r>
    </w:p>
    <w:p w14:paraId="3DA5D31F" w14:textId="77777777" w:rsidR="00F253D1" w:rsidRPr="006F48FA" w:rsidRDefault="00F253D1">
      <w:pPr>
        <w:rPr>
          <w:rFonts w:ascii="Times New Roman" w:eastAsia="SimSun" w:hAnsi="Times New Roman" w:cs="Times New Roman"/>
          <w:color w:val="000000" w:themeColor="text1"/>
          <w:kern w:val="0"/>
          <w:sz w:val="24"/>
          <w:lang w:bidi="ar"/>
        </w:rPr>
      </w:pPr>
    </w:p>
    <w:p w14:paraId="7D5804EC" w14:textId="77777777" w:rsidR="00F253D1" w:rsidRPr="006F48FA" w:rsidRDefault="00000000">
      <w:pPr>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 xml:space="preserve">where </w:t>
      </w:r>
      <m:oMath>
        <m:r>
          <w:rPr>
            <w:rFonts w:ascii="Cambria Math" w:eastAsia="SimSun" w:hAnsi="Cambria Math" w:cs="Times New Roman"/>
            <w:color w:val="000000" w:themeColor="text1"/>
            <w:sz w:val="24"/>
          </w:rPr>
          <m:t>rqualit</m:t>
        </m:r>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y</m:t>
            </m:r>
          </m:e>
          <m:sub>
            <m:r>
              <w:rPr>
                <w:rFonts w:ascii="Cambria Math" w:eastAsia="SimSun" w:hAnsi="Cambria Math" w:cs="Times New Roman"/>
                <w:color w:val="000000" w:themeColor="text1"/>
                <w:sz w:val="24"/>
              </w:rPr>
              <m:t>dgt</m:t>
            </m:r>
          </m:sub>
        </m:sSub>
      </m:oMath>
      <w:r w:rsidRPr="006F48FA">
        <w:rPr>
          <w:rFonts w:ascii="Times New Roman" w:eastAsia="SimSun" w:hAnsi="Times New Roman" w:cs="Times New Roman"/>
          <w:color w:val="000000" w:themeColor="text1"/>
          <w:sz w:val="24"/>
        </w:rPr>
        <w:t xml:space="preserve"> </w:t>
      </w:r>
      <w:r w:rsidRPr="006F48FA">
        <w:rPr>
          <w:rFonts w:ascii="Times New Roman" w:eastAsia="SimSun" w:hAnsi="Times New Roman" w:cs="Times New Roman"/>
          <w:color w:val="000000" w:themeColor="text1"/>
          <w:kern w:val="0"/>
          <w:sz w:val="24"/>
          <w:lang w:bidi="ar"/>
        </w:rPr>
        <w:t xml:space="preserve">represents the relative export product quality of product </w:t>
      </w:r>
      <m:oMath>
        <m:r>
          <w:rPr>
            <w:rFonts w:ascii="Cambria Math" w:hAnsi="Cambria Math" w:cs="Times New Roman"/>
            <w:color w:val="000000" w:themeColor="text1"/>
            <w:sz w:val="24"/>
          </w:rPr>
          <m:t>g</m:t>
        </m:r>
      </m:oMath>
      <w:r w:rsidRPr="006F48FA">
        <w:rPr>
          <w:rFonts w:ascii="Times New Roman" w:eastAsia="SimSun" w:hAnsi="Times New Roman" w:cs="Times New Roman"/>
          <w:color w:val="000000" w:themeColor="text1"/>
          <w:kern w:val="0"/>
          <w:sz w:val="24"/>
          <w:lang w:bidi="ar"/>
        </w:rPr>
        <w:t xml:space="preserve"> exported by China to destination country</w:t>
      </w:r>
      <m:oMath>
        <m:r>
          <w:rPr>
            <w:rFonts w:ascii="Cambria Math" w:eastAsia="SimSun" w:hAnsi="Cambria Math" w:cs="Times New Roman"/>
            <w:color w:val="000000" w:themeColor="text1"/>
            <w:kern w:val="0"/>
            <w:sz w:val="24"/>
            <w:lang w:bidi="ar"/>
          </w:rPr>
          <m:t xml:space="preserve"> </m:t>
        </m:r>
        <m:r>
          <w:rPr>
            <w:rFonts w:ascii="Cambria Math" w:hAnsi="Cambria Math" w:cs="Times New Roman"/>
            <w:color w:val="000000" w:themeColor="text1"/>
            <w:sz w:val="24"/>
          </w:rPr>
          <m:t xml:space="preserve">d </m:t>
        </m:r>
      </m:oMath>
      <w:r w:rsidRPr="006F48FA">
        <w:rPr>
          <w:rFonts w:ascii="Times New Roman" w:eastAsia="SimSun" w:hAnsi="Times New Roman" w:cs="Times New Roman"/>
          <w:color w:val="000000" w:themeColor="text1"/>
          <w:kern w:val="0"/>
          <w:sz w:val="24"/>
          <w:lang w:bidi="ar"/>
        </w:rPr>
        <w:t>in year</w:t>
      </w:r>
      <m:oMath>
        <m:r>
          <w:rPr>
            <w:rFonts w:ascii="Cambria Math" w:eastAsia="SimSun" w:hAnsi="Cambria Math" w:cs="Times New Roman"/>
            <w:color w:val="000000" w:themeColor="text1"/>
            <w:kern w:val="0"/>
            <w:sz w:val="24"/>
            <w:lang w:bidi="ar"/>
          </w:rPr>
          <m:t xml:space="preserve"> </m:t>
        </m:r>
        <m:r>
          <w:rPr>
            <w:rFonts w:ascii="Cambria Math" w:hAnsi="Cambria Math" w:cs="Times New Roman"/>
            <w:color w:val="000000" w:themeColor="text1"/>
            <w:sz w:val="24"/>
          </w:rPr>
          <m:t xml:space="preserve">t </m:t>
        </m:r>
      </m:oMath>
      <w:r w:rsidRPr="006F48FA">
        <w:rPr>
          <w:rFonts w:ascii="Times New Roman" w:eastAsia="SimSun" w:hAnsi="Times New Roman" w:cs="Times New Roman"/>
          <w:color w:val="000000" w:themeColor="text1"/>
          <w:kern w:val="0"/>
          <w:sz w:val="24"/>
          <w:lang w:bidi="ar"/>
        </w:rPr>
        <w:t xml:space="preserve">; </w:t>
      </w:r>
      <m:oMath>
        <m:r>
          <w:rPr>
            <w:rFonts w:ascii="Cambria Math" w:eastAsia="SimSun" w:hAnsi="Cambria Math" w:cs="Times New Roman"/>
            <w:color w:val="000000" w:themeColor="text1"/>
            <w:sz w:val="24"/>
          </w:rPr>
          <m:t>cdstr</m:t>
        </m:r>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i</m:t>
            </m:r>
          </m:e>
          <m:sub>
            <m:r>
              <w:rPr>
                <w:rFonts w:ascii="Cambria Math" w:eastAsia="SimSun" w:hAnsi="Cambria Math" w:cs="Times New Roman"/>
                <w:color w:val="000000" w:themeColor="text1"/>
                <w:sz w:val="24"/>
              </w:rPr>
              <m:t>dkt</m:t>
            </m:r>
          </m:sub>
        </m:sSub>
        <m:r>
          <m:rPr>
            <m:sty m:val="p"/>
          </m:rPr>
          <w:rPr>
            <w:rFonts w:ascii="Cambria Math" w:eastAsia="SimSun" w:hAnsi="Cambria Math" w:cs="Times New Roman"/>
            <w:color w:val="000000" w:themeColor="text1"/>
            <w:sz w:val="24"/>
          </w:rPr>
          <m:t xml:space="preserve"> </m:t>
        </m:r>
      </m:oMath>
      <w:r w:rsidRPr="006F48FA">
        <w:rPr>
          <w:rFonts w:ascii="Times New Roman" w:eastAsia="SimSun" w:hAnsi="Times New Roman" w:cs="Times New Roman"/>
          <w:color w:val="000000" w:themeColor="text1"/>
          <w:kern w:val="0"/>
          <w:sz w:val="24"/>
          <w:lang w:bidi="ar"/>
        </w:rPr>
        <w:t>is the core explanatory variable.</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X</m:t>
            </m:r>
          </m:e>
          <m:sub>
            <m:r>
              <w:rPr>
                <w:rFonts w:ascii="Cambria Math" w:hAnsi="Cambria Math" w:cs="Times New Roman"/>
                <w:color w:val="000000" w:themeColor="text1"/>
                <w:sz w:val="24"/>
              </w:rPr>
              <m:t xml:space="preserve">dgt </m:t>
            </m:r>
          </m:sub>
        </m:sSub>
      </m:oMath>
      <w:r w:rsidRPr="006F48FA">
        <w:rPr>
          <w:rFonts w:ascii="Times New Roman" w:eastAsia="SimSun" w:hAnsi="Times New Roman" w:cs="Times New Roman"/>
          <w:color w:val="000000" w:themeColor="text1"/>
          <w:kern w:val="0"/>
          <w:sz w:val="24"/>
          <w:lang w:bidi="ar"/>
        </w:rPr>
        <w:t>denotes control variables, including tariffs, mobile communication development, economic development level, exchange rates, population size, and regional trade agreements.</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μ</m:t>
            </m:r>
          </m:e>
          <m:sub>
            <m:r>
              <w:rPr>
                <w:rFonts w:ascii="Cambria Math" w:hAnsi="Cambria Math" w:cs="Times New Roman"/>
                <w:color w:val="000000" w:themeColor="text1"/>
                <w:sz w:val="24"/>
              </w:rPr>
              <m:t>g</m:t>
            </m:r>
          </m:sub>
        </m:sSub>
      </m:oMath>
      <w:r w:rsidRPr="006F48FA">
        <w:rPr>
          <w:rFonts w:ascii="Times New Roman" w:eastAsia="SimSun" w:hAnsi="Times New Roman" w:cs="Times New Roman"/>
          <w:color w:val="000000" w:themeColor="text1"/>
          <w:kern w:val="0"/>
          <w:sz w:val="24"/>
          <w:lang w:bidi="ar"/>
        </w:rPr>
        <w:t>,</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λ</m:t>
            </m:r>
          </m:e>
          <m:sub>
            <m:r>
              <w:rPr>
                <w:rFonts w:ascii="Cambria Math" w:hAnsi="Cambria Math" w:cs="Times New Roman"/>
                <w:color w:val="000000" w:themeColor="text1"/>
                <w:sz w:val="24"/>
              </w:rPr>
              <m:t>d</m:t>
            </m:r>
          </m:sub>
        </m:sSub>
      </m:oMath>
      <w:r w:rsidRPr="006F48FA">
        <w:rPr>
          <w:rFonts w:ascii="Times New Roman" w:eastAsia="SimSun" w:hAnsi="Times New Roman" w:cs="Times New Roman"/>
          <w:color w:val="000000" w:themeColor="text1"/>
          <w:kern w:val="0"/>
          <w:sz w:val="24"/>
          <w:lang w:bidi="ar"/>
        </w:rPr>
        <w:t>, and</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δ</m:t>
            </m:r>
          </m:e>
          <m:sub>
            <m:r>
              <w:rPr>
                <w:rFonts w:ascii="Cambria Math" w:hAnsi="Cambria Math" w:cs="Times New Roman"/>
                <w:color w:val="000000" w:themeColor="text1"/>
                <w:sz w:val="24"/>
              </w:rPr>
              <m:t>t</m:t>
            </m:r>
          </m:sub>
        </m:sSub>
      </m:oMath>
      <w:r w:rsidRPr="006F48FA">
        <w:rPr>
          <w:rFonts w:ascii="Times New Roman" w:eastAsia="SimSun" w:hAnsi="Times New Roman" w:cs="Times New Roman"/>
          <w:color w:val="000000" w:themeColor="text1"/>
          <w:kern w:val="0"/>
          <w:sz w:val="24"/>
          <w:lang w:bidi="ar"/>
        </w:rPr>
        <w:t>represent product, destination-country, and year fixed effects, respectively.</w:t>
      </w:r>
    </w:p>
    <w:p w14:paraId="34C1DC6D" w14:textId="77777777" w:rsidR="00F253D1" w:rsidRPr="006F48FA" w:rsidRDefault="00000000">
      <w:pPr>
        <w:ind w:firstLineChars="200" w:firstLine="480"/>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 xml:space="preserve">The coefficient of interest is </w:t>
      </w:r>
      <m:oMath>
        <m:r>
          <w:rPr>
            <w:rFonts w:ascii="Cambria Math" w:hAnsi="Cambria Math" w:cs="Times New Roman"/>
            <w:color w:val="000000" w:themeColor="text1"/>
            <w:sz w:val="24"/>
          </w:rPr>
          <m:t>β</m:t>
        </m:r>
      </m:oMath>
      <w:r w:rsidRPr="006F48FA">
        <w:rPr>
          <w:rFonts w:ascii="Times New Roman" w:eastAsia="SimSun" w:hAnsi="Times New Roman" w:cs="Times New Roman"/>
          <w:color w:val="000000" w:themeColor="text1"/>
          <w:kern w:val="0"/>
          <w:sz w:val="24"/>
          <w:lang w:bidi="ar"/>
        </w:rPr>
        <w:t>. A significantly negative</w:t>
      </w:r>
      <m:oMath>
        <m:r>
          <w:rPr>
            <w:rFonts w:ascii="Cambria Math" w:eastAsia="SimSun" w:hAnsi="Cambria Math" w:cs="Times New Roman"/>
            <w:color w:val="000000" w:themeColor="text1"/>
            <w:kern w:val="0"/>
            <w:sz w:val="24"/>
            <w:lang w:bidi="ar"/>
          </w:rPr>
          <m:t xml:space="preserve"> </m:t>
        </m:r>
        <m:r>
          <w:rPr>
            <w:rFonts w:ascii="Cambria Math" w:hAnsi="Cambria Math" w:cs="Times New Roman"/>
            <w:color w:val="000000" w:themeColor="text1"/>
            <w:sz w:val="24"/>
          </w:rPr>
          <m:t>β</m:t>
        </m:r>
      </m:oMath>
      <w:r w:rsidRPr="006F48FA">
        <w:rPr>
          <w:rFonts w:ascii="Times New Roman" w:eastAsia="SimSun" w:hAnsi="Times New Roman" w:cs="Times New Roman"/>
          <w:color w:val="000000" w:themeColor="text1"/>
          <w:kern w:val="0"/>
          <w:sz w:val="24"/>
          <w:lang w:bidi="ar"/>
        </w:rPr>
        <w:t xml:space="preserve"> indicates that digital services trade barriers inhibit the upgrading of China’s manufacturing export product quality.</w:t>
      </w:r>
    </w:p>
    <w:p w14:paraId="445DA627" w14:textId="77777777" w:rsidR="00F253D1" w:rsidRPr="006F48FA" w:rsidRDefault="00F253D1">
      <w:pPr>
        <w:rPr>
          <w:rFonts w:ascii="Times New Roman" w:hAnsi="Times New Roman" w:cs="Times New Roman"/>
          <w:color w:val="000000" w:themeColor="text1"/>
          <w:sz w:val="24"/>
        </w:rPr>
      </w:pPr>
    </w:p>
    <w:p w14:paraId="0C3223D5"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4.2.2. Moderating effect model</w:t>
      </w:r>
    </w:p>
    <w:p w14:paraId="7A955ADF" w14:textId="77777777" w:rsidR="00F253D1" w:rsidRPr="006F48FA" w:rsidRDefault="00000000">
      <w:pPr>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To examine whether institutional quality moderates the impact of digital services trade barriers on export product quality, this paper introduces the interaction term between digital services trade barriers and institutional quality:</w:t>
      </w:r>
    </w:p>
    <w:p w14:paraId="63E2ECAE" w14:textId="77777777" w:rsidR="00F253D1" w:rsidRPr="006F48FA" w:rsidRDefault="00F253D1">
      <w:pPr>
        <w:rPr>
          <w:rFonts w:ascii="Times New Roman" w:eastAsia="SimSun" w:hAnsi="Times New Roman" w:cs="Times New Roman"/>
          <w:color w:val="000000" w:themeColor="text1"/>
          <w:kern w:val="0"/>
          <w:sz w:val="24"/>
          <w:lang w:bidi="ar"/>
        </w:rPr>
      </w:pPr>
    </w:p>
    <w:p w14:paraId="4ECC1B91" w14:textId="77777777" w:rsidR="00F253D1" w:rsidRPr="006F48FA" w:rsidRDefault="00000000">
      <w:pPr>
        <w:jc w:val="center"/>
        <w:rPr>
          <w:rFonts w:ascii="Times New Roman" w:hAnsi="Times New Roman" w:cs="Times New Roman"/>
          <w:color w:val="000000" w:themeColor="text1"/>
          <w:sz w:val="24"/>
          <w:lang w:bidi="ar"/>
        </w:rPr>
      </w:pPr>
      <m:oMath>
        <m:r>
          <w:rPr>
            <w:rFonts w:ascii="Cambria Math" w:hAnsi="Cambria Math" w:cs="Times New Roman"/>
            <w:color w:val="000000" w:themeColor="text1"/>
            <w:sz w:val="24"/>
          </w:rPr>
          <m:t>rqualit</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y</m:t>
            </m:r>
          </m:e>
          <m:sub>
            <m:r>
              <w:rPr>
                <w:rFonts w:ascii="Cambria Math" w:hAnsi="Cambria Math" w:cs="Times New Roman"/>
                <w:color w:val="000000" w:themeColor="text1"/>
                <w:sz w:val="24"/>
              </w:rPr>
              <m:t>dgt</m:t>
            </m:r>
          </m:sub>
        </m:sSub>
        <m:r>
          <w:rPr>
            <w:rFonts w:ascii="Cambria Math" w:hAnsi="Cambria Math" w:cs="Times New Roman"/>
            <w:color w:val="000000" w:themeColor="text1"/>
            <w:sz w:val="24"/>
          </w:rPr>
          <m:t>=α+</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β</m:t>
            </m:r>
          </m:e>
          <m:sub>
            <m:r>
              <w:rPr>
                <w:rFonts w:ascii="Cambria Math" w:hAnsi="Cambria Math" w:cs="Times New Roman"/>
                <w:color w:val="000000" w:themeColor="text1"/>
                <w:sz w:val="24"/>
              </w:rPr>
              <m:t>1</m:t>
            </m:r>
          </m:sub>
        </m:sSub>
        <m:r>
          <w:rPr>
            <w:rFonts w:ascii="Cambria Math" w:hAnsi="Cambria Math" w:cs="Times New Roman"/>
            <w:color w:val="000000" w:themeColor="text1"/>
            <w:sz w:val="24"/>
          </w:rPr>
          <m:t>cdstr</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i</m:t>
            </m:r>
          </m:e>
          <m:sub>
            <m:r>
              <w:rPr>
                <w:rFonts w:ascii="Cambria Math" w:hAnsi="Cambria Math" w:cs="Times New Roman"/>
                <w:color w:val="000000" w:themeColor="text1"/>
                <w:sz w:val="24"/>
              </w:rPr>
              <m:t>dkt</m:t>
            </m:r>
          </m:sub>
        </m:sSub>
        <m: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β</m:t>
            </m:r>
          </m:e>
          <m:sub>
            <m:r>
              <w:rPr>
                <w:rFonts w:ascii="Cambria Math" w:hAnsi="Cambria Math" w:cs="Times New Roman"/>
                <w:color w:val="000000" w:themeColor="text1"/>
                <w:sz w:val="24"/>
              </w:rPr>
              <m:t>2</m:t>
            </m:r>
          </m:sub>
        </m:sSub>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M</m:t>
            </m:r>
          </m:e>
          <m:sub>
            <m:r>
              <w:rPr>
                <w:rFonts w:ascii="Cambria Math" w:hAnsi="Cambria Math" w:cs="Times New Roman"/>
                <w:color w:val="000000" w:themeColor="text1"/>
                <w:sz w:val="24"/>
              </w:rPr>
              <m:t>dt</m:t>
            </m:r>
          </m:sub>
        </m:sSub>
        <m: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β</m:t>
            </m:r>
          </m:e>
          <m:sub>
            <m:r>
              <w:rPr>
                <w:rFonts w:ascii="Cambria Math" w:hAnsi="Cambria Math" w:cs="Times New Roman"/>
                <w:color w:val="000000" w:themeColor="text1"/>
                <w:sz w:val="24"/>
              </w:rPr>
              <m:t>3</m:t>
            </m:r>
          </m:sub>
        </m:sSub>
        <m:d>
          <m:dPr>
            <m:ctrlPr>
              <w:rPr>
                <w:rFonts w:ascii="Cambria Math" w:hAnsi="Cambria Math" w:cs="Times New Roman"/>
                <w:color w:val="000000" w:themeColor="text1"/>
                <w:sz w:val="24"/>
              </w:rPr>
            </m:ctrlPr>
          </m:dPr>
          <m:e>
            <m:r>
              <w:rPr>
                <w:rFonts w:ascii="Cambria Math" w:hAnsi="Cambria Math" w:cs="Times New Roman"/>
                <w:color w:val="000000" w:themeColor="text1"/>
                <w:sz w:val="24"/>
              </w:rPr>
              <m:t>cdstr</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i</m:t>
                </m:r>
              </m:e>
              <m:sub>
                <m:r>
                  <w:rPr>
                    <w:rFonts w:ascii="Cambria Math" w:hAnsi="Cambria Math" w:cs="Times New Roman"/>
                    <w:color w:val="000000" w:themeColor="text1"/>
                    <w:sz w:val="24"/>
                  </w:rPr>
                  <m:t>dkt</m:t>
                </m:r>
              </m:sub>
            </m:sSub>
            <m: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M</m:t>
                </m:r>
              </m:e>
              <m:sub>
                <m:r>
                  <w:rPr>
                    <w:rFonts w:ascii="Cambria Math" w:hAnsi="Cambria Math" w:cs="Times New Roman"/>
                    <w:color w:val="000000" w:themeColor="text1"/>
                    <w:sz w:val="24"/>
                  </w:rPr>
                  <m:t>dt</m:t>
                </m:r>
              </m:sub>
            </m:sSub>
          </m:e>
        </m:d>
        <m:r>
          <w:rPr>
            <w:rFonts w:ascii="Cambria Math" w:hAnsi="Cambria Math" w:cs="Times New Roman"/>
            <w:color w:val="000000" w:themeColor="text1"/>
            <w:sz w:val="24"/>
          </w:rPr>
          <m:t>+γ</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X</m:t>
            </m:r>
          </m:e>
          <m:sub>
            <m:r>
              <w:rPr>
                <w:rFonts w:ascii="Cambria Math" w:hAnsi="Cambria Math" w:cs="Times New Roman"/>
                <w:color w:val="000000" w:themeColor="text1"/>
                <w:sz w:val="24"/>
              </w:rPr>
              <m:t>dgt</m:t>
            </m:r>
          </m:sub>
        </m:sSub>
        <m: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μ</m:t>
            </m:r>
          </m:e>
          <m:sub>
            <m:r>
              <w:rPr>
                <w:rFonts w:ascii="Cambria Math" w:hAnsi="Cambria Math" w:cs="Times New Roman"/>
                <w:color w:val="000000" w:themeColor="text1"/>
                <w:sz w:val="24"/>
              </w:rPr>
              <m:t>g</m:t>
            </m:r>
          </m:sub>
        </m:sSub>
        <m: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λ</m:t>
            </m:r>
          </m:e>
          <m:sub>
            <m:r>
              <w:rPr>
                <w:rFonts w:ascii="Cambria Math" w:hAnsi="Cambria Math" w:cs="Times New Roman"/>
                <w:color w:val="000000" w:themeColor="text1"/>
                <w:sz w:val="24"/>
              </w:rPr>
              <m:t>d</m:t>
            </m:r>
          </m:sub>
        </m:sSub>
        <m: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δ</m:t>
            </m:r>
          </m:e>
          <m:sub>
            <m:r>
              <w:rPr>
                <w:rFonts w:ascii="Cambria Math" w:hAnsi="Cambria Math" w:cs="Times New Roman"/>
                <w:color w:val="000000" w:themeColor="text1"/>
                <w:sz w:val="24"/>
              </w:rPr>
              <m:t>t</m:t>
            </m:r>
          </m:sub>
        </m:sSub>
        <m: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ε</m:t>
            </m:r>
          </m:e>
          <m:sub>
            <m:r>
              <w:rPr>
                <w:rFonts w:ascii="Cambria Math" w:hAnsi="Cambria Math" w:cs="Times New Roman"/>
                <w:color w:val="000000" w:themeColor="text1"/>
                <w:sz w:val="24"/>
              </w:rPr>
              <m:t>dgt</m:t>
            </m:r>
          </m:sub>
        </m:sSub>
      </m:oMath>
      <w:r w:rsidRPr="006F48FA">
        <w:rPr>
          <w:rFonts w:ascii="Times New Roman" w:hAnsi="Times New Roman" w:cs="Times New Roman"/>
          <w:color w:val="000000" w:themeColor="text1"/>
          <w:sz w:val="24"/>
        </w:rPr>
        <w:tab/>
        <w:t>(7)</w:t>
      </w:r>
    </w:p>
    <w:p w14:paraId="687F3D09" w14:textId="77777777" w:rsidR="00F253D1" w:rsidRPr="006F48FA" w:rsidRDefault="00F253D1">
      <w:pPr>
        <w:rPr>
          <w:rFonts w:ascii="Times New Roman" w:eastAsia="SimSun" w:hAnsi="Times New Roman" w:cs="Times New Roman"/>
          <w:color w:val="000000" w:themeColor="text1"/>
          <w:kern w:val="0"/>
          <w:sz w:val="24"/>
          <w:lang w:bidi="ar"/>
        </w:rPr>
      </w:pPr>
    </w:p>
    <w:p w14:paraId="074A5B94" w14:textId="77777777" w:rsidR="00F253D1" w:rsidRPr="006F48FA" w:rsidRDefault="00000000">
      <w:pPr>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 xml:space="preserve">where </w:t>
      </w: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M</m:t>
            </m:r>
          </m:e>
          <m:sub>
            <m:r>
              <w:rPr>
                <w:rFonts w:ascii="Cambria Math" w:hAnsi="Cambria Math" w:cs="Times New Roman"/>
                <w:color w:val="000000" w:themeColor="text1"/>
                <w:sz w:val="24"/>
              </w:rPr>
              <m:t>dt</m:t>
            </m:r>
          </m:sub>
        </m:sSub>
      </m:oMath>
      <w:r w:rsidRPr="006F48FA">
        <w:rPr>
          <w:rFonts w:ascii="Times New Roman" w:eastAsia="SimSun" w:hAnsi="Times New Roman" w:cs="Times New Roman"/>
          <w:color w:val="000000" w:themeColor="text1"/>
          <w:kern w:val="0"/>
          <w:sz w:val="24"/>
          <w:lang w:bidi="ar"/>
        </w:rPr>
        <w:t xml:space="preserve">represents institutional quality measured by </w:t>
      </w:r>
      <m:oMath>
        <m:r>
          <w:rPr>
            <w:rFonts w:ascii="Cambria Math" w:eastAsia="SimSun" w:hAnsi="Cambria Math" w:cs="Times New Roman"/>
            <w:color w:val="000000" w:themeColor="text1"/>
            <w:sz w:val="24"/>
          </w:rPr>
          <m:t>WG</m:t>
        </m:r>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I</m:t>
            </m:r>
          </m:e>
          <m:sub>
            <m:r>
              <w:rPr>
                <w:rFonts w:ascii="Cambria Math" w:eastAsia="SimSun" w:hAnsi="Cambria Math" w:cs="Times New Roman"/>
                <w:color w:val="000000" w:themeColor="text1"/>
                <w:sz w:val="24"/>
              </w:rPr>
              <m:t>dt</m:t>
            </m:r>
          </m:sub>
        </m:sSub>
      </m:oMath>
      <w:r w:rsidRPr="006F48FA">
        <w:rPr>
          <w:rFonts w:ascii="Times New Roman" w:eastAsia="SimSun" w:hAnsi="Times New Roman" w:cs="Times New Roman"/>
          <w:color w:val="000000" w:themeColor="text1"/>
          <w:kern w:val="0"/>
          <w:sz w:val="24"/>
          <w:lang w:bidi="ar"/>
        </w:rPr>
        <w:t xml:space="preserve">, and </w:t>
      </w:r>
      <m:oMath>
        <m:r>
          <w:rPr>
            <w:rFonts w:ascii="Cambria Math" w:eastAsia="SimSun" w:hAnsi="Cambria Math" w:cs="Times New Roman"/>
            <w:color w:val="000000" w:themeColor="text1"/>
            <w:sz w:val="24"/>
          </w:rPr>
          <m:t>(cdstr</m:t>
        </m:r>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i</m:t>
            </m:r>
          </m:e>
          <m:sub>
            <m:r>
              <w:rPr>
                <w:rFonts w:ascii="Cambria Math" w:eastAsia="SimSun" w:hAnsi="Cambria Math" w:cs="Times New Roman"/>
                <w:color w:val="000000" w:themeColor="text1"/>
                <w:sz w:val="24"/>
              </w:rPr>
              <m:t>dkt</m:t>
            </m:r>
          </m:sub>
        </m:sSub>
        <m:r>
          <w:rPr>
            <w:rFonts w:ascii="Cambria Math" w:eastAsia="SimSun" w:hAnsi="Cambria Math" w:cs="Times New Roman"/>
            <w:color w:val="000000" w:themeColor="text1"/>
            <w:sz w:val="24"/>
          </w:rPr>
          <m:t>×</m:t>
        </m:r>
        <m:sSub>
          <m:sSubPr>
            <m:ctrlPr>
              <w:rPr>
                <w:rFonts w:ascii="Cambria Math" w:eastAsia="SimSun" w:hAnsi="Cambria Math" w:cs="Times New Roman"/>
                <w:color w:val="000000" w:themeColor="text1"/>
                <w:sz w:val="24"/>
              </w:rPr>
            </m:ctrlPr>
          </m:sSubPr>
          <m:e>
            <m:r>
              <w:rPr>
                <w:rFonts w:ascii="Cambria Math" w:eastAsia="SimSun" w:hAnsi="Cambria Math" w:cs="Times New Roman"/>
                <w:color w:val="000000" w:themeColor="text1"/>
                <w:sz w:val="24"/>
              </w:rPr>
              <m:t>M</m:t>
            </m:r>
          </m:e>
          <m:sub>
            <m:r>
              <w:rPr>
                <w:rFonts w:ascii="Cambria Math" w:eastAsia="SimSun" w:hAnsi="Cambria Math" w:cs="Times New Roman"/>
                <w:color w:val="000000" w:themeColor="text1"/>
                <w:sz w:val="24"/>
              </w:rPr>
              <m:t>dt</m:t>
            </m:r>
          </m:sub>
        </m:sSub>
        <m:r>
          <w:rPr>
            <w:rFonts w:ascii="Cambria Math" w:eastAsia="SimSun" w:hAnsi="Cambria Math" w:cs="Times New Roman"/>
            <w:color w:val="000000" w:themeColor="text1"/>
            <w:sz w:val="24"/>
          </w:rPr>
          <m:t>)</m:t>
        </m:r>
      </m:oMath>
      <w:r w:rsidRPr="006F48FA">
        <w:rPr>
          <w:rFonts w:ascii="Times New Roman" w:eastAsia="SimSun" w:hAnsi="Times New Roman" w:cs="Times New Roman"/>
          <w:color w:val="000000" w:themeColor="text1"/>
          <w:kern w:val="0"/>
          <w:sz w:val="24"/>
          <w:lang w:bidi="ar"/>
        </w:rPr>
        <w:t xml:space="preserve"> is the interaction term. A significantly positive </w:t>
      </w: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β</m:t>
            </m:r>
          </m:e>
          <m:sub>
            <m:r>
              <w:rPr>
                <w:rFonts w:ascii="Cambria Math" w:hAnsi="Cambria Math" w:cs="Times New Roman"/>
                <w:color w:val="000000" w:themeColor="text1"/>
                <w:sz w:val="24"/>
              </w:rPr>
              <m:t xml:space="preserve">3 </m:t>
            </m:r>
          </m:sub>
        </m:sSub>
      </m:oMath>
      <w:r w:rsidRPr="006F48FA">
        <w:rPr>
          <w:rFonts w:ascii="Times New Roman" w:eastAsia="SimSun" w:hAnsi="Times New Roman" w:cs="Times New Roman"/>
          <w:color w:val="000000" w:themeColor="text1"/>
          <w:kern w:val="0"/>
          <w:sz w:val="24"/>
          <w:lang w:bidi="ar"/>
        </w:rPr>
        <w:t>suggests that higher institutional quality weakens the negative effect of digital services trade barriers on export product quality.</w:t>
      </w:r>
    </w:p>
    <w:p w14:paraId="4AA7DE55" w14:textId="77777777" w:rsidR="00F253D1" w:rsidRPr="006F48FA" w:rsidRDefault="00F253D1">
      <w:pPr>
        <w:rPr>
          <w:rFonts w:ascii="Times New Roman" w:eastAsia="SimSun" w:hAnsi="Times New Roman" w:cs="Times New Roman"/>
          <w:color w:val="000000" w:themeColor="text1"/>
          <w:kern w:val="0"/>
          <w:sz w:val="24"/>
          <w:lang w:bidi="ar"/>
        </w:rPr>
      </w:pPr>
    </w:p>
    <w:p w14:paraId="25094B1B"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5. Empirical results</w:t>
      </w:r>
    </w:p>
    <w:p w14:paraId="709317AF"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5.1. Baseline regression results</w:t>
      </w:r>
    </w:p>
    <w:p w14:paraId="56007C59" w14:textId="77777777" w:rsidR="00F253D1" w:rsidRPr="006F48FA" w:rsidRDefault="00000000">
      <w:pPr>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 xml:space="preserve">To examine the impact of digital services trade barriers on China’s manufacturing export product quality, this paper estimates the baseline model with product, destination-country, and year fixed effects. The results are reported in </w:t>
      </w:r>
      <w:r w:rsidRPr="006F48FA">
        <w:rPr>
          <w:rFonts w:ascii="Times New Roman" w:eastAsia="SimSun" w:hAnsi="Times New Roman" w:cs="Times New Roman"/>
          <w:b/>
          <w:bCs/>
          <w:color w:val="000000" w:themeColor="text1"/>
          <w:kern w:val="0"/>
          <w:sz w:val="24"/>
          <w:lang w:bidi="ar"/>
        </w:rPr>
        <w:t>Table 1</w:t>
      </w:r>
      <w:r w:rsidRPr="006F48FA">
        <w:rPr>
          <w:rFonts w:ascii="Times New Roman" w:eastAsia="SimSun" w:hAnsi="Times New Roman" w:cs="Times New Roman"/>
          <w:color w:val="000000" w:themeColor="text1"/>
          <w:kern w:val="0"/>
          <w:sz w:val="24"/>
          <w:lang w:bidi="ar"/>
        </w:rPr>
        <w:t>.</w:t>
      </w:r>
    </w:p>
    <w:p w14:paraId="6BAF5233" w14:textId="77777777" w:rsidR="00F253D1" w:rsidRPr="006F48FA" w:rsidRDefault="00000000">
      <w:pPr>
        <w:ind w:firstLineChars="200" w:firstLine="480"/>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Column (1) includes only the core explanatory variable. Column (2) further controls for tariff levels, while Column (3) incorporates additional destination-country characteristics, including mobile communication penetration, GDP per capita, exchange rates, market size, and regional trade agreements.</w:t>
      </w:r>
    </w:p>
    <w:p w14:paraId="3FF14FA2" w14:textId="77777777" w:rsidR="00F253D1" w:rsidRPr="006F48FA" w:rsidRDefault="00000000">
      <w:pPr>
        <w:ind w:firstLineChars="200" w:firstLine="480"/>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 xml:space="preserve">Across all specifications, the coefficient of digital services trade barriers remains negative and statistically significant at the 1% level, indicating that higher digital services trade barriers significantly </w:t>
      </w:r>
      <w:r w:rsidRPr="006F48FA">
        <w:rPr>
          <w:rFonts w:ascii="Times New Roman" w:eastAsia="SimSun" w:hAnsi="Times New Roman" w:cs="Times New Roman"/>
          <w:color w:val="000000" w:themeColor="text1"/>
          <w:kern w:val="0"/>
          <w:sz w:val="24"/>
          <w:lang w:bidi="ar"/>
        </w:rPr>
        <w:lastRenderedPageBreak/>
        <w:t>inhibit the quality upgrading of China’s manufacturing exports. The estimated coefficient remains stable after progressively introducing control variables, suggesting that the negative effect is robust.</w:t>
      </w:r>
    </w:p>
    <w:p w14:paraId="2788E347" w14:textId="77777777" w:rsidR="00F253D1" w:rsidRPr="006F48FA" w:rsidRDefault="00000000">
      <w:pPr>
        <w:ind w:firstLineChars="200" w:firstLine="480"/>
        <w:rPr>
          <w:rFonts w:ascii="Times New Roman" w:eastAsia="SimSun" w:hAnsi="Times New Roman" w:cs="Times New Roman"/>
          <w:color w:val="000000" w:themeColor="text1"/>
          <w:kern w:val="0"/>
          <w:sz w:val="24"/>
          <w:lang w:bidi="ar"/>
        </w:rPr>
      </w:pPr>
      <w:r w:rsidRPr="006F48FA">
        <w:rPr>
          <w:rFonts w:ascii="Times New Roman" w:eastAsia="SimSun" w:hAnsi="Times New Roman" w:cs="Times New Roman"/>
          <w:color w:val="000000" w:themeColor="text1"/>
          <w:kern w:val="0"/>
          <w:sz w:val="24"/>
          <w:lang w:bidi="ar"/>
        </w:rPr>
        <w:t>Overall, the baseline regression results confirm that digital services trade barriers have a significant negative impact on manufacturing export product quality, supporting Hypothesis 1.</w:t>
      </w:r>
    </w:p>
    <w:p w14:paraId="63D1791A" w14:textId="77777777" w:rsidR="00F253D1" w:rsidRPr="006F48FA" w:rsidRDefault="00F253D1">
      <w:pPr>
        <w:rPr>
          <w:rFonts w:ascii="Times New Roman" w:eastAsia="SimSun" w:hAnsi="Times New Roman" w:cs="Times New Roman"/>
          <w:color w:val="000000" w:themeColor="text1"/>
          <w:kern w:val="0"/>
          <w:sz w:val="24"/>
          <w:lang w:bidi="ar"/>
        </w:rPr>
      </w:pPr>
    </w:p>
    <w:p w14:paraId="761FD03B" w14:textId="77777777" w:rsidR="00F253D1" w:rsidRPr="006F48FA" w:rsidRDefault="00000000">
      <w:pPr>
        <w:rPr>
          <w:rFonts w:ascii="Times New Roman" w:eastAsia="Times New Roman" w:hAnsi="Times New Roman" w:cs="Times New Roman"/>
          <w:color w:val="000000" w:themeColor="text1"/>
          <w:sz w:val="24"/>
        </w:rPr>
      </w:pPr>
      <w:r w:rsidRPr="006F48FA">
        <w:rPr>
          <w:rFonts w:ascii="Times New Roman" w:eastAsia="Times New Roman" w:hAnsi="Times New Roman" w:cs="Times New Roman"/>
          <w:b/>
          <w:bCs/>
          <w:color w:val="000000" w:themeColor="text1"/>
          <w:sz w:val="24"/>
        </w:rPr>
        <w:t>Table 1</w:t>
      </w:r>
      <w:r w:rsidRPr="006F48FA">
        <w:rPr>
          <w:rFonts w:ascii="Times New Roman" w:eastAsia="Times New Roman" w:hAnsi="Times New Roman" w:cs="Times New Roman"/>
          <w:color w:val="000000" w:themeColor="text1"/>
          <w:sz w:val="24"/>
        </w:rPr>
        <w:t>. Baseline regression results</w:t>
      </w:r>
    </w:p>
    <w:p w14:paraId="3E605221" w14:textId="77777777" w:rsidR="00F253D1" w:rsidRPr="006F48FA" w:rsidRDefault="00F253D1">
      <w:pPr>
        <w:rPr>
          <w:rFonts w:ascii="Times New Roman" w:eastAsia="Arial Unicode MS" w:hAnsi="Times New Roman" w:cs="Times New Roman"/>
          <w:color w:val="000000" w:themeColor="text1"/>
          <w:sz w:val="24"/>
        </w:rPr>
      </w:pP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2206"/>
        <w:gridCol w:w="1392"/>
        <w:gridCol w:w="1392"/>
        <w:gridCol w:w="1394"/>
      </w:tblGrid>
      <w:tr w:rsidR="00F253D1" w:rsidRPr="006F48FA" w14:paraId="140544E5" w14:textId="77777777">
        <w:trPr>
          <w:trHeight w:val="90"/>
          <w:jc w:val="center"/>
        </w:trPr>
        <w:tc>
          <w:tcPr>
            <w:tcW w:w="2206" w:type="dxa"/>
            <w:tcBorders>
              <w:bottom w:val="single" w:sz="4" w:space="0" w:color="000000"/>
              <w:tl2br w:val="nil"/>
              <w:tr2bl w:val="nil"/>
            </w:tcBorders>
            <w:vAlign w:val="center"/>
          </w:tcPr>
          <w:p w14:paraId="3D8455F4"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Variables</w:t>
            </w:r>
          </w:p>
        </w:tc>
        <w:tc>
          <w:tcPr>
            <w:tcW w:w="1392" w:type="dxa"/>
            <w:tcBorders>
              <w:bottom w:val="single" w:sz="4" w:space="0" w:color="000000"/>
              <w:tl2br w:val="nil"/>
              <w:tr2bl w:val="nil"/>
            </w:tcBorders>
            <w:vAlign w:val="center"/>
          </w:tcPr>
          <w:p w14:paraId="18E2487C"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(1)</w:t>
            </w:r>
            <w:r w:rsidRPr="006F48FA">
              <w:rPr>
                <w:rFonts w:ascii="Times New Roman" w:eastAsia="SimSun" w:hAnsi="Times New Roman" w:cs="Times New Roman"/>
                <w:b/>
                <w:bCs/>
                <w:color w:val="000000" w:themeColor="text1"/>
                <w:sz w:val="20"/>
                <w:szCs w:val="20"/>
              </w:rPr>
              <w:br/>
              <w:t>rquality</w:t>
            </w:r>
          </w:p>
        </w:tc>
        <w:tc>
          <w:tcPr>
            <w:tcW w:w="1392" w:type="dxa"/>
            <w:tcBorders>
              <w:bottom w:val="single" w:sz="4" w:space="0" w:color="000000"/>
              <w:tl2br w:val="nil"/>
              <w:tr2bl w:val="nil"/>
            </w:tcBorders>
            <w:vAlign w:val="center"/>
          </w:tcPr>
          <w:p w14:paraId="3C038487"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(2)</w:t>
            </w:r>
            <w:r w:rsidRPr="006F48FA">
              <w:rPr>
                <w:rFonts w:ascii="Times New Roman" w:eastAsia="SimSun" w:hAnsi="Times New Roman" w:cs="Times New Roman"/>
                <w:b/>
                <w:bCs/>
                <w:color w:val="000000" w:themeColor="text1"/>
                <w:sz w:val="20"/>
                <w:szCs w:val="20"/>
              </w:rPr>
              <w:br/>
              <w:t>rquality</w:t>
            </w:r>
          </w:p>
        </w:tc>
        <w:tc>
          <w:tcPr>
            <w:tcW w:w="1394" w:type="dxa"/>
            <w:tcBorders>
              <w:bottom w:val="single" w:sz="4" w:space="0" w:color="000000"/>
              <w:tl2br w:val="nil"/>
              <w:tr2bl w:val="nil"/>
            </w:tcBorders>
            <w:vAlign w:val="center"/>
          </w:tcPr>
          <w:p w14:paraId="6E0013D2"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(3)</w:t>
            </w:r>
            <w:r w:rsidRPr="006F48FA">
              <w:rPr>
                <w:rFonts w:ascii="Times New Roman" w:eastAsia="SimSun" w:hAnsi="Times New Roman" w:cs="Times New Roman"/>
                <w:b/>
                <w:bCs/>
                <w:color w:val="000000" w:themeColor="text1"/>
                <w:sz w:val="20"/>
                <w:szCs w:val="20"/>
              </w:rPr>
              <w:br/>
              <w:t>rquality</w:t>
            </w:r>
          </w:p>
        </w:tc>
      </w:tr>
      <w:tr w:rsidR="00F253D1" w:rsidRPr="006F48FA" w14:paraId="584B1CDE" w14:textId="77777777">
        <w:trPr>
          <w:jc w:val="center"/>
        </w:trPr>
        <w:tc>
          <w:tcPr>
            <w:tcW w:w="2206" w:type="dxa"/>
            <w:tcBorders>
              <w:top w:val="single" w:sz="4" w:space="0" w:color="000000"/>
              <w:tl2br w:val="nil"/>
              <w:tr2bl w:val="nil"/>
            </w:tcBorders>
          </w:tcPr>
          <w:p w14:paraId="2930C45C"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cdstri</w:t>
            </w:r>
          </w:p>
        </w:tc>
        <w:tc>
          <w:tcPr>
            <w:tcW w:w="1392" w:type="dxa"/>
            <w:tcBorders>
              <w:top w:val="single" w:sz="4" w:space="0" w:color="000000"/>
              <w:tl2br w:val="nil"/>
              <w:tr2bl w:val="nil"/>
            </w:tcBorders>
          </w:tcPr>
          <w:p w14:paraId="4EE9B59E"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-0.003***</w:t>
            </w:r>
          </w:p>
        </w:tc>
        <w:tc>
          <w:tcPr>
            <w:tcW w:w="1392" w:type="dxa"/>
            <w:tcBorders>
              <w:top w:val="single" w:sz="4" w:space="0" w:color="000000"/>
              <w:tl2br w:val="nil"/>
              <w:tr2bl w:val="nil"/>
            </w:tcBorders>
          </w:tcPr>
          <w:p w14:paraId="76E95113"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-0.003***</w:t>
            </w:r>
          </w:p>
        </w:tc>
        <w:tc>
          <w:tcPr>
            <w:tcW w:w="1394" w:type="dxa"/>
            <w:tcBorders>
              <w:top w:val="single" w:sz="4" w:space="0" w:color="000000"/>
              <w:tl2br w:val="nil"/>
              <w:tr2bl w:val="nil"/>
            </w:tcBorders>
          </w:tcPr>
          <w:p w14:paraId="6FD84E92"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-0.003***</w:t>
            </w:r>
          </w:p>
        </w:tc>
      </w:tr>
      <w:tr w:rsidR="00F253D1" w:rsidRPr="006F48FA" w14:paraId="1BBB5994" w14:textId="77777777">
        <w:trPr>
          <w:jc w:val="center"/>
        </w:trPr>
        <w:tc>
          <w:tcPr>
            <w:tcW w:w="2206" w:type="dxa"/>
            <w:tcBorders>
              <w:bottom w:val="nil"/>
              <w:tl2br w:val="nil"/>
              <w:tr2bl w:val="nil"/>
            </w:tcBorders>
          </w:tcPr>
          <w:p w14:paraId="549F44CB" w14:textId="77777777" w:rsidR="00F253D1" w:rsidRPr="006F48FA" w:rsidRDefault="00F253D1">
            <w:pPr>
              <w:rPr>
                <w:rFonts w:ascii="Times New Roman" w:eastAsia="SimSun" w:hAnsi="Times New Roman" w:cs="Times New Roman"/>
                <w:color w:val="000000" w:themeColor="text1"/>
                <w:sz w:val="20"/>
                <w:szCs w:val="20"/>
              </w:rPr>
            </w:pPr>
          </w:p>
        </w:tc>
        <w:tc>
          <w:tcPr>
            <w:tcW w:w="1392" w:type="dxa"/>
            <w:tcBorders>
              <w:bottom w:val="nil"/>
              <w:tl2br w:val="nil"/>
              <w:tr2bl w:val="nil"/>
            </w:tcBorders>
          </w:tcPr>
          <w:p w14:paraId="7D1EF8E8"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(-4.363)</w:t>
            </w:r>
          </w:p>
        </w:tc>
        <w:tc>
          <w:tcPr>
            <w:tcW w:w="1392" w:type="dxa"/>
            <w:tcBorders>
              <w:bottom w:val="nil"/>
              <w:tl2br w:val="nil"/>
              <w:tr2bl w:val="nil"/>
            </w:tcBorders>
          </w:tcPr>
          <w:p w14:paraId="283FE254"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(-4.632)</w:t>
            </w:r>
          </w:p>
        </w:tc>
        <w:tc>
          <w:tcPr>
            <w:tcW w:w="1394" w:type="dxa"/>
            <w:tcBorders>
              <w:bottom w:val="nil"/>
              <w:tl2br w:val="nil"/>
              <w:tr2bl w:val="nil"/>
            </w:tcBorders>
          </w:tcPr>
          <w:p w14:paraId="35DA88B5"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(-4.215)</w:t>
            </w:r>
          </w:p>
        </w:tc>
      </w:tr>
      <w:tr w:rsidR="00F253D1" w:rsidRPr="006F48FA" w14:paraId="2C9FCBAB" w14:textId="77777777">
        <w:trPr>
          <w:jc w:val="center"/>
        </w:trPr>
        <w:tc>
          <w:tcPr>
            <w:tcW w:w="2206" w:type="dxa"/>
            <w:tcBorders>
              <w:top w:val="nil"/>
              <w:tl2br w:val="nil"/>
              <w:tr2bl w:val="nil"/>
            </w:tcBorders>
            <w:vAlign w:val="center"/>
          </w:tcPr>
          <w:p w14:paraId="7D6843BA"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Product fixed effects</w:t>
            </w:r>
          </w:p>
        </w:tc>
        <w:tc>
          <w:tcPr>
            <w:tcW w:w="1392" w:type="dxa"/>
            <w:tcBorders>
              <w:top w:val="nil"/>
              <w:tl2br w:val="nil"/>
              <w:tr2bl w:val="nil"/>
            </w:tcBorders>
          </w:tcPr>
          <w:p w14:paraId="23FB22EB"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1392" w:type="dxa"/>
            <w:tcBorders>
              <w:top w:val="nil"/>
              <w:tl2br w:val="nil"/>
              <w:tr2bl w:val="nil"/>
            </w:tcBorders>
          </w:tcPr>
          <w:p w14:paraId="74775E05"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1394" w:type="dxa"/>
            <w:tcBorders>
              <w:top w:val="nil"/>
              <w:tl2br w:val="nil"/>
              <w:tr2bl w:val="nil"/>
            </w:tcBorders>
          </w:tcPr>
          <w:p w14:paraId="225EDF0D"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r>
      <w:tr w:rsidR="00F253D1" w:rsidRPr="006F48FA" w14:paraId="78D7462E" w14:textId="77777777">
        <w:trPr>
          <w:jc w:val="center"/>
        </w:trPr>
        <w:tc>
          <w:tcPr>
            <w:tcW w:w="2206" w:type="dxa"/>
            <w:tcBorders>
              <w:tl2br w:val="nil"/>
              <w:tr2bl w:val="nil"/>
            </w:tcBorders>
            <w:vAlign w:val="center"/>
          </w:tcPr>
          <w:p w14:paraId="09551FB7"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Country fixed effects</w:t>
            </w:r>
          </w:p>
        </w:tc>
        <w:tc>
          <w:tcPr>
            <w:tcW w:w="1392" w:type="dxa"/>
            <w:tcBorders>
              <w:tl2br w:val="nil"/>
              <w:tr2bl w:val="nil"/>
            </w:tcBorders>
          </w:tcPr>
          <w:p w14:paraId="21AE52A0"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1392" w:type="dxa"/>
            <w:tcBorders>
              <w:tl2br w:val="nil"/>
              <w:tr2bl w:val="nil"/>
            </w:tcBorders>
          </w:tcPr>
          <w:p w14:paraId="37A47EDF"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1394" w:type="dxa"/>
            <w:tcBorders>
              <w:tl2br w:val="nil"/>
              <w:tr2bl w:val="nil"/>
            </w:tcBorders>
          </w:tcPr>
          <w:p w14:paraId="3CA3F413"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r>
      <w:tr w:rsidR="00F253D1" w:rsidRPr="006F48FA" w14:paraId="04DCA29F" w14:textId="77777777">
        <w:trPr>
          <w:jc w:val="center"/>
        </w:trPr>
        <w:tc>
          <w:tcPr>
            <w:tcW w:w="2206" w:type="dxa"/>
            <w:tcBorders>
              <w:tl2br w:val="nil"/>
              <w:tr2bl w:val="nil"/>
            </w:tcBorders>
            <w:vAlign w:val="center"/>
          </w:tcPr>
          <w:p w14:paraId="75AC4546"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Year fixed effects</w:t>
            </w:r>
          </w:p>
        </w:tc>
        <w:tc>
          <w:tcPr>
            <w:tcW w:w="1392" w:type="dxa"/>
            <w:tcBorders>
              <w:tl2br w:val="nil"/>
              <w:tr2bl w:val="nil"/>
            </w:tcBorders>
          </w:tcPr>
          <w:p w14:paraId="6CEA844A"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1392" w:type="dxa"/>
            <w:tcBorders>
              <w:tl2br w:val="nil"/>
              <w:tr2bl w:val="nil"/>
            </w:tcBorders>
          </w:tcPr>
          <w:p w14:paraId="7BE20071"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1394" w:type="dxa"/>
            <w:tcBorders>
              <w:tl2br w:val="nil"/>
              <w:tr2bl w:val="nil"/>
            </w:tcBorders>
          </w:tcPr>
          <w:p w14:paraId="2837EF1B"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r>
      <w:tr w:rsidR="00F253D1" w:rsidRPr="006F48FA" w14:paraId="76B5B7EE" w14:textId="77777777">
        <w:trPr>
          <w:trHeight w:val="229"/>
          <w:jc w:val="center"/>
        </w:trPr>
        <w:tc>
          <w:tcPr>
            <w:tcW w:w="2206" w:type="dxa"/>
            <w:tcBorders>
              <w:tl2br w:val="nil"/>
              <w:tr2bl w:val="nil"/>
            </w:tcBorders>
          </w:tcPr>
          <w:p w14:paraId="1F577000"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N</w:t>
            </w:r>
          </w:p>
        </w:tc>
        <w:tc>
          <w:tcPr>
            <w:tcW w:w="1392" w:type="dxa"/>
            <w:tcBorders>
              <w:tl2br w:val="nil"/>
              <w:tr2bl w:val="nil"/>
            </w:tcBorders>
          </w:tcPr>
          <w:p w14:paraId="7870795A"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507746</w:t>
            </w:r>
          </w:p>
        </w:tc>
        <w:tc>
          <w:tcPr>
            <w:tcW w:w="1392" w:type="dxa"/>
            <w:tcBorders>
              <w:tl2br w:val="nil"/>
              <w:tr2bl w:val="nil"/>
            </w:tcBorders>
          </w:tcPr>
          <w:p w14:paraId="0DEC6B3B"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505434</w:t>
            </w:r>
          </w:p>
        </w:tc>
        <w:tc>
          <w:tcPr>
            <w:tcW w:w="1394" w:type="dxa"/>
            <w:tcBorders>
              <w:tl2br w:val="nil"/>
              <w:tr2bl w:val="nil"/>
            </w:tcBorders>
          </w:tcPr>
          <w:p w14:paraId="41DA81E3"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422639</w:t>
            </w:r>
          </w:p>
        </w:tc>
      </w:tr>
      <w:tr w:rsidR="00F253D1" w:rsidRPr="006F48FA" w14:paraId="1F7E31A1" w14:textId="77777777">
        <w:trPr>
          <w:jc w:val="center"/>
        </w:trPr>
        <w:tc>
          <w:tcPr>
            <w:tcW w:w="2206" w:type="dxa"/>
            <w:tcBorders>
              <w:tl2br w:val="nil"/>
              <w:tr2bl w:val="nil"/>
            </w:tcBorders>
          </w:tcPr>
          <w:p w14:paraId="345E16D4"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R-squared</w:t>
            </w:r>
          </w:p>
        </w:tc>
        <w:tc>
          <w:tcPr>
            <w:tcW w:w="1392" w:type="dxa"/>
            <w:tcBorders>
              <w:tl2br w:val="nil"/>
              <w:tr2bl w:val="nil"/>
            </w:tcBorders>
          </w:tcPr>
          <w:p w14:paraId="189E961D"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0.478</w:t>
            </w:r>
          </w:p>
        </w:tc>
        <w:tc>
          <w:tcPr>
            <w:tcW w:w="1392" w:type="dxa"/>
            <w:tcBorders>
              <w:tl2br w:val="nil"/>
              <w:tr2bl w:val="nil"/>
            </w:tcBorders>
          </w:tcPr>
          <w:p w14:paraId="16F19ADF"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0.480</w:t>
            </w:r>
          </w:p>
        </w:tc>
        <w:tc>
          <w:tcPr>
            <w:tcW w:w="1394" w:type="dxa"/>
            <w:tcBorders>
              <w:tl2br w:val="nil"/>
              <w:tr2bl w:val="nil"/>
            </w:tcBorders>
          </w:tcPr>
          <w:p w14:paraId="4DCF29AA"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0.488</w:t>
            </w:r>
          </w:p>
        </w:tc>
      </w:tr>
    </w:tbl>
    <w:p w14:paraId="4742C348"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Note: Values in parentheses are t-statistics. *, **, *** indicate statistical significance at the 10%, 5%, and 1% levels, respectively. Unless otherwise specified, the notes apply to all subsequent tables.</w:t>
      </w:r>
    </w:p>
    <w:p w14:paraId="4D2C140A" w14:textId="77777777" w:rsidR="00F253D1" w:rsidRPr="006F48FA" w:rsidRDefault="00F253D1">
      <w:pPr>
        <w:rPr>
          <w:rFonts w:ascii="Times New Roman" w:hAnsi="Times New Roman" w:cs="Times New Roman"/>
          <w:color w:val="000000" w:themeColor="text1"/>
          <w:sz w:val="24"/>
        </w:rPr>
      </w:pPr>
    </w:p>
    <w:p w14:paraId="674A7A2B"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5.2. Endogeneity test</w:t>
      </w:r>
    </w:p>
    <w:p w14:paraId="2F3DBBBC"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To address potential reverse causality between digital services trade barriers and export product quality, this paper uses the one-period lagged digital services trade barrier index as an instrumental variable. As shown in </w:t>
      </w:r>
      <w:r w:rsidRPr="006F48FA">
        <w:rPr>
          <w:rFonts w:ascii="Times New Roman" w:hAnsi="Times New Roman" w:cs="Times New Roman"/>
          <w:b/>
          <w:bCs/>
          <w:color w:val="000000" w:themeColor="text1"/>
          <w:sz w:val="24"/>
        </w:rPr>
        <w:t>Table 2</w:t>
      </w:r>
      <w:r w:rsidRPr="006F48FA">
        <w:rPr>
          <w:rFonts w:ascii="Times New Roman" w:hAnsi="Times New Roman" w:cs="Times New Roman"/>
          <w:color w:val="000000" w:themeColor="text1"/>
          <w:sz w:val="24"/>
        </w:rPr>
        <w:t>, the Kleibergen–Paap rk LM statistic rejects the null hypothesis of under-identification, and the Kleibergen–Paap rk Wald F statistic exceeds the conventional threshold of 10, indicating that the instrument is valid and not weak.</w:t>
      </w:r>
    </w:p>
    <w:p w14:paraId="6E57D54A" w14:textId="77777777" w:rsidR="00F253D1" w:rsidRPr="006F48FA" w:rsidRDefault="00000000">
      <w:pPr>
        <w:ind w:firstLineChars="200" w:firstLine="480"/>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The second-stage regression shows that the coefficient of digital services trade barriers is -0.005 and significant at the 1% level, consistent with the baseline results. This suggests that the negative impact of digital services trade barriers on manufacturing export product quality remains robust after addressing potential endogeneity.</w:t>
      </w:r>
    </w:p>
    <w:p w14:paraId="68AD43FB" w14:textId="77777777" w:rsidR="00F253D1" w:rsidRPr="006F48FA" w:rsidRDefault="00F253D1">
      <w:pPr>
        <w:rPr>
          <w:rFonts w:ascii="Times New Roman" w:hAnsi="Times New Roman" w:cs="Times New Roman"/>
          <w:color w:val="000000" w:themeColor="text1"/>
          <w:sz w:val="24"/>
        </w:rPr>
      </w:pPr>
    </w:p>
    <w:p w14:paraId="3A9E685A" w14:textId="77777777" w:rsidR="00F253D1" w:rsidRPr="006F48FA" w:rsidRDefault="00000000">
      <w:pPr>
        <w:rPr>
          <w:rFonts w:ascii="Times New Roman" w:eastAsia="Times New Roman" w:hAnsi="Times New Roman" w:cs="Times New Roman"/>
          <w:color w:val="000000" w:themeColor="text1"/>
          <w:sz w:val="24"/>
        </w:rPr>
      </w:pPr>
      <w:r w:rsidRPr="006F48FA">
        <w:rPr>
          <w:rFonts w:ascii="Times New Roman" w:eastAsia="Times New Roman" w:hAnsi="Times New Roman" w:cs="Times New Roman"/>
          <w:b/>
          <w:bCs/>
          <w:color w:val="000000" w:themeColor="text1"/>
          <w:sz w:val="24"/>
        </w:rPr>
        <w:t>Table 2</w:t>
      </w:r>
      <w:r w:rsidRPr="006F48FA">
        <w:rPr>
          <w:rFonts w:ascii="Times New Roman" w:eastAsia="Times New Roman" w:hAnsi="Times New Roman" w:cs="Times New Roman"/>
          <w:color w:val="000000" w:themeColor="text1"/>
          <w:sz w:val="24"/>
        </w:rPr>
        <w:t>. Instrumental variable estimation results</w:t>
      </w:r>
    </w:p>
    <w:p w14:paraId="13FA71EC" w14:textId="77777777" w:rsidR="00F253D1" w:rsidRPr="006F48FA" w:rsidRDefault="00F253D1">
      <w:pPr>
        <w:rPr>
          <w:rFonts w:ascii="Times New Roman" w:eastAsia="SimSun" w:hAnsi="Times New Roman" w:cs="Times New Roman"/>
          <w:color w:val="000000" w:themeColor="text1"/>
          <w:sz w:val="24"/>
        </w:rPr>
      </w:pPr>
    </w:p>
    <w:tbl>
      <w:tblPr>
        <w:tblW w:w="0" w:type="auto"/>
        <w:jc w:val="center"/>
        <w:tblBorders>
          <w:top w:val="single" w:sz="4" w:space="0" w:color="auto"/>
        </w:tblBorders>
        <w:tblLayout w:type="fixed"/>
        <w:tblLook w:val="04A0" w:firstRow="1" w:lastRow="0" w:firstColumn="1" w:lastColumn="0" w:noHBand="0" w:noVBand="1"/>
      </w:tblPr>
      <w:tblGrid>
        <w:gridCol w:w="2182"/>
        <w:gridCol w:w="1558"/>
        <w:gridCol w:w="2025"/>
      </w:tblGrid>
      <w:tr w:rsidR="00F253D1" w:rsidRPr="006F48FA" w14:paraId="6F20D772" w14:textId="77777777">
        <w:trPr>
          <w:trHeight w:val="333"/>
          <w:jc w:val="center"/>
        </w:trPr>
        <w:tc>
          <w:tcPr>
            <w:tcW w:w="2182" w:type="dxa"/>
            <w:tcBorders>
              <w:bottom w:val="single" w:sz="4" w:space="0" w:color="000000"/>
              <w:tl2br w:val="nil"/>
              <w:tr2bl w:val="nil"/>
            </w:tcBorders>
            <w:vAlign w:val="center"/>
          </w:tcPr>
          <w:p w14:paraId="6A1610E5"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Variables</w:t>
            </w:r>
          </w:p>
        </w:tc>
        <w:tc>
          <w:tcPr>
            <w:tcW w:w="1558" w:type="dxa"/>
            <w:tcBorders>
              <w:bottom w:val="single" w:sz="4" w:space="0" w:color="000000"/>
              <w:tl2br w:val="nil"/>
              <w:tr2bl w:val="nil"/>
            </w:tcBorders>
            <w:vAlign w:val="center"/>
          </w:tcPr>
          <w:p w14:paraId="6B9316FA"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(1)</w:t>
            </w:r>
            <w:r w:rsidRPr="006F48FA">
              <w:rPr>
                <w:rFonts w:ascii="Times New Roman" w:eastAsia="SimSun" w:hAnsi="Times New Roman" w:cs="Times New Roman"/>
                <w:b/>
                <w:bCs/>
                <w:color w:val="000000" w:themeColor="text1"/>
                <w:sz w:val="20"/>
                <w:szCs w:val="20"/>
              </w:rPr>
              <w:br/>
              <w:t>First stage</w:t>
            </w:r>
          </w:p>
        </w:tc>
        <w:tc>
          <w:tcPr>
            <w:tcW w:w="2025" w:type="dxa"/>
            <w:tcBorders>
              <w:bottom w:val="single" w:sz="4" w:space="0" w:color="000000"/>
              <w:tl2br w:val="nil"/>
              <w:tr2bl w:val="nil"/>
            </w:tcBorders>
            <w:vAlign w:val="center"/>
          </w:tcPr>
          <w:p w14:paraId="04E56358"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(2)</w:t>
            </w:r>
            <w:r w:rsidRPr="006F48FA">
              <w:rPr>
                <w:rFonts w:ascii="Times New Roman" w:eastAsia="SimSun" w:hAnsi="Times New Roman" w:cs="Times New Roman"/>
                <w:b/>
                <w:bCs/>
                <w:color w:val="000000" w:themeColor="text1"/>
                <w:sz w:val="20"/>
                <w:szCs w:val="20"/>
              </w:rPr>
              <w:br/>
              <w:t>Second stage</w:t>
            </w:r>
          </w:p>
        </w:tc>
      </w:tr>
      <w:tr w:rsidR="00F253D1" w:rsidRPr="006F48FA" w14:paraId="1CB5B0CB" w14:textId="77777777">
        <w:trPr>
          <w:jc w:val="center"/>
        </w:trPr>
        <w:tc>
          <w:tcPr>
            <w:tcW w:w="2182" w:type="dxa"/>
            <w:tcBorders>
              <w:top w:val="single" w:sz="4" w:space="0" w:color="000000"/>
              <w:tl2br w:val="nil"/>
              <w:tr2bl w:val="nil"/>
            </w:tcBorders>
          </w:tcPr>
          <w:p w14:paraId="59F61E42"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cdstri_t-1</w:t>
            </w:r>
          </w:p>
        </w:tc>
        <w:tc>
          <w:tcPr>
            <w:tcW w:w="1558" w:type="dxa"/>
            <w:tcBorders>
              <w:top w:val="single" w:sz="4" w:space="0" w:color="000000"/>
              <w:tl2br w:val="nil"/>
              <w:tr2bl w:val="nil"/>
            </w:tcBorders>
          </w:tcPr>
          <w:p w14:paraId="51F3AEE7"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0.643***</w:t>
            </w:r>
          </w:p>
        </w:tc>
        <w:tc>
          <w:tcPr>
            <w:tcW w:w="2025" w:type="dxa"/>
            <w:tcBorders>
              <w:top w:val="single" w:sz="4" w:space="0" w:color="000000"/>
              <w:tl2br w:val="nil"/>
              <w:tr2bl w:val="nil"/>
            </w:tcBorders>
          </w:tcPr>
          <w:p w14:paraId="0C89C776" w14:textId="77777777" w:rsidR="00F253D1" w:rsidRPr="006F48FA" w:rsidRDefault="00F253D1">
            <w:pPr>
              <w:rPr>
                <w:rFonts w:ascii="Times New Roman" w:eastAsia="SimSun" w:hAnsi="Times New Roman" w:cs="Times New Roman"/>
                <w:color w:val="000000" w:themeColor="text1"/>
                <w:sz w:val="20"/>
                <w:szCs w:val="20"/>
              </w:rPr>
            </w:pPr>
          </w:p>
        </w:tc>
      </w:tr>
      <w:tr w:rsidR="00F253D1" w:rsidRPr="006F48FA" w14:paraId="714BF9FA" w14:textId="77777777">
        <w:trPr>
          <w:jc w:val="center"/>
        </w:trPr>
        <w:tc>
          <w:tcPr>
            <w:tcW w:w="2182" w:type="dxa"/>
            <w:tcBorders>
              <w:tl2br w:val="nil"/>
              <w:tr2bl w:val="nil"/>
            </w:tcBorders>
          </w:tcPr>
          <w:p w14:paraId="014C14B2" w14:textId="77777777" w:rsidR="00F253D1" w:rsidRPr="006F48FA" w:rsidRDefault="00F253D1">
            <w:pPr>
              <w:rPr>
                <w:rFonts w:ascii="Times New Roman" w:eastAsia="SimSun" w:hAnsi="Times New Roman" w:cs="Times New Roman"/>
                <w:color w:val="000000" w:themeColor="text1"/>
                <w:sz w:val="20"/>
                <w:szCs w:val="20"/>
              </w:rPr>
            </w:pPr>
          </w:p>
        </w:tc>
        <w:tc>
          <w:tcPr>
            <w:tcW w:w="1558" w:type="dxa"/>
            <w:tcBorders>
              <w:tl2br w:val="nil"/>
              <w:tr2bl w:val="nil"/>
            </w:tcBorders>
          </w:tcPr>
          <w:p w14:paraId="5EC2A5F0"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(214.259)</w:t>
            </w:r>
          </w:p>
        </w:tc>
        <w:tc>
          <w:tcPr>
            <w:tcW w:w="2025" w:type="dxa"/>
            <w:tcBorders>
              <w:tl2br w:val="nil"/>
              <w:tr2bl w:val="nil"/>
            </w:tcBorders>
          </w:tcPr>
          <w:p w14:paraId="6C64C7A5" w14:textId="77777777" w:rsidR="00F253D1" w:rsidRPr="006F48FA" w:rsidRDefault="00F253D1">
            <w:pPr>
              <w:rPr>
                <w:rFonts w:ascii="Times New Roman" w:eastAsia="SimSun" w:hAnsi="Times New Roman" w:cs="Times New Roman"/>
                <w:color w:val="000000" w:themeColor="text1"/>
                <w:sz w:val="20"/>
                <w:szCs w:val="20"/>
              </w:rPr>
            </w:pPr>
          </w:p>
        </w:tc>
      </w:tr>
      <w:tr w:rsidR="00F253D1" w:rsidRPr="006F48FA" w14:paraId="7DD81538" w14:textId="77777777">
        <w:trPr>
          <w:jc w:val="center"/>
        </w:trPr>
        <w:tc>
          <w:tcPr>
            <w:tcW w:w="2182" w:type="dxa"/>
            <w:tcBorders>
              <w:tl2br w:val="nil"/>
              <w:tr2bl w:val="nil"/>
            </w:tcBorders>
          </w:tcPr>
          <w:p w14:paraId="0AC1E189"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cdstri</w:t>
            </w:r>
          </w:p>
        </w:tc>
        <w:tc>
          <w:tcPr>
            <w:tcW w:w="1558" w:type="dxa"/>
            <w:tcBorders>
              <w:tl2br w:val="nil"/>
              <w:tr2bl w:val="nil"/>
            </w:tcBorders>
          </w:tcPr>
          <w:p w14:paraId="4AF60608" w14:textId="77777777" w:rsidR="00F253D1" w:rsidRPr="006F48FA" w:rsidRDefault="00F253D1">
            <w:pPr>
              <w:rPr>
                <w:rFonts w:ascii="Times New Roman" w:eastAsia="SimSun" w:hAnsi="Times New Roman" w:cs="Times New Roman"/>
                <w:color w:val="000000" w:themeColor="text1"/>
                <w:sz w:val="20"/>
                <w:szCs w:val="20"/>
              </w:rPr>
            </w:pPr>
          </w:p>
        </w:tc>
        <w:tc>
          <w:tcPr>
            <w:tcW w:w="2025" w:type="dxa"/>
            <w:tcBorders>
              <w:tl2br w:val="nil"/>
              <w:tr2bl w:val="nil"/>
            </w:tcBorders>
          </w:tcPr>
          <w:p w14:paraId="5B5242C3"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-0.005***</w:t>
            </w:r>
          </w:p>
        </w:tc>
      </w:tr>
      <w:tr w:rsidR="00F253D1" w:rsidRPr="006F48FA" w14:paraId="7B3092D1" w14:textId="77777777">
        <w:trPr>
          <w:jc w:val="center"/>
        </w:trPr>
        <w:tc>
          <w:tcPr>
            <w:tcW w:w="2182" w:type="dxa"/>
            <w:tcBorders>
              <w:tl2br w:val="nil"/>
              <w:tr2bl w:val="nil"/>
            </w:tcBorders>
          </w:tcPr>
          <w:p w14:paraId="65B2F223" w14:textId="77777777" w:rsidR="00F253D1" w:rsidRPr="006F48FA" w:rsidRDefault="00F253D1">
            <w:pPr>
              <w:rPr>
                <w:rFonts w:ascii="Times New Roman" w:eastAsia="SimSun" w:hAnsi="Times New Roman" w:cs="Times New Roman"/>
                <w:color w:val="000000" w:themeColor="text1"/>
                <w:sz w:val="20"/>
                <w:szCs w:val="20"/>
              </w:rPr>
            </w:pPr>
          </w:p>
        </w:tc>
        <w:tc>
          <w:tcPr>
            <w:tcW w:w="1558" w:type="dxa"/>
            <w:tcBorders>
              <w:tl2br w:val="nil"/>
              <w:tr2bl w:val="nil"/>
            </w:tcBorders>
          </w:tcPr>
          <w:p w14:paraId="1D001F07" w14:textId="77777777" w:rsidR="00F253D1" w:rsidRPr="006F48FA" w:rsidRDefault="00F253D1">
            <w:pPr>
              <w:rPr>
                <w:rFonts w:ascii="Times New Roman" w:eastAsia="SimSun" w:hAnsi="Times New Roman" w:cs="Times New Roman"/>
                <w:color w:val="000000" w:themeColor="text1"/>
                <w:sz w:val="20"/>
                <w:szCs w:val="20"/>
              </w:rPr>
            </w:pPr>
          </w:p>
        </w:tc>
        <w:tc>
          <w:tcPr>
            <w:tcW w:w="2025" w:type="dxa"/>
            <w:tcBorders>
              <w:tl2br w:val="nil"/>
              <w:tr2bl w:val="nil"/>
            </w:tcBorders>
          </w:tcPr>
          <w:p w14:paraId="28B3221E"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(-3.299)</w:t>
            </w:r>
          </w:p>
        </w:tc>
      </w:tr>
      <w:tr w:rsidR="00F253D1" w:rsidRPr="006F48FA" w14:paraId="3179E2CF" w14:textId="77777777">
        <w:trPr>
          <w:jc w:val="center"/>
        </w:trPr>
        <w:tc>
          <w:tcPr>
            <w:tcW w:w="2182" w:type="dxa"/>
            <w:tcBorders>
              <w:tl2br w:val="nil"/>
              <w:tr2bl w:val="nil"/>
            </w:tcBorders>
            <w:vAlign w:val="center"/>
          </w:tcPr>
          <w:p w14:paraId="117D456E"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Product fixed effects</w:t>
            </w:r>
          </w:p>
        </w:tc>
        <w:tc>
          <w:tcPr>
            <w:tcW w:w="1558" w:type="dxa"/>
            <w:tcBorders>
              <w:tl2br w:val="nil"/>
              <w:tr2bl w:val="nil"/>
            </w:tcBorders>
          </w:tcPr>
          <w:p w14:paraId="0DDD36D9"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2025" w:type="dxa"/>
            <w:tcBorders>
              <w:tl2br w:val="nil"/>
              <w:tr2bl w:val="nil"/>
            </w:tcBorders>
          </w:tcPr>
          <w:p w14:paraId="7A8DEAE9"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r>
      <w:tr w:rsidR="00F253D1" w:rsidRPr="006F48FA" w14:paraId="7DE58FB0" w14:textId="77777777">
        <w:trPr>
          <w:jc w:val="center"/>
        </w:trPr>
        <w:tc>
          <w:tcPr>
            <w:tcW w:w="2182" w:type="dxa"/>
            <w:tcBorders>
              <w:tl2br w:val="nil"/>
              <w:tr2bl w:val="nil"/>
            </w:tcBorders>
            <w:vAlign w:val="center"/>
          </w:tcPr>
          <w:p w14:paraId="2BFEE3E9"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Country fixed effects</w:t>
            </w:r>
          </w:p>
        </w:tc>
        <w:tc>
          <w:tcPr>
            <w:tcW w:w="1558" w:type="dxa"/>
            <w:tcBorders>
              <w:tl2br w:val="nil"/>
              <w:tr2bl w:val="nil"/>
            </w:tcBorders>
          </w:tcPr>
          <w:p w14:paraId="6C7A2AC6"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2025" w:type="dxa"/>
            <w:tcBorders>
              <w:tl2br w:val="nil"/>
              <w:tr2bl w:val="nil"/>
            </w:tcBorders>
          </w:tcPr>
          <w:p w14:paraId="25C7D28F"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r>
      <w:tr w:rsidR="00F253D1" w:rsidRPr="006F48FA" w14:paraId="77A0BFEE" w14:textId="77777777">
        <w:trPr>
          <w:jc w:val="center"/>
        </w:trPr>
        <w:tc>
          <w:tcPr>
            <w:tcW w:w="2182" w:type="dxa"/>
            <w:tcBorders>
              <w:tl2br w:val="nil"/>
              <w:tr2bl w:val="nil"/>
            </w:tcBorders>
            <w:vAlign w:val="center"/>
          </w:tcPr>
          <w:p w14:paraId="6AC647AC"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Year fixed effects</w:t>
            </w:r>
          </w:p>
        </w:tc>
        <w:tc>
          <w:tcPr>
            <w:tcW w:w="1558" w:type="dxa"/>
            <w:tcBorders>
              <w:tl2br w:val="nil"/>
              <w:tr2bl w:val="nil"/>
            </w:tcBorders>
          </w:tcPr>
          <w:p w14:paraId="53B891B0"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2025" w:type="dxa"/>
            <w:tcBorders>
              <w:tl2br w:val="nil"/>
              <w:tr2bl w:val="nil"/>
            </w:tcBorders>
          </w:tcPr>
          <w:p w14:paraId="6AB9DEAF"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r>
      <w:tr w:rsidR="00F253D1" w:rsidRPr="006F48FA" w14:paraId="7657CF19" w14:textId="77777777">
        <w:trPr>
          <w:trHeight w:val="90"/>
          <w:jc w:val="center"/>
        </w:trPr>
        <w:tc>
          <w:tcPr>
            <w:tcW w:w="2182" w:type="dxa"/>
            <w:tcBorders>
              <w:tl2br w:val="nil"/>
              <w:tr2bl w:val="nil"/>
            </w:tcBorders>
            <w:vAlign w:val="center"/>
          </w:tcPr>
          <w:p w14:paraId="6CEFFDED"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N</w:t>
            </w:r>
          </w:p>
        </w:tc>
        <w:tc>
          <w:tcPr>
            <w:tcW w:w="1558" w:type="dxa"/>
            <w:tcBorders>
              <w:tl2br w:val="nil"/>
              <w:tr2bl w:val="nil"/>
            </w:tcBorders>
          </w:tcPr>
          <w:p w14:paraId="4DED5FAA"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336984</w:t>
            </w:r>
          </w:p>
        </w:tc>
        <w:tc>
          <w:tcPr>
            <w:tcW w:w="2025" w:type="dxa"/>
            <w:tcBorders>
              <w:tl2br w:val="nil"/>
              <w:tr2bl w:val="nil"/>
            </w:tcBorders>
          </w:tcPr>
          <w:p w14:paraId="267BCC42"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336984</w:t>
            </w:r>
          </w:p>
        </w:tc>
      </w:tr>
      <w:tr w:rsidR="00F253D1" w:rsidRPr="006F48FA" w14:paraId="0BBE5574" w14:textId="77777777">
        <w:trPr>
          <w:jc w:val="center"/>
        </w:trPr>
        <w:tc>
          <w:tcPr>
            <w:tcW w:w="2182" w:type="dxa"/>
            <w:tcBorders>
              <w:tl2br w:val="nil"/>
              <w:tr2bl w:val="nil"/>
            </w:tcBorders>
            <w:vAlign w:val="center"/>
          </w:tcPr>
          <w:p w14:paraId="21B0EB18"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K-P rk LM statistic</w:t>
            </w:r>
          </w:p>
        </w:tc>
        <w:tc>
          <w:tcPr>
            <w:tcW w:w="1558" w:type="dxa"/>
            <w:tcBorders>
              <w:tl2br w:val="nil"/>
              <w:tr2bl w:val="nil"/>
            </w:tcBorders>
            <w:vAlign w:val="center"/>
          </w:tcPr>
          <w:p w14:paraId="1B37B8AF"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w:t>
            </w:r>
          </w:p>
        </w:tc>
        <w:tc>
          <w:tcPr>
            <w:tcW w:w="2025" w:type="dxa"/>
            <w:tcBorders>
              <w:tl2br w:val="nil"/>
              <w:tr2bl w:val="nil"/>
            </w:tcBorders>
            <w:vAlign w:val="center"/>
          </w:tcPr>
          <w:p w14:paraId="43B4D78F"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17481.62(0.0000)</w:t>
            </w:r>
          </w:p>
        </w:tc>
      </w:tr>
      <w:tr w:rsidR="00F253D1" w:rsidRPr="006F48FA" w14:paraId="62EC7BEE" w14:textId="77777777">
        <w:trPr>
          <w:jc w:val="center"/>
        </w:trPr>
        <w:tc>
          <w:tcPr>
            <w:tcW w:w="2182" w:type="dxa"/>
            <w:tcBorders>
              <w:bottom w:val="single" w:sz="4" w:space="0" w:color="000000"/>
              <w:tl2br w:val="nil"/>
              <w:tr2bl w:val="nil"/>
            </w:tcBorders>
            <w:vAlign w:val="center"/>
          </w:tcPr>
          <w:p w14:paraId="1FE10814"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K-P rk Wald F statistic</w:t>
            </w:r>
          </w:p>
        </w:tc>
        <w:tc>
          <w:tcPr>
            <w:tcW w:w="1558" w:type="dxa"/>
            <w:tcBorders>
              <w:bottom w:val="single" w:sz="4" w:space="0" w:color="000000"/>
              <w:tl2br w:val="nil"/>
              <w:tr2bl w:val="nil"/>
            </w:tcBorders>
            <w:vAlign w:val="center"/>
          </w:tcPr>
          <w:p w14:paraId="16FF9EF1"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w:t>
            </w:r>
          </w:p>
        </w:tc>
        <w:tc>
          <w:tcPr>
            <w:tcW w:w="2025" w:type="dxa"/>
            <w:tcBorders>
              <w:bottom w:val="single" w:sz="4" w:space="0" w:color="000000"/>
              <w:tl2br w:val="nil"/>
              <w:tr2bl w:val="nil"/>
            </w:tcBorders>
            <w:vAlign w:val="center"/>
          </w:tcPr>
          <w:p w14:paraId="67813573"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45906.88</w:t>
            </w:r>
          </w:p>
        </w:tc>
      </w:tr>
    </w:tbl>
    <w:p w14:paraId="255B3CAB"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lastRenderedPageBreak/>
        <w:t xml:space="preserve">Note: The values in parentheses after the K-P rk LM statistic are </w:t>
      </w:r>
      <w:r w:rsidRPr="006F48FA">
        <w:rPr>
          <w:rFonts w:ascii="Times New Roman" w:eastAsia="SimSun" w:hAnsi="Times New Roman" w:cs="Times New Roman"/>
          <w:i/>
          <w:iCs/>
          <w:color w:val="000000" w:themeColor="text1"/>
          <w:sz w:val="20"/>
          <w:szCs w:val="20"/>
        </w:rPr>
        <w:t>P</w:t>
      </w:r>
      <w:r w:rsidRPr="006F48FA">
        <w:rPr>
          <w:rFonts w:ascii="Times New Roman" w:eastAsia="SimSun" w:hAnsi="Times New Roman" w:cs="Times New Roman"/>
          <w:color w:val="000000" w:themeColor="text1"/>
          <w:sz w:val="20"/>
          <w:szCs w:val="20"/>
        </w:rPr>
        <w:t>-values.</w:t>
      </w:r>
    </w:p>
    <w:p w14:paraId="074CCC92" w14:textId="77777777" w:rsidR="00F253D1" w:rsidRPr="006F48FA" w:rsidRDefault="00F253D1">
      <w:pPr>
        <w:rPr>
          <w:rFonts w:ascii="Times New Roman" w:hAnsi="Times New Roman" w:cs="Times New Roman"/>
          <w:color w:val="000000" w:themeColor="text1"/>
          <w:sz w:val="24"/>
        </w:rPr>
      </w:pPr>
    </w:p>
    <w:p w14:paraId="3833327B"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5.3. Robustness checks</w:t>
      </w:r>
    </w:p>
    <w:p w14:paraId="1F2461AB"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Several robustness checks are conducted to verify the reliability of the baseline results, including winsorizing the dependent variable at the 1% level, replacing the core explanatory variable with an alternative bilateral digital services trade barrier measure, and adding industry–year fixed effects.</w:t>
      </w:r>
    </w:p>
    <w:p w14:paraId="51C38D73"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As reported in </w:t>
      </w:r>
      <w:r w:rsidRPr="006F48FA">
        <w:rPr>
          <w:rFonts w:ascii="Times New Roman" w:hAnsi="Times New Roman" w:cs="Times New Roman"/>
          <w:b/>
          <w:bCs/>
          <w:color w:val="000000" w:themeColor="text1"/>
          <w:sz w:val="24"/>
        </w:rPr>
        <w:t>Table 3</w:t>
      </w:r>
      <w:r w:rsidRPr="006F48FA">
        <w:rPr>
          <w:rFonts w:ascii="Times New Roman" w:hAnsi="Times New Roman" w:cs="Times New Roman"/>
          <w:color w:val="000000" w:themeColor="text1"/>
          <w:sz w:val="24"/>
        </w:rPr>
        <w:t>, the coefficient of digital services trade barriers remains significantly negative across all specifications. These results indicate that the baseline finding is robust to alternative samples, variable measurements, and higher-dimensional fixed effects.</w:t>
      </w:r>
    </w:p>
    <w:p w14:paraId="7AA86DEB" w14:textId="77777777" w:rsidR="00F253D1" w:rsidRPr="006F48FA" w:rsidRDefault="00F253D1">
      <w:pPr>
        <w:rPr>
          <w:rFonts w:ascii="Times New Roman" w:hAnsi="Times New Roman" w:cs="Times New Roman"/>
          <w:color w:val="000000" w:themeColor="text1"/>
          <w:sz w:val="24"/>
        </w:rPr>
      </w:pPr>
    </w:p>
    <w:p w14:paraId="561654AF" w14:textId="77777777" w:rsidR="00F253D1" w:rsidRPr="006F48FA" w:rsidRDefault="00000000">
      <w:pPr>
        <w:rPr>
          <w:rFonts w:ascii="Times New Roman" w:eastAsia="Times New Roman" w:hAnsi="Times New Roman" w:cs="Times New Roman"/>
          <w:color w:val="000000" w:themeColor="text1"/>
          <w:sz w:val="24"/>
        </w:rPr>
      </w:pPr>
      <w:r w:rsidRPr="006F48FA">
        <w:rPr>
          <w:rFonts w:ascii="Times New Roman" w:eastAsia="Times New Roman" w:hAnsi="Times New Roman" w:cs="Times New Roman"/>
          <w:b/>
          <w:bCs/>
          <w:color w:val="000000" w:themeColor="text1"/>
          <w:sz w:val="24"/>
        </w:rPr>
        <w:t>Table 3</w:t>
      </w:r>
      <w:r w:rsidRPr="006F48FA">
        <w:rPr>
          <w:rFonts w:ascii="Times New Roman" w:eastAsia="Times New Roman" w:hAnsi="Times New Roman" w:cs="Times New Roman"/>
          <w:color w:val="000000" w:themeColor="text1"/>
          <w:sz w:val="24"/>
        </w:rPr>
        <w:t>. Robustness checks</w:t>
      </w:r>
    </w:p>
    <w:p w14:paraId="72359D43" w14:textId="77777777" w:rsidR="00F253D1" w:rsidRPr="006F48FA" w:rsidRDefault="00F253D1">
      <w:pPr>
        <w:rPr>
          <w:rFonts w:ascii="Times New Roman" w:hAnsi="Times New Roman" w:cs="Times New Roman"/>
          <w:color w:val="000000" w:themeColor="text1"/>
          <w:sz w:val="24"/>
        </w:rPr>
      </w:pPr>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2419"/>
        <w:gridCol w:w="1455"/>
        <w:gridCol w:w="110"/>
        <w:gridCol w:w="1511"/>
        <w:gridCol w:w="54"/>
        <w:gridCol w:w="1567"/>
      </w:tblGrid>
      <w:tr w:rsidR="00F253D1" w:rsidRPr="006F48FA" w14:paraId="677DF0B3" w14:textId="77777777">
        <w:trPr>
          <w:jc w:val="center"/>
        </w:trPr>
        <w:tc>
          <w:tcPr>
            <w:tcW w:w="2419" w:type="dxa"/>
            <w:tcBorders>
              <w:bottom w:val="single" w:sz="4" w:space="0" w:color="000000"/>
              <w:tl2br w:val="nil"/>
              <w:tr2bl w:val="nil"/>
            </w:tcBorders>
            <w:vAlign w:val="center"/>
          </w:tcPr>
          <w:p w14:paraId="31BBAA99"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Variables</w:t>
            </w:r>
          </w:p>
        </w:tc>
        <w:tc>
          <w:tcPr>
            <w:tcW w:w="1565" w:type="dxa"/>
            <w:gridSpan w:val="2"/>
            <w:tcBorders>
              <w:bottom w:val="single" w:sz="4" w:space="0" w:color="000000"/>
              <w:tl2br w:val="nil"/>
              <w:tr2bl w:val="nil"/>
            </w:tcBorders>
            <w:vAlign w:val="center"/>
          </w:tcPr>
          <w:p w14:paraId="078C6E13"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(1)</w:t>
            </w:r>
            <w:r w:rsidRPr="006F48FA">
              <w:rPr>
                <w:rFonts w:ascii="Times New Roman" w:eastAsia="SimSun" w:hAnsi="Times New Roman" w:cs="Times New Roman"/>
                <w:b/>
                <w:bCs/>
                <w:color w:val="000000" w:themeColor="text1"/>
                <w:sz w:val="20"/>
                <w:szCs w:val="20"/>
              </w:rPr>
              <w:br/>
              <w:t>1% Two-sided Winsorization</w:t>
            </w:r>
          </w:p>
        </w:tc>
        <w:tc>
          <w:tcPr>
            <w:tcW w:w="1565" w:type="dxa"/>
            <w:gridSpan w:val="2"/>
            <w:tcBorders>
              <w:bottom w:val="single" w:sz="4" w:space="0" w:color="000000"/>
              <w:tl2br w:val="nil"/>
              <w:tr2bl w:val="nil"/>
            </w:tcBorders>
            <w:vAlign w:val="center"/>
          </w:tcPr>
          <w:p w14:paraId="3167951D"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(2)</w:t>
            </w:r>
            <w:r w:rsidRPr="006F48FA">
              <w:rPr>
                <w:rFonts w:ascii="Times New Roman" w:eastAsia="SimSun" w:hAnsi="Times New Roman" w:cs="Times New Roman"/>
                <w:b/>
                <w:bCs/>
                <w:color w:val="000000" w:themeColor="text1"/>
                <w:sz w:val="20"/>
                <w:szCs w:val="20"/>
              </w:rPr>
              <w:br/>
              <w:t>Alternative Core Variable</w:t>
            </w:r>
          </w:p>
        </w:tc>
        <w:tc>
          <w:tcPr>
            <w:tcW w:w="1567" w:type="dxa"/>
            <w:tcBorders>
              <w:bottom w:val="single" w:sz="4" w:space="0" w:color="000000"/>
              <w:tl2br w:val="nil"/>
              <w:tr2bl w:val="nil"/>
            </w:tcBorders>
            <w:vAlign w:val="center"/>
          </w:tcPr>
          <w:p w14:paraId="6DD03494"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(3)</w:t>
            </w:r>
            <w:r w:rsidRPr="006F48FA">
              <w:rPr>
                <w:rFonts w:ascii="Times New Roman" w:eastAsia="SimSun" w:hAnsi="Times New Roman" w:cs="Times New Roman"/>
                <w:b/>
                <w:bCs/>
                <w:color w:val="000000" w:themeColor="text1"/>
                <w:sz w:val="20"/>
                <w:szCs w:val="20"/>
              </w:rPr>
              <w:br/>
              <w:t>Industry-Year Fixed Effects</w:t>
            </w:r>
          </w:p>
        </w:tc>
      </w:tr>
      <w:tr w:rsidR="00F253D1" w:rsidRPr="006F48FA" w14:paraId="66198481" w14:textId="77777777">
        <w:trPr>
          <w:jc w:val="center"/>
        </w:trPr>
        <w:tc>
          <w:tcPr>
            <w:tcW w:w="2419" w:type="dxa"/>
            <w:tcBorders>
              <w:top w:val="single" w:sz="4" w:space="0" w:color="000000"/>
              <w:tl2br w:val="nil"/>
              <w:tr2bl w:val="nil"/>
            </w:tcBorders>
          </w:tcPr>
          <w:p w14:paraId="6587E242"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cdstri</w:t>
            </w:r>
          </w:p>
        </w:tc>
        <w:tc>
          <w:tcPr>
            <w:tcW w:w="1565" w:type="dxa"/>
            <w:gridSpan w:val="2"/>
            <w:tcBorders>
              <w:top w:val="single" w:sz="4" w:space="0" w:color="000000"/>
              <w:tl2br w:val="nil"/>
              <w:tr2bl w:val="nil"/>
            </w:tcBorders>
          </w:tcPr>
          <w:p w14:paraId="28FFF903"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-0.003***</w:t>
            </w:r>
          </w:p>
        </w:tc>
        <w:tc>
          <w:tcPr>
            <w:tcW w:w="1565" w:type="dxa"/>
            <w:gridSpan w:val="2"/>
            <w:tcBorders>
              <w:top w:val="single" w:sz="4" w:space="0" w:color="000000"/>
              <w:tl2br w:val="nil"/>
              <w:tr2bl w:val="nil"/>
            </w:tcBorders>
          </w:tcPr>
          <w:p w14:paraId="7F00A54E"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-0.062***</w:t>
            </w:r>
          </w:p>
        </w:tc>
        <w:tc>
          <w:tcPr>
            <w:tcW w:w="1567" w:type="dxa"/>
            <w:tcBorders>
              <w:top w:val="single" w:sz="4" w:space="0" w:color="000000"/>
              <w:tl2br w:val="nil"/>
              <w:tr2bl w:val="nil"/>
            </w:tcBorders>
          </w:tcPr>
          <w:p w14:paraId="56D28A89"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-0.003***</w:t>
            </w:r>
          </w:p>
        </w:tc>
      </w:tr>
      <w:tr w:rsidR="00F253D1" w:rsidRPr="006F48FA" w14:paraId="02BAE933" w14:textId="77777777">
        <w:trPr>
          <w:jc w:val="center"/>
        </w:trPr>
        <w:tc>
          <w:tcPr>
            <w:tcW w:w="2419" w:type="dxa"/>
            <w:tcBorders>
              <w:tl2br w:val="nil"/>
              <w:tr2bl w:val="nil"/>
            </w:tcBorders>
          </w:tcPr>
          <w:p w14:paraId="7BFD47CA" w14:textId="77777777" w:rsidR="00F253D1" w:rsidRPr="006F48FA" w:rsidRDefault="00F253D1">
            <w:pPr>
              <w:rPr>
                <w:rFonts w:ascii="Times New Roman" w:eastAsia="SimSun" w:hAnsi="Times New Roman" w:cs="Times New Roman"/>
                <w:color w:val="000000" w:themeColor="text1"/>
                <w:sz w:val="20"/>
                <w:szCs w:val="20"/>
              </w:rPr>
            </w:pPr>
          </w:p>
        </w:tc>
        <w:tc>
          <w:tcPr>
            <w:tcW w:w="1565" w:type="dxa"/>
            <w:gridSpan w:val="2"/>
            <w:tcBorders>
              <w:tl2br w:val="nil"/>
              <w:tr2bl w:val="nil"/>
            </w:tcBorders>
          </w:tcPr>
          <w:p w14:paraId="3EB8050C"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(-4.138)</w:t>
            </w:r>
          </w:p>
        </w:tc>
        <w:tc>
          <w:tcPr>
            <w:tcW w:w="1565" w:type="dxa"/>
            <w:gridSpan w:val="2"/>
            <w:tcBorders>
              <w:tl2br w:val="nil"/>
              <w:tr2bl w:val="nil"/>
            </w:tcBorders>
          </w:tcPr>
          <w:p w14:paraId="34A67028"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(-6.458)</w:t>
            </w:r>
          </w:p>
        </w:tc>
        <w:tc>
          <w:tcPr>
            <w:tcW w:w="1567" w:type="dxa"/>
            <w:tcBorders>
              <w:tl2br w:val="nil"/>
              <w:tr2bl w:val="nil"/>
            </w:tcBorders>
          </w:tcPr>
          <w:p w14:paraId="70297D5A"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(-3.878)</w:t>
            </w:r>
          </w:p>
        </w:tc>
      </w:tr>
      <w:tr w:rsidR="00F253D1" w:rsidRPr="006F48FA" w14:paraId="043106A0" w14:textId="77777777">
        <w:trPr>
          <w:jc w:val="center"/>
        </w:trPr>
        <w:tc>
          <w:tcPr>
            <w:tcW w:w="2419" w:type="dxa"/>
            <w:tcBorders>
              <w:tl2br w:val="nil"/>
              <w:tr2bl w:val="nil"/>
            </w:tcBorders>
            <w:vAlign w:val="center"/>
          </w:tcPr>
          <w:p w14:paraId="5790F49C"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Product fixed effects</w:t>
            </w:r>
          </w:p>
        </w:tc>
        <w:tc>
          <w:tcPr>
            <w:tcW w:w="1565" w:type="dxa"/>
            <w:gridSpan w:val="2"/>
            <w:tcBorders>
              <w:tl2br w:val="nil"/>
              <w:tr2bl w:val="nil"/>
            </w:tcBorders>
          </w:tcPr>
          <w:p w14:paraId="6F04EF85"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1565" w:type="dxa"/>
            <w:gridSpan w:val="2"/>
            <w:tcBorders>
              <w:tl2br w:val="nil"/>
              <w:tr2bl w:val="nil"/>
            </w:tcBorders>
          </w:tcPr>
          <w:p w14:paraId="2B65B2E9"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1567" w:type="dxa"/>
            <w:tcBorders>
              <w:tl2br w:val="nil"/>
              <w:tr2bl w:val="nil"/>
            </w:tcBorders>
          </w:tcPr>
          <w:p w14:paraId="778D5634"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r>
      <w:tr w:rsidR="00F253D1" w:rsidRPr="006F48FA" w14:paraId="3FD20F0D" w14:textId="77777777">
        <w:trPr>
          <w:jc w:val="center"/>
        </w:trPr>
        <w:tc>
          <w:tcPr>
            <w:tcW w:w="2419" w:type="dxa"/>
            <w:tcBorders>
              <w:tl2br w:val="nil"/>
              <w:tr2bl w:val="nil"/>
            </w:tcBorders>
            <w:vAlign w:val="center"/>
          </w:tcPr>
          <w:p w14:paraId="67D7D3CE"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Country fixed effects</w:t>
            </w:r>
          </w:p>
        </w:tc>
        <w:tc>
          <w:tcPr>
            <w:tcW w:w="1565" w:type="dxa"/>
            <w:gridSpan w:val="2"/>
            <w:tcBorders>
              <w:tl2br w:val="nil"/>
              <w:tr2bl w:val="nil"/>
            </w:tcBorders>
          </w:tcPr>
          <w:p w14:paraId="5DE58211"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1565" w:type="dxa"/>
            <w:gridSpan w:val="2"/>
            <w:tcBorders>
              <w:tl2br w:val="nil"/>
              <w:tr2bl w:val="nil"/>
            </w:tcBorders>
          </w:tcPr>
          <w:p w14:paraId="48BBA629"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1567" w:type="dxa"/>
            <w:tcBorders>
              <w:tl2br w:val="nil"/>
              <w:tr2bl w:val="nil"/>
            </w:tcBorders>
          </w:tcPr>
          <w:p w14:paraId="61E24085"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r>
      <w:tr w:rsidR="00F253D1" w:rsidRPr="006F48FA" w14:paraId="570162DB" w14:textId="77777777">
        <w:trPr>
          <w:jc w:val="center"/>
        </w:trPr>
        <w:tc>
          <w:tcPr>
            <w:tcW w:w="2419" w:type="dxa"/>
            <w:tcBorders>
              <w:tl2br w:val="nil"/>
              <w:tr2bl w:val="nil"/>
            </w:tcBorders>
            <w:vAlign w:val="center"/>
          </w:tcPr>
          <w:p w14:paraId="78982C4D"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Year fixed effects</w:t>
            </w:r>
          </w:p>
        </w:tc>
        <w:tc>
          <w:tcPr>
            <w:tcW w:w="1565" w:type="dxa"/>
            <w:gridSpan w:val="2"/>
            <w:tcBorders>
              <w:tl2br w:val="nil"/>
              <w:tr2bl w:val="nil"/>
            </w:tcBorders>
          </w:tcPr>
          <w:p w14:paraId="00E88A3A"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1565" w:type="dxa"/>
            <w:gridSpan w:val="2"/>
            <w:tcBorders>
              <w:tl2br w:val="nil"/>
              <w:tr2bl w:val="nil"/>
            </w:tcBorders>
          </w:tcPr>
          <w:p w14:paraId="740B771C"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c>
          <w:tcPr>
            <w:tcW w:w="1567" w:type="dxa"/>
            <w:tcBorders>
              <w:tl2br w:val="nil"/>
              <w:tr2bl w:val="nil"/>
            </w:tcBorders>
          </w:tcPr>
          <w:p w14:paraId="76E5552C"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NO</w:t>
            </w:r>
          </w:p>
        </w:tc>
      </w:tr>
      <w:tr w:rsidR="00F253D1" w:rsidRPr="006F48FA" w14:paraId="4CEF5BB1" w14:textId="77777777">
        <w:trPr>
          <w:jc w:val="center"/>
        </w:trPr>
        <w:tc>
          <w:tcPr>
            <w:tcW w:w="2419" w:type="dxa"/>
            <w:tcBorders>
              <w:tl2br w:val="nil"/>
              <w:tr2bl w:val="nil"/>
            </w:tcBorders>
            <w:vAlign w:val="center"/>
          </w:tcPr>
          <w:p w14:paraId="6B3A5EB9"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Industry-year fixed effects</w:t>
            </w:r>
          </w:p>
        </w:tc>
        <w:tc>
          <w:tcPr>
            <w:tcW w:w="1565" w:type="dxa"/>
            <w:gridSpan w:val="2"/>
            <w:tcBorders>
              <w:tl2br w:val="nil"/>
              <w:tr2bl w:val="nil"/>
            </w:tcBorders>
          </w:tcPr>
          <w:p w14:paraId="3950C004"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NO</w:t>
            </w:r>
          </w:p>
        </w:tc>
        <w:tc>
          <w:tcPr>
            <w:tcW w:w="1565" w:type="dxa"/>
            <w:gridSpan w:val="2"/>
            <w:tcBorders>
              <w:tl2br w:val="nil"/>
              <w:tr2bl w:val="nil"/>
            </w:tcBorders>
          </w:tcPr>
          <w:p w14:paraId="69E32700"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NO</w:t>
            </w:r>
          </w:p>
        </w:tc>
        <w:tc>
          <w:tcPr>
            <w:tcW w:w="1567" w:type="dxa"/>
            <w:tcBorders>
              <w:tl2br w:val="nil"/>
              <w:tr2bl w:val="nil"/>
            </w:tcBorders>
          </w:tcPr>
          <w:p w14:paraId="4A5C2B21"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YES</w:t>
            </w:r>
          </w:p>
        </w:tc>
      </w:tr>
      <w:tr w:rsidR="00F253D1" w:rsidRPr="006F48FA" w14:paraId="38DCC02C" w14:textId="77777777">
        <w:trPr>
          <w:jc w:val="center"/>
        </w:trPr>
        <w:tc>
          <w:tcPr>
            <w:tcW w:w="2419" w:type="dxa"/>
            <w:tcBorders>
              <w:tl2br w:val="nil"/>
              <w:tr2bl w:val="nil"/>
            </w:tcBorders>
          </w:tcPr>
          <w:p w14:paraId="159D72D0"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N</w:t>
            </w:r>
          </w:p>
        </w:tc>
        <w:tc>
          <w:tcPr>
            <w:tcW w:w="1455" w:type="dxa"/>
            <w:tcBorders>
              <w:tl2br w:val="nil"/>
              <w:tr2bl w:val="nil"/>
            </w:tcBorders>
          </w:tcPr>
          <w:p w14:paraId="544A6369"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422639</w:t>
            </w:r>
          </w:p>
        </w:tc>
        <w:tc>
          <w:tcPr>
            <w:tcW w:w="1621" w:type="dxa"/>
            <w:gridSpan w:val="2"/>
            <w:tcBorders>
              <w:tl2br w:val="nil"/>
              <w:tr2bl w:val="nil"/>
            </w:tcBorders>
          </w:tcPr>
          <w:p w14:paraId="44D4A8C8"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430529</w:t>
            </w:r>
          </w:p>
        </w:tc>
        <w:tc>
          <w:tcPr>
            <w:tcW w:w="1621" w:type="dxa"/>
            <w:gridSpan w:val="2"/>
            <w:tcBorders>
              <w:tl2br w:val="nil"/>
              <w:tr2bl w:val="nil"/>
            </w:tcBorders>
          </w:tcPr>
          <w:p w14:paraId="2D5BE13E"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422639</w:t>
            </w:r>
          </w:p>
        </w:tc>
      </w:tr>
      <w:tr w:rsidR="00F253D1" w:rsidRPr="006F48FA" w14:paraId="38991C8D" w14:textId="77777777">
        <w:trPr>
          <w:jc w:val="center"/>
        </w:trPr>
        <w:tc>
          <w:tcPr>
            <w:tcW w:w="2419" w:type="dxa"/>
            <w:tcBorders>
              <w:tl2br w:val="nil"/>
              <w:tr2bl w:val="nil"/>
            </w:tcBorders>
          </w:tcPr>
          <w:p w14:paraId="07C517C1"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R-squared</w:t>
            </w:r>
          </w:p>
        </w:tc>
        <w:tc>
          <w:tcPr>
            <w:tcW w:w="1455" w:type="dxa"/>
            <w:tcBorders>
              <w:tl2br w:val="nil"/>
              <w:tr2bl w:val="nil"/>
            </w:tcBorders>
          </w:tcPr>
          <w:p w14:paraId="2F2CEA55"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0.500</w:t>
            </w:r>
          </w:p>
        </w:tc>
        <w:tc>
          <w:tcPr>
            <w:tcW w:w="1621" w:type="dxa"/>
            <w:gridSpan w:val="2"/>
            <w:tcBorders>
              <w:tl2br w:val="nil"/>
              <w:tr2bl w:val="nil"/>
            </w:tcBorders>
          </w:tcPr>
          <w:p w14:paraId="69268097"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0.489</w:t>
            </w:r>
          </w:p>
        </w:tc>
        <w:tc>
          <w:tcPr>
            <w:tcW w:w="1621" w:type="dxa"/>
            <w:gridSpan w:val="2"/>
            <w:tcBorders>
              <w:tl2br w:val="nil"/>
              <w:tr2bl w:val="nil"/>
            </w:tcBorders>
          </w:tcPr>
          <w:p w14:paraId="0520062A"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0.493</w:t>
            </w:r>
          </w:p>
        </w:tc>
      </w:tr>
    </w:tbl>
    <w:p w14:paraId="64E915E7" w14:textId="77777777" w:rsidR="00F253D1" w:rsidRPr="006F48FA" w:rsidRDefault="00F253D1">
      <w:pPr>
        <w:rPr>
          <w:rFonts w:ascii="Times New Roman" w:hAnsi="Times New Roman" w:cs="Times New Roman"/>
          <w:color w:val="000000" w:themeColor="text1"/>
          <w:sz w:val="24"/>
        </w:rPr>
      </w:pPr>
    </w:p>
    <w:p w14:paraId="5CFA2019"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5.4. Moderating effect of institutional quality</w:t>
      </w:r>
    </w:p>
    <w:p w14:paraId="02AE4F7B"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To examine whether institutional quality moderates the effect of digital services trade barriers on export product quality, this paper introduces WGI and its interaction term with digital services trade barriers.</w:t>
      </w:r>
    </w:p>
    <w:p w14:paraId="742BC07A" w14:textId="77777777" w:rsidR="00F253D1" w:rsidRPr="006F48FA" w:rsidRDefault="00000000">
      <w:pPr>
        <w:ind w:firstLineChars="200" w:firstLine="482"/>
        <w:rPr>
          <w:rFonts w:ascii="Times New Roman" w:hAnsi="Times New Roman" w:cs="Times New Roman"/>
          <w:color w:val="000000" w:themeColor="text1"/>
          <w:sz w:val="24"/>
        </w:rPr>
      </w:pPr>
      <w:r w:rsidRPr="006F48FA">
        <w:rPr>
          <w:rFonts w:ascii="Times New Roman" w:hAnsi="Times New Roman" w:cs="Times New Roman"/>
          <w:b/>
          <w:bCs/>
          <w:color w:val="000000" w:themeColor="text1"/>
          <w:sz w:val="24"/>
        </w:rPr>
        <w:t>Table 4</w:t>
      </w:r>
      <w:r w:rsidRPr="006F48FA">
        <w:rPr>
          <w:rFonts w:ascii="Times New Roman" w:hAnsi="Times New Roman" w:cs="Times New Roman"/>
          <w:color w:val="000000" w:themeColor="text1"/>
          <w:sz w:val="24"/>
        </w:rPr>
        <w:t xml:space="preserve"> shows that the coefficient of cdstri remains significantly negative, while the interaction term cdstri×WGIcdstri \times WGIcdstri×WGI is significantly positive at the 1% level. This indicates that institutional quality weakens the negative impact of digital services trade barriers on export product quality.</w:t>
      </w:r>
    </w:p>
    <w:p w14:paraId="4D83FB43"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Therefore, better institutional environments can reduce regulatory uncertainty and compliance costs, thereby mitigating the adverse effects of digital services trade barriers.</w:t>
      </w:r>
    </w:p>
    <w:p w14:paraId="6A01C3C0" w14:textId="77777777" w:rsidR="00F253D1" w:rsidRPr="006F48FA" w:rsidRDefault="00F253D1">
      <w:pPr>
        <w:rPr>
          <w:rFonts w:ascii="Times New Roman" w:hAnsi="Times New Roman" w:cs="Times New Roman"/>
          <w:color w:val="000000" w:themeColor="text1"/>
          <w:sz w:val="24"/>
        </w:rPr>
      </w:pPr>
    </w:p>
    <w:p w14:paraId="5B4B1C52" w14:textId="77777777" w:rsidR="00F253D1" w:rsidRPr="006F48FA" w:rsidRDefault="00000000">
      <w:pPr>
        <w:rPr>
          <w:rFonts w:ascii="Times New Roman" w:eastAsia="Times New Roman" w:hAnsi="Times New Roman" w:cs="Times New Roman"/>
          <w:color w:val="000000" w:themeColor="text1"/>
          <w:sz w:val="24"/>
        </w:rPr>
      </w:pPr>
      <w:r w:rsidRPr="006F48FA">
        <w:rPr>
          <w:rFonts w:ascii="Times New Roman" w:eastAsia="Times New Roman" w:hAnsi="Times New Roman" w:cs="Times New Roman"/>
          <w:b/>
          <w:bCs/>
          <w:color w:val="000000" w:themeColor="text1"/>
          <w:sz w:val="24"/>
        </w:rPr>
        <w:t>Table 4</w:t>
      </w:r>
      <w:r w:rsidRPr="006F48FA">
        <w:rPr>
          <w:rFonts w:ascii="Times New Roman" w:eastAsia="Times New Roman" w:hAnsi="Times New Roman" w:cs="Times New Roman"/>
          <w:color w:val="000000" w:themeColor="text1"/>
          <w:sz w:val="24"/>
        </w:rPr>
        <w:t>. Moderating effect of institutional quality</w:t>
      </w:r>
    </w:p>
    <w:p w14:paraId="305A00CF" w14:textId="77777777" w:rsidR="00F253D1" w:rsidRPr="006F48FA" w:rsidRDefault="00F253D1">
      <w:pPr>
        <w:rPr>
          <w:rFonts w:ascii="Times New Roman" w:eastAsia="Times New Roman" w:hAnsi="Times New Roman" w:cs="Times New Roman"/>
          <w:color w:val="000000" w:themeColor="text1"/>
          <w:sz w:val="24"/>
        </w:rPr>
      </w:pPr>
    </w:p>
    <w:tbl>
      <w:tblPr>
        <w:tblW w:w="0" w:type="auto"/>
        <w:jc w:val="center"/>
        <w:tblLayout w:type="fixed"/>
        <w:tblLook w:val="04A0" w:firstRow="1" w:lastRow="0" w:firstColumn="1" w:lastColumn="0" w:noHBand="0" w:noVBand="1"/>
      </w:tblPr>
      <w:tblGrid>
        <w:gridCol w:w="2498"/>
        <w:gridCol w:w="1629"/>
      </w:tblGrid>
      <w:tr w:rsidR="00F253D1" w:rsidRPr="006F48FA" w14:paraId="4EE8C44F" w14:textId="77777777">
        <w:trPr>
          <w:jc w:val="center"/>
        </w:trPr>
        <w:tc>
          <w:tcPr>
            <w:tcW w:w="2498" w:type="dxa"/>
            <w:tcBorders>
              <w:top w:val="single" w:sz="4" w:space="0" w:color="auto"/>
              <w:left w:val="nil"/>
              <w:bottom w:val="nil"/>
              <w:right w:val="nil"/>
              <w:tl2br w:val="nil"/>
              <w:tr2bl w:val="nil"/>
            </w:tcBorders>
          </w:tcPr>
          <w:p w14:paraId="6B8A4D9A"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Variables</w:t>
            </w:r>
          </w:p>
        </w:tc>
        <w:tc>
          <w:tcPr>
            <w:tcW w:w="1629" w:type="dxa"/>
            <w:tcBorders>
              <w:top w:val="single" w:sz="4" w:space="0" w:color="auto"/>
              <w:left w:val="nil"/>
              <w:bottom w:val="nil"/>
              <w:right w:val="nil"/>
              <w:tl2br w:val="nil"/>
              <w:tr2bl w:val="nil"/>
            </w:tcBorders>
          </w:tcPr>
          <w:p w14:paraId="33D008A7"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(1)</w:t>
            </w:r>
          </w:p>
        </w:tc>
      </w:tr>
      <w:tr w:rsidR="00F253D1" w:rsidRPr="006F48FA" w14:paraId="5FD32AC8" w14:textId="77777777">
        <w:trPr>
          <w:jc w:val="center"/>
        </w:trPr>
        <w:tc>
          <w:tcPr>
            <w:tcW w:w="2498" w:type="dxa"/>
            <w:tcBorders>
              <w:top w:val="nil"/>
              <w:left w:val="nil"/>
              <w:bottom w:val="nil"/>
              <w:right w:val="nil"/>
              <w:tl2br w:val="nil"/>
              <w:tr2bl w:val="nil"/>
            </w:tcBorders>
          </w:tcPr>
          <w:p w14:paraId="52BFFC24" w14:textId="77777777" w:rsidR="00F253D1" w:rsidRPr="006F48FA" w:rsidRDefault="00F253D1">
            <w:pPr>
              <w:rPr>
                <w:rFonts w:ascii="Times New Roman" w:eastAsia="SimSun" w:hAnsi="Times New Roman" w:cs="Times New Roman"/>
                <w:b/>
                <w:bCs/>
                <w:color w:val="000000" w:themeColor="text1"/>
                <w:sz w:val="20"/>
                <w:szCs w:val="20"/>
              </w:rPr>
            </w:pPr>
          </w:p>
        </w:tc>
        <w:tc>
          <w:tcPr>
            <w:tcW w:w="1629" w:type="dxa"/>
            <w:tcBorders>
              <w:top w:val="nil"/>
              <w:left w:val="nil"/>
              <w:bottom w:val="nil"/>
              <w:right w:val="nil"/>
              <w:tl2br w:val="nil"/>
              <w:tr2bl w:val="nil"/>
            </w:tcBorders>
          </w:tcPr>
          <w:p w14:paraId="2A38CB12" w14:textId="77777777" w:rsidR="00F253D1" w:rsidRPr="006F48FA" w:rsidRDefault="00000000">
            <w:pPr>
              <w:rPr>
                <w:rFonts w:ascii="Times New Roman" w:eastAsia="SimSun" w:hAnsi="Times New Roman" w:cs="Times New Roman"/>
                <w:b/>
                <w:bCs/>
                <w:color w:val="000000" w:themeColor="text1"/>
                <w:sz w:val="20"/>
                <w:szCs w:val="20"/>
              </w:rPr>
            </w:pPr>
            <w:r w:rsidRPr="006F48FA">
              <w:rPr>
                <w:rFonts w:ascii="Times New Roman" w:eastAsia="SimSun" w:hAnsi="Times New Roman" w:cs="Times New Roman"/>
                <w:b/>
                <w:bCs/>
                <w:color w:val="000000" w:themeColor="text1"/>
                <w:sz w:val="20"/>
                <w:szCs w:val="20"/>
              </w:rPr>
              <w:t>rquality</w:t>
            </w:r>
          </w:p>
        </w:tc>
      </w:tr>
      <w:tr w:rsidR="00F253D1" w:rsidRPr="006F48FA" w14:paraId="5A78344A" w14:textId="77777777">
        <w:trPr>
          <w:jc w:val="center"/>
        </w:trPr>
        <w:tc>
          <w:tcPr>
            <w:tcW w:w="2498" w:type="dxa"/>
            <w:tcBorders>
              <w:top w:val="single" w:sz="4" w:space="0" w:color="auto"/>
              <w:left w:val="nil"/>
              <w:bottom w:val="nil"/>
              <w:right w:val="nil"/>
              <w:tl2br w:val="nil"/>
              <w:tr2bl w:val="nil"/>
            </w:tcBorders>
          </w:tcPr>
          <w:p w14:paraId="431D322B"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cdstri</w:t>
            </w:r>
          </w:p>
        </w:tc>
        <w:tc>
          <w:tcPr>
            <w:tcW w:w="1629" w:type="dxa"/>
            <w:tcBorders>
              <w:top w:val="single" w:sz="4" w:space="0" w:color="auto"/>
              <w:left w:val="nil"/>
              <w:bottom w:val="nil"/>
              <w:right w:val="nil"/>
              <w:tl2br w:val="nil"/>
              <w:tr2bl w:val="nil"/>
            </w:tcBorders>
          </w:tcPr>
          <w:p w14:paraId="521A6A98"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-0.0048***</w:t>
            </w:r>
          </w:p>
        </w:tc>
      </w:tr>
      <w:tr w:rsidR="00F253D1" w:rsidRPr="006F48FA" w14:paraId="05D6B189" w14:textId="77777777">
        <w:trPr>
          <w:jc w:val="center"/>
        </w:trPr>
        <w:tc>
          <w:tcPr>
            <w:tcW w:w="2498" w:type="dxa"/>
            <w:tcBorders>
              <w:top w:val="nil"/>
              <w:left w:val="nil"/>
              <w:bottom w:val="nil"/>
              <w:right w:val="nil"/>
              <w:tl2br w:val="nil"/>
              <w:tr2bl w:val="nil"/>
            </w:tcBorders>
          </w:tcPr>
          <w:p w14:paraId="507AEA60" w14:textId="77777777" w:rsidR="00F253D1" w:rsidRPr="006F48FA" w:rsidRDefault="00F253D1">
            <w:pPr>
              <w:rPr>
                <w:rFonts w:ascii="Times New Roman" w:eastAsia="SimSun" w:hAnsi="Times New Roman" w:cs="Times New Roman"/>
                <w:color w:val="000000" w:themeColor="text1"/>
                <w:sz w:val="20"/>
                <w:szCs w:val="20"/>
              </w:rPr>
            </w:pPr>
          </w:p>
        </w:tc>
        <w:tc>
          <w:tcPr>
            <w:tcW w:w="1629" w:type="dxa"/>
            <w:tcBorders>
              <w:top w:val="nil"/>
              <w:left w:val="nil"/>
              <w:bottom w:val="nil"/>
              <w:right w:val="nil"/>
              <w:tl2br w:val="nil"/>
              <w:tr2bl w:val="nil"/>
            </w:tcBorders>
          </w:tcPr>
          <w:p w14:paraId="167E4982"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(-5.69)</w:t>
            </w:r>
          </w:p>
        </w:tc>
      </w:tr>
      <w:tr w:rsidR="00F253D1" w:rsidRPr="006F48FA" w14:paraId="5D7A483C" w14:textId="77777777">
        <w:trPr>
          <w:jc w:val="center"/>
        </w:trPr>
        <w:tc>
          <w:tcPr>
            <w:tcW w:w="2498" w:type="dxa"/>
            <w:tcBorders>
              <w:top w:val="nil"/>
              <w:left w:val="nil"/>
              <w:bottom w:val="nil"/>
              <w:right w:val="nil"/>
              <w:tl2br w:val="nil"/>
              <w:tr2bl w:val="nil"/>
            </w:tcBorders>
          </w:tcPr>
          <w:p w14:paraId="186575D1"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WGI</w:t>
            </w:r>
          </w:p>
        </w:tc>
        <w:tc>
          <w:tcPr>
            <w:tcW w:w="1629" w:type="dxa"/>
            <w:tcBorders>
              <w:top w:val="nil"/>
              <w:left w:val="nil"/>
              <w:bottom w:val="nil"/>
              <w:right w:val="nil"/>
              <w:tl2br w:val="nil"/>
              <w:tr2bl w:val="nil"/>
            </w:tcBorders>
          </w:tcPr>
          <w:p w14:paraId="07658A60"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0.0109***</w:t>
            </w:r>
          </w:p>
        </w:tc>
      </w:tr>
      <w:tr w:rsidR="00F253D1" w:rsidRPr="006F48FA" w14:paraId="0AF71059" w14:textId="77777777">
        <w:trPr>
          <w:jc w:val="center"/>
        </w:trPr>
        <w:tc>
          <w:tcPr>
            <w:tcW w:w="2498" w:type="dxa"/>
            <w:tcBorders>
              <w:top w:val="nil"/>
              <w:left w:val="nil"/>
              <w:bottom w:val="nil"/>
              <w:right w:val="nil"/>
              <w:tl2br w:val="nil"/>
              <w:tr2bl w:val="nil"/>
            </w:tcBorders>
          </w:tcPr>
          <w:p w14:paraId="37320AF3" w14:textId="77777777" w:rsidR="00F253D1" w:rsidRPr="006F48FA" w:rsidRDefault="00F253D1">
            <w:pPr>
              <w:rPr>
                <w:rFonts w:ascii="Times New Roman" w:eastAsia="SimSun" w:hAnsi="Times New Roman" w:cs="Times New Roman"/>
                <w:color w:val="000000" w:themeColor="text1"/>
                <w:sz w:val="20"/>
                <w:szCs w:val="20"/>
              </w:rPr>
            </w:pPr>
          </w:p>
        </w:tc>
        <w:tc>
          <w:tcPr>
            <w:tcW w:w="1629" w:type="dxa"/>
            <w:tcBorders>
              <w:top w:val="nil"/>
              <w:left w:val="nil"/>
              <w:bottom w:val="nil"/>
              <w:right w:val="nil"/>
              <w:tl2br w:val="nil"/>
              <w:tr2bl w:val="nil"/>
            </w:tcBorders>
          </w:tcPr>
          <w:p w14:paraId="15DAEE5D"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(5.06)</w:t>
            </w:r>
          </w:p>
        </w:tc>
      </w:tr>
      <w:tr w:rsidR="00F253D1" w:rsidRPr="006F48FA" w14:paraId="067CC9C9" w14:textId="77777777">
        <w:trPr>
          <w:jc w:val="center"/>
        </w:trPr>
        <w:tc>
          <w:tcPr>
            <w:tcW w:w="2498" w:type="dxa"/>
            <w:tcBorders>
              <w:top w:val="nil"/>
              <w:left w:val="nil"/>
              <w:bottom w:val="nil"/>
              <w:right w:val="nil"/>
              <w:tl2br w:val="nil"/>
              <w:tr2bl w:val="nil"/>
            </w:tcBorders>
          </w:tcPr>
          <w:p w14:paraId="433AE067"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cdstri×WGI</w:t>
            </w:r>
          </w:p>
        </w:tc>
        <w:tc>
          <w:tcPr>
            <w:tcW w:w="1629" w:type="dxa"/>
            <w:tcBorders>
              <w:top w:val="nil"/>
              <w:left w:val="nil"/>
              <w:bottom w:val="nil"/>
              <w:right w:val="nil"/>
              <w:tl2br w:val="nil"/>
              <w:tr2bl w:val="nil"/>
            </w:tcBorders>
          </w:tcPr>
          <w:p w14:paraId="44BFA07E"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0.0014***</w:t>
            </w:r>
          </w:p>
        </w:tc>
      </w:tr>
      <w:tr w:rsidR="00F253D1" w:rsidRPr="006F48FA" w14:paraId="4FA49D7C" w14:textId="77777777">
        <w:trPr>
          <w:jc w:val="center"/>
        </w:trPr>
        <w:tc>
          <w:tcPr>
            <w:tcW w:w="2498" w:type="dxa"/>
            <w:tcBorders>
              <w:top w:val="nil"/>
              <w:left w:val="nil"/>
              <w:bottom w:val="nil"/>
              <w:right w:val="nil"/>
              <w:tl2br w:val="nil"/>
              <w:tr2bl w:val="nil"/>
            </w:tcBorders>
          </w:tcPr>
          <w:p w14:paraId="7C55C67C" w14:textId="77777777" w:rsidR="00F253D1" w:rsidRPr="006F48FA" w:rsidRDefault="00F253D1">
            <w:pPr>
              <w:rPr>
                <w:rFonts w:ascii="Times New Roman" w:eastAsia="SimSun" w:hAnsi="Times New Roman" w:cs="Times New Roman"/>
                <w:color w:val="000000" w:themeColor="text1"/>
                <w:sz w:val="20"/>
                <w:szCs w:val="20"/>
              </w:rPr>
            </w:pPr>
          </w:p>
        </w:tc>
        <w:tc>
          <w:tcPr>
            <w:tcW w:w="1629" w:type="dxa"/>
            <w:tcBorders>
              <w:top w:val="nil"/>
              <w:left w:val="nil"/>
              <w:bottom w:val="nil"/>
              <w:right w:val="nil"/>
              <w:tl2br w:val="nil"/>
              <w:tr2bl w:val="nil"/>
            </w:tcBorders>
          </w:tcPr>
          <w:p w14:paraId="01AC722B" w14:textId="77777777" w:rsidR="00F253D1" w:rsidRPr="006F48FA" w:rsidRDefault="00000000">
            <w:pPr>
              <w:rPr>
                <w:rFonts w:ascii="Times New Roman" w:eastAsia="SimSun" w:hAnsi="Times New Roman" w:cs="Times New Roman"/>
                <w:color w:val="000000" w:themeColor="text1"/>
                <w:sz w:val="20"/>
                <w:szCs w:val="20"/>
              </w:rPr>
            </w:pPr>
            <w:r w:rsidRPr="006F48FA">
              <w:rPr>
                <w:rFonts w:ascii="Times New Roman" w:eastAsia="SimSun" w:hAnsi="Times New Roman" w:cs="Times New Roman"/>
                <w:color w:val="000000" w:themeColor="text1"/>
                <w:sz w:val="20"/>
                <w:szCs w:val="20"/>
              </w:rPr>
              <w:t>(5.66)</w:t>
            </w:r>
          </w:p>
        </w:tc>
      </w:tr>
      <w:tr w:rsidR="00F253D1" w:rsidRPr="006F48FA" w14:paraId="0E792E52" w14:textId="77777777">
        <w:trPr>
          <w:jc w:val="center"/>
        </w:trPr>
        <w:tc>
          <w:tcPr>
            <w:tcW w:w="2498" w:type="dxa"/>
            <w:tcBorders>
              <w:top w:val="nil"/>
              <w:left w:val="nil"/>
              <w:bottom w:val="nil"/>
              <w:right w:val="nil"/>
              <w:tl2br w:val="nil"/>
              <w:tr2bl w:val="nil"/>
            </w:tcBorders>
            <w:vAlign w:val="center"/>
          </w:tcPr>
          <w:p w14:paraId="793A6AEC" w14:textId="77777777" w:rsidR="00F253D1" w:rsidRPr="006F48FA" w:rsidRDefault="00000000">
            <w:pPr>
              <w:rPr>
                <w:rFonts w:ascii="Times New Roman" w:hAnsi="Times New Roman" w:cs="Times New Roman"/>
                <w:color w:val="000000" w:themeColor="text1"/>
                <w:sz w:val="20"/>
                <w:szCs w:val="20"/>
              </w:rPr>
            </w:pPr>
            <w:r w:rsidRPr="006F48FA">
              <w:rPr>
                <w:rFonts w:ascii="Times New Roman" w:eastAsia="Times New Roman" w:hAnsi="Times New Roman" w:cs="Times New Roman"/>
                <w:color w:val="000000" w:themeColor="text1"/>
                <w:sz w:val="20"/>
                <w:szCs w:val="20"/>
              </w:rPr>
              <w:t>Product fixed effects</w:t>
            </w:r>
          </w:p>
        </w:tc>
        <w:tc>
          <w:tcPr>
            <w:tcW w:w="1629" w:type="dxa"/>
            <w:tcBorders>
              <w:top w:val="nil"/>
              <w:left w:val="nil"/>
              <w:bottom w:val="nil"/>
              <w:right w:val="nil"/>
              <w:tl2br w:val="nil"/>
              <w:tr2bl w:val="nil"/>
            </w:tcBorders>
          </w:tcPr>
          <w:p w14:paraId="5124DE83" w14:textId="77777777" w:rsidR="00F253D1" w:rsidRPr="006F48FA" w:rsidRDefault="00000000">
            <w:pPr>
              <w:rPr>
                <w:rFonts w:ascii="Times New Roman" w:hAnsi="Times New Roman" w:cs="Times New Roman"/>
                <w:color w:val="000000" w:themeColor="text1"/>
                <w:sz w:val="20"/>
                <w:szCs w:val="20"/>
              </w:rPr>
            </w:pPr>
            <w:r w:rsidRPr="006F48FA">
              <w:rPr>
                <w:rFonts w:ascii="Times New Roman" w:hAnsi="Times New Roman" w:cs="Times New Roman"/>
                <w:color w:val="000000" w:themeColor="text1"/>
                <w:sz w:val="20"/>
                <w:szCs w:val="20"/>
              </w:rPr>
              <w:t>YES</w:t>
            </w:r>
          </w:p>
        </w:tc>
      </w:tr>
      <w:tr w:rsidR="00F253D1" w:rsidRPr="006F48FA" w14:paraId="2D98B5A0" w14:textId="77777777">
        <w:trPr>
          <w:jc w:val="center"/>
        </w:trPr>
        <w:tc>
          <w:tcPr>
            <w:tcW w:w="2498" w:type="dxa"/>
            <w:tcBorders>
              <w:top w:val="nil"/>
              <w:left w:val="nil"/>
              <w:bottom w:val="nil"/>
              <w:right w:val="nil"/>
              <w:tl2br w:val="nil"/>
              <w:tr2bl w:val="nil"/>
            </w:tcBorders>
            <w:vAlign w:val="center"/>
          </w:tcPr>
          <w:p w14:paraId="59F2B463" w14:textId="77777777" w:rsidR="00F253D1" w:rsidRPr="006F48FA" w:rsidRDefault="00000000">
            <w:pPr>
              <w:rPr>
                <w:rFonts w:ascii="Times New Roman" w:hAnsi="Times New Roman" w:cs="Times New Roman"/>
                <w:color w:val="000000" w:themeColor="text1"/>
                <w:sz w:val="20"/>
                <w:szCs w:val="20"/>
              </w:rPr>
            </w:pPr>
            <w:r w:rsidRPr="006F48FA">
              <w:rPr>
                <w:rFonts w:ascii="Times New Roman" w:eastAsia="Times New Roman" w:hAnsi="Times New Roman" w:cs="Times New Roman"/>
                <w:color w:val="000000" w:themeColor="text1"/>
                <w:sz w:val="20"/>
                <w:szCs w:val="20"/>
              </w:rPr>
              <w:lastRenderedPageBreak/>
              <w:t>Country fixed effects</w:t>
            </w:r>
          </w:p>
        </w:tc>
        <w:tc>
          <w:tcPr>
            <w:tcW w:w="1629" w:type="dxa"/>
            <w:tcBorders>
              <w:top w:val="nil"/>
              <w:left w:val="nil"/>
              <w:bottom w:val="nil"/>
              <w:right w:val="nil"/>
              <w:tl2br w:val="nil"/>
              <w:tr2bl w:val="nil"/>
            </w:tcBorders>
          </w:tcPr>
          <w:p w14:paraId="4EFF276F" w14:textId="77777777" w:rsidR="00F253D1" w:rsidRPr="006F48FA" w:rsidRDefault="00000000">
            <w:pPr>
              <w:rPr>
                <w:rFonts w:ascii="Times New Roman" w:hAnsi="Times New Roman" w:cs="Times New Roman"/>
                <w:color w:val="000000" w:themeColor="text1"/>
                <w:sz w:val="20"/>
                <w:szCs w:val="20"/>
              </w:rPr>
            </w:pPr>
            <w:r w:rsidRPr="006F48FA">
              <w:rPr>
                <w:rFonts w:ascii="Times New Roman" w:hAnsi="Times New Roman" w:cs="Times New Roman"/>
                <w:color w:val="000000" w:themeColor="text1"/>
                <w:sz w:val="20"/>
                <w:szCs w:val="20"/>
              </w:rPr>
              <w:t>YES</w:t>
            </w:r>
          </w:p>
        </w:tc>
      </w:tr>
      <w:tr w:rsidR="00F253D1" w:rsidRPr="006F48FA" w14:paraId="38E7C68E" w14:textId="77777777">
        <w:trPr>
          <w:jc w:val="center"/>
        </w:trPr>
        <w:tc>
          <w:tcPr>
            <w:tcW w:w="2498" w:type="dxa"/>
            <w:tcBorders>
              <w:top w:val="nil"/>
              <w:left w:val="nil"/>
              <w:bottom w:val="nil"/>
              <w:right w:val="nil"/>
              <w:tl2br w:val="nil"/>
              <w:tr2bl w:val="nil"/>
            </w:tcBorders>
            <w:vAlign w:val="center"/>
          </w:tcPr>
          <w:p w14:paraId="567C8EF8" w14:textId="77777777" w:rsidR="00F253D1" w:rsidRPr="006F48FA" w:rsidRDefault="00000000">
            <w:pPr>
              <w:rPr>
                <w:rFonts w:ascii="Times New Roman" w:hAnsi="Times New Roman" w:cs="Times New Roman"/>
                <w:color w:val="000000" w:themeColor="text1"/>
                <w:sz w:val="20"/>
                <w:szCs w:val="20"/>
              </w:rPr>
            </w:pPr>
            <w:r w:rsidRPr="006F48FA">
              <w:rPr>
                <w:rFonts w:ascii="Times New Roman" w:eastAsia="Times New Roman" w:hAnsi="Times New Roman" w:cs="Times New Roman"/>
                <w:color w:val="000000" w:themeColor="text1"/>
                <w:sz w:val="20"/>
                <w:szCs w:val="20"/>
              </w:rPr>
              <w:t>Year fixed effects</w:t>
            </w:r>
          </w:p>
        </w:tc>
        <w:tc>
          <w:tcPr>
            <w:tcW w:w="1629" w:type="dxa"/>
            <w:tcBorders>
              <w:top w:val="nil"/>
              <w:left w:val="nil"/>
              <w:bottom w:val="nil"/>
              <w:right w:val="nil"/>
              <w:tl2br w:val="nil"/>
              <w:tr2bl w:val="nil"/>
            </w:tcBorders>
          </w:tcPr>
          <w:p w14:paraId="0385A3C1" w14:textId="77777777" w:rsidR="00F253D1" w:rsidRPr="006F48FA" w:rsidRDefault="00000000">
            <w:pPr>
              <w:rPr>
                <w:rFonts w:ascii="Times New Roman" w:hAnsi="Times New Roman" w:cs="Times New Roman"/>
                <w:color w:val="000000" w:themeColor="text1"/>
                <w:sz w:val="20"/>
                <w:szCs w:val="20"/>
              </w:rPr>
            </w:pPr>
            <w:r w:rsidRPr="006F48FA">
              <w:rPr>
                <w:rFonts w:ascii="Times New Roman" w:hAnsi="Times New Roman" w:cs="Times New Roman"/>
                <w:color w:val="000000" w:themeColor="text1"/>
                <w:sz w:val="20"/>
                <w:szCs w:val="20"/>
              </w:rPr>
              <w:t>YES</w:t>
            </w:r>
          </w:p>
        </w:tc>
      </w:tr>
      <w:tr w:rsidR="00F253D1" w:rsidRPr="006F48FA" w14:paraId="43045928" w14:textId="77777777">
        <w:trPr>
          <w:trHeight w:val="90"/>
          <w:jc w:val="center"/>
        </w:trPr>
        <w:tc>
          <w:tcPr>
            <w:tcW w:w="2498" w:type="dxa"/>
            <w:tcBorders>
              <w:top w:val="nil"/>
              <w:left w:val="nil"/>
              <w:bottom w:val="nil"/>
              <w:right w:val="nil"/>
              <w:tl2br w:val="nil"/>
              <w:tr2bl w:val="nil"/>
            </w:tcBorders>
          </w:tcPr>
          <w:p w14:paraId="2EB90C34" w14:textId="77777777" w:rsidR="00F253D1" w:rsidRPr="006F48FA" w:rsidRDefault="00000000">
            <w:pPr>
              <w:rPr>
                <w:rFonts w:ascii="Times New Roman" w:hAnsi="Times New Roman" w:cs="Times New Roman"/>
                <w:color w:val="000000" w:themeColor="text1"/>
                <w:sz w:val="20"/>
                <w:szCs w:val="20"/>
              </w:rPr>
            </w:pPr>
            <w:r w:rsidRPr="006F48FA">
              <w:rPr>
                <w:rFonts w:ascii="Times New Roman" w:hAnsi="Times New Roman" w:cs="Times New Roman"/>
                <w:color w:val="000000" w:themeColor="text1"/>
                <w:sz w:val="20"/>
                <w:szCs w:val="20"/>
              </w:rPr>
              <w:t>N</w:t>
            </w:r>
          </w:p>
        </w:tc>
        <w:tc>
          <w:tcPr>
            <w:tcW w:w="1629" w:type="dxa"/>
            <w:tcBorders>
              <w:top w:val="nil"/>
              <w:left w:val="nil"/>
              <w:bottom w:val="nil"/>
              <w:right w:val="nil"/>
              <w:tl2br w:val="nil"/>
              <w:tr2bl w:val="nil"/>
            </w:tcBorders>
          </w:tcPr>
          <w:p w14:paraId="0C15FFD6" w14:textId="77777777" w:rsidR="00F253D1" w:rsidRPr="006F48FA" w:rsidRDefault="00000000">
            <w:pPr>
              <w:rPr>
                <w:rFonts w:ascii="Times New Roman" w:hAnsi="Times New Roman" w:cs="Times New Roman"/>
                <w:color w:val="000000" w:themeColor="text1"/>
                <w:sz w:val="20"/>
                <w:szCs w:val="20"/>
              </w:rPr>
            </w:pPr>
            <w:r w:rsidRPr="006F48FA">
              <w:rPr>
                <w:rFonts w:ascii="Times New Roman" w:hAnsi="Times New Roman" w:cs="Times New Roman"/>
                <w:color w:val="000000" w:themeColor="text1"/>
                <w:sz w:val="20"/>
                <w:szCs w:val="20"/>
              </w:rPr>
              <w:t>422,639</w:t>
            </w:r>
          </w:p>
        </w:tc>
      </w:tr>
      <w:tr w:rsidR="00F253D1" w:rsidRPr="006F48FA" w14:paraId="05EC0BF1" w14:textId="77777777">
        <w:trPr>
          <w:jc w:val="center"/>
        </w:trPr>
        <w:tc>
          <w:tcPr>
            <w:tcW w:w="2498" w:type="dxa"/>
            <w:tcBorders>
              <w:top w:val="nil"/>
              <w:left w:val="nil"/>
              <w:bottom w:val="single" w:sz="4" w:space="0" w:color="auto"/>
              <w:right w:val="nil"/>
              <w:tl2br w:val="nil"/>
              <w:tr2bl w:val="nil"/>
            </w:tcBorders>
          </w:tcPr>
          <w:p w14:paraId="18DD3803" w14:textId="77777777" w:rsidR="00F253D1" w:rsidRPr="006F48FA" w:rsidRDefault="00000000">
            <w:pPr>
              <w:rPr>
                <w:rFonts w:ascii="Times New Roman" w:hAnsi="Times New Roman" w:cs="Times New Roman"/>
                <w:color w:val="000000" w:themeColor="text1"/>
                <w:sz w:val="20"/>
                <w:szCs w:val="20"/>
              </w:rPr>
            </w:pPr>
            <w:r w:rsidRPr="006F48FA">
              <w:rPr>
                <w:rFonts w:ascii="Times New Roman" w:hAnsi="Times New Roman" w:cs="Times New Roman"/>
                <w:color w:val="000000" w:themeColor="text1"/>
                <w:sz w:val="20"/>
                <w:szCs w:val="20"/>
              </w:rPr>
              <w:t>R-squared</w:t>
            </w:r>
          </w:p>
        </w:tc>
        <w:tc>
          <w:tcPr>
            <w:tcW w:w="1629" w:type="dxa"/>
            <w:tcBorders>
              <w:top w:val="nil"/>
              <w:left w:val="nil"/>
              <w:bottom w:val="single" w:sz="4" w:space="0" w:color="auto"/>
              <w:right w:val="nil"/>
              <w:tl2br w:val="nil"/>
              <w:tr2bl w:val="nil"/>
            </w:tcBorders>
          </w:tcPr>
          <w:p w14:paraId="79BA94D1" w14:textId="77777777" w:rsidR="00F253D1" w:rsidRPr="006F48FA" w:rsidRDefault="00000000">
            <w:pPr>
              <w:rPr>
                <w:rFonts w:ascii="Times New Roman" w:hAnsi="Times New Roman" w:cs="Times New Roman"/>
                <w:color w:val="000000" w:themeColor="text1"/>
                <w:sz w:val="20"/>
                <w:szCs w:val="20"/>
              </w:rPr>
            </w:pPr>
            <w:r w:rsidRPr="006F48FA">
              <w:rPr>
                <w:rFonts w:ascii="Times New Roman" w:hAnsi="Times New Roman" w:cs="Times New Roman"/>
                <w:color w:val="000000" w:themeColor="text1"/>
                <w:sz w:val="20"/>
                <w:szCs w:val="20"/>
              </w:rPr>
              <w:t>0.488</w:t>
            </w:r>
          </w:p>
        </w:tc>
      </w:tr>
    </w:tbl>
    <w:p w14:paraId="4B92D353" w14:textId="77777777" w:rsidR="00F253D1" w:rsidRPr="006F48FA" w:rsidRDefault="00F253D1">
      <w:pPr>
        <w:rPr>
          <w:rFonts w:ascii="Times New Roman" w:hAnsi="Times New Roman" w:cs="Times New Roman"/>
          <w:color w:val="000000" w:themeColor="text1"/>
          <w:sz w:val="24"/>
        </w:rPr>
      </w:pPr>
    </w:p>
    <w:p w14:paraId="5AC1E886"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6. Conclusions and policy implications</w:t>
      </w:r>
    </w:p>
    <w:p w14:paraId="5C02408F"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6.1. Conclusions</w:t>
      </w:r>
    </w:p>
    <w:p w14:paraId="5D738CA8"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Using Chinese manufacturing product–destination–year export data from 2014 to 2023, this paper constructs a country–industry level measure of digital services trade barriers by combining the OECD Digital Services Trade Restrictiveness Index with industry-level digital input intensity. The results show that digital services trade barriers significantly inhibit China’s manufacturing export product quality, and the findings remain robust after addressing potential endogeneity and conducting robustness checks.</w:t>
      </w:r>
    </w:p>
    <w:p w14:paraId="34E7F9A6"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Further analysis indicates that institutional quality mitigates this negative effect, suggesting that favorable institutional environments can reduce the adverse impact of digital trade restrictions on export quality upgrading.</w:t>
      </w:r>
    </w:p>
    <w:p w14:paraId="42612F5E" w14:textId="77777777" w:rsidR="00F253D1" w:rsidRPr="006F48FA" w:rsidRDefault="00000000">
      <w:pPr>
        <w:ind w:firstLineChars="200" w:firstLine="480"/>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Overall, digital services trade barriers constitute an important external institutional constraint on manufacturing export quality improvement. The findings should be interpreted as evidence of a significant inhibitory effect rather than a strict causal conclusion.</w:t>
      </w:r>
    </w:p>
    <w:p w14:paraId="7D7F42A0" w14:textId="77777777" w:rsidR="00F253D1" w:rsidRPr="006F48FA" w:rsidRDefault="00F253D1">
      <w:pPr>
        <w:rPr>
          <w:rFonts w:ascii="Times New Roman" w:hAnsi="Times New Roman" w:cs="Times New Roman"/>
          <w:color w:val="000000" w:themeColor="text1"/>
          <w:sz w:val="24"/>
        </w:rPr>
      </w:pPr>
    </w:p>
    <w:p w14:paraId="25630FBA"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6.2. Policy implications</w:t>
      </w:r>
    </w:p>
    <w:p w14:paraId="645F1F98"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First, China should promote digital trade rule coordination and strengthen cooperation in cross-border data flows, electronic transactions, digital payments, and intellectual property protection to reduce unreasonable digital services trade barriers.</w:t>
      </w:r>
    </w:p>
    <w:p w14:paraId="304BFFEF" w14:textId="77777777" w:rsidR="00F253D1" w:rsidRPr="006F48FA" w:rsidRDefault="00000000">
      <w:pPr>
        <w:ind w:firstLineChars="200" w:firstLine="480"/>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Second, policies should support firms’ digital service utilization by improving digital infrastructure, digital trade services, and compliance support, particularly for small and medium-sized exporters.</w:t>
      </w:r>
    </w:p>
    <w:p w14:paraId="6EA63502" w14:textId="77777777" w:rsidR="00F253D1" w:rsidRPr="006F48FA" w:rsidRDefault="00000000">
      <w:pPr>
        <w:ind w:firstLineChars="200" w:firstLine="480"/>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Third, differentiated policies should be implemented to enhance firms’ capacity to cope with digital services trade restrictions, with particular attention to digital transformation and institutional adaptation.</w:t>
      </w:r>
    </w:p>
    <w:p w14:paraId="27327FDB" w14:textId="77777777" w:rsidR="00F253D1" w:rsidRPr="006F48FA" w:rsidRDefault="00F253D1">
      <w:pPr>
        <w:rPr>
          <w:rFonts w:ascii="Times New Roman" w:hAnsi="Times New Roman" w:cs="Times New Roman"/>
          <w:color w:val="000000" w:themeColor="text1"/>
          <w:sz w:val="24"/>
        </w:rPr>
      </w:pPr>
    </w:p>
    <w:p w14:paraId="794C8EFA"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Funding</w:t>
      </w:r>
    </w:p>
    <w:p w14:paraId="0915F367"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Higher Education Research Subject of China Association of Higher Education (Grant number: 23BR0104)</w:t>
      </w:r>
    </w:p>
    <w:p w14:paraId="76224B6C" w14:textId="77777777" w:rsidR="00F253D1" w:rsidRPr="006F48FA" w:rsidRDefault="00F253D1">
      <w:pPr>
        <w:rPr>
          <w:rFonts w:ascii="Times New Roman" w:hAnsi="Times New Roman" w:cs="Times New Roman"/>
          <w:color w:val="000000" w:themeColor="text1"/>
          <w:sz w:val="24"/>
        </w:rPr>
      </w:pPr>
    </w:p>
    <w:p w14:paraId="603DD852"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Disclosure statement</w:t>
      </w:r>
    </w:p>
    <w:p w14:paraId="3F4E3CC2"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The authors declare no conflict of interest.</w:t>
      </w:r>
    </w:p>
    <w:p w14:paraId="4E73EDA9" w14:textId="77777777" w:rsidR="00F253D1" w:rsidRPr="006F48FA" w:rsidRDefault="00F253D1">
      <w:pPr>
        <w:rPr>
          <w:rFonts w:ascii="Times New Roman" w:hAnsi="Times New Roman" w:cs="Times New Roman"/>
          <w:color w:val="000000" w:themeColor="text1"/>
          <w:sz w:val="24"/>
        </w:rPr>
      </w:pPr>
    </w:p>
    <w:p w14:paraId="2A275D28" w14:textId="77777777" w:rsidR="00F253D1" w:rsidRPr="006F48FA" w:rsidRDefault="00000000">
      <w:pPr>
        <w:rPr>
          <w:rFonts w:ascii="Times New Roman" w:hAnsi="Times New Roman" w:cs="Times New Roman"/>
          <w:b/>
          <w:bCs/>
          <w:color w:val="000000" w:themeColor="text1"/>
          <w:sz w:val="24"/>
        </w:rPr>
      </w:pPr>
      <w:r w:rsidRPr="006F48FA">
        <w:rPr>
          <w:rFonts w:ascii="Times New Roman" w:hAnsi="Times New Roman" w:cs="Times New Roman"/>
          <w:b/>
          <w:bCs/>
          <w:color w:val="000000" w:themeColor="text1"/>
          <w:sz w:val="24"/>
        </w:rPr>
        <w:t>References</w:t>
      </w:r>
    </w:p>
    <w:p w14:paraId="3B7288AB"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[1] Ferencz J, 2019, The OECD Digital Services Trade Restrictiveness Index. OECD Trade Policy Papers.</w:t>
      </w:r>
    </w:p>
    <w:p w14:paraId="7F805C17"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[2] Hallak JC, Schott PK, 2011, Estimating Cross-country Differences in Product Quality. Quarterly Journal of Economics, 126(1): 417–474.</w:t>
      </w:r>
    </w:p>
    <w:p w14:paraId="7A59D424"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[3] Khandelwal AK, Schott PK, Wei SJ, 2013, Trade Liberalization and Embedded Institutional Reform: Evidence from Chinese Exporters. American Economic Review, 103(6): 2169–2195.</w:t>
      </w:r>
    </w:p>
    <w:p w14:paraId="0290040C"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[4] Wang H, Yuan Y, 2022, Digital Economy, Destination-country Search Costs and Firms’ Export Product Quality. International Economics and Trade Research, 38(1): 4–20.</w:t>
      </w:r>
    </w:p>
    <w:p w14:paraId="69F7FF99"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[5] Zhao W, Liu H, 2020, The Impact of Trade Barriers on Export Product Quality. Economic Review, 2020(4): 144–160.</w:t>
      </w:r>
    </w:p>
    <w:p w14:paraId="5CD8449C" w14:textId="77777777" w:rsidR="00F253D1" w:rsidRPr="006F48FA" w:rsidRDefault="00000000">
      <w:pPr>
        <w:rPr>
          <w:rStyle w:val="CommentReference"/>
          <w:rFonts w:ascii="Times New Roman" w:hAnsi="Times New Roman" w:cs="Times New Roman"/>
          <w:color w:val="000000" w:themeColor="text1"/>
          <w:sz w:val="24"/>
          <w:szCs w:val="24"/>
        </w:rPr>
      </w:pPr>
      <w:r w:rsidRPr="006F48FA">
        <w:rPr>
          <w:rFonts w:ascii="Times New Roman" w:hAnsi="Times New Roman" w:cs="Times New Roman"/>
          <w:color w:val="000000" w:themeColor="text1"/>
          <w:sz w:val="24"/>
        </w:rPr>
        <w:lastRenderedPageBreak/>
        <w:t>[6] Liang J, Wu H, Tian Y, 2024, Technical Trade Barriers and Export Product Quality of Chinese Enterprises. International Business Research, 45(1): 16–28.</w:t>
      </w:r>
    </w:p>
    <w:p w14:paraId="23B9C58D" w14:textId="51147BCA"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[7] Wang R, Yu H, 2025, Technical </w:t>
      </w:r>
      <w:r w:rsidR="00375D9F" w:rsidRPr="006F48FA">
        <w:rPr>
          <w:rFonts w:ascii="Times New Roman" w:hAnsi="Times New Roman" w:cs="Times New Roman"/>
          <w:color w:val="000000" w:themeColor="text1"/>
          <w:sz w:val="24"/>
        </w:rPr>
        <w:t>Trade Barrie</w:t>
      </w:r>
      <w:r w:rsidRPr="006F48FA">
        <w:rPr>
          <w:rFonts w:ascii="Times New Roman" w:hAnsi="Times New Roman" w:cs="Times New Roman"/>
          <w:color w:val="000000" w:themeColor="text1"/>
          <w:sz w:val="24"/>
        </w:rPr>
        <w:t xml:space="preserve">rs and </w:t>
      </w:r>
      <w:r w:rsidR="00375D9F" w:rsidRPr="006F48FA">
        <w:rPr>
          <w:rFonts w:ascii="Times New Roman" w:hAnsi="Times New Roman" w:cs="Times New Roman"/>
          <w:color w:val="000000" w:themeColor="text1"/>
          <w:sz w:val="24"/>
        </w:rPr>
        <w:t xml:space="preserve">Export Product Quality: </w:t>
      </w:r>
      <w:r w:rsidRPr="006F48FA">
        <w:rPr>
          <w:rFonts w:ascii="Times New Roman" w:hAnsi="Times New Roman" w:cs="Times New Roman"/>
          <w:color w:val="000000" w:themeColor="text1"/>
          <w:sz w:val="24"/>
        </w:rPr>
        <w:t xml:space="preserve">Evidence from </w:t>
      </w:r>
      <w:r w:rsidR="00375D9F" w:rsidRPr="006F48FA">
        <w:rPr>
          <w:rFonts w:ascii="Times New Roman" w:hAnsi="Times New Roman" w:cs="Times New Roman"/>
          <w:color w:val="000000" w:themeColor="text1"/>
          <w:sz w:val="24"/>
        </w:rPr>
        <w:t>Firm</w:t>
      </w:r>
      <w:r w:rsidRPr="006F48FA">
        <w:rPr>
          <w:rFonts w:ascii="Times New Roman" w:hAnsi="Times New Roman" w:cs="Times New Roman"/>
          <w:color w:val="000000" w:themeColor="text1"/>
          <w:sz w:val="24"/>
        </w:rPr>
        <w:t xml:space="preserve">-product </w:t>
      </w:r>
      <w:r w:rsidR="00375D9F" w:rsidRPr="006F48FA">
        <w:rPr>
          <w:rFonts w:ascii="Times New Roman" w:hAnsi="Times New Roman" w:cs="Times New Roman"/>
          <w:color w:val="000000" w:themeColor="text1"/>
          <w:sz w:val="24"/>
        </w:rPr>
        <w:t>Level Data</w:t>
      </w:r>
      <w:r w:rsidRPr="006F48FA">
        <w:rPr>
          <w:rFonts w:ascii="Times New Roman" w:hAnsi="Times New Roman" w:cs="Times New Roman"/>
          <w:color w:val="000000" w:themeColor="text1"/>
          <w:sz w:val="24"/>
        </w:rPr>
        <w:t xml:space="preserve">. Journal of Zhongnan University of Economics and Law, </w:t>
      </w:r>
      <w:r w:rsidR="00375D9F" w:rsidRPr="006F48FA">
        <w:rPr>
          <w:rFonts w:ascii="Times New Roman" w:hAnsi="Times New Roman" w:cs="Times New Roman"/>
          <w:color w:val="000000" w:themeColor="text1"/>
          <w:sz w:val="24"/>
        </w:rPr>
        <w:t>2025</w:t>
      </w:r>
      <w:r w:rsidRPr="006F48FA">
        <w:rPr>
          <w:rFonts w:ascii="Times New Roman" w:hAnsi="Times New Roman" w:cs="Times New Roman"/>
          <w:color w:val="000000" w:themeColor="text1"/>
          <w:sz w:val="24"/>
        </w:rPr>
        <w:t>(3):</w:t>
      </w:r>
      <w:r w:rsidR="00375D9F" w:rsidRPr="006F48FA">
        <w:rPr>
          <w:rFonts w:ascii="Times New Roman" w:hAnsi="Times New Roman" w:cs="Times New Roman"/>
          <w:color w:val="000000" w:themeColor="text1"/>
          <w:sz w:val="24"/>
        </w:rPr>
        <w:t xml:space="preserve"> </w:t>
      </w:r>
      <w:r w:rsidRPr="006F48FA">
        <w:rPr>
          <w:rFonts w:ascii="Times New Roman" w:hAnsi="Times New Roman" w:cs="Times New Roman"/>
          <w:color w:val="000000" w:themeColor="text1"/>
          <w:sz w:val="24"/>
        </w:rPr>
        <w:t>111</w:t>
      </w:r>
      <w:r w:rsidR="00375D9F" w:rsidRPr="006F48FA">
        <w:rPr>
          <w:rFonts w:ascii="Times New Roman" w:hAnsi="Times New Roman" w:cs="Times New Roman"/>
          <w:color w:val="000000" w:themeColor="text1"/>
          <w:sz w:val="24"/>
        </w:rPr>
        <w:t>–</w:t>
      </w:r>
      <w:r w:rsidRPr="006F48FA">
        <w:rPr>
          <w:rFonts w:ascii="Times New Roman" w:hAnsi="Times New Roman" w:cs="Times New Roman"/>
          <w:color w:val="000000" w:themeColor="text1"/>
          <w:sz w:val="24"/>
        </w:rPr>
        <w:t>122.</w:t>
      </w:r>
    </w:p>
    <w:p w14:paraId="66BEF60C" w14:textId="1D0A737F"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[8] Liu X, Mattoo A, Wang Z, </w:t>
      </w:r>
      <w:r w:rsidR="00E66F1F" w:rsidRPr="006F48FA">
        <w:rPr>
          <w:rFonts w:ascii="Times New Roman" w:hAnsi="Times New Roman" w:cs="Times New Roman"/>
          <w:color w:val="000000" w:themeColor="text1"/>
          <w:sz w:val="24"/>
        </w:rPr>
        <w:t>et al.,</w:t>
      </w:r>
      <w:r w:rsidRPr="006F48FA">
        <w:rPr>
          <w:rFonts w:ascii="Times New Roman" w:hAnsi="Times New Roman" w:cs="Times New Roman"/>
          <w:color w:val="000000" w:themeColor="text1"/>
          <w:sz w:val="24"/>
        </w:rPr>
        <w:t xml:space="preserve"> 2020, Services </w:t>
      </w:r>
      <w:r w:rsidR="00E66F1F" w:rsidRPr="006F48FA">
        <w:rPr>
          <w:rFonts w:ascii="Times New Roman" w:hAnsi="Times New Roman" w:cs="Times New Roman"/>
          <w:color w:val="000000" w:themeColor="text1"/>
          <w:sz w:val="24"/>
        </w:rPr>
        <w:t>Dev</w:t>
      </w:r>
      <w:r w:rsidRPr="006F48FA">
        <w:rPr>
          <w:rFonts w:ascii="Times New Roman" w:hAnsi="Times New Roman" w:cs="Times New Roman"/>
          <w:color w:val="000000" w:themeColor="text1"/>
          <w:sz w:val="24"/>
        </w:rPr>
        <w:t xml:space="preserve">elopment and </w:t>
      </w:r>
      <w:r w:rsidR="00E66F1F" w:rsidRPr="006F48FA">
        <w:rPr>
          <w:rFonts w:ascii="Times New Roman" w:hAnsi="Times New Roman" w:cs="Times New Roman"/>
          <w:color w:val="000000" w:themeColor="text1"/>
          <w:sz w:val="24"/>
        </w:rPr>
        <w:t xml:space="preserve">Comparative Advantage </w:t>
      </w:r>
      <w:r w:rsidRPr="006F48FA">
        <w:rPr>
          <w:rFonts w:ascii="Times New Roman" w:hAnsi="Times New Roman" w:cs="Times New Roman"/>
          <w:color w:val="000000" w:themeColor="text1"/>
          <w:sz w:val="24"/>
        </w:rPr>
        <w:t xml:space="preserve">in </w:t>
      </w:r>
      <w:r w:rsidR="00E66F1F" w:rsidRPr="006F48FA">
        <w:rPr>
          <w:rFonts w:ascii="Times New Roman" w:hAnsi="Times New Roman" w:cs="Times New Roman"/>
          <w:color w:val="000000" w:themeColor="text1"/>
          <w:sz w:val="24"/>
        </w:rPr>
        <w:t>Manufacturing</w:t>
      </w:r>
      <w:r w:rsidRPr="006F48FA">
        <w:rPr>
          <w:rFonts w:ascii="Times New Roman" w:hAnsi="Times New Roman" w:cs="Times New Roman"/>
          <w:color w:val="000000" w:themeColor="text1"/>
          <w:sz w:val="24"/>
        </w:rPr>
        <w:t xml:space="preserve">. Journal of Development Economics, </w:t>
      </w:r>
      <w:r w:rsidR="00E66F1F" w:rsidRPr="006F48FA">
        <w:rPr>
          <w:rFonts w:ascii="Times New Roman" w:hAnsi="Times New Roman" w:cs="Times New Roman"/>
          <w:color w:val="000000" w:themeColor="text1"/>
          <w:sz w:val="24"/>
        </w:rPr>
        <w:t>2020(</w:t>
      </w:r>
      <w:r w:rsidRPr="006F48FA">
        <w:rPr>
          <w:rFonts w:ascii="Times New Roman" w:hAnsi="Times New Roman" w:cs="Times New Roman"/>
          <w:color w:val="000000" w:themeColor="text1"/>
          <w:sz w:val="24"/>
        </w:rPr>
        <w:t>144</w:t>
      </w:r>
      <w:r w:rsidR="00E66F1F" w:rsidRPr="006F48FA">
        <w:rPr>
          <w:rFonts w:ascii="Times New Roman" w:hAnsi="Times New Roman" w:cs="Times New Roman"/>
          <w:color w:val="000000" w:themeColor="text1"/>
          <w:sz w:val="24"/>
        </w:rPr>
        <w:t>)</w:t>
      </w:r>
      <w:r w:rsidRPr="006F48FA">
        <w:rPr>
          <w:rFonts w:ascii="Times New Roman" w:hAnsi="Times New Roman" w:cs="Times New Roman"/>
          <w:color w:val="000000" w:themeColor="text1"/>
          <w:sz w:val="24"/>
        </w:rPr>
        <w:t>:</w:t>
      </w:r>
      <w:r w:rsidR="00E66F1F" w:rsidRPr="006F48FA">
        <w:rPr>
          <w:rFonts w:ascii="Times New Roman" w:hAnsi="Times New Roman" w:cs="Times New Roman"/>
          <w:color w:val="000000" w:themeColor="text1"/>
          <w:sz w:val="24"/>
        </w:rPr>
        <w:t xml:space="preserve"> </w:t>
      </w:r>
      <w:r w:rsidRPr="006F48FA">
        <w:rPr>
          <w:rFonts w:ascii="Times New Roman" w:hAnsi="Times New Roman" w:cs="Times New Roman"/>
          <w:color w:val="000000" w:themeColor="text1"/>
          <w:sz w:val="24"/>
        </w:rPr>
        <w:t>102438.</w:t>
      </w:r>
    </w:p>
    <w:p w14:paraId="5891E60F" w14:textId="03FE1C9B"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[9] Xu S, Jin L, Cai L, et al</w:t>
      </w:r>
      <w:r w:rsidR="00493682" w:rsidRPr="006F48FA">
        <w:rPr>
          <w:rFonts w:ascii="Times New Roman" w:hAnsi="Times New Roman" w:cs="Times New Roman"/>
          <w:color w:val="000000" w:themeColor="text1"/>
          <w:sz w:val="24"/>
        </w:rPr>
        <w:t>.</w:t>
      </w:r>
      <w:r w:rsidRPr="006F48FA">
        <w:rPr>
          <w:rFonts w:ascii="Times New Roman" w:hAnsi="Times New Roman" w:cs="Times New Roman"/>
          <w:color w:val="000000" w:themeColor="text1"/>
          <w:sz w:val="24"/>
        </w:rPr>
        <w:t xml:space="preserve">, 2022, The </w:t>
      </w:r>
      <w:r w:rsidR="00493682" w:rsidRPr="006F48FA">
        <w:rPr>
          <w:rFonts w:ascii="Times New Roman" w:hAnsi="Times New Roman" w:cs="Times New Roman"/>
          <w:color w:val="000000" w:themeColor="text1"/>
          <w:sz w:val="24"/>
        </w:rPr>
        <w:t>I</w:t>
      </w:r>
      <w:r w:rsidRPr="006F48FA">
        <w:rPr>
          <w:rFonts w:ascii="Times New Roman" w:hAnsi="Times New Roman" w:cs="Times New Roman"/>
          <w:color w:val="000000" w:themeColor="text1"/>
          <w:sz w:val="24"/>
        </w:rPr>
        <w:t xml:space="preserve">mpact of </w:t>
      </w:r>
      <w:r w:rsidR="00493682" w:rsidRPr="006F48FA">
        <w:rPr>
          <w:rFonts w:ascii="Times New Roman" w:hAnsi="Times New Roman" w:cs="Times New Roman"/>
          <w:color w:val="000000" w:themeColor="text1"/>
          <w:sz w:val="24"/>
        </w:rPr>
        <w:t xml:space="preserve">Digital Services Trade Barriers </w:t>
      </w:r>
      <w:r w:rsidRPr="006F48FA">
        <w:rPr>
          <w:rFonts w:ascii="Times New Roman" w:hAnsi="Times New Roman" w:cs="Times New Roman"/>
          <w:color w:val="000000" w:themeColor="text1"/>
          <w:sz w:val="24"/>
        </w:rPr>
        <w:t xml:space="preserve">on </w:t>
      </w:r>
      <w:r w:rsidR="00493682" w:rsidRPr="006F48FA">
        <w:rPr>
          <w:rFonts w:ascii="Times New Roman" w:hAnsi="Times New Roman" w:cs="Times New Roman"/>
          <w:color w:val="000000" w:themeColor="text1"/>
          <w:sz w:val="24"/>
        </w:rPr>
        <w:t>Manufacturing Export Quality Up</w:t>
      </w:r>
      <w:r w:rsidRPr="006F48FA">
        <w:rPr>
          <w:rFonts w:ascii="Times New Roman" w:hAnsi="Times New Roman" w:cs="Times New Roman"/>
          <w:color w:val="000000" w:themeColor="text1"/>
          <w:sz w:val="24"/>
        </w:rPr>
        <w:t>grading. Journal of East China Normal University (Humanities and Social Sciences), 54(6):</w:t>
      </w:r>
      <w:r w:rsidR="00493682" w:rsidRPr="006F48FA">
        <w:rPr>
          <w:rFonts w:ascii="Times New Roman" w:hAnsi="Times New Roman" w:cs="Times New Roman"/>
          <w:color w:val="000000" w:themeColor="text1"/>
          <w:sz w:val="24"/>
        </w:rPr>
        <w:t xml:space="preserve"> </w:t>
      </w:r>
      <w:r w:rsidRPr="006F48FA">
        <w:rPr>
          <w:rFonts w:ascii="Times New Roman" w:hAnsi="Times New Roman" w:cs="Times New Roman"/>
          <w:color w:val="000000" w:themeColor="text1"/>
          <w:sz w:val="24"/>
        </w:rPr>
        <w:t>166</w:t>
      </w:r>
      <w:r w:rsidR="00493682" w:rsidRPr="006F48FA">
        <w:rPr>
          <w:rFonts w:ascii="Times New Roman" w:hAnsi="Times New Roman" w:cs="Times New Roman"/>
          <w:color w:val="000000" w:themeColor="text1"/>
          <w:sz w:val="24"/>
        </w:rPr>
        <w:t>–</w:t>
      </w:r>
      <w:r w:rsidRPr="006F48FA">
        <w:rPr>
          <w:rFonts w:ascii="Times New Roman" w:hAnsi="Times New Roman" w:cs="Times New Roman"/>
          <w:color w:val="000000" w:themeColor="text1"/>
          <w:sz w:val="24"/>
        </w:rPr>
        <w:t>174</w:t>
      </w:r>
      <w:r w:rsidR="00493682" w:rsidRPr="006F48FA">
        <w:rPr>
          <w:rFonts w:ascii="Times New Roman" w:hAnsi="Times New Roman" w:cs="Times New Roman"/>
          <w:color w:val="000000" w:themeColor="text1"/>
          <w:sz w:val="24"/>
        </w:rPr>
        <w:t xml:space="preserve"> </w:t>
      </w:r>
      <w:r w:rsidRPr="006F48FA">
        <w:rPr>
          <w:rFonts w:ascii="Times New Roman" w:hAnsi="Times New Roman" w:cs="Times New Roman"/>
          <w:color w:val="000000" w:themeColor="text1"/>
          <w:sz w:val="24"/>
        </w:rPr>
        <w:t>+</w:t>
      </w:r>
      <w:r w:rsidR="00493682" w:rsidRPr="006F48FA">
        <w:rPr>
          <w:rFonts w:ascii="Times New Roman" w:hAnsi="Times New Roman" w:cs="Times New Roman"/>
          <w:color w:val="000000" w:themeColor="text1"/>
          <w:sz w:val="24"/>
        </w:rPr>
        <w:t xml:space="preserve"> </w:t>
      </w:r>
      <w:r w:rsidRPr="006F48FA">
        <w:rPr>
          <w:rFonts w:ascii="Times New Roman" w:hAnsi="Times New Roman" w:cs="Times New Roman"/>
          <w:color w:val="000000" w:themeColor="text1"/>
          <w:sz w:val="24"/>
        </w:rPr>
        <w:t>180.</w:t>
      </w:r>
    </w:p>
    <w:p w14:paraId="2B5B8991" w14:textId="52FE321B"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[10] Zhang G, Jiang L, Liu S, 2022, Do </w:t>
      </w:r>
      <w:r w:rsidR="00493682" w:rsidRPr="006F48FA">
        <w:rPr>
          <w:rFonts w:ascii="Times New Roman" w:hAnsi="Times New Roman" w:cs="Times New Roman"/>
          <w:color w:val="000000" w:themeColor="text1"/>
          <w:sz w:val="24"/>
        </w:rPr>
        <w:t>Digital Trade Barriers Inhibit Export Product Quality Upgrading</w:t>
      </w:r>
      <w:r w:rsidRPr="006F48FA">
        <w:rPr>
          <w:rFonts w:ascii="Times New Roman" w:hAnsi="Times New Roman" w:cs="Times New Roman"/>
          <w:color w:val="000000" w:themeColor="text1"/>
          <w:sz w:val="24"/>
        </w:rPr>
        <w:t>? Finance &amp; Trade Economics, 43(12):</w:t>
      </w:r>
      <w:r w:rsidR="00493682" w:rsidRPr="006F48FA">
        <w:rPr>
          <w:rFonts w:ascii="Times New Roman" w:hAnsi="Times New Roman" w:cs="Times New Roman"/>
          <w:color w:val="000000" w:themeColor="text1"/>
          <w:sz w:val="24"/>
        </w:rPr>
        <w:t xml:space="preserve"> </w:t>
      </w:r>
      <w:r w:rsidRPr="006F48FA">
        <w:rPr>
          <w:rFonts w:ascii="Times New Roman" w:hAnsi="Times New Roman" w:cs="Times New Roman"/>
          <w:color w:val="000000" w:themeColor="text1"/>
          <w:sz w:val="24"/>
        </w:rPr>
        <w:t>144</w:t>
      </w:r>
      <w:r w:rsidR="00493682" w:rsidRPr="006F48FA">
        <w:rPr>
          <w:rFonts w:ascii="Times New Roman" w:hAnsi="Times New Roman" w:cs="Times New Roman"/>
          <w:color w:val="000000" w:themeColor="text1"/>
          <w:sz w:val="24"/>
        </w:rPr>
        <w:t>–</w:t>
      </w:r>
      <w:r w:rsidRPr="006F48FA">
        <w:rPr>
          <w:rFonts w:ascii="Times New Roman" w:hAnsi="Times New Roman" w:cs="Times New Roman"/>
          <w:color w:val="000000" w:themeColor="text1"/>
          <w:sz w:val="24"/>
        </w:rPr>
        <w:t>160.</w:t>
      </w:r>
    </w:p>
    <w:p w14:paraId="5D9C5C2A" w14:textId="07663ED9"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[11] Meng J, Zhang A, 2024, The </w:t>
      </w:r>
      <w:r w:rsidR="00493682" w:rsidRPr="006F48FA">
        <w:rPr>
          <w:rFonts w:ascii="Times New Roman" w:hAnsi="Times New Roman" w:cs="Times New Roman"/>
          <w:color w:val="000000" w:themeColor="text1"/>
          <w:sz w:val="24"/>
        </w:rPr>
        <w:t xml:space="preserve">Impact </w:t>
      </w:r>
      <w:r w:rsidRPr="006F48FA">
        <w:rPr>
          <w:rFonts w:ascii="Times New Roman" w:hAnsi="Times New Roman" w:cs="Times New Roman"/>
          <w:color w:val="000000" w:themeColor="text1"/>
          <w:sz w:val="24"/>
        </w:rPr>
        <w:t xml:space="preserve">of </w:t>
      </w:r>
      <w:r w:rsidR="00493682" w:rsidRPr="006F48FA">
        <w:rPr>
          <w:rFonts w:ascii="Times New Roman" w:hAnsi="Times New Roman" w:cs="Times New Roman"/>
          <w:color w:val="000000" w:themeColor="text1"/>
          <w:sz w:val="24"/>
        </w:rPr>
        <w:t xml:space="preserve">Digital Trade Barriers </w:t>
      </w:r>
      <w:r w:rsidRPr="006F48FA">
        <w:rPr>
          <w:rFonts w:ascii="Times New Roman" w:hAnsi="Times New Roman" w:cs="Times New Roman"/>
          <w:color w:val="000000" w:themeColor="text1"/>
          <w:sz w:val="24"/>
        </w:rPr>
        <w:t xml:space="preserve">on </w:t>
      </w:r>
      <w:r w:rsidR="00493682" w:rsidRPr="006F48FA">
        <w:rPr>
          <w:rFonts w:ascii="Times New Roman" w:hAnsi="Times New Roman" w:cs="Times New Roman"/>
          <w:color w:val="000000" w:themeColor="text1"/>
          <w:sz w:val="24"/>
        </w:rPr>
        <w:t>Manufacturing Export Product Quality</w:t>
      </w:r>
      <w:r w:rsidRPr="006F48FA">
        <w:rPr>
          <w:rFonts w:ascii="Times New Roman" w:hAnsi="Times New Roman" w:cs="Times New Roman"/>
          <w:color w:val="000000" w:themeColor="text1"/>
          <w:sz w:val="24"/>
        </w:rPr>
        <w:t>. Journal of Nanjing University of Posts and Telecommunications (Social Sciences Edition), 26(06):</w:t>
      </w:r>
      <w:r w:rsidR="00493682" w:rsidRPr="006F48FA">
        <w:rPr>
          <w:rFonts w:ascii="Times New Roman" w:hAnsi="Times New Roman" w:cs="Times New Roman"/>
          <w:color w:val="000000" w:themeColor="text1"/>
          <w:sz w:val="24"/>
        </w:rPr>
        <w:t xml:space="preserve"> </w:t>
      </w:r>
      <w:r w:rsidRPr="006F48FA">
        <w:rPr>
          <w:rFonts w:ascii="Times New Roman" w:hAnsi="Times New Roman" w:cs="Times New Roman"/>
          <w:color w:val="000000" w:themeColor="text1"/>
          <w:sz w:val="24"/>
        </w:rPr>
        <w:t>90</w:t>
      </w:r>
      <w:r w:rsidR="00493682" w:rsidRPr="006F48FA">
        <w:rPr>
          <w:rFonts w:ascii="Times New Roman" w:hAnsi="Times New Roman" w:cs="Times New Roman"/>
          <w:color w:val="000000" w:themeColor="text1"/>
          <w:sz w:val="24"/>
        </w:rPr>
        <w:t>–</w:t>
      </w:r>
      <w:r w:rsidRPr="006F48FA">
        <w:rPr>
          <w:rFonts w:ascii="Times New Roman" w:hAnsi="Times New Roman" w:cs="Times New Roman"/>
          <w:color w:val="000000" w:themeColor="text1"/>
          <w:sz w:val="24"/>
        </w:rPr>
        <w:t>103.</w:t>
      </w:r>
    </w:p>
    <w:p w14:paraId="3087006C" w14:textId="77777777"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[12] Ferencz J, Gonzales F, 2019, Barriers to Trade in Digitally Enabled Services in the G20. OECD Trade Policy Papers, No.232.</w:t>
      </w:r>
    </w:p>
    <w:p w14:paraId="037746A0" w14:textId="4AB50941"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[13] Ferracane MF, Kren J, van der Marel E, 2020, Do </w:t>
      </w:r>
      <w:r w:rsidR="00493682" w:rsidRPr="006F48FA">
        <w:rPr>
          <w:rFonts w:ascii="Times New Roman" w:hAnsi="Times New Roman" w:cs="Times New Roman"/>
          <w:color w:val="000000" w:themeColor="text1"/>
          <w:sz w:val="24"/>
        </w:rPr>
        <w:t>Data Policy Restrictions Imp</w:t>
      </w:r>
      <w:r w:rsidRPr="006F48FA">
        <w:rPr>
          <w:rFonts w:ascii="Times New Roman" w:hAnsi="Times New Roman" w:cs="Times New Roman"/>
          <w:color w:val="000000" w:themeColor="text1"/>
          <w:sz w:val="24"/>
        </w:rPr>
        <w:t xml:space="preserve">act the </w:t>
      </w:r>
      <w:r w:rsidR="00493682" w:rsidRPr="006F48FA">
        <w:rPr>
          <w:rFonts w:ascii="Times New Roman" w:hAnsi="Times New Roman" w:cs="Times New Roman"/>
          <w:color w:val="000000" w:themeColor="text1"/>
          <w:sz w:val="24"/>
        </w:rPr>
        <w:t>Produ</w:t>
      </w:r>
      <w:r w:rsidRPr="006F48FA">
        <w:rPr>
          <w:rFonts w:ascii="Times New Roman" w:hAnsi="Times New Roman" w:cs="Times New Roman"/>
          <w:color w:val="000000" w:themeColor="text1"/>
          <w:sz w:val="24"/>
        </w:rPr>
        <w:t xml:space="preserve">ctivity </w:t>
      </w:r>
      <w:r w:rsidR="00493682" w:rsidRPr="006F48FA">
        <w:rPr>
          <w:rFonts w:ascii="Times New Roman" w:hAnsi="Times New Roman" w:cs="Times New Roman"/>
          <w:color w:val="000000" w:themeColor="text1"/>
          <w:sz w:val="24"/>
        </w:rPr>
        <w:t>Per</w:t>
      </w:r>
      <w:r w:rsidRPr="006F48FA">
        <w:rPr>
          <w:rFonts w:ascii="Times New Roman" w:hAnsi="Times New Roman" w:cs="Times New Roman"/>
          <w:color w:val="000000" w:themeColor="text1"/>
          <w:sz w:val="24"/>
        </w:rPr>
        <w:t xml:space="preserve">formance of </w:t>
      </w:r>
      <w:r w:rsidR="00493682" w:rsidRPr="006F48FA">
        <w:rPr>
          <w:rFonts w:ascii="Times New Roman" w:hAnsi="Times New Roman" w:cs="Times New Roman"/>
          <w:color w:val="000000" w:themeColor="text1"/>
          <w:sz w:val="24"/>
        </w:rPr>
        <w:t>Firm</w:t>
      </w:r>
      <w:r w:rsidRPr="006F48FA">
        <w:rPr>
          <w:rFonts w:ascii="Times New Roman" w:hAnsi="Times New Roman" w:cs="Times New Roman"/>
          <w:color w:val="000000" w:themeColor="text1"/>
          <w:sz w:val="24"/>
        </w:rPr>
        <w:t xml:space="preserve">s and </w:t>
      </w:r>
      <w:r w:rsidR="00493682" w:rsidRPr="006F48FA">
        <w:rPr>
          <w:rFonts w:ascii="Times New Roman" w:hAnsi="Times New Roman" w:cs="Times New Roman"/>
          <w:color w:val="000000" w:themeColor="text1"/>
          <w:sz w:val="24"/>
        </w:rPr>
        <w:t>Indus</w:t>
      </w:r>
      <w:r w:rsidRPr="006F48FA">
        <w:rPr>
          <w:rFonts w:ascii="Times New Roman" w:hAnsi="Times New Roman" w:cs="Times New Roman"/>
          <w:color w:val="000000" w:themeColor="text1"/>
          <w:sz w:val="24"/>
        </w:rPr>
        <w:t>tries? Review of International Economics, 28(3):</w:t>
      </w:r>
      <w:r w:rsidR="00493682" w:rsidRPr="006F48FA">
        <w:rPr>
          <w:rFonts w:ascii="Times New Roman" w:hAnsi="Times New Roman" w:cs="Times New Roman"/>
          <w:color w:val="000000" w:themeColor="text1"/>
          <w:sz w:val="24"/>
        </w:rPr>
        <w:t xml:space="preserve"> </w:t>
      </w:r>
      <w:r w:rsidRPr="006F48FA">
        <w:rPr>
          <w:rFonts w:ascii="Times New Roman" w:hAnsi="Times New Roman" w:cs="Times New Roman"/>
          <w:color w:val="000000" w:themeColor="text1"/>
          <w:sz w:val="24"/>
        </w:rPr>
        <w:t>676</w:t>
      </w:r>
      <w:r w:rsidR="00493682" w:rsidRPr="006F48FA">
        <w:rPr>
          <w:rFonts w:ascii="Times New Roman" w:hAnsi="Times New Roman" w:cs="Times New Roman"/>
          <w:color w:val="000000" w:themeColor="text1"/>
          <w:sz w:val="24"/>
        </w:rPr>
        <w:t>–</w:t>
      </w:r>
      <w:r w:rsidRPr="006F48FA">
        <w:rPr>
          <w:rFonts w:ascii="Times New Roman" w:hAnsi="Times New Roman" w:cs="Times New Roman"/>
          <w:color w:val="000000" w:themeColor="text1"/>
          <w:sz w:val="24"/>
        </w:rPr>
        <w:t>722.</w:t>
      </w:r>
    </w:p>
    <w:p w14:paraId="302BCB45" w14:textId="574A293C"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[14] North DC, 1990, Institutions, Institutional Change and Economic Performance. Cambridge University Press</w:t>
      </w:r>
      <w:r w:rsidR="00493682" w:rsidRPr="006F48FA">
        <w:rPr>
          <w:rFonts w:ascii="Times New Roman" w:hAnsi="Times New Roman" w:cs="Times New Roman"/>
          <w:color w:val="000000" w:themeColor="text1"/>
          <w:sz w:val="24"/>
        </w:rPr>
        <w:t xml:space="preserve">, </w:t>
      </w:r>
      <w:r w:rsidR="00493682" w:rsidRPr="006F48FA">
        <w:rPr>
          <w:rFonts w:ascii="Times New Roman" w:hAnsi="Times New Roman" w:cs="Times New Roman"/>
          <w:color w:val="000000" w:themeColor="text1"/>
          <w:sz w:val="24"/>
        </w:rPr>
        <w:t>Cambridge</w:t>
      </w:r>
      <w:r w:rsidR="00493682" w:rsidRPr="006F48FA">
        <w:rPr>
          <w:rFonts w:ascii="Times New Roman" w:hAnsi="Times New Roman" w:cs="Times New Roman"/>
          <w:color w:val="000000" w:themeColor="text1"/>
          <w:sz w:val="24"/>
        </w:rPr>
        <w:t>.</w:t>
      </w:r>
    </w:p>
    <w:p w14:paraId="78814BEA" w14:textId="4998C219"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[15] Acemoglu D, Johnson S, Robinson JA, 2005, Institutions as a </w:t>
      </w:r>
      <w:r w:rsidR="00493682" w:rsidRPr="006F48FA">
        <w:rPr>
          <w:rFonts w:ascii="Times New Roman" w:hAnsi="Times New Roman" w:cs="Times New Roman"/>
          <w:color w:val="000000" w:themeColor="text1"/>
          <w:sz w:val="24"/>
        </w:rPr>
        <w:t xml:space="preserve">Fundamental Cause </w:t>
      </w:r>
      <w:r w:rsidRPr="006F48FA">
        <w:rPr>
          <w:rFonts w:ascii="Times New Roman" w:hAnsi="Times New Roman" w:cs="Times New Roman"/>
          <w:color w:val="000000" w:themeColor="text1"/>
          <w:sz w:val="24"/>
        </w:rPr>
        <w:t xml:space="preserve">of </w:t>
      </w:r>
      <w:r w:rsidR="00493682" w:rsidRPr="006F48FA">
        <w:rPr>
          <w:rFonts w:ascii="Times New Roman" w:hAnsi="Times New Roman" w:cs="Times New Roman"/>
          <w:color w:val="000000" w:themeColor="text1"/>
          <w:sz w:val="24"/>
        </w:rPr>
        <w:t>Long</w:t>
      </w:r>
      <w:r w:rsidRPr="006F48FA">
        <w:rPr>
          <w:rFonts w:ascii="Times New Roman" w:hAnsi="Times New Roman" w:cs="Times New Roman"/>
          <w:color w:val="000000" w:themeColor="text1"/>
          <w:sz w:val="24"/>
        </w:rPr>
        <w:t xml:space="preserve">-run </w:t>
      </w:r>
      <w:r w:rsidR="000669F9" w:rsidRPr="006F48FA">
        <w:rPr>
          <w:rFonts w:ascii="Times New Roman" w:hAnsi="Times New Roman" w:cs="Times New Roman"/>
          <w:color w:val="000000" w:themeColor="text1"/>
          <w:sz w:val="24"/>
        </w:rPr>
        <w:t>Grow</w:t>
      </w:r>
      <w:r w:rsidRPr="006F48FA">
        <w:rPr>
          <w:rFonts w:ascii="Times New Roman" w:hAnsi="Times New Roman" w:cs="Times New Roman"/>
          <w:color w:val="000000" w:themeColor="text1"/>
          <w:sz w:val="24"/>
        </w:rPr>
        <w:t>th</w:t>
      </w:r>
      <w:r w:rsidR="00493682" w:rsidRPr="006F48FA">
        <w:rPr>
          <w:rFonts w:ascii="Times New Roman" w:hAnsi="Times New Roman" w:cs="Times New Roman"/>
          <w:color w:val="000000" w:themeColor="text1"/>
          <w:sz w:val="24"/>
        </w:rPr>
        <w:t xml:space="preserve">, in </w:t>
      </w:r>
      <w:r w:rsidRPr="006F48FA">
        <w:rPr>
          <w:rFonts w:ascii="Times New Roman" w:hAnsi="Times New Roman" w:cs="Times New Roman"/>
          <w:color w:val="000000" w:themeColor="text1"/>
          <w:sz w:val="24"/>
        </w:rPr>
        <w:t>Handbook of Economic Growth. Elsevier,</w:t>
      </w:r>
      <w:r w:rsidR="00493682" w:rsidRPr="006F48FA">
        <w:rPr>
          <w:rFonts w:ascii="Times New Roman" w:hAnsi="Times New Roman" w:cs="Times New Roman"/>
          <w:color w:val="000000" w:themeColor="text1"/>
          <w:sz w:val="24"/>
        </w:rPr>
        <w:t xml:space="preserve"> </w:t>
      </w:r>
      <w:r w:rsidR="00493682" w:rsidRPr="006F48FA">
        <w:rPr>
          <w:rFonts w:ascii="Times New Roman" w:hAnsi="Times New Roman" w:cs="Times New Roman"/>
          <w:color w:val="000000" w:themeColor="text1"/>
          <w:sz w:val="24"/>
        </w:rPr>
        <w:t>Amsterdam</w:t>
      </w:r>
      <w:r w:rsidR="00493682" w:rsidRPr="006F48FA">
        <w:rPr>
          <w:rFonts w:ascii="Times New Roman" w:hAnsi="Times New Roman" w:cs="Times New Roman"/>
          <w:color w:val="000000" w:themeColor="text1"/>
          <w:sz w:val="24"/>
        </w:rPr>
        <w:t>,</w:t>
      </w:r>
      <w:r w:rsidRPr="006F48FA">
        <w:rPr>
          <w:rFonts w:ascii="Times New Roman" w:hAnsi="Times New Roman" w:cs="Times New Roman"/>
          <w:color w:val="000000" w:themeColor="text1"/>
          <w:sz w:val="24"/>
        </w:rPr>
        <w:t xml:space="preserve"> 385</w:t>
      </w:r>
      <w:r w:rsidR="00493682" w:rsidRPr="006F48FA">
        <w:rPr>
          <w:rFonts w:ascii="Times New Roman" w:hAnsi="Times New Roman" w:cs="Times New Roman"/>
          <w:color w:val="000000" w:themeColor="text1"/>
          <w:sz w:val="24"/>
        </w:rPr>
        <w:t>–</w:t>
      </w:r>
      <w:r w:rsidRPr="006F48FA">
        <w:rPr>
          <w:rFonts w:ascii="Times New Roman" w:hAnsi="Times New Roman" w:cs="Times New Roman"/>
          <w:color w:val="000000" w:themeColor="text1"/>
          <w:sz w:val="24"/>
        </w:rPr>
        <w:t>472.</w:t>
      </w:r>
    </w:p>
    <w:p w14:paraId="30863327" w14:textId="6F583BC8" w:rsidR="00F253D1" w:rsidRPr="006F48FA" w:rsidRDefault="00000000">
      <w:pPr>
        <w:rPr>
          <w:rFonts w:ascii="Times New Roman" w:hAnsi="Times New Roman" w:cs="Times New Roman"/>
          <w:color w:val="000000" w:themeColor="text1"/>
          <w:sz w:val="24"/>
        </w:rPr>
      </w:pPr>
      <w:r w:rsidRPr="006F48FA">
        <w:rPr>
          <w:rFonts w:ascii="Times New Roman" w:hAnsi="Times New Roman" w:cs="Times New Roman"/>
          <w:color w:val="000000" w:themeColor="text1"/>
          <w:sz w:val="24"/>
        </w:rPr>
        <w:t xml:space="preserve">[16] Shi B, Shao W, 2014, Measurement and </w:t>
      </w:r>
      <w:r w:rsidR="000669F9" w:rsidRPr="006F48FA">
        <w:rPr>
          <w:rFonts w:ascii="Times New Roman" w:hAnsi="Times New Roman" w:cs="Times New Roman"/>
          <w:color w:val="000000" w:themeColor="text1"/>
          <w:sz w:val="24"/>
        </w:rPr>
        <w:t>Determ</w:t>
      </w:r>
      <w:r w:rsidRPr="006F48FA">
        <w:rPr>
          <w:rFonts w:ascii="Times New Roman" w:hAnsi="Times New Roman" w:cs="Times New Roman"/>
          <w:color w:val="000000" w:themeColor="text1"/>
          <w:sz w:val="24"/>
        </w:rPr>
        <w:t xml:space="preserve">inants of </w:t>
      </w:r>
      <w:r w:rsidR="000669F9" w:rsidRPr="006F48FA">
        <w:rPr>
          <w:rFonts w:ascii="Times New Roman" w:hAnsi="Times New Roman" w:cs="Times New Roman"/>
          <w:color w:val="000000" w:themeColor="text1"/>
          <w:sz w:val="24"/>
        </w:rPr>
        <w:t xml:space="preserve">Export Product Quality </w:t>
      </w:r>
      <w:r w:rsidRPr="006F48FA">
        <w:rPr>
          <w:rFonts w:ascii="Times New Roman" w:hAnsi="Times New Roman" w:cs="Times New Roman"/>
          <w:color w:val="000000" w:themeColor="text1"/>
          <w:sz w:val="24"/>
        </w:rPr>
        <w:t xml:space="preserve">of Chinese </w:t>
      </w:r>
      <w:r w:rsidR="000669F9" w:rsidRPr="006F48FA">
        <w:rPr>
          <w:rFonts w:ascii="Times New Roman" w:hAnsi="Times New Roman" w:cs="Times New Roman"/>
          <w:color w:val="000000" w:themeColor="text1"/>
          <w:sz w:val="24"/>
        </w:rPr>
        <w:t>Firm</w:t>
      </w:r>
      <w:r w:rsidRPr="006F48FA">
        <w:rPr>
          <w:rFonts w:ascii="Times New Roman" w:hAnsi="Times New Roman" w:cs="Times New Roman"/>
          <w:color w:val="000000" w:themeColor="text1"/>
          <w:sz w:val="24"/>
        </w:rPr>
        <w:t xml:space="preserve">s: A </w:t>
      </w:r>
      <w:r w:rsidR="000669F9" w:rsidRPr="006F48FA">
        <w:rPr>
          <w:rFonts w:ascii="Times New Roman" w:hAnsi="Times New Roman" w:cs="Times New Roman"/>
          <w:color w:val="000000" w:themeColor="text1"/>
          <w:sz w:val="24"/>
        </w:rPr>
        <w:t>Micro Pers</w:t>
      </w:r>
      <w:r w:rsidRPr="006F48FA">
        <w:rPr>
          <w:rFonts w:ascii="Times New Roman" w:hAnsi="Times New Roman" w:cs="Times New Roman"/>
          <w:color w:val="000000" w:themeColor="text1"/>
          <w:sz w:val="24"/>
        </w:rPr>
        <w:t xml:space="preserve">pective of </w:t>
      </w:r>
      <w:r w:rsidR="000669F9" w:rsidRPr="006F48FA">
        <w:rPr>
          <w:rFonts w:ascii="Times New Roman" w:hAnsi="Times New Roman" w:cs="Times New Roman"/>
          <w:color w:val="000000" w:themeColor="text1"/>
          <w:sz w:val="24"/>
        </w:rPr>
        <w:t xml:space="preserve">Cultivating New Competitive Advantages </w:t>
      </w:r>
      <w:r w:rsidRPr="006F48FA">
        <w:rPr>
          <w:rFonts w:ascii="Times New Roman" w:hAnsi="Times New Roman" w:cs="Times New Roman"/>
          <w:color w:val="000000" w:themeColor="text1"/>
          <w:sz w:val="24"/>
        </w:rPr>
        <w:t xml:space="preserve">in </w:t>
      </w:r>
      <w:r w:rsidR="000669F9" w:rsidRPr="006F48FA">
        <w:rPr>
          <w:rFonts w:ascii="Times New Roman" w:hAnsi="Times New Roman" w:cs="Times New Roman"/>
          <w:color w:val="000000" w:themeColor="text1"/>
          <w:sz w:val="24"/>
        </w:rPr>
        <w:t>Exp</w:t>
      </w:r>
      <w:r w:rsidRPr="006F48FA">
        <w:rPr>
          <w:rFonts w:ascii="Times New Roman" w:hAnsi="Times New Roman" w:cs="Times New Roman"/>
          <w:color w:val="000000" w:themeColor="text1"/>
          <w:sz w:val="24"/>
        </w:rPr>
        <w:t xml:space="preserve">orts. Management World, </w:t>
      </w:r>
      <w:r w:rsidR="000669F9" w:rsidRPr="006F48FA">
        <w:rPr>
          <w:rFonts w:ascii="Times New Roman" w:hAnsi="Times New Roman" w:cs="Times New Roman"/>
          <w:color w:val="000000" w:themeColor="text1"/>
          <w:sz w:val="24"/>
        </w:rPr>
        <w:t>2014</w:t>
      </w:r>
      <w:r w:rsidRPr="006F48FA">
        <w:rPr>
          <w:rFonts w:ascii="Times New Roman" w:hAnsi="Times New Roman" w:cs="Times New Roman"/>
          <w:color w:val="000000" w:themeColor="text1"/>
          <w:sz w:val="24"/>
        </w:rPr>
        <w:t>(9):</w:t>
      </w:r>
      <w:r w:rsidR="000669F9" w:rsidRPr="006F48FA">
        <w:rPr>
          <w:rFonts w:ascii="Times New Roman" w:hAnsi="Times New Roman" w:cs="Times New Roman"/>
          <w:color w:val="000000" w:themeColor="text1"/>
          <w:sz w:val="24"/>
        </w:rPr>
        <w:t xml:space="preserve"> </w:t>
      </w:r>
      <w:r w:rsidRPr="006F48FA">
        <w:rPr>
          <w:rFonts w:ascii="Times New Roman" w:hAnsi="Times New Roman" w:cs="Times New Roman"/>
          <w:color w:val="000000" w:themeColor="text1"/>
          <w:sz w:val="24"/>
        </w:rPr>
        <w:t>90</w:t>
      </w:r>
      <w:r w:rsidR="000669F9" w:rsidRPr="006F48FA">
        <w:rPr>
          <w:rFonts w:ascii="Times New Roman" w:hAnsi="Times New Roman" w:cs="Times New Roman"/>
          <w:color w:val="000000" w:themeColor="text1"/>
          <w:sz w:val="24"/>
        </w:rPr>
        <w:t>–</w:t>
      </w:r>
      <w:r w:rsidRPr="006F48FA">
        <w:rPr>
          <w:rFonts w:ascii="Times New Roman" w:hAnsi="Times New Roman" w:cs="Times New Roman"/>
          <w:color w:val="000000" w:themeColor="text1"/>
          <w:sz w:val="24"/>
        </w:rPr>
        <w:t>106.</w:t>
      </w:r>
    </w:p>
    <w:p w14:paraId="2AD16EF4" w14:textId="77777777" w:rsidR="00F253D1" w:rsidRPr="006F48FA" w:rsidRDefault="00F253D1">
      <w:pPr>
        <w:rPr>
          <w:rFonts w:ascii="Times New Roman" w:hAnsi="Times New Roman" w:cs="Times New Roman"/>
          <w:color w:val="000000" w:themeColor="text1"/>
          <w:sz w:val="24"/>
        </w:rPr>
      </w:pPr>
    </w:p>
    <w:p w14:paraId="6EF09BEE" w14:textId="77777777" w:rsidR="00F253D1" w:rsidRPr="006F48FA" w:rsidRDefault="00000000">
      <w:pPr>
        <w:rPr>
          <w:rFonts w:ascii="Times New Roman" w:hAnsi="Times New Roman" w:cs="Times New Roman"/>
          <w:b/>
          <w:bCs/>
          <w:color w:val="000000" w:themeColor="text1"/>
          <w:sz w:val="20"/>
          <w:szCs w:val="20"/>
        </w:rPr>
      </w:pPr>
      <w:r w:rsidRPr="006F48FA">
        <w:rPr>
          <w:rFonts w:ascii="Times New Roman" w:hAnsi="Times New Roman" w:cs="Times New Roman"/>
          <w:b/>
          <w:bCs/>
          <w:color w:val="000000" w:themeColor="text1"/>
          <w:sz w:val="20"/>
          <w:szCs w:val="20"/>
        </w:rPr>
        <w:t>Publisher’s note</w:t>
      </w:r>
    </w:p>
    <w:p w14:paraId="579E4CAE" w14:textId="77777777" w:rsidR="00F253D1" w:rsidRPr="006F48FA" w:rsidRDefault="00000000">
      <w:pPr>
        <w:rPr>
          <w:rFonts w:ascii="Times New Roman" w:hAnsi="Times New Roman" w:cs="Times New Roman"/>
          <w:color w:val="000000" w:themeColor="text1"/>
          <w:sz w:val="20"/>
          <w:szCs w:val="20"/>
        </w:rPr>
      </w:pPr>
      <w:r w:rsidRPr="006F48FA">
        <w:rPr>
          <w:rFonts w:ascii="Times New Roman" w:hAnsi="Times New Roman" w:cs="Times New Roman"/>
          <w:color w:val="000000" w:themeColor="text1"/>
          <w:sz w:val="20"/>
          <w:szCs w:val="20"/>
        </w:rPr>
        <w:t>Bio-Byword Scientific Publishing remains neutral with regard to jurisdictional claims in published maps and institutional affiliations.</w:t>
      </w:r>
    </w:p>
    <w:sectPr w:rsidR="00F253D1" w:rsidRPr="006F48FA">
      <w:headerReference w:type="default" r:id="rId8"/>
      <w:footerReference w:type="default" r:id="rId9"/>
      <w:endnotePr>
        <w:numFmt w:val="decimal"/>
      </w:endnotePr>
      <w:type w:val="continuous"/>
      <w:pgSz w:w="11906" w:h="16838"/>
      <w:pgMar w:top="1418" w:right="851" w:bottom="1418" w:left="851" w:header="851"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6406C" w14:textId="77777777" w:rsidR="00464148" w:rsidRDefault="00464148"/>
  </w:endnote>
  <w:endnote w:type="continuationSeparator" w:id="0">
    <w:p w14:paraId="02AFA49A" w14:textId="77777777" w:rsidR="00464148" w:rsidRDefault="004641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inion Pro">
    <w:altName w:val="Cambria"/>
    <w:charset w:val="00"/>
    <w:family w:val="roman"/>
    <w:pitch w:val="default"/>
    <w:sig w:usb0="00000000" w:usb1="00000000"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Unicode MS">
    <w:altName w:val="SimSun"/>
    <w:panose1 w:val="020B0604020202020204"/>
    <w:charset w:val="86"/>
    <w:family w:val="roman"/>
    <w:pitch w:val="default"/>
    <w:sig w:usb0="FFFFFFFF" w:usb1="E9FFFFFF" w:usb2="0000003F" w:usb3="00000000" w:csb0="603F01FF" w:csb1="FFFF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50FE" w14:textId="77777777" w:rsidR="00F253D1" w:rsidRDefault="00F253D1">
    <w:pPr>
      <w:pStyle w:val="Footer"/>
      <w:rPr>
        <w:lang w:val="en-M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3D83B" w14:textId="77777777" w:rsidR="00464148" w:rsidRDefault="00464148"/>
  </w:footnote>
  <w:footnote w:type="continuationSeparator" w:id="0">
    <w:p w14:paraId="52410465" w14:textId="77777777" w:rsidR="00464148" w:rsidRDefault="004641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87CB" w14:textId="77777777" w:rsidR="00F253D1" w:rsidRDefault="00000000">
    <w:pPr>
      <w:pStyle w:val="Header"/>
    </w:pPr>
    <w:r>
      <w:rPr>
        <w:rFonts w:ascii="Times New Roman" w:hAnsi="Times New Roman" w:cs="Times New Roman"/>
        <w:noProof/>
        <w:color w:val="000000" w:themeColor="text1"/>
      </w:rPr>
      <mc:AlternateContent>
        <mc:Choice Requires="wps">
          <w:drawing>
            <wp:anchor distT="45720" distB="45720" distL="114300" distR="114300" simplePos="0" relativeHeight="251660288" behindDoc="0" locked="0" layoutInCell="1" allowOverlap="1">
              <wp:simplePos x="0" y="0"/>
              <wp:positionH relativeFrom="column">
                <wp:posOffset>811530</wp:posOffset>
              </wp:positionH>
              <wp:positionV relativeFrom="paragraph">
                <wp:posOffset>-36830</wp:posOffset>
              </wp:positionV>
              <wp:extent cx="2405380" cy="224790"/>
              <wp:effectExtent l="0" t="0" r="0" b="38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14:paraId="015D50AB" w14:textId="77777777" w:rsidR="00F253D1" w:rsidRDefault="00F253D1">
                          <w:pPr>
                            <w:rPr>
                              <w:sz w:val="18"/>
                              <w:szCs w:val="18"/>
                            </w:rPr>
                          </w:pP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63.9pt;margin-top:-2.9pt;width:189.4pt;height:17.7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" stroked="f">
              <v:textbox>
                <w:txbxContent>
                  <w:p w14:paraId="015D50AB" w14:textId="77777777" w:rsidR="00F253D1" w:rsidRDefault="00F253D1">
                    <w:pPr>
                      <w:rPr>
                        <w:sz w:val="18"/>
                        <w:szCs w:val="18"/>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6CEF" w14:textId="77777777" w:rsidR="00F253D1" w:rsidRDefault="00000000">
    <w:pPr>
      <w:pStyle w:val="Header"/>
    </w:pPr>
    <w:r>
      <w:rPr>
        <w:rFonts w:ascii="Times New Roman" w:hAnsi="Times New Roman" w:cs="Times New Roman"/>
        <w:noProof/>
        <w:color w:val="000000" w:themeColor="text1"/>
      </w:rPr>
      <mc:AlternateContent>
        <mc:Choice Requires="wps">
          <w:drawing>
            <wp:anchor distT="45720" distB="45720" distL="114300" distR="114300" simplePos="0" relativeHeight="251659264" behindDoc="0" locked="0" layoutInCell="1" allowOverlap="1">
              <wp:simplePos x="0" y="0"/>
              <wp:positionH relativeFrom="column">
                <wp:posOffset>811530</wp:posOffset>
              </wp:positionH>
              <wp:positionV relativeFrom="paragraph">
                <wp:posOffset>-36830</wp:posOffset>
              </wp:positionV>
              <wp:extent cx="2405380" cy="224790"/>
              <wp:effectExtent l="0" t="0" r="0" b="381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5575" cy="225083"/>
                      </a:xfrm>
                      <a:prstGeom prst="rect">
                        <a:avLst/>
                      </a:prstGeom>
                      <a:solidFill>
                        <a:srgbClr val="FFFFFF"/>
                      </a:solidFill>
                      <a:ln w="9525">
                        <a:noFill/>
                        <a:miter lim="800000"/>
                      </a:ln>
                    </wps:spPr>
                    <wps:txbx>
                      <w:txbxContent>
                        <w:p w14:paraId="4B79DB80" w14:textId="77777777" w:rsidR="00F253D1" w:rsidRDefault="00F253D1">
                          <w:pPr>
                            <w:rPr>
                              <w:sz w:val="18"/>
                              <w:szCs w:val="18"/>
                            </w:rPr>
                          </w:pP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63.9pt;margin-top:-2.9pt;width:189.4pt;height:17.7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" stroked="f">
              <v:textbox>
                <w:txbxContent>
                  <w:p w14:paraId="4B79DB80" w14:textId="77777777" w:rsidR="00F253D1" w:rsidRDefault="00F253D1">
                    <w:pPr>
                      <w:rPr>
                        <w:sz w:val="18"/>
                        <w:szCs w:val="18"/>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HorizontalSpacing w:val="105"/>
  <w:drawingGridVerticalSpacing w:val="156"/>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7E01B3"/>
    <w:rsid w:val="00017B0F"/>
    <w:rsid w:val="000228AC"/>
    <w:rsid w:val="000669F9"/>
    <w:rsid w:val="00071FA8"/>
    <w:rsid w:val="00095AE4"/>
    <w:rsid w:val="000F7F4C"/>
    <w:rsid w:val="0012594F"/>
    <w:rsid w:val="00127762"/>
    <w:rsid w:val="001304E2"/>
    <w:rsid w:val="00143467"/>
    <w:rsid w:val="001539FE"/>
    <w:rsid w:val="0015585C"/>
    <w:rsid w:val="001C16FA"/>
    <w:rsid w:val="001C366B"/>
    <w:rsid w:val="001D5D87"/>
    <w:rsid w:val="00201CB9"/>
    <w:rsid w:val="00203754"/>
    <w:rsid w:val="00211652"/>
    <w:rsid w:val="00217737"/>
    <w:rsid w:val="0024126E"/>
    <w:rsid w:val="002437DF"/>
    <w:rsid w:val="00244066"/>
    <w:rsid w:val="002A2900"/>
    <w:rsid w:val="002C5C63"/>
    <w:rsid w:val="002F694A"/>
    <w:rsid w:val="00316C89"/>
    <w:rsid w:val="0036315A"/>
    <w:rsid w:val="003711AB"/>
    <w:rsid w:val="00374E7F"/>
    <w:rsid w:val="00375D9F"/>
    <w:rsid w:val="00380712"/>
    <w:rsid w:val="00393004"/>
    <w:rsid w:val="003C03BD"/>
    <w:rsid w:val="003C700C"/>
    <w:rsid w:val="003D7D08"/>
    <w:rsid w:val="00412AF7"/>
    <w:rsid w:val="004162DD"/>
    <w:rsid w:val="004246ED"/>
    <w:rsid w:val="004600E8"/>
    <w:rsid w:val="00464148"/>
    <w:rsid w:val="004761E9"/>
    <w:rsid w:val="00485F0C"/>
    <w:rsid w:val="00493682"/>
    <w:rsid w:val="0049385B"/>
    <w:rsid w:val="005100CF"/>
    <w:rsid w:val="00510FCE"/>
    <w:rsid w:val="005174E6"/>
    <w:rsid w:val="005274C8"/>
    <w:rsid w:val="005541CD"/>
    <w:rsid w:val="005822FF"/>
    <w:rsid w:val="00586AF8"/>
    <w:rsid w:val="00597C0E"/>
    <w:rsid w:val="005A2FE9"/>
    <w:rsid w:val="005B4B6F"/>
    <w:rsid w:val="005D17B7"/>
    <w:rsid w:val="005F1097"/>
    <w:rsid w:val="00617EF6"/>
    <w:rsid w:val="00625EAF"/>
    <w:rsid w:val="00642643"/>
    <w:rsid w:val="006436F0"/>
    <w:rsid w:val="00657D1D"/>
    <w:rsid w:val="006649D9"/>
    <w:rsid w:val="0066651F"/>
    <w:rsid w:val="0068551A"/>
    <w:rsid w:val="006A37ED"/>
    <w:rsid w:val="006A5DAE"/>
    <w:rsid w:val="006B340F"/>
    <w:rsid w:val="006B6B73"/>
    <w:rsid w:val="006F48FA"/>
    <w:rsid w:val="0070183E"/>
    <w:rsid w:val="00703BA5"/>
    <w:rsid w:val="007748E9"/>
    <w:rsid w:val="007A2AD7"/>
    <w:rsid w:val="007C3E5D"/>
    <w:rsid w:val="007D3E94"/>
    <w:rsid w:val="007D607D"/>
    <w:rsid w:val="00804057"/>
    <w:rsid w:val="00804976"/>
    <w:rsid w:val="00820E63"/>
    <w:rsid w:val="008303F9"/>
    <w:rsid w:val="00851283"/>
    <w:rsid w:val="00887173"/>
    <w:rsid w:val="008A2AE5"/>
    <w:rsid w:val="008C4888"/>
    <w:rsid w:val="008E59DD"/>
    <w:rsid w:val="008F1888"/>
    <w:rsid w:val="008F3697"/>
    <w:rsid w:val="0090145A"/>
    <w:rsid w:val="00924B0D"/>
    <w:rsid w:val="00935B78"/>
    <w:rsid w:val="00975CD6"/>
    <w:rsid w:val="009B75C0"/>
    <w:rsid w:val="009D433B"/>
    <w:rsid w:val="00A20A38"/>
    <w:rsid w:val="00A37630"/>
    <w:rsid w:val="00A44B5E"/>
    <w:rsid w:val="00A47EC3"/>
    <w:rsid w:val="00A82678"/>
    <w:rsid w:val="00A86FE1"/>
    <w:rsid w:val="00AB3D9B"/>
    <w:rsid w:val="00AC5011"/>
    <w:rsid w:val="00AD4D2E"/>
    <w:rsid w:val="00AD5B98"/>
    <w:rsid w:val="00AF225E"/>
    <w:rsid w:val="00B03CDD"/>
    <w:rsid w:val="00B23DE7"/>
    <w:rsid w:val="00B26DE4"/>
    <w:rsid w:val="00B40235"/>
    <w:rsid w:val="00B74ECA"/>
    <w:rsid w:val="00BA1F0E"/>
    <w:rsid w:val="00BB7FF4"/>
    <w:rsid w:val="00BC03E4"/>
    <w:rsid w:val="00BC4469"/>
    <w:rsid w:val="00C01CF3"/>
    <w:rsid w:val="00C325D0"/>
    <w:rsid w:val="00C7047C"/>
    <w:rsid w:val="00C867AA"/>
    <w:rsid w:val="00CF54CF"/>
    <w:rsid w:val="00D03A00"/>
    <w:rsid w:val="00D1112D"/>
    <w:rsid w:val="00D214EE"/>
    <w:rsid w:val="00D371B4"/>
    <w:rsid w:val="00D37B75"/>
    <w:rsid w:val="00D515D1"/>
    <w:rsid w:val="00D84925"/>
    <w:rsid w:val="00DD40A9"/>
    <w:rsid w:val="00DE7DE1"/>
    <w:rsid w:val="00E04119"/>
    <w:rsid w:val="00E0653E"/>
    <w:rsid w:val="00E23049"/>
    <w:rsid w:val="00E3087C"/>
    <w:rsid w:val="00E33772"/>
    <w:rsid w:val="00E66F1F"/>
    <w:rsid w:val="00E82FAE"/>
    <w:rsid w:val="00E94E0E"/>
    <w:rsid w:val="00EA2F89"/>
    <w:rsid w:val="00EA7263"/>
    <w:rsid w:val="00EC65ED"/>
    <w:rsid w:val="00EF2452"/>
    <w:rsid w:val="00F15965"/>
    <w:rsid w:val="00F253D1"/>
    <w:rsid w:val="00F34E37"/>
    <w:rsid w:val="00F433B6"/>
    <w:rsid w:val="00F66DF2"/>
    <w:rsid w:val="00F755F6"/>
    <w:rsid w:val="00F76658"/>
    <w:rsid w:val="00FD6522"/>
    <w:rsid w:val="00FE05E8"/>
    <w:rsid w:val="00FF034F"/>
    <w:rsid w:val="02A72A32"/>
    <w:rsid w:val="03711958"/>
    <w:rsid w:val="0893276C"/>
    <w:rsid w:val="09FE437A"/>
    <w:rsid w:val="0A051F93"/>
    <w:rsid w:val="0AA1680B"/>
    <w:rsid w:val="0B0645A2"/>
    <w:rsid w:val="0BD6303F"/>
    <w:rsid w:val="0ECE5EBD"/>
    <w:rsid w:val="164C1D56"/>
    <w:rsid w:val="180B6885"/>
    <w:rsid w:val="1DC21BEF"/>
    <w:rsid w:val="1DD30DBB"/>
    <w:rsid w:val="20C074B8"/>
    <w:rsid w:val="217066B3"/>
    <w:rsid w:val="2DF828BA"/>
    <w:rsid w:val="30C12583"/>
    <w:rsid w:val="34212D94"/>
    <w:rsid w:val="34E8490D"/>
    <w:rsid w:val="35845BB2"/>
    <w:rsid w:val="3BD333EF"/>
    <w:rsid w:val="3D7F3CD0"/>
    <w:rsid w:val="43C610E0"/>
    <w:rsid w:val="453E65BE"/>
    <w:rsid w:val="457E01B3"/>
    <w:rsid w:val="479929EE"/>
    <w:rsid w:val="48BB6298"/>
    <w:rsid w:val="4AC12ACE"/>
    <w:rsid w:val="4AFB3712"/>
    <w:rsid w:val="51F268E4"/>
    <w:rsid w:val="53404042"/>
    <w:rsid w:val="53D522C7"/>
    <w:rsid w:val="54F621D1"/>
    <w:rsid w:val="574C001B"/>
    <w:rsid w:val="5A6D062D"/>
    <w:rsid w:val="5AF20918"/>
    <w:rsid w:val="5C27722F"/>
    <w:rsid w:val="5DBB2576"/>
    <w:rsid w:val="5E6232C7"/>
    <w:rsid w:val="5F135360"/>
    <w:rsid w:val="5F8D2F49"/>
    <w:rsid w:val="614656C3"/>
    <w:rsid w:val="65BE4D77"/>
    <w:rsid w:val="67C44CBC"/>
    <w:rsid w:val="6888718C"/>
    <w:rsid w:val="6BB71740"/>
    <w:rsid w:val="6FDD0EA7"/>
    <w:rsid w:val="7AC84ADC"/>
    <w:rsid w:val="7CCC5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44898"/>
  <w15:docId w15:val="{05923E8B-2029-4E9F-AB6A-778C2624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qFormat="1"/>
    <w:lsdException w:name="header" w:uiPriority="99" w:qFormat="1"/>
    <w:lsdException w:name="footer" w:uiPriority="99" w:qFormat="1"/>
    <w:lsdException w:name="caption" w:semiHidden="1" w:unhideWhenUsed="1" w:qFormat="1"/>
    <w:lsdException w:name="footnote reference" w:uiPriority="99" w:qFormat="1"/>
    <w:lsdException w:name="annotation reference" w:qFormat="1"/>
    <w:lsdException w:name="endnote reference" w:qFormat="1"/>
    <w:lsdException w:name="endnote text"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link w:val="Heading1Char"/>
    <w:qFormat/>
    <w:pPr>
      <w:spacing w:before="360" w:beforeAutospacing="1" w:after="360" w:afterAutospacing="1"/>
      <w:jc w:val="left"/>
      <w:outlineLvl w:val="0"/>
    </w:pPr>
    <w:rPr>
      <w:rFonts w:ascii="SimSun" w:eastAsia="SimSun" w:hAnsi="SimSun" w:cs="Times New Roman" w:hint="eastAsia"/>
      <w:b/>
      <w:kern w:val="44"/>
      <w:sz w:val="28"/>
      <w:szCs w:val="48"/>
    </w:rPr>
  </w:style>
  <w:style w:type="paragraph" w:styleId="Heading2">
    <w:name w:val="heading 2"/>
    <w:basedOn w:val="Normal"/>
    <w:next w:val="Normal"/>
    <w:link w:val="Heading2Char"/>
    <w:unhideWhenUsed/>
    <w:qFormat/>
    <w:pPr>
      <w:keepNext/>
      <w:keepLines/>
      <w:spacing w:before="260" w:after="260"/>
      <w:outlineLvl w:val="1"/>
    </w:pPr>
    <w:rPr>
      <w:rFonts w:ascii="Arial" w:eastAsia="SimSun" w:hAnsi="Arial" w:cs="Times New Roman"/>
      <w:b/>
      <w:sz w:val="24"/>
    </w:rPr>
  </w:style>
  <w:style w:type="paragraph" w:styleId="Heading3">
    <w:name w:val="heading 3"/>
    <w:basedOn w:val="Normal"/>
    <w:next w:val="Normal"/>
    <w:link w:val="Heading3Char"/>
    <w:semiHidden/>
    <w:unhideWhenUsed/>
    <w:qFormat/>
    <w:pPr>
      <w:keepNext/>
      <w:keepLines/>
      <w:spacing w:before="20" w:after="20"/>
      <w:ind w:leftChars="200" w:left="200"/>
      <w:jc w:val="left"/>
      <w:outlineLvl w:val="2"/>
    </w:pPr>
    <w:rPr>
      <w:rFonts w:ascii="Times New Roman" w:eastAsia="SimSun" w:hAnsi="Times New Roman" w:cs="Times New Roman"/>
      <w:b/>
      <w:sz w:val="24"/>
    </w:rPr>
  </w:style>
  <w:style w:type="paragraph" w:styleId="Heading4">
    <w:name w:val="heading 4"/>
    <w:basedOn w:val="Normal"/>
    <w:next w:val="Normal"/>
    <w:unhideWhenUsed/>
    <w:qFormat/>
    <w:pPr>
      <w:keepNext/>
      <w:keepLines/>
      <w:spacing w:before="280" w:after="290"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EndnoteText">
    <w:name w:val="endnote text"/>
    <w:basedOn w:val="Normal"/>
    <w:qFormat/>
    <w:pPr>
      <w:snapToGrid w:val="0"/>
      <w:jc w:val="left"/>
    </w:pPr>
  </w:style>
  <w:style w:type="paragraph" w:styleId="BalloonText">
    <w:name w:val="Balloon Text"/>
    <w:basedOn w:val="Normal"/>
    <w:link w:val="BalloonTextChar"/>
    <w:qFormat/>
    <w:rPr>
      <w:rFonts w:ascii="Segoe UI" w:hAnsi="Segoe UI" w:cs="Segoe UI"/>
      <w:sz w:val="18"/>
      <w:szCs w:val="18"/>
    </w:rPr>
  </w:style>
  <w:style w:type="paragraph" w:styleId="Footer">
    <w:name w:val="footer"/>
    <w:basedOn w:val="Normal"/>
    <w:link w:val="FooterChar"/>
    <w:uiPriority w:val="99"/>
    <w:qFormat/>
    <w:pPr>
      <w:tabs>
        <w:tab w:val="center" w:pos="4153"/>
        <w:tab w:val="right" w:pos="8306"/>
      </w:tabs>
      <w:snapToGrid w:val="0"/>
      <w:jc w:val="left"/>
    </w:pPr>
    <w:rPr>
      <w:sz w:val="18"/>
    </w:rPr>
  </w:style>
  <w:style w:type="paragraph" w:styleId="Header">
    <w:name w:val="header"/>
    <w:basedOn w:val="Normal"/>
    <w:link w:val="Header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noteText">
    <w:name w:val="footnote text"/>
    <w:basedOn w:val="Normal"/>
    <w:uiPriority w:val="99"/>
    <w:qFormat/>
    <w:pPr>
      <w:snapToGrid w:val="0"/>
      <w:jc w:val="left"/>
    </w:pPr>
    <w:rPr>
      <w:sz w:val="18"/>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Times New Roman" w:hint="eastAsia"/>
      <w:kern w:val="0"/>
      <w:sz w:val="24"/>
    </w:rPr>
  </w:style>
  <w:style w:type="paragraph" w:styleId="NormalWeb">
    <w:name w:val="Normal (Web)"/>
    <w:basedOn w:val="Normal"/>
    <w:qFormat/>
    <w:pPr>
      <w:spacing w:beforeAutospacing="1" w:afterAutospacing="1"/>
      <w:jc w:val="left"/>
    </w:pPr>
    <w:rPr>
      <w:rFonts w:cs="Times New Roman"/>
      <w:kern w:val="0"/>
      <w:sz w:val="24"/>
    </w:rPr>
  </w:style>
  <w:style w:type="paragraph" w:styleId="Title">
    <w:name w:val="Title"/>
    <w:basedOn w:val="Normal"/>
    <w:next w:val="Normal"/>
    <w:link w:val="TitleChar"/>
    <w:qFormat/>
    <w:pPr>
      <w:adjustRightInd w:val="0"/>
      <w:snapToGrid w:val="0"/>
      <w:spacing w:beforeLines="50" w:before="50" w:afterLines="50" w:after="50"/>
      <w:jc w:val="left"/>
      <w:outlineLvl w:val="0"/>
    </w:pPr>
    <w:rPr>
      <w:rFonts w:ascii="Cambria" w:eastAsia="Cambria" w:hAnsi="Cambria" w:cstheme="majorBidi"/>
      <w:b/>
      <w:bCs/>
      <w:sz w:val="44"/>
      <w:szCs w:val="32"/>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ndnoteReference">
    <w:name w:val="endnote reference"/>
    <w:basedOn w:val="DefaultParagraphFont"/>
    <w:qFormat/>
    <w:rPr>
      <w:vertAlign w:val="superscript"/>
    </w:rPr>
  </w:style>
  <w:style w:type="character" w:styleId="Emphasis">
    <w:name w:val="Emphasis"/>
    <w:basedOn w:val="DefaultParagraphFont"/>
    <w:qFormat/>
    <w:rPr>
      <w:i/>
    </w:rPr>
  </w:style>
  <w:style w:type="character" w:styleId="Hyperlink">
    <w:name w:val="Hyperlink"/>
    <w:basedOn w:val="DefaultParagraphFont"/>
    <w:qFormat/>
    <w:rPr>
      <w:color w:val="0000FF"/>
      <w:u w:val="single"/>
    </w:rPr>
  </w:style>
  <w:style w:type="character" w:styleId="CommentReference">
    <w:name w:val="annotation reference"/>
    <w:basedOn w:val="DefaultParagraphFont"/>
    <w:qFormat/>
    <w:rPr>
      <w:sz w:val="16"/>
      <w:szCs w:val="16"/>
    </w:rPr>
  </w:style>
  <w:style w:type="character" w:styleId="FootnoteReference">
    <w:name w:val="footnote reference"/>
    <w:basedOn w:val="DefaultParagraphFont"/>
    <w:uiPriority w:val="99"/>
    <w:qFormat/>
    <w:rPr>
      <w:vertAlign w:val="superscript"/>
    </w:rPr>
  </w:style>
  <w:style w:type="character" w:customStyle="1" w:styleId="Heading1Char">
    <w:name w:val="Heading 1 Char"/>
    <w:basedOn w:val="DefaultParagraphFont"/>
    <w:link w:val="Heading1"/>
    <w:uiPriority w:val="9"/>
    <w:qFormat/>
    <w:rPr>
      <w:rFonts w:ascii="Times New Roman" w:eastAsia="SimSun" w:hAnsi="Times New Roman" w:cs="SimSun"/>
      <w:b/>
      <w:bCs/>
      <w:kern w:val="44"/>
      <w:sz w:val="28"/>
      <w:szCs w:val="44"/>
    </w:rPr>
  </w:style>
  <w:style w:type="character" w:customStyle="1" w:styleId="Heading2Char">
    <w:name w:val="Heading 2 Char"/>
    <w:basedOn w:val="DefaultParagraphFont"/>
    <w:link w:val="Heading2"/>
    <w:uiPriority w:val="9"/>
    <w:qFormat/>
    <w:rPr>
      <w:rFonts w:ascii="Arial" w:eastAsia="SimSun" w:hAnsi="Arial" w:cs="Times New Roman"/>
      <w:b/>
      <w:bCs/>
      <w:sz w:val="28"/>
      <w:szCs w:val="32"/>
    </w:rPr>
  </w:style>
  <w:style w:type="paragraph" w:customStyle="1" w:styleId="1">
    <w:name w:val="样式1"/>
    <w:basedOn w:val="Heading1"/>
    <w:next w:val="Normal"/>
    <w:qFormat/>
    <w:pPr>
      <w:spacing w:before="0" w:after="0"/>
    </w:pPr>
  </w:style>
  <w:style w:type="character" w:customStyle="1" w:styleId="Heading3Char">
    <w:name w:val="Heading 3 Char"/>
    <w:link w:val="Heading3"/>
    <w:qFormat/>
    <w:rPr>
      <w:rFonts w:ascii="Times New Roman" w:eastAsia="SimSun" w:hAnsi="Times New Roman" w:cs="Times New Roman"/>
      <w:b/>
      <w:sz w:val="24"/>
    </w:rPr>
  </w:style>
  <w:style w:type="character" w:customStyle="1" w:styleId="hps">
    <w:name w:val="hps"/>
    <w:qFormat/>
  </w:style>
  <w:style w:type="paragraph" w:customStyle="1" w:styleId="a">
    <w:name w:val="文章标题"/>
    <w:basedOn w:val="Normal"/>
    <w:link w:val="a0"/>
    <w:qFormat/>
    <w:pPr>
      <w:tabs>
        <w:tab w:val="left" w:pos="1430"/>
      </w:tabs>
      <w:snapToGrid w:val="0"/>
      <w:jc w:val="left"/>
    </w:pPr>
    <w:rPr>
      <w:rFonts w:ascii="Cambria"/>
      <w:b/>
      <w:sz w:val="44"/>
      <w:szCs w:val="44"/>
    </w:rPr>
  </w:style>
  <w:style w:type="paragraph" w:customStyle="1" w:styleId="a1">
    <w:name w:val="期刊文章标题"/>
    <w:basedOn w:val="a"/>
    <w:next w:val="Heading1"/>
    <w:link w:val="a2"/>
    <w:qFormat/>
  </w:style>
  <w:style w:type="character" w:customStyle="1" w:styleId="a0">
    <w:name w:val="文章标题 字符"/>
    <w:basedOn w:val="DefaultParagraphFont"/>
    <w:link w:val="a"/>
    <w:qFormat/>
    <w:rPr>
      <w:rFonts w:ascii="Cambria" w:eastAsiaTheme="minorEastAsia" w:hAnsiTheme="minorHAnsi" w:cstheme="minorBidi"/>
      <w:b/>
      <w:kern w:val="2"/>
      <w:sz w:val="44"/>
      <w:szCs w:val="44"/>
    </w:rPr>
  </w:style>
  <w:style w:type="paragraph" w:customStyle="1" w:styleId="BBW">
    <w:name w:val="BBW期刊文章标题"/>
    <w:basedOn w:val="a1"/>
    <w:link w:val="BBW0"/>
    <w:qFormat/>
    <w:pPr>
      <w:adjustRightInd w:val="0"/>
      <w:spacing w:afterLines="50" w:after="156"/>
    </w:pPr>
  </w:style>
  <w:style w:type="character" w:customStyle="1" w:styleId="a2">
    <w:name w:val="期刊文章标题 字符"/>
    <w:basedOn w:val="a0"/>
    <w:link w:val="a1"/>
    <w:qFormat/>
    <w:rPr>
      <w:rFonts w:ascii="Cambria" w:eastAsiaTheme="minorEastAsia" w:hAnsiTheme="minorHAnsi" w:cstheme="minorBidi"/>
      <w:b/>
      <w:kern w:val="2"/>
      <w:sz w:val="44"/>
      <w:szCs w:val="44"/>
    </w:rPr>
  </w:style>
  <w:style w:type="paragraph" w:customStyle="1" w:styleId="a3">
    <w:name w:val="作者姓名"/>
    <w:basedOn w:val="Normal"/>
    <w:link w:val="a4"/>
    <w:qFormat/>
    <w:pPr>
      <w:adjustRightInd w:val="0"/>
      <w:snapToGrid w:val="0"/>
      <w:spacing w:beforeLines="50" w:before="50" w:afterLines="50" w:after="50"/>
      <w:outlineLvl w:val="1"/>
    </w:pPr>
    <w:rPr>
      <w:rFonts w:ascii="Cambria" w:eastAsia="Cambria" w:hAnsi="Cambria" w:cs="Palatino Linotype"/>
      <w:b/>
      <w:kern w:val="0"/>
      <w:sz w:val="22"/>
      <w:szCs w:val="22"/>
      <w:lang w:bidi="en-US"/>
    </w:rPr>
  </w:style>
  <w:style w:type="character" w:customStyle="1" w:styleId="BBW0">
    <w:name w:val="BBW期刊文章标题 字符"/>
    <w:basedOn w:val="a2"/>
    <w:link w:val="BBW"/>
    <w:qFormat/>
    <w:rPr>
      <w:rFonts w:ascii="Cambria" w:eastAsiaTheme="minorEastAsia" w:hAnsiTheme="minorHAnsi" w:cstheme="minorBidi"/>
      <w:b/>
      <w:kern w:val="2"/>
      <w:sz w:val="44"/>
      <w:szCs w:val="44"/>
    </w:rPr>
  </w:style>
  <w:style w:type="paragraph" w:customStyle="1" w:styleId="a5">
    <w:name w:val="作者单位"/>
    <w:basedOn w:val="Normal"/>
    <w:link w:val="a6"/>
    <w:qFormat/>
    <w:pPr>
      <w:snapToGrid w:val="0"/>
      <w:spacing w:afterLines="50" w:after="50"/>
    </w:pPr>
    <w:rPr>
      <w:rFonts w:ascii="Cambria"/>
      <w:bCs/>
      <w:sz w:val="20"/>
      <w:szCs w:val="20"/>
    </w:rPr>
  </w:style>
  <w:style w:type="character" w:customStyle="1" w:styleId="a4">
    <w:name w:val="作者姓名 字符"/>
    <w:basedOn w:val="DefaultParagraphFont"/>
    <w:link w:val="a3"/>
    <w:qFormat/>
    <w:rPr>
      <w:rFonts w:ascii="Cambria" w:eastAsia="Cambria" w:hAnsi="Cambria" w:cs="Palatino Linotype"/>
      <w:b/>
      <w:sz w:val="22"/>
      <w:szCs w:val="22"/>
      <w:lang w:bidi="en-US"/>
    </w:rPr>
  </w:style>
  <w:style w:type="character" w:customStyle="1" w:styleId="a6">
    <w:name w:val="作者单位 字符"/>
    <w:basedOn w:val="DefaultParagraphFont"/>
    <w:link w:val="a5"/>
    <w:qFormat/>
    <w:rPr>
      <w:rFonts w:ascii="Cambria" w:eastAsiaTheme="minorEastAsia" w:hAnsiTheme="minorHAnsi" w:cstheme="minorBidi"/>
      <w:bCs/>
      <w:kern w:val="2"/>
    </w:rPr>
  </w:style>
  <w:style w:type="character" w:customStyle="1" w:styleId="TitleChar">
    <w:name w:val="Title Char"/>
    <w:basedOn w:val="DefaultParagraphFont"/>
    <w:link w:val="Title"/>
    <w:qFormat/>
    <w:rPr>
      <w:rFonts w:ascii="Cambria" w:eastAsia="Cambria" w:hAnsi="Cambria" w:cstheme="majorBidi"/>
      <w:b/>
      <w:bCs/>
      <w:kern w:val="2"/>
      <w:sz w:val="44"/>
      <w:szCs w:val="32"/>
    </w:rPr>
  </w:style>
  <w:style w:type="paragraph" w:customStyle="1" w:styleId="BBW1">
    <w:name w:val="BBW文章标题"/>
    <w:basedOn w:val="Title"/>
    <w:link w:val="BBW2"/>
    <w:qFormat/>
    <w:pPr>
      <w:spacing w:before="156"/>
    </w:pPr>
  </w:style>
  <w:style w:type="paragraph" w:customStyle="1" w:styleId="a7">
    <w:name w:val="期刊顶端期刊名称年份卷期信息"/>
    <w:basedOn w:val="Normal"/>
    <w:link w:val="a8"/>
    <w:qFormat/>
    <w:pPr>
      <w:snapToGrid w:val="0"/>
      <w:ind w:right="136"/>
      <w:jc w:val="right"/>
    </w:pPr>
    <w:rPr>
      <w:rFonts w:ascii="Calibri" w:hAnsi="Calibri"/>
    </w:rPr>
  </w:style>
  <w:style w:type="character" w:customStyle="1" w:styleId="BBW2">
    <w:name w:val="BBW文章标题 字符"/>
    <w:basedOn w:val="TitleChar"/>
    <w:link w:val="BBW1"/>
    <w:qFormat/>
    <w:rPr>
      <w:rFonts w:ascii="Cambria" w:eastAsia="Cambria" w:hAnsi="Cambria" w:cstheme="majorBidi"/>
      <w:b/>
      <w:bCs/>
      <w:kern w:val="2"/>
      <w:sz w:val="44"/>
      <w:szCs w:val="32"/>
    </w:rPr>
  </w:style>
  <w:style w:type="paragraph" w:customStyle="1" w:styleId="a9">
    <w:name w:val="期刊顶部名称卷期信息"/>
    <w:basedOn w:val="Normal"/>
    <w:link w:val="aa"/>
    <w:qFormat/>
    <w:pPr>
      <w:snapToGrid w:val="0"/>
      <w:ind w:right="136"/>
      <w:jc w:val="right"/>
    </w:pPr>
    <w:rPr>
      <w:b/>
      <w:sz w:val="18"/>
    </w:rPr>
  </w:style>
  <w:style w:type="character" w:customStyle="1" w:styleId="a8">
    <w:name w:val="期刊顶端期刊名称年份卷期信息 字符"/>
    <w:basedOn w:val="DefaultParagraphFont"/>
    <w:link w:val="a7"/>
    <w:qFormat/>
    <w:rPr>
      <w:rFonts w:ascii="Calibri" w:eastAsiaTheme="minorEastAsia" w:hAnsi="Calibri" w:cstheme="minorBidi"/>
      <w:kern w:val="2"/>
      <w:sz w:val="21"/>
      <w:szCs w:val="24"/>
    </w:rPr>
  </w:style>
  <w:style w:type="paragraph" w:customStyle="1" w:styleId="ab">
    <w:name w:val="文章摘要"/>
    <w:basedOn w:val="Normal"/>
    <w:link w:val="ac"/>
    <w:qFormat/>
    <w:pPr>
      <w:snapToGrid w:val="0"/>
      <w:spacing w:beforeLines="20" w:before="20" w:afterLines="20" w:after="20" w:line="300" w:lineRule="exact"/>
    </w:pPr>
    <w:rPr>
      <w:rFonts w:ascii="Times New Roman" w:eastAsia="Times New Roman" w:hAnsi="Times New Roman" w:cs="Times New Roman"/>
      <w:bCs/>
      <w:iCs/>
      <w:sz w:val="20"/>
      <w:szCs w:val="20"/>
    </w:rPr>
  </w:style>
  <w:style w:type="character" w:customStyle="1" w:styleId="aa">
    <w:name w:val="期刊顶部名称卷期信息 字符"/>
    <w:basedOn w:val="DefaultParagraphFont"/>
    <w:link w:val="a9"/>
    <w:qFormat/>
    <w:rPr>
      <w:rFonts w:asciiTheme="minorHAnsi" w:eastAsiaTheme="minorEastAsia" w:hAnsiTheme="minorHAnsi" w:cstheme="minorBidi"/>
      <w:b/>
      <w:kern w:val="2"/>
      <w:sz w:val="18"/>
      <w:szCs w:val="24"/>
    </w:rPr>
  </w:style>
  <w:style w:type="character" w:customStyle="1" w:styleId="ac">
    <w:name w:val="文章摘要 字符"/>
    <w:basedOn w:val="DefaultParagraphFont"/>
    <w:link w:val="ab"/>
    <w:qFormat/>
    <w:rPr>
      <w:rFonts w:eastAsia="Times New Roman"/>
      <w:bCs/>
      <w:iCs/>
      <w:kern w:val="2"/>
    </w:rPr>
  </w:style>
  <w:style w:type="table" w:customStyle="1" w:styleId="ad">
    <w:name w:val="期刊摘要"/>
    <w:basedOn w:val="TableNormal"/>
    <w:uiPriority w:val="99"/>
    <w:qFormat/>
    <w:tblPr>
      <w:tblBorders>
        <w:top w:val="single" w:sz="4" w:space="0" w:color="auto"/>
        <w:bottom w:val="single" w:sz="4" w:space="0" w:color="auto"/>
      </w:tblBorders>
    </w:tblPr>
  </w:style>
  <w:style w:type="table" w:customStyle="1" w:styleId="2">
    <w:name w:val="样式2"/>
    <w:basedOn w:val="ad"/>
    <w:uiPriority w:val="99"/>
    <w:qFormat/>
    <w:tblPr/>
  </w:style>
  <w:style w:type="paragraph" w:customStyle="1" w:styleId="10">
    <w:name w:val="文章1级标题"/>
    <w:basedOn w:val="Normal"/>
    <w:link w:val="11"/>
    <w:qFormat/>
    <w:pPr>
      <w:adjustRightInd w:val="0"/>
      <w:snapToGrid w:val="0"/>
      <w:spacing w:beforeLines="20" w:before="20" w:afterLines="20" w:after="20" w:line="360" w:lineRule="auto"/>
      <w:jc w:val="left"/>
    </w:pPr>
    <w:rPr>
      <w:rFonts w:ascii="Times New Roman" w:hAnsi="Times New Roman"/>
      <w:b/>
      <w:sz w:val="24"/>
    </w:rPr>
  </w:style>
  <w:style w:type="character" w:customStyle="1" w:styleId="FooterChar">
    <w:name w:val="Footer Char"/>
    <w:basedOn w:val="DefaultParagraphFont"/>
    <w:link w:val="Footer"/>
    <w:uiPriority w:val="99"/>
    <w:qFormat/>
    <w:rPr>
      <w:rFonts w:asciiTheme="minorHAnsi" w:eastAsiaTheme="minorEastAsia" w:hAnsiTheme="minorHAnsi" w:cstheme="minorBidi"/>
      <w:kern w:val="2"/>
      <w:sz w:val="18"/>
      <w:szCs w:val="24"/>
    </w:rPr>
  </w:style>
  <w:style w:type="character" w:customStyle="1" w:styleId="11">
    <w:name w:val="文章1级标题 字符"/>
    <w:basedOn w:val="DefaultParagraphFont"/>
    <w:link w:val="10"/>
    <w:qFormat/>
    <w:rPr>
      <w:rFonts w:eastAsiaTheme="minorEastAsia" w:cstheme="minorBidi"/>
      <w:b/>
      <w:kern w:val="2"/>
      <w:sz w:val="24"/>
      <w:szCs w:val="24"/>
    </w:rPr>
  </w:style>
  <w:style w:type="character" w:customStyle="1" w:styleId="HeaderChar">
    <w:name w:val="Header Char"/>
    <w:basedOn w:val="DefaultParagraphFont"/>
    <w:link w:val="Header"/>
    <w:uiPriority w:val="99"/>
    <w:qFormat/>
    <w:rPr>
      <w:rFonts w:asciiTheme="minorHAnsi" w:eastAsiaTheme="minorEastAsia" w:hAnsiTheme="minorHAnsi" w:cstheme="minorBidi"/>
      <w:kern w:val="2"/>
      <w:sz w:val="18"/>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20">
    <w:name w:val="文章2级标题"/>
    <w:basedOn w:val="10"/>
    <w:link w:val="21"/>
    <w:qFormat/>
    <w:pPr>
      <w:spacing w:beforeLines="0" w:before="0" w:afterLines="0" w:after="0" w:line="300" w:lineRule="exact"/>
    </w:pPr>
    <w:rPr>
      <w:rFonts w:cs="Times New Roman"/>
      <w:sz w:val="22"/>
      <w:szCs w:val="22"/>
    </w:rPr>
  </w:style>
  <w:style w:type="character" w:customStyle="1" w:styleId="jlqj4b">
    <w:name w:val="jlqj4b"/>
    <w:basedOn w:val="DefaultParagraphFont"/>
    <w:qFormat/>
  </w:style>
  <w:style w:type="character" w:customStyle="1" w:styleId="21">
    <w:name w:val="文章2级标题 字符"/>
    <w:basedOn w:val="11"/>
    <w:link w:val="20"/>
    <w:qFormat/>
    <w:rPr>
      <w:rFonts w:eastAsiaTheme="minorEastAsia" w:cstheme="minorBidi"/>
      <w:b/>
      <w:kern w:val="2"/>
      <w:sz w:val="22"/>
      <w:szCs w:val="22"/>
    </w:rPr>
  </w:style>
  <w:style w:type="paragraph" w:customStyle="1" w:styleId="3">
    <w:name w:val="文章3级标题"/>
    <w:basedOn w:val="20"/>
    <w:link w:val="30"/>
    <w:qFormat/>
    <w:rPr>
      <w:sz w:val="20"/>
      <w:szCs w:val="20"/>
    </w:rPr>
  </w:style>
  <w:style w:type="character" w:customStyle="1" w:styleId="30">
    <w:name w:val="文章3级标题 字符"/>
    <w:basedOn w:val="21"/>
    <w:link w:val="3"/>
    <w:qFormat/>
    <w:rPr>
      <w:rFonts w:eastAsiaTheme="minorEastAsia" w:cstheme="minorBidi"/>
      <w:b/>
      <w:kern w:val="2"/>
      <w:sz w:val="22"/>
      <w:szCs w:val="22"/>
    </w:rPr>
  </w:style>
  <w:style w:type="paragraph" w:customStyle="1" w:styleId="Article-Title">
    <w:name w:val="Article-Title"/>
    <w:basedOn w:val="Normal"/>
    <w:qFormat/>
    <w:pPr>
      <w:widowControl/>
      <w:spacing w:before="720"/>
      <w:jc w:val="center"/>
    </w:pPr>
    <w:rPr>
      <w:rFonts w:ascii="Times New Roman" w:eastAsia="DengXian" w:hAnsi="Times New Roman" w:cs="Arial"/>
      <w:b/>
      <w:bCs/>
      <w:color w:val="000000"/>
      <w:kern w:val="0"/>
      <w:sz w:val="40"/>
      <w:szCs w:val="28"/>
      <w:lang w:val="en-IN" w:eastAsia="en-US"/>
    </w:rPr>
  </w:style>
  <w:style w:type="paragraph" w:styleId="ListParagraph">
    <w:name w:val="List Paragraph"/>
    <w:basedOn w:val="Normal"/>
    <w:uiPriority w:val="34"/>
    <w:qFormat/>
    <w:pPr>
      <w:widowControl/>
      <w:spacing w:after="120" w:line="228" w:lineRule="auto"/>
      <w:ind w:firstLine="420"/>
    </w:pPr>
    <w:rPr>
      <w:rFonts w:ascii="Times New Roman" w:eastAsia="SimSun" w:hAnsi="Times New Roman" w:cs="Times New Roman"/>
      <w:spacing w:val="-1"/>
      <w:kern w:val="0"/>
      <w:sz w:val="20"/>
    </w:rPr>
  </w:style>
  <w:style w:type="paragraph" w:customStyle="1" w:styleId="Para">
    <w:name w:val="Para"/>
    <w:basedOn w:val="Normal"/>
    <w:qFormat/>
    <w:pPr>
      <w:widowControl/>
      <w:spacing w:after="120" w:line="240" w:lineRule="atLeast"/>
      <w:ind w:firstLine="288"/>
    </w:pPr>
    <w:rPr>
      <w:rFonts w:ascii="Times New Roman" w:eastAsia="DengXian" w:hAnsi="Times New Roman" w:cs="Minion Pro"/>
      <w:color w:val="000000"/>
      <w:kern w:val="0"/>
      <w:sz w:val="20"/>
      <w:szCs w:val="19"/>
      <w:lang w:val="en-IN" w:eastAsia="en-IN"/>
    </w:rPr>
  </w:style>
  <w:style w:type="paragraph" w:customStyle="1" w:styleId="Acknowledgment">
    <w:name w:val="Acknowledgment"/>
    <w:basedOn w:val="Normal"/>
    <w:qFormat/>
    <w:pPr>
      <w:widowControl/>
      <w:spacing w:before="240" w:after="160"/>
      <w:jc w:val="left"/>
    </w:pPr>
    <w:rPr>
      <w:rFonts w:ascii="Times New Roman" w:eastAsia="DengXian" w:hAnsi="Times New Roman" w:cs="Minion Pro"/>
      <w:color w:val="000000"/>
      <w:kern w:val="0"/>
      <w:sz w:val="23"/>
      <w:szCs w:val="19"/>
      <w:lang w:val="en-IN" w:eastAsia="en-IN"/>
    </w:rPr>
  </w:style>
  <w:style w:type="paragraph" w:customStyle="1" w:styleId="Contribution">
    <w:name w:val="Contribution"/>
    <w:basedOn w:val="Acknowledgment"/>
    <w:qFormat/>
    <w:rPr>
      <w:b/>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rPr>
  </w:style>
  <w:style w:type="character" w:customStyle="1" w:styleId="CommentSubjectChar">
    <w:name w:val="Comment Subject Char"/>
    <w:basedOn w:val="CommentTextChar"/>
    <w:link w:val="CommentSubject"/>
    <w:qFormat/>
    <w:rPr>
      <w:rFonts w:asciiTheme="minorHAnsi" w:eastAsiaTheme="minorEastAsia" w:hAnsiTheme="minorHAnsi" w:cstheme="minorBidi"/>
      <w:b/>
      <w:bCs/>
      <w:kern w:val="2"/>
    </w:rPr>
  </w:style>
  <w:style w:type="character" w:customStyle="1" w:styleId="BalloonTextChar">
    <w:name w:val="Balloon Text Char"/>
    <w:basedOn w:val="DefaultParagraphFont"/>
    <w:link w:val="BalloonText"/>
    <w:qFormat/>
    <w:rPr>
      <w:rFonts w:ascii="Segoe UI" w:eastAsiaTheme="minorEastAsia" w:hAnsi="Segoe UI" w:cs="Segoe UI"/>
      <w:kern w:val="2"/>
      <w:sz w:val="18"/>
      <w:szCs w:val="18"/>
    </w:rPr>
  </w:style>
  <w:style w:type="paragraph" w:customStyle="1" w:styleId="Revision1">
    <w:name w:val="Revision1"/>
    <w:hidden/>
    <w:uiPriority w:val="99"/>
    <w:unhideWhenUsed/>
    <w:qFormat/>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3078</Words>
  <Characters>17547</Characters>
  <Application>Microsoft Office Word</Application>
  <DocSecurity>0</DocSecurity>
  <Lines>146</Lines>
  <Paragraphs>41</Paragraphs>
  <ScaleCrop>false</ScaleCrop>
  <Company/>
  <LinksUpToDate>false</LinksUpToDate>
  <CharactersWithSpaces>20584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永远不可能！！！</dc:creator>
  <cp:lastModifiedBy>Acer NB</cp:lastModifiedBy>
  <cp:revision>17</cp:revision>
  <cp:lastPrinted>2021-04-23T01:31:00Z</cp:lastPrinted>
  <dcterms:created xsi:type="dcterms:W3CDTF">2026-07-21T07:11:00Z</dcterms:created>
  <dcterms:modified xsi:type="dcterms:W3CDTF">2026-07-24T02:58:00Z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49BB6C826C3A44F89EA6444EFAF82D13_13</vt:lpwstr>
  </property>
  <property fmtid="{D5CDD505-2E9C-101B-9397-08002B2CF9AE}" pid="4" name="KSOTemplateDocerSaveRecord">
    <vt:lpwstr>eyJoZGlkIjoiYWE4M2NhZjNhM2Y3NmJhNTVmNmE4ZjA3ZjI0M2Q5YzgiLCJ1c2VySWQiOiIxMTM2NDEyOTQzIn0=</vt:lpwstr>
  </property>
  <property fmtid="{D5CDD505-2E9C-101B-9397-08002B2CF9AE}" pid="5" name="GrammarlyDocumentId">
    <vt:lpwstr>e2170e1f-d67f-41b5-9990-a0b157e501f4</vt:lpwstr>
  </property>
</Properties>
</file>