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80F9A9" w14:textId="77777777" w:rsidR="009502BA" w:rsidRPr="00EA4D6A" w:rsidRDefault="009502BA" w:rsidP="00EA4D6A">
      <w:pPr>
        <w:jc w:val="left"/>
        <w:rPr>
          <w:rFonts w:ascii="Times New Roman" w:hAnsi="Times New Roman" w:cs="Times New Roman"/>
          <w:b/>
          <w:bCs/>
          <w:sz w:val="44"/>
          <w:szCs w:val="44"/>
        </w:rPr>
      </w:pPr>
      <w:r w:rsidRPr="00EA4D6A">
        <w:rPr>
          <w:rFonts w:ascii="Times New Roman" w:hAnsi="Times New Roman" w:cs="Times New Roman"/>
          <w:b/>
          <w:bCs/>
          <w:sz w:val="44"/>
          <w:szCs w:val="44"/>
        </w:rPr>
        <w:t>Research on the Industrialization Development Path of Intangible Cultural Heritage Tea Driven by Institutions — A Case Study of Enshi Prefecture, Hubei</w:t>
      </w:r>
    </w:p>
    <w:p w14:paraId="1CF6852A" w14:textId="77777777" w:rsidR="009502BA" w:rsidRPr="00EA4D6A" w:rsidRDefault="009502BA" w:rsidP="009502BA">
      <w:pPr>
        <w:rPr>
          <w:rFonts w:ascii="Times New Roman" w:hAnsi="Times New Roman" w:cs="Times New Roman"/>
          <w:b/>
          <w:bCs/>
          <w:sz w:val="24"/>
          <w:szCs w:val="24"/>
        </w:rPr>
      </w:pPr>
      <w:r w:rsidRPr="00EA4D6A">
        <w:rPr>
          <w:rFonts w:ascii="Times New Roman" w:hAnsi="Times New Roman" w:cs="Times New Roman"/>
          <w:b/>
          <w:bCs/>
          <w:sz w:val="24"/>
          <w:szCs w:val="24"/>
        </w:rPr>
        <w:t>Fuyuan Zhang, Hong Wu*</w:t>
      </w:r>
    </w:p>
    <w:p w14:paraId="43D44DED" w14:textId="385F5BA6" w:rsidR="000621A4" w:rsidRPr="004A29C6" w:rsidRDefault="009502BA" w:rsidP="009502BA">
      <w:pPr>
        <w:rPr>
          <w:rFonts w:ascii="Times New Roman" w:hAnsi="Times New Roman" w:cs="Times New Roman"/>
          <w:sz w:val="24"/>
          <w:szCs w:val="24"/>
        </w:rPr>
      </w:pPr>
      <w:r w:rsidRPr="004A29C6">
        <w:rPr>
          <w:rFonts w:ascii="Times New Roman" w:hAnsi="Times New Roman" w:cs="Times New Roman"/>
          <w:sz w:val="24"/>
          <w:szCs w:val="24"/>
        </w:rPr>
        <w:t>Hankou University, Wuhan 430212, Hubei, China</w:t>
      </w:r>
    </w:p>
    <w:p w14:paraId="6994E028" w14:textId="77777777" w:rsidR="00F62F39" w:rsidRPr="004A29C6" w:rsidRDefault="00F62F39" w:rsidP="00F62F39">
      <w:pPr>
        <w:rPr>
          <w:rFonts w:ascii="Times New Roman" w:hAnsi="Times New Roman" w:cs="Times New Roman"/>
          <w:b/>
          <w:bCs/>
          <w:i/>
          <w:iCs/>
          <w:sz w:val="24"/>
        </w:rPr>
      </w:pPr>
      <w:r w:rsidRPr="004A29C6">
        <w:rPr>
          <w:rFonts w:ascii="Times New Roman" w:hAnsi="Times New Roman" w:cs="Times New Roman"/>
          <w:b/>
          <w:bCs/>
          <w:i/>
          <w:iCs/>
          <w:sz w:val="24"/>
        </w:rPr>
        <w:t>*Author to whom correspondence should be addressed.</w:t>
      </w:r>
    </w:p>
    <w:p w14:paraId="0F684736" w14:textId="77777777" w:rsidR="00F62F39" w:rsidRPr="004A29C6" w:rsidRDefault="00F62F39" w:rsidP="00F62F39">
      <w:pPr>
        <w:rPr>
          <w:rFonts w:ascii="Times New Roman" w:hAnsi="Times New Roman" w:cs="Times New Roman"/>
          <w:sz w:val="24"/>
        </w:rPr>
      </w:pPr>
    </w:p>
    <w:p w14:paraId="147B04AC" w14:textId="00071C25" w:rsidR="00F62F39" w:rsidRPr="004A29C6" w:rsidRDefault="00F62F39" w:rsidP="009502BA">
      <w:pPr>
        <w:rPr>
          <w:rFonts w:ascii="Times New Roman" w:hAnsi="Times New Roman" w:cs="Times New Roman"/>
          <w:sz w:val="20"/>
        </w:rPr>
      </w:pPr>
      <w:r w:rsidRPr="004A29C6">
        <w:rPr>
          <w:rFonts w:ascii="Times New Roman" w:hAnsi="Times New Roman" w:cs="Times New Roman"/>
          <w:b/>
          <w:sz w:val="20"/>
        </w:rPr>
        <w:t>Copyright:</w:t>
      </w:r>
      <w:r w:rsidRPr="004A29C6">
        <w:rPr>
          <w:rFonts w:ascii="Times New Roman" w:hAnsi="Times New Roman" w:cs="Times New Roman"/>
          <w:sz w:val="20"/>
        </w:rPr>
        <w:t xml:space="preserve"> © 2026 Author(s). This is an open-access article distributed under the terms of the Creative Commons Attribution License (CC BY 4.0), permitting distribution and reproduction in any medium, provided the original work is cited.</w:t>
      </w:r>
    </w:p>
    <w:p w14:paraId="7B509051" w14:textId="77777777" w:rsidR="00F62F39" w:rsidRPr="004A29C6" w:rsidRDefault="00F62F39" w:rsidP="009502BA">
      <w:pPr>
        <w:rPr>
          <w:rFonts w:ascii="Times New Roman" w:hAnsi="Times New Roman" w:cs="Times New Roman"/>
          <w:sz w:val="24"/>
          <w:szCs w:val="24"/>
        </w:rPr>
      </w:pPr>
    </w:p>
    <w:p w14:paraId="1C843691" w14:textId="3D797073" w:rsidR="000621A4" w:rsidRPr="004A29C6" w:rsidRDefault="00000000" w:rsidP="009502BA">
      <w:pPr>
        <w:rPr>
          <w:rFonts w:ascii="Times New Roman" w:hAnsi="Times New Roman" w:cs="Times New Roman"/>
          <w:sz w:val="24"/>
          <w:szCs w:val="24"/>
        </w:rPr>
      </w:pPr>
      <w:bookmarkStart w:id="0" w:name="heading_0"/>
      <w:r w:rsidRPr="004A29C6">
        <w:rPr>
          <w:rFonts w:ascii="Times New Roman" w:hAnsi="Times New Roman" w:cs="Times New Roman"/>
          <w:b/>
          <w:bCs/>
          <w:sz w:val="24"/>
          <w:szCs w:val="24"/>
        </w:rPr>
        <w:t>Abstract</w:t>
      </w:r>
      <w:bookmarkEnd w:id="0"/>
      <w:r w:rsidR="009502BA" w:rsidRPr="004A29C6">
        <w:rPr>
          <w:rFonts w:ascii="Times New Roman" w:hAnsi="Times New Roman" w:cs="Times New Roman"/>
          <w:b/>
          <w:bCs/>
          <w:sz w:val="24"/>
          <w:szCs w:val="24"/>
        </w:rPr>
        <w:t>:</w:t>
      </w:r>
      <w:r w:rsidR="009502BA" w:rsidRPr="004A29C6">
        <w:rPr>
          <w:rFonts w:ascii="Times New Roman" w:hAnsi="Times New Roman" w:cs="Times New Roman"/>
          <w:sz w:val="24"/>
          <w:szCs w:val="24"/>
        </w:rPr>
        <w:t xml:space="preserve"> </w:t>
      </w:r>
      <w:r w:rsidRPr="004A29C6">
        <w:rPr>
          <w:rFonts w:ascii="Times New Roman" w:hAnsi="Times New Roman" w:cs="Times New Roman"/>
          <w:sz w:val="24"/>
          <w:szCs w:val="24"/>
        </w:rPr>
        <w:t>The industrialization of intangible cultural heritage (ICH) is a dual proposition of cultural inheritance and economic development in the new era. Taking Enshi Tujia and Miao Autonomous Prefecture in Hubei as a typical case, this paper focuses on world-level tea ICH items including Enshi Yulu Tea Making Technique and Yihong Black Tea Making Technique, and systematically investigates the institutional logic, practical mechanism</w:t>
      </w:r>
      <w:r w:rsidR="00915D43">
        <w:rPr>
          <w:rFonts w:ascii="Times New Roman" w:hAnsi="Times New Roman" w:cs="Times New Roman"/>
          <w:sz w:val="24"/>
          <w:szCs w:val="24"/>
        </w:rPr>
        <w:t>,</w:t>
      </w:r>
      <w:r w:rsidRPr="004A29C6">
        <w:rPr>
          <w:rFonts w:ascii="Times New Roman" w:hAnsi="Times New Roman" w:cs="Times New Roman"/>
          <w:sz w:val="24"/>
          <w:szCs w:val="24"/>
        </w:rPr>
        <w:t xml:space="preserve"> and governance efficiency of local public sectors driving ICH industrialization. The study finds that Enshi Prefecture has adopted a four-in-one institutional driving model of </w:t>
      </w:r>
      <w:r w:rsidR="009502BA" w:rsidRPr="004A29C6">
        <w:rPr>
          <w:rFonts w:ascii="Times New Roman" w:hAnsi="Times New Roman" w:cs="Times New Roman"/>
          <w:sz w:val="24"/>
          <w:szCs w:val="24"/>
        </w:rPr>
        <w:t>“</w:t>
      </w:r>
      <w:r w:rsidRPr="004A29C6">
        <w:rPr>
          <w:rFonts w:ascii="Times New Roman" w:hAnsi="Times New Roman" w:cs="Times New Roman"/>
          <w:sz w:val="24"/>
          <w:szCs w:val="24"/>
        </w:rPr>
        <w:t>legislative protection, standard guidance, brand operation and digital empowerment</w:t>
      </w:r>
      <w:r w:rsidR="009502BA" w:rsidRPr="004A29C6">
        <w:rPr>
          <w:rFonts w:ascii="Times New Roman" w:hAnsi="Times New Roman" w:cs="Times New Roman"/>
          <w:sz w:val="24"/>
          <w:szCs w:val="24"/>
        </w:rPr>
        <w:t>,”</w:t>
      </w:r>
      <w:r w:rsidRPr="004A29C6">
        <w:rPr>
          <w:rFonts w:ascii="Times New Roman" w:hAnsi="Times New Roman" w:cs="Times New Roman"/>
          <w:sz w:val="24"/>
          <w:szCs w:val="24"/>
        </w:rPr>
        <w:t xml:space="preserve"> and constructed a three-layer driving mechanism of </w:t>
      </w:r>
      <w:r w:rsidR="009502BA" w:rsidRPr="004A29C6">
        <w:rPr>
          <w:rFonts w:ascii="Times New Roman" w:hAnsi="Times New Roman" w:cs="Times New Roman"/>
          <w:sz w:val="24"/>
          <w:szCs w:val="24"/>
        </w:rPr>
        <w:t>“</w:t>
      </w:r>
      <w:r w:rsidRPr="004A29C6">
        <w:rPr>
          <w:rFonts w:ascii="Times New Roman" w:hAnsi="Times New Roman" w:cs="Times New Roman"/>
          <w:sz w:val="24"/>
          <w:szCs w:val="24"/>
        </w:rPr>
        <w:t>institutional supply, resource allocation and governance innovation</w:t>
      </w:r>
      <w:r w:rsidR="009502BA" w:rsidRPr="004A29C6">
        <w:rPr>
          <w:rFonts w:ascii="Times New Roman" w:hAnsi="Times New Roman" w:cs="Times New Roman"/>
          <w:sz w:val="24"/>
          <w:szCs w:val="24"/>
        </w:rPr>
        <w:t>,”</w:t>
      </w:r>
      <w:r w:rsidRPr="004A29C6">
        <w:rPr>
          <w:rFonts w:ascii="Times New Roman" w:hAnsi="Times New Roman" w:cs="Times New Roman"/>
          <w:sz w:val="24"/>
          <w:szCs w:val="24"/>
        </w:rPr>
        <w:t xml:space="preserve"> forming a four-dimensional practical path of </w:t>
      </w:r>
      <w:r w:rsidR="009502BA" w:rsidRPr="004A29C6">
        <w:rPr>
          <w:rFonts w:ascii="Times New Roman" w:hAnsi="Times New Roman" w:cs="Times New Roman"/>
          <w:sz w:val="24"/>
          <w:szCs w:val="24"/>
        </w:rPr>
        <w:t>“</w:t>
      </w:r>
      <w:r w:rsidRPr="004A29C6">
        <w:rPr>
          <w:rFonts w:ascii="Times New Roman" w:hAnsi="Times New Roman" w:cs="Times New Roman"/>
          <w:sz w:val="24"/>
          <w:szCs w:val="24"/>
        </w:rPr>
        <w:t>spatial reconstruction, industrial integration, factor activation and subject cultivation</w:t>
      </w:r>
      <w:r w:rsidR="009502BA" w:rsidRPr="004A29C6">
        <w:rPr>
          <w:rFonts w:ascii="Times New Roman" w:hAnsi="Times New Roman" w:cs="Times New Roman"/>
          <w:sz w:val="24"/>
          <w:szCs w:val="24"/>
        </w:rPr>
        <w:t>.”</w:t>
      </w:r>
      <w:r w:rsidRPr="004A29C6">
        <w:rPr>
          <w:rFonts w:ascii="Times New Roman" w:hAnsi="Times New Roman" w:cs="Times New Roman"/>
          <w:sz w:val="24"/>
          <w:szCs w:val="24"/>
        </w:rPr>
        <w:t xml:space="preserve"> The research reveals that institutional driving is a key variable for ICH industrialization in ethnic regions. Governments play a guiding role through institutional supply, resource allocation and governance innovation, yet risks of </w:t>
      </w:r>
      <w:r w:rsidR="009502BA" w:rsidRPr="004A29C6">
        <w:rPr>
          <w:rFonts w:ascii="Times New Roman" w:hAnsi="Times New Roman" w:cs="Times New Roman"/>
          <w:sz w:val="24"/>
          <w:szCs w:val="24"/>
        </w:rPr>
        <w:t>“</w:t>
      </w:r>
      <w:r w:rsidRPr="004A29C6">
        <w:rPr>
          <w:rFonts w:ascii="Times New Roman" w:hAnsi="Times New Roman" w:cs="Times New Roman"/>
          <w:sz w:val="24"/>
          <w:szCs w:val="24"/>
        </w:rPr>
        <w:t>de-ICH</w:t>
      </w:r>
      <w:r w:rsidR="009502BA" w:rsidRPr="004A29C6">
        <w:rPr>
          <w:rFonts w:ascii="Times New Roman" w:hAnsi="Times New Roman" w:cs="Times New Roman"/>
          <w:sz w:val="24"/>
          <w:szCs w:val="24"/>
        </w:rPr>
        <w:t>”</w:t>
      </w:r>
      <w:r w:rsidRPr="004A29C6">
        <w:rPr>
          <w:rFonts w:ascii="Times New Roman" w:hAnsi="Times New Roman" w:cs="Times New Roman"/>
          <w:sz w:val="24"/>
          <w:szCs w:val="24"/>
        </w:rPr>
        <w:t xml:space="preserve"> must be guarded against, so as to dynamically balance cultural value and economic value under the coordination of </w:t>
      </w:r>
      <w:r w:rsidR="009502BA" w:rsidRPr="004A29C6">
        <w:rPr>
          <w:rFonts w:ascii="Times New Roman" w:hAnsi="Times New Roman" w:cs="Times New Roman"/>
          <w:sz w:val="24"/>
          <w:szCs w:val="24"/>
        </w:rPr>
        <w:t>“</w:t>
      </w:r>
      <w:r w:rsidRPr="004A29C6">
        <w:rPr>
          <w:rFonts w:ascii="Times New Roman" w:hAnsi="Times New Roman" w:cs="Times New Roman"/>
          <w:sz w:val="24"/>
          <w:szCs w:val="24"/>
        </w:rPr>
        <w:t>government-market-community</w:t>
      </w:r>
      <w:r w:rsidR="009502BA" w:rsidRPr="004A29C6">
        <w:rPr>
          <w:rFonts w:ascii="Times New Roman" w:hAnsi="Times New Roman" w:cs="Times New Roman"/>
          <w:sz w:val="24"/>
          <w:szCs w:val="24"/>
        </w:rPr>
        <w:t>.”</w:t>
      </w:r>
      <w:r w:rsidRPr="004A29C6">
        <w:rPr>
          <w:rFonts w:ascii="Times New Roman" w:hAnsi="Times New Roman" w:cs="Times New Roman"/>
          <w:sz w:val="24"/>
          <w:szCs w:val="24"/>
        </w:rPr>
        <w:t xml:space="preserve"> This study provides replicable experience for the </w:t>
      </w:r>
      <w:r w:rsidR="009502BA" w:rsidRPr="004A29C6">
        <w:rPr>
          <w:rFonts w:ascii="Times New Roman" w:hAnsi="Times New Roman" w:cs="Times New Roman"/>
          <w:sz w:val="24"/>
          <w:szCs w:val="24"/>
        </w:rPr>
        <w:t>“</w:t>
      </w:r>
      <w:r w:rsidRPr="004A29C6">
        <w:rPr>
          <w:rFonts w:ascii="Times New Roman" w:hAnsi="Times New Roman" w:cs="Times New Roman"/>
          <w:sz w:val="24"/>
          <w:szCs w:val="24"/>
        </w:rPr>
        <w:t>Three-Tea Coordination</w:t>
      </w:r>
      <w:r w:rsidR="009502BA" w:rsidRPr="004A29C6">
        <w:rPr>
          <w:rFonts w:ascii="Times New Roman" w:hAnsi="Times New Roman" w:cs="Times New Roman"/>
          <w:sz w:val="24"/>
          <w:szCs w:val="24"/>
        </w:rPr>
        <w:t>”</w:t>
      </w:r>
      <w:r w:rsidRPr="004A29C6">
        <w:rPr>
          <w:rFonts w:ascii="Times New Roman" w:hAnsi="Times New Roman" w:cs="Times New Roman"/>
          <w:sz w:val="24"/>
          <w:szCs w:val="24"/>
        </w:rPr>
        <w:t xml:space="preserve"> strategy and rural revitalization in ethnic areas.</w:t>
      </w:r>
    </w:p>
    <w:p w14:paraId="5F2FE7D6" w14:textId="3A4AC4F5" w:rsidR="000621A4" w:rsidRPr="004A29C6" w:rsidRDefault="00000000" w:rsidP="009502BA">
      <w:pPr>
        <w:rPr>
          <w:rFonts w:ascii="Times New Roman" w:hAnsi="Times New Roman" w:cs="Times New Roman"/>
          <w:sz w:val="24"/>
          <w:szCs w:val="24"/>
        </w:rPr>
      </w:pPr>
      <w:bookmarkStart w:id="1" w:name="heading_1"/>
      <w:r w:rsidRPr="004A29C6">
        <w:rPr>
          <w:rFonts w:ascii="Times New Roman" w:hAnsi="Times New Roman" w:cs="Times New Roman"/>
          <w:b/>
          <w:bCs/>
          <w:sz w:val="24"/>
          <w:szCs w:val="24"/>
        </w:rPr>
        <w:t>Keywords</w:t>
      </w:r>
      <w:bookmarkEnd w:id="1"/>
      <w:r w:rsidR="009502BA" w:rsidRPr="004A29C6">
        <w:rPr>
          <w:rFonts w:ascii="Times New Roman" w:hAnsi="Times New Roman" w:cs="Times New Roman"/>
          <w:b/>
          <w:bCs/>
          <w:sz w:val="24"/>
          <w:szCs w:val="24"/>
        </w:rPr>
        <w:t>:</w:t>
      </w:r>
      <w:r w:rsidR="009502BA" w:rsidRPr="004A29C6">
        <w:rPr>
          <w:rFonts w:ascii="Times New Roman" w:hAnsi="Times New Roman" w:cs="Times New Roman"/>
          <w:sz w:val="24"/>
          <w:szCs w:val="24"/>
        </w:rPr>
        <w:t xml:space="preserve"> Instit</w:t>
      </w:r>
      <w:r w:rsidRPr="004A29C6">
        <w:rPr>
          <w:rFonts w:ascii="Times New Roman" w:hAnsi="Times New Roman" w:cs="Times New Roman"/>
          <w:sz w:val="24"/>
          <w:szCs w:val="24"/>
        </w:rPr>
        <w:t>utional driving</w:t>
      </w:r>
      <w:r w:rsidR="009502BA" w:rsidRPr="004A29C6">
        <w:rPr>
          <w:rFonts w:ascii="Times New Roman" w:hAnsi="Times New Roman" w:cs="Times New Roman"/>
          <w:sz w:val="24"/>
          <w:szCs w:val="24"/>
        </w:rPr>
        <w:t xml:space="preserve">; Industrialization </w:t>
      </w:r>
      <w:r w:rsidRPr="004A29C6">
        <w:rPr>
          <w:rFonts w:ascii="Times New Roman" w:hAnsi="Times New Roman" w:cs="Times New Roman"/>
          <w:sz w:val="24"/>
          <w:szCs w:val="24"/>
        </w:rPr>
        <w:t>of intangible cultural heritage tea</w:t>
      </w:r>
      <w:r w:rsidR="009502BA" w:rsidRPr="004A29C6">
        <w:rPr>
          <w:rFonts w:ascii="Times New Roman" w:hAnsi="Times New Roman" w:cs="Times New Roman"/>
          <w:sz w:val="24"/>
          <w:szCs w:val="24"/>
        </w:rPr>
        <w:t>;</w:t>
      </w:r>
      <w:r w:rsidRPr="004A29C6">
        <w:rPr>
          <w:rFonts w:ascii="Times New Roman" w:hAnsi="Times New Roman" w:cs="Times New Roman"/>
          <w:sz w:val="24"/>
          <w:szCs w:val="24"/>
        </w:rPr>
        <w:t xml:space="preserve"> Enshi Yulu</w:t>
      </w:r>
      <w:r w:rsidR="009502BA" w:rsidRPr="004A29C6">
        <w:rPr>
          <w:rFonts w:ascii="Times New Roman" w:hAnsi="Times New Roman" w:cs="Times New Roman"/>
          <w:sz w:val="24"/>
          <w:szCs w:val="24"/>
        </w:rPr>
        <w:t>;</w:t>
      </w:r>
      <w:r w:rsidRPr="004A29C6">
        <w:rPr>
          <w:rFonts w:ascii="Times New Roman" w:hAnsi="Times New Roman" w:cs="Times New Roman"/>
          <w:sz w:val="24"/>
          <w:szCs w:val="24"/>
        </w:rPr>
        <w:t xml:space="preserve"> Yihong Black Tea</w:t>
      </w:r>
      <w:r w:rsidR="009502BA" w:rsidRPr="004A29C6">
        <w:rPr>
          <w:rFonts w:ascii="Times New Roman" w:hAnsi="Times New Roman" w:cs="Times New Roman"/>
          <w:sz w:val="24"/>
          <w:szCs w:val="24"/>
        </w:rPr>
        <w:t>;</w:t>
      </w:r>
      <w:r w:rsidRPr="004A29C6">
        <w:rPr>
          <w:rFonts w:ascii="Times New Roman" w:hAnsi="Times New Roman" w:cs="Times New Roman"/>
          <w:sz w:val="24"/>
          <w:szCs w:val="24"/>
        </w:rPr>
        <w:t xml:space="preserve"> </w:t>
      </w:r>
      <w:r w:rsidR="009502BA" w:rsidRPr="004A29C6">
        <w:rPr>
          <w:rFonts w:ascii="Times New Roman" w:hAnsi="Times New Roman" w:cs="Times New Roman"/>
          <w:sz w:val="24"/>
          <w:szCs w:val="24"/>
        </w:rPr>
        <w:t>Cult</w:t>
      </w:r>
      <w:r w:rsidRPr="004A29C6">
        <w:rPr>
          <w:rFonts w:ascii="Times New Roman" w:hAnsi="Times New Roman" w:cs="Times New Roman"/>
          <w:sz w:val="24"/>
          <w:szCs w:val="24"/>
        </w:rPr>
        <w:t>ural governance</w:t>
      </w:r>
      <w:r w:rsidR="009502BA" w:rsidRPr="004A29C6">
        <w:rPr>
          <w:rFonts w:ascii="Times New Roman" w:hAnsi="Times New Roman" w:cs="Times New Roman"/>
          <w:sz w:val="24"/>
          <w:szCs w:val="24"/>
        </w:rPr>
        <w:t>;</w:t>
      </w:r>
      <w:r w:rsidRPr="004A29C6">
        <w:rPr>
          <w:rFonts w:ascii="Times New Roman" w:hAnsi="Times New Roman" w:cs="Times New Roman"/>
          <w:sz w:val="24"/>
          <w:szCs w:val="24"/>
        </w:rPr>
        <w:t xml:space="preserve"> </w:t>
      </w:r>
      <w:r w:rsidR="009502BA" w:rsidRPr="004A29C6">
        <w:rPr>
          <w:rFonts w:ascii="Times New Roman" w:hAnsi="Times New Roman" w:cs="Times New Roman"/>
          <w:sz w:val="24"/>
          <w:szCs w:val="24"/>
        </w:rPr>
        <w:t>Rura</w:t>
      </w:r>
      <w:r w:rsidRPr="004A29C6">
        <w:rPr>
          <w:rFonts w:ascii="Times New Roman" w:hAnsi="Times New Roman" w:cs="Times New Roman"/>
          <w:sz w:val="24"/>
          <w:szCs w:val="24"/>
        </w:rPr>
        <w:t>l revitalization</w:t>
      </w:r>
    </w:p>
    <w:p w14:paraId="05D83739" w14:textId="77777777" w:rsidR="009502BA" w:rsidRPr="004A29C6" w:rsidRDefault="009502BA" w:rsidP="009502BA">
      <w:pPr>
        <w:rPr>
          <w:rFonts w:ascii="Times New Roman" w:hAnsi="Times New Roman" w:cs="Times New Roman"/>
          <w:sz w:val="24"/>
          <w:szCs w:val="24"/>
        </w:rPr>
      </w:pPr>
      <w:bookmarkStart w:id="2" w:name="heading_2"/>
    </w:p>
    <w:p w14:paraId="012B142C" w14:textId="2BB1BE1F" w:rsidR="00F62F39" w:rsidRPr="004A29C6" w:rsidRDefault="00F62F39" w:rsidP="009502BA">
      <w:pPr>
        <w:rPr>
          <w:rFonts w:ascii="Times New Roman" w:eastAsia="SimSun" w:hAnsi="Times New Roman" w:cs="Times New Roman"/>
          <w:b/>
          <w:bCs/>
          <w:sz w:val="20"/>
          <w:szCs w:val="20"/>
        </w:rPr>
      </w:pPr>
      <w:r w:rsidRPr="004A29C6">
        <w:rPr>
          <w:rFonts w:ascii="Times New Roman" w:eastAsia="SimSun" w:hAnsi="Times New Roman" w:cs="Times New Roman"/>
          <w:b/>
          <w:bCs/>
          <w:sz w:val="20"/>
          <w:szCs w:val="20"/>
        </w:rPr>
        <w:t>Online publication:</w:t>
      </w:r>
    </w:p>
    <w:p w14:paraId="57388A72" w14:textId="77777777" w:rsidR="009502BA" w:rsidRPr="004A29C6" w:rsidRDefault="009502BA" w:rsidP="009502BA">
      <w:pPr>
        <w:rPr>
          <w:rFonts w:ascii="Times New Roman" w:hAnsi="Times New Roman" w:cs="Times New Roman"/>
          <w:sz w:val="24"/>
          <w:szCs w:val="24"/>
        </w:rPr>
      </w:pPr>
    </w:p>
    <w:p w14:paraId="4BDDD921" w14:textId="5CD77C2F" w:rsidR="000621A4" w:rsidRPr="00EA4D6A" w:rsidRDefault="00000000" w:rsidP="009502BA">
      <w:pPr>
        <w:rPr>
          <w:rFonts w:ascii="Times New Roman" w:hAnsi="Times New Roman" w:cs="Times New Roman"/>
          <w:b/>
          <w:bCs/>
          <w:sz w:val="24"/>
          <w:szCs w:val="24"/>
        </w:rPr>
      </w:pPr>
      <w:r w:rsidRPr="00EA4D6A">
        <w:rPr>
          <w:rFonts w:ascii="Times New Roman" w:hAnsi="Times New Roman" w:cs="Times New Roman"/>
          <w:b/>
          <w:bCs/>
          <w:sz w:val="24"/>
          <w:szCs w:val="24"/>
        </w:rPr>
        <w:t>1</w:t>
      </w:r>
      <w:r w:rsidR="00F62F39" w:rsidRPr="00EA4D6A">
        <w:rPr>
          <w:rFonts w:ascii="Times New Roman" w:hAnsi="Times New Roman" w:cs="Times New Roman"/>
          <w:b/>
          <w:bCs/>
          <w:sz w:val="24"/>
          <w:szCs w:val="24"/>
        </w:rPr>
        <w:t>.</w:t>
      </w:r>
      <w:r w:rsidRPr="00EA4D6A">
        <w:rPr>
          <w:rFonts w:ascii="Times New Roman" w:hAnsi="Times New Roman" w:cs="Times New Roman"/>
          <w:b/>
          <w:bCs/>
          <w:sz w:val="24"/>
          <w:szCs w:val="24"/>
        </w:rPr>
        <w:t xml:space="preserve"> Introduction</w:t>
      </w:r>
      <w:bookmarkEnd w:id="2"/>
    </w:p>
    <w:p w14:paraId="18DF9F68" w14:textId="5CCE0A51" w:rsidR="000621A4" w:rsidRPr="00EA4D6A" w:rsidRDefault="00000000" w:rsidP="009502BA">
      <w:pPr>
        <w:rPr>
          <w:rFonts w:ascii="Times New Roman" w:hAnsi="Times New Roman" w:cs="Times New Roman"/>
          <w:b/>
          <w:bCs/>
          <w:sz w:val="24"/>
          <w:szCs w:val="24"/>
        </w:rPr>
      </w:pPr>
      <w:bookmarkStart w:id="3" w:name="heading_3"/>
      <w:r w:rsidRPr="00EA4D6A">
        <w:rPr>
          <w:rFonts w:ascii="Times New Roman" w:hAnsi="Times New Roman" w:cs="Times New Roman"/>
          <w:b/>
          <w:bCs/>
          <w:sz w:val="24"/>
          <w:szCs w:val="24"/>
        </w:rPr>
        <w:t>1.1</w:t>
      </w:r>
      <w:r w:rsidR="00F62F39" w:rsidRPr="00EA4D6A">
        <w:rPr>
          <w:rFonts w:ascii="Times New Roman" w:hAnsi="Times New Roman" w:cs="Times New Roman"/>
          <w:b/>
          <w:bCs/>
          <w:sz w:val="24"/>
          <w:szCs w:val="24"/>
        </w:rPr>
        <w:t>.</w:t>
      </w:r>
      <w:r w:rsidRPr="00EA4D6A">
        <w:rPr>
          <w:rFonts w:ascii="Times New Roman" w:hAnsi="Times New Roman" w:cs="Times New Roman"/>
          <w:b/>
          <w:bCs/>
          <w:sz w:val="24"/>
          <w:szCs w:val="24"/>
        </w:rPr>
        <w:t xml:space="preserve"> Research </w:t>
      </w:r>
      <w:r w:rsidR="004A29C6" w:rsidRPr="004A29C6">
        <w:rPr>
          <w:rFonts w:ascii="Times New Roman" w:hAnsi="Times New Roman" w:cs="Times New Roman"/>
          <w:b/>
          <w:bCs/>
          <w:sz w:val="24"/>
          <w:szCs w:val="24"/>
        </w:rPr>
        <w:t>background and problem statement</w:t>
      </w:r>
      <w:bookmarkEnd w:id="3"/>
    </w:p>
    <w:p w14:paraId="55F31925" w14:textId="6D8A2343" w:rsidR="000621A4" w:rsidRPr="004A29C6" w:rsidRDefault="00000000" w:rsidP="009502BA">
      <w:pPr>
        <w:rPr>
          <w:rFonts w:ascii="Times New Roman" w:hAnsi="Times New Roman" w:cs="Times New Roman"/>
          <w:sz w:val="24"/>
          <w:szCs w:val="24"/>
        </w:rPr>
      </w:pPr>
      <w:r w:rsidRPr="004A29C6">
        <w:rPr>
          <w:rFonts w:ascii="Times New Roman" w:hAnsi="Times New Roman" w:cs="Times New Roman"/>
          <w:sz w:val="24"/>
          <w:szCs w:val="24"/>
        </w:rPr>
        <w:t>The protection of intangible cultural heritage is undergoing a paradigm shift from emergency protection to systematic protection, innovative development</w:t>
      </w:r>
      <w:r w:rsidR="004A29C6" w:rsidRPr="0075646B">
        <w:rPr>
          <w:rFonts w:ascii="Times New Roman" w:hAnsi="Times New Roman" w:cs="Times New Roman"/>
          <w:sz w:val="24"/>
          <w:szCs w:val="24"/>
        </w:rPr>
        <w:t>,</w:t>
      </w:r>
      <w:r w:rsidRPr="004A29C6">
        <w:rPr>
          <w:rFonts w:ascii="Times New Roman" w:hAnsi="Times New Roman" w:cs="Times New Roman"/>
          <w:sz w:val="24"/>
          <w:szCs w:val="24"/>
        </w:rPr>
        <w:t xml:space="preserve"> and integrated utilization</w:t>
      </w:r>
      <w:r w:rsidR="004A29C6" w:rsidRPr="004A29C6">
        <w:rPr>
          <w:rFonts w:ascii="Times New Roman" w:hAnsi="Times New Roman" w:cs="Times New Roman"/>
          <w:sz w:val="24"/>
          <w:szCs w:val="24"/>
        </w:rPr>
        <w:t xml:space="preserve"> </w:t>
      </w:r>
      <w:r w:rsidRPr="004A29C6">
        <w:rPr>
          <w:rFonts w:ascii="Times New Roman" w:hAnsi="Times New Roman" w:cs="Times New Roman"/>
          <w:sz w:val="24"/>
          <w:szCs w:val="24"/>
          <w:vertAlign w:val="superscript"/>
        </w:rPr>
        <w:t>[1]</w:t>
      </w:r>
      <w:r w:rsidRPr="004A29C6">
        <w:rPr>
          <w:rFonts w:ascii="Times New Roman" w:hAnsi="Times New Roman" w:cs="Times New Roman"/>
          <w:sz w:val="24"/>
          <w:szCs w:val="24"/>
        </w:rPr>
        <w:t xml:space="preserve">. In 2022, </w:t>
      </w:r>
      <w:r w:rsidR="009502BA" w:rsidRPr="004A29C6">
        <w:rPr>
          <w:rFonts w:ascii="Times New Roman" w:hAnsi="Times New Roman" w:cs="Times New Roman"/>
          <w:sz w:val="24"/>
          <w:szCs w:val="24"/>
        </w:rPr>
        <w:t>“</w:t>
      </w:r>
      <w:r w:rsidRPr="004A29C6">
        <w:rPr>
          <w:rFonts w:ascii="Times New Roman" w:hAnsi="Times New Roman" w:cs="Times New Roman"/>
          <w:sz w:val="24"/>
          <w:szCs w:val="24"/>
        </w:rPr>
        <w:t>Traditional Chinese Tea Processing Techniques and Associated Customs</w:t>
      </w:r>
      <w:r w:rsidR="009502BA" w:rsidRPr="004A29C6">
        <w:rPr>
          <w:rFonts w:ascii="Times New Roman" w:hAnsi="Times New Roman" w:cs="Times New Roman"/>
          <w:sz w:val="24"/>
          <w:szCs w:val="24"/>
        </w:rPr>
        <w:t>”</w:t>
      </w:r>
      <w:r w:rsidRPr="004A29C6">
        <w:rPr>
          <w:rFonts w:ascii="Times New Roman" w:hAnsi="Times New Roman" w:cs="Times New Roman"/>
          <w:sz w:val="24"/>
          <w:szCs w:val="24"/>
        </w:rPr>
        <w:t xml:space="preserve"> was inscribed on the UNESCO Representative List of the Intangible Cultural Heritage of Humanity, with Enshi Yulu Tea Making Technique and Yihong Black Tea Making Technique as core components, marking Enshi</w:t>
      </w:r>
      <w:r w:rsidR="009502BA" w:rsidRPr="004A29C6">
        <w:rPr>
          <w:rFonts w:ascii="Times New Roman" w:hAnsi="Times New Roman" w:cs="Times New Roman"/>
          <w:sz w:val="24"/>
          <w:szCs w:val="24"/>
        </w:rPr>
        <w:t>’</w:t>
      </w:r>
      <w:r w:rsidRPr="004A29C6">
        <w:rPr>
          <w:rFonts w:ascii="Times New Roman" w:hAnsi="Times New Roman" w:cs="Times New Roman"/>
          <w:sz w:val="24"/>
          <w:szCs w:val="24"/>
        </w:rPr>
        <w:t>s tea ICH entry into the world cultural map</w:t>
      </w:r>
      <w:r w:rsidR="004A29C6" w:rsidRPr="004A29C6">
        <w:rPr>
          <w:rFonts w:ascii="Times New Roman" w:hAnsi="Times New Roman" w:cs="Times New Roman"/>
          <w:sz w:val="24"/>
          <w:szCs w:val="24"/>
        </w:rPr>
        <w:t xml:space="preserve"> </w:t>
      </w:r>
      <w:r w:rsidRPr="004A29C6">
        <w:rPr>
          <w:rFonts w:ascii="Times New Roman" w:hAnsi="Times New Roman" w:cs="Times New Roman"/>
          <w:sz w:val="24"/>
          <w:szCs w:val="24"/>
          <w:vertAlign w:val="superscript"/>
        </w:rPr>
        <w:t>[2]</w:t>
      </w:r>
      <w:r w:rsidRPr="004A29C6">
        <w:rPr>
          <w:rFonts w:ascii="Times New Roman" w:hAnsi="Times New Roman" w:cs="Times New Roman"/>
          <w:sz w:val="24"/>
          <w:szCs w:val="24"/>
        </w:rPr>
        <w:t>.</w:t>
      </w:r>
    </w:p>
    <w:p w14:paraId="6A187B67" w14:textId="79FE6BC2" w:rsidR="000621A4" w:rsidRPr="004A29C6" w:rsidRDefault="00000000" w:rsidP="00F74756">
      <w:pPr>
        <w:ind w:firstLineChars="200" w:firstLine="480"/>
        <w:rPr>
          <w:rFonts w:ascii="Times New Roman" w:hAnsi="Times New Roman" w:cs="Times New Roman"/>
          <w:sz w:val="24"/>
          <w:szCs w:val="24"/>
        </w:rPr>
      </w:pPr>
      <w:r w:rsidRPr="004A29C6">
        <w:rPr>
          <w:rFonts w:ascii="Times New Roman" w:hAnsi="Times New Roman" w:cs="Times New Roman"/>
          <w:sz w:val="24"/>
          <w:szCs w:val="24"/>
        </w:rPr>
        <w:t>Located in the hinterland of the Wuling Mountains, Enshi Prefecture is an inhabited area of ethnic minorities including Tujia and Miao peoples. It boasts 1 World ICH item, 16 national-level ICH items, 66 provincial-level items, 159 prefectural-level items</w:t>
      </w:r>
      <w:r w:rsidR="004A29C6" w:rsidRPr="004A29C6">
        <w:rPr>
          <w:rFonts w:ascii="Times New Roman" w:hAnsi="Times New Roman" w:cs="Times New Roman"/>
          <w:sz w:val="24"/>
          <w:szCs w:val="24"/>
        </w:rPr>
        <w:t>,</w:t>
      </w:r>
      <w:r w:rsidRPr="004A29C6">
        <w:rPr>
          <w:rFonts w:ascii="Times New Roman" w:hAnsi="Times New Roman" w:cs="Times New Roman"/>
          <w:sz w:val="24"/>
          <w:szCs w:val="24"/>
        </w:rPr>
        <w:t xml:space="preserve"> and 721 county-level items</w:t>
      </w:r>
      <w:r w:rsidR="004A29C6" w:rsidRPr="004A29C6">
        <w:rPr>
          <w:rFonts w:ascii="Times New Roman" w:hAnsi="Times New Roman" w:cs="Times New Roman"/>
          <w:sz w:val="24"/>
          <w:szCs w:val="24"/>
        </w:rPr>
        <w:t xml:space="preserve"> </w:t>
      </w:r>
      <w:r w:rsidRPr="004A29C6">
        <w:rPr>
          <w:rFonts w:ascii="Times New Roman" w:hAnsi="Times New Roman" w:cs="Times New Roman"/>
          <w:sz w:val="24"/>
          <w:szCs w:val="24"/>
          <w:vertAlign w:val="superscript"/>
        </w:rPr>
        <w:t>[3]</w:t>
      </w:r>
      <w:r w:rsidRPr="004A29C6">
        <w:rPr>
          <w:rFonts w:ascii="Times New Roman" w:hAnsi="Times New Roman" w:cs="Times New Roman"/>
          <w:sz w:val="24"/>
          <w:szCs w:val="24"/>
        </w:rPr>
        <w:t xml:space="preserve">. Among them, tea-related ICH occupies a core position, forming a complete tea ICH pedigree consisting of national-level Enshi Yulu Tea Making Technique (2008) and Yihong Black Tea Making Technique (2014), as well as provincial-level items such as Hefeng Yihong </w:t>
      </w:r>
      <w:r w:rsidRPr="004A29C6">
        <w:rPr>
          <w:rFonts w:ascii="Times New Roman" w:hAnsi="Times New Roman" w:cs="Times New Roman"/>
          <w:sz w:val="24"/>
          <w:szCs w:val="24"/>
        </w:rPr>
        <w:lastRenderedPageBreak/>
        <w:t>Tea and Laifeng Vine Tea. By 2023, the total tea garden area of the prefecture reached 1.8 million mu, with a comprehensive industrial output value exceeding 20 billion yuan. The tea industry covers 880 villages and increases the income of 830,000 tea farmers, with a per capita annual tea income of 7,771 yuan</w:t>
      </w:r>
      <w:r w:rsidR="004A29C6" w:rsidRPr="004A29C6">
        <w:rPr>
          <w:rFonts w:ascii="Times New Roman" w:hAnsi="Times New Roman" w:cs="Times New Roman"/>
          <w:sz w:val="24"/>
          <w:szCs w:val="24"/>
        </w:rPr>
        <w:t xml:space="preserve"> </w:t>
      </w:r>
      <w:r w:rsidRPr="004A29C6">
        <w:rPr>
          <w:rFonts w:ascii="Times New Roman" w:hAnsi="Times New Roman" w:cs="Times New Roman"/>
          <w:sz w:val="24"/>
          <w:szCs w:val="24"/>
          <w:vertAlign w:val="superscript"/>
        </w:rPr>
        <w:t>[4]</w:t>
      </w:r>
      <w:r w:rsidRPr="004A29C6">
        <w:rPr>
          <w:rFonts w:ascii="Times New Roman" w:hAnsi="Times New Roman" w:cs="Times New Roman"/>
          <w:sz w:val="24"/>
          <w:szCs w:val="24"/>
        </w:rPr>
        <w:t>.</w:t>
      </w:r>
    </w:p>
    <w:p w14:paraId="48430BE3" w14:textId="47D3E172" w:rsidR="000621A4" w:rsidRPr="004A29C6" w:rsidRDefault="00000000" w:rsidP="00EA4D6A">
      <w:pPr>
        <w:ind w:firstLineChars="200" w:firstLine="480"/>
        <w:rPr>
          <w:rFonts w:ascii="Times New Roman" w:hAnsi="Times New Roman" w:cs="Times New Roman"/>
          <w:sz w:val="24"/>
          <w:szCs w:val="24"/>
        </w:rPr>
      </w:pPr>
      <w:r w:rsidRPr="004A29C6">
        <w:rPr>
          <w:rFonts w:ascii="Times New Roman" w:hAnsi="Times New Roman" w:cs="Times New Roman"/>
          <w:sz w:val="24"/>
          <w:szCs w:val="24"/>
        </w:rPr>
        <w:t>Against the dual backdrop of abundant tea ICH resources and large industrial scale, this study focuses on the core research question</w:t>
      </w:r>
      <w:r w:rsidR="009502BA" w:rsidRPr="004A29C6">
        <w:rPr>
          <w:rFonts w:ascii="Times New Roman" w:hAnsi="Times New Roman" w:cs="Times New Roman"/>
          <w:sz w:val="24"/>
          <w:szCs w:val="24"/>
        </w:rPr>
        <w:t>:</w:t>
      </w:r>
      <w:r w:rsidRPr="004A29C6">
        <w:rPr>
          <w:rFonts w:ascii="Times New Roman" w:hAnsi="Times New Roman" w:cs="Times New Roman"/>
          <w:sz w:val="24"/>
          <w:szCs w:val="24"/>
        </w:rPr>
        <w:t xml:space="preserve"> How can local public departments drive the transformation of </w:t>
      </w:r>
      <w:r w:rsidR="009502BA" w:rsidRPr="004A29C6">
        <w:rPr>
          <w:rFonts w:ascii="Times New Roman" w:hAnsi="Times New Roman" w:cs="Times New Roman"/>
          <w:sz w:val="24"/>
          <w:szCs w:val="24"/>
        </w:rPr>
        <w:t>“</w:t>
      </w:r>
      <w:r w:rsidRPr="004A29C6">
        <w:rPr>
          <w:rFonts w:ascii="Times New Roman" w:hAnsi="Times New Roman" w:cs="Times New Roman"/>
          <w:sz w:val="24"/>
          <w:szCs w:val="24"/>
        </w:rPr>
        <w:t>ICH tea</w:t>
      </w:r>
      <w:r w:rsidR="009502BA" w:rsidRPr="004A29C6">
        <w:rPr>
          <w:rFonts w:ascii="Times New Roman" w:hAnsi="Times New Roman" w:cs="Times New Roman"/>
          <w:sz w:val="24"/>
          <w:szCs w:val="24"/>
        </w:rPr>
        <w:t>”</w:t>
      </w:r>
      <w:r w:rsidRPr="004A29C6">
        <w:rPr>
          <w:rFonts w:ascii="Times New Roman" w:hAnsi="Times New Roman" w:cs="Times New Roman"/>
          <w:sz w:val="24"/>
          <w:szCs w:val="24"/>
        </w:rPr>
        <w:t xml:space="preserve"> from traditional craftsmanship to modern industry through institutional arrangements? Answering this question is not only critical to realizing Enshi</w:t>
      </w:r>
      <w:r w:rsidR="009502BA" w:rsidRPr="004A29C6">
        <w:rPr>
          <w:rFonts w:ascii="Times New Roman" w:hAnsi="Times New Roman" w:cs="Times New Roman"/>
          <w:sz w:val="24"/>
          <w:szCs w:val="24"/>
        </w:rPr>
        <w:t>’</w:t>
      </w:r>
      <w:r w:rsidRPr="004A29C6">
        <w:rPr>
          <w:rFonts w:ascii="Times New Roman" w:hAnsi="Times New Roman" w:cs="Times New Roman"/>
          <w:sz w:val="24"/>
          <w:szCs w:val="24"/>
        </w:rPr>
        <w:t>s strategic goal of a 100-billion-yuan tea industry, but also offers universal reference for ICH industrialization in ethnic regions.</w:t>
      </w:r>
    </w:p>
    <w:p w14:paraId="586CD714" w14:textId="77777777" w:rsidR="004A29C6" w:rsidRPr="004A29C6" w:rsidRDefault="004A29C6" w:rsidP="009502BA">
      <w:pPr>
        <w:rPr>
          <w:rFonts w:ascii="Times New Roman" w:hAnsi="Times New Roman" w:cs="Times New Roman"/>
          <w:sz w:val="24"/>
          <w:szCs w:val="24"/>
        </w:rPr>
      </w:pPr>
    </w:p>
    <w:p w14:paraId="4F2BEBC4" w14:textId="3BEB2D5E" w:rsidR="000621A4" w:rsidRPr="00EA4D6A" w:rsidRDefault="00000000" w:rsidP="009502BA">
      <w:pPr>
        <w:rPr>
          <w:rFonts w:ascii="Times New Roman" w:hAnsi="Times New Roman" w:cs="Times New Roman"/>
          <w:b/>
          <w:bCs/>
          <w:sz w:val="24"/>
          <w:szCs w:val="24"/>
        </w:rPr>
      </w:pPr>
      <w:bookmarkStart w:id="4" w:name="heading_4"/>
      <w:r w:rsidRPr="00EA4D6A">
        <w:rPr>
          <w:rFonts w:ascii="Times New Roman" w:hAnsi="Times New Roman" w:cs="Times New Roman"/>
          <w:b/>
          <w:bCs/>
          <w:sz w:val="24"/>
          <w:szCs w:val="24"/>
        </w:rPr>
        <w:t>2</w:t>
      </w:r>
      <w:r w:rsidR="004A29C6" w:rsidRPr="004A29C6">
        <w:rPr>
          <w:rFonts w:ascii="Times New Roman" w:hAnsi="Times New Roman" w:cs="Times New Roman"/>
          <w:b/>
          <w:bCs/>
          <w:sz w:val="24"/>
          <w:szCs w:val="24"/>
        </w:rPr>
        <w:t>.</w:t>
      </w:r>
      <w:r w:rsidRPr="00EA4D6A">
        <w:rPr>
          <w:rFonts w:ascii="Times New Roman" w:hAnsi="Times New Roman" w:cs="Times New Roman"/>
          <w:b/>
          <w:bCs/>
          <w:sz w:val="24"/>
          <w:szCs w:val="24"/>
        </w:rPr>
        <w:t xml:space="preserve"> Theoretical </w:t>
      </w:r>
      <w:r w:rsidR="004A29C6" w:rsidRPr="00EA4D6A">
        <w:rPr>
          <w:rFonts w:ascii="Times New Roman" w:hAnsi="Times New Roman" w:cs="Times New Roman"/>
          <w:b/>
          <w:bCs/>
          <w:sz w:val="24"/>
          <w:szCs w:val="24"/>
        </w:rPr>
        <w:t>foundation and literature review</w:t>
      </w:r>
      <w:bookmarkEnd w:id="4"/>
    </w:p>
    <w:p w14:paraId="6300920C" w14:textId="3037E96B" w:rsidR="000621A4" w:rsidRPr="00EA4D6A" w:rsidRDefault="00000000" w:rsidP="009502BA">
      <w:pPr>
        <w:rPr>
          <w:rFonts w:ascii="Times New Roman" w:hAnsi="Times New Roman" w:cs="Times New Roman"/>
          <w:b/>
          <w:bCs/>
          <w:sz w:val="24"/>
          <w:szCs w:val="24"/>
        </w:rPr>
      </w:pPr>
      <w:bookmarkStart w:id="5" w:name="heading_5"/>
      <w:r w:rsidRPr="00EA4D6A">
        <w:rPr>
          <w:rFonts w:ascii="Times New Roman" w:hAnsi="Times New Roman" w:cs="Times New Roman"/>
          <w:b/>
          <w:bCs/>
          <w:sz w:val="24"/>
          <w:szCs w:val="24"/>
        </w:rPr>
        <w:t>2.1</w:t>
      </w:r>
      <w:r w:rsidR="004A29C6" w:rsidRPr="004A29C6">
        <w:rPr>
          <w:rFonts w:ascii="Times New Roman" w:hAnsi="Times New Roman" w:cs="Times New Roman"/>
          <w:b/>
          <w:bCs/>
          <w:sz w:val="24"/>
          <w:szCs w:val="24"/>
        </w:rPr>
        <w:t>.</w:t>
      </w:r>
      <w:r w:rsidRPr="00EA4D6A">
        <w:rPr>
          <w:rFonts w:ascii="Times New Roman" w:hAnsi="Times New Roman" w:cs="Times New Roman"/>
          <w:b/>
          <w:bCs/>
          <w:sz w:val="24"/>
          <w:szCs w:val="24"/>
        </w:rPr>
        <w:t xml:space="preserve"> Definition of </w:t>
      </w:r>
      <w:r w:rsidR="004A29C6" w:rsidRPr="00EA4D6A">
        <w:rPr>
          <w:rFonts w:ascii="Times New Roman" w:hAnsi="Times New Roman" w:cs="Times New Roman"/>
          <w:b/>
          <w:bCs/>
          <w:sz w:val="24"/>
          <w:szCs w:val="24"/>
        </w:rPr>
        <w:t>core concepts</w:t>
      </w:r>
      <w:bookmarkEnd w:id="5"/>
    </w:p>
    <w:p w14:paraId="27EFBA04" w14:textId="715C2EA4" w:rsidR="000621A4" w:rsidRPr="004A29C6" w:rsidRDefault="00000000" w:rsidP="009502BA">
      <w:pPr>
        <w:rPr>
          <w:rFonts w:ascii="Times New Roman" w:hAnsi="Times New Roman" w:cs="Times New Roman"/>
          <w:sz w:val="24"/>
          <w:szCs w:val="24"/>
        </w:rPr>
      </w:pPr>
      <w:r w:rsidRPr="004A29C6">
        <w:rPr>
          <w:rFonts w:ascii="Times New Roman" w:hAnsi="Times New Roman" w:cs="Times New Roman"/>
          <w:sz w:val="24"/>
          <w:szCs w:val="24"/>
        </w:rPr>
        <w:t>Institutional driving refers to the behavioral pattern in which government departments transform industrial development modes via institutional arrangements (laws, policies</w:t>
      </w:r>
      <w:r w:rsidR="004A29C6">
        <w:rPr>
          <w:rFonts w:ascii="Times New Roman" w:hAnsi="Times New Roman" w:cs="Times New Roman"/>
          <w:sz w:val="24"/>
          <w:szCs w:val="24"/>
        </w:rPr>
        <w:t>, and development plans), resource allocation (financial subsidies and project support),</w:t>
      </w:r>
      <w:r w:rsidRPr="004A29C6">
        <w:rPr>
          <w:rFonts w:ascii="Times New Roman" w:hAnsi="Times New Roman" w:cs="Times New Roman"/>
          <w:sz w:val="24"/>
          <w:szCs w:val="24"/>
        </w:rPr>
        <w:t xml:space="preserve"> and governance forms (cooperation platform construction and performance evaluation system establishment). The institution-driven management model for ICH protection means local governments integrate cultural inheritance and development into regional economic development strategies.</w:t>
      </w:r>
    </w:p>
    <w:p w14:paraId="32BFF542" w14:textId="78764BA7" w:rsidR="000621A4" w:rsidRDefault="00000000" w:rsidP="00EA4D6A">
      <w:pPr>
        <w:ind w:firstLineChars="200" w:firstLine="480"/>
        <w:rPr>
          <w:rFonts w:ascii="Times New Roman" w:hAnsi="Times New Roman" w:cs="Times New Roman"/>
          <w:sz w:val="24"/>
          <w:szCs w:val="24"/>
        </w:rPr>
      </w:pPr>
      <w:r w:rsidRPr="004A29C6">
        <w:rPr>
          <w:rFonts w:ascii="Times New Roman" w:hAnsi="Times New Roman" w:cs="Times New Roman"/>
          <w:sz w:val="24"/>
          <w:szCs w:val="24"/>
        </w:rPr>
        <w:t>Industrialization of ICH tea refers to the capitalization transformation process relying on traditional tea craftsmanship that covers the whole industrial chain</w:t>
      </w:r>
      <w:r w:rsidR="004A29C6">
        <w:rPr>
          <w:rFonts w:ascii="Times New Roman" w:hAnsi="Times New Roman" w:cs="Times New Roman"/>
          <w:sz w:val="24"/>
          <w:szCs w:val="24"/>
        </w:rPr>
        <w:t>, including tea garden bases, processing and production, brand marketing,</w:t>
      </w:r>
      <w:r w:rsidRPr="004A29C6">
        <w:rPr>
          <w:rFonts w:ascii="Times New Roman" w:hAnsi="Times New Roman" w:cs="Times New Roman"/>
          <w:sz w:val="24"/>
          <w:szCs w:val="24"/>
        </w:rPr>
        <w:t xml:space="preserve"> and cultural tourism experience. Its uniqueness lies in balancing the authenticity of craftsmanship (cultural value) and large-scale product output (economic value).</w:t>
      </w:r>
    </w:p>
    <w:p w14:paraId="04B2D29A" w14:textId="77777777" w:rsidR="004A29C6" w:rsidRPr="004A29C6" w:rsidRDefault="004A29C6" w:rsidP="009502BA">
      <w:pPr>
        <w:rPr>
          <w:rFonts w:ascii="Times New Roman" w:hAnsi="Times New Roman" w:cs="Times New Roman"/>
          <w:sz w:val="24"/>
          <w:szCs w:val="24"/>
        </w:rPr>
      </w:pPr>
    </w:p>
    <w:p w14:paraId="0930BB99" w14:textId="2614AC72" w:rsidR="000621A4" w:rsidRPr="00EA4D6A" w:rsidRDefault="00000000" w:rsidP="009502BA">
      <w:pPr>
        <w:rPr>
          <w:rFonts w:ascii="Times New Roman" w:hAnsi="Times New Roman" w:cs="Times New Roman"/>
          <w:b/>
          <w:bCs/>
          <w:sz w:val="24"/>
          <w:szCs w:val="24"/>
        </w:rPr>
      </w:pPr>
      <w:bookmarkStart w:id="6" w:name="heading_6"/>
      <w:r w:rsidRPr="00EA4D6A">
        <w:rPr>
          <w:rFonts w:ascii="Times New Roman" w:hAnsi="Times New Roman" w:cs="Times New Roman"/>
          <w:b/>
          <w:bCs/>
          <w:sz w:val="24"/>
          <w:szCs w:val="24"/>
        </w:rPr>
        <w:t>2.2</w:t>
      </w:r>
      <w:r w:rsidR="004A29C6" w:rsidRPr="00EA4D6A">
        <w:rPr>
          <w:rFonts w:ascii="Times New Roman" w:hAnsi="Times New Roman" w:cs="Times New Roman"/>
          <w:b/>
          <w:bCs/>
          <w:sz w:val="24"/>
          <w:szCs w:val="24"/>
        </w:rPr>
        <w:t>.</w:t>
      </w:r>
      <w:r w:rsidRPr="00EA4D6A">
        <w:rPr>
          <w:rFonts w:ascii="Times New Roman" w:hAnsi="Times New Roman" w:cs="Times New Roman"/>
          <w:b/>
          <w:bCs/>
          <w:sz w:val="24"/>
          <w:szCs w:val="24"/>
        </w:rPr>
        <w:t xml:space="preserve"> Theoretical </w:t>
      </w:r>
      <w:r w:rsidR="004A29C6" w:rsidRPr="00EA4D6A">
        <w:rPr>
          <w:rFonts w:ascii="Times New Roman" w:hAnsi="Times New Roman" w:cs="Times New Roman"/>
          <w:b/>
          <w:bCs/>
          <w:sz w:val="24"/>
          <w:szCs w:val="24"/>
        </w:rPr>
        <w:t>basi</w:t>
      </w:r>
      <w:r w:rsidRPr="00EA4D6A">
        <w:rPr>
          <w:rFonts w:ascii="Times New Roman" w:hAnsi="Times New Roman" w:cs="Times New Roman"/>
          <w:b/>
          <w:bCs/>
          <w:sz w:val="24"/>
          <w:szCs w:val="24"/>
        </w:rPr>
        <w:t>s</w:t>
      </w:r>
      <w:bookmarkEnd w:id="6"/>
    </w:p>
    <w:p w14:paraId="2D998F29" w14:textId="6D412C18" w:rsidR="000621A4" w:rsidRDefault="00000000" w:rsidP="009502BA">
      <w:pPr>
        <w:rPr>
          <w:rFonts w:ascii="Times New Roman" w:hAnsi="Times New Roman" w:cs="Times New Roman"/>
          <w:sz w:val="24"/>
          <w:szCs w:val="24"/>
        </w:rPr>
      </w:pPr>
      <w:r w:rsidRPr="004A29C6">
        <w:rPr>
          <w:rFonts w:ascii="Times New Roman" w:hAnsi="Times New Roman" w:cs="Times New Roman"/>
          <w:sz w:val="24"/>
          <w:szCs w:val="24"/>
        </w:rPr>
        <w:t>The theory of national cultural governance holds that the state optimizes the allocation of cultural resources and integrates social values through cultural systems and cultural projects</w:t>
      </w:r>
      <w:r w:rsidR="004A29C6">
        <w:rPr>
          <w:rFonts w:ascii="Times New Roman" w:hAnsi="Times New Roman" w:cs="Times New Roman"/>
          <w:sz w:val="24"/>
          <w:szCs w:val="24"/>
        </w:rPr>
        <w:t xml:space="preserve"> </w:t>
      </w:r>
      <w:r w:rsidRPr="004A29C6">
        <w:rPr>
          <w:rFonts w:ascii="Times New Roman" w:hAnsi="Times New Roman" w:cs="Times New Roman"/>
          <w:sz w:val="24"/>
          <w:szCs w:val="24"/>
          <w:vertAlign w:val="superscript"/>
        </w:rPr>
        <w:t>[5]</w:t>
      </w:r>
      <w:r w:rsidRPr="004A29C6">
        <w:rPr>
          <w:rFonts w:ascii="Times New Roman" w:hAnsi="Times New Roman" w:cs="Times New Roman"/>
          <w:sz w:val="24"/>
          <w:szCs w:val="24"/>
        </w:rPr>
        <w:t>.</w:t>
      </w:r>
      <w:r w:rsidR="004A29C6">
        <w:rPr>
          <w:rFonts w:ascii="Times New Roman" w:hAnsi="Times New Roman" w:cs="Times New Roman"/>
          <w:sz w:val="24"/>
          <w:szCs w:val="24"/>
        </w:rPr>
        <w:t xml:space="preserve"> </w:t>
      </w:r>
      <w:r w:rsidRPr="004A29C6">
        <w:rPr>
          <w:rFonts w:ascii="Times New Roman" w:hAnsi="Times New Roman" w:cs="Times New Roman"/>
          <w:sz w:val="24"/>
          <w:szCs w:val="24"/>
        </w:rPr>
        <w:t>Enshi Prefecture takes tea ICH protection as a prefectural development strategy, embodying the unification of instrumental rationality and value rationality in cultural governance. According to Bourdieu</w:t>
      </w:r>
      <w:r w:rsidR="009502BA" w:rsidRPr="004A29C6">
        <w:rPr>
          <w:rFonts w:ascii="Times New Roman" w:hAnsi="Times New Roman" w:cs="Times New Roman"/>
          <w:sz w:val="24"/>
          <w:szCs w:val="24"/>
        </w:rPr>
        <w:t>’</w:t>
      </w:r>
      <w:r w:rsidRPr="004A29C6">
        <w:rPr>
          <w:rFonts w:ascii="Times New Roman" w:hAnsi="Times New Roman" w:cs="Times New Roman"/>
          <w:sz w:val="24"/>
          <w:szCs w:val="24"/>
        </w:rPr>
        <w:t>s cultural capital theory, cultural capital exists in three mutually convertible forms</w:t>
      </w:r>
      <w:r w:rsidR="009502BA" w:rsidRPr="004A29C6">
        <w:rPr>
          <w:rFonts w:ascii="Times New Roman" w:hAnsi="Times New Roman" w:cs="Times New Roman"/>
          <w:sz w:val="24"/>
          <w:szCs w:val="24"/>
        </w:rPr>
        <w:t>:</w:t>
      </w:r>
      <w:r w:rsidRPr="004A29C6">
        <w:rPr>
          <w:rFonts w:ascii="Times New Roman" w:hAnsi="Times New Roman" w:cs="Times New Roman"/>
          <w:sz w:val="24"/>
          <w:szCs w:val="24"/>
        </w:rPr>
        <w:t xml:space="preserve"> embodied form (craftsmanship of inheritors), objective form (tea products)</w:t>
      </w:r>
      <w:r w:rsidR="004A29C6">
        <w:rPr>
          <w:rFonts w:ascii="Times New Roman" w:hAnsi="Times New Roman" w:cs="Times New Roman"/>
          <w:sz w:val="24"/>
          <w:szCs w:val="24"/>
        </w:rPr>
        <w:t>,</w:t>
      </w:r>
      <w:r w:rsidRPr="004A29C6">
        <w:rPr>
          <w:rFonts w:ascii="Times New Roman" w:hAnsi="Times New Roman" w:cs="Times New Roman"/>
          <w:sz w:val="24"/>
          <w:szCs w:val="24"/>
        </w:rPr>
        <w:t xml:space="preserve"> and institutionalized form (ICH lists)</w:t>
      </w:r>
      <w:r w:rsidR="004A29C6">
        <w:rPr>
          <w:rFonts w:ascii="Times New Roman" w:hAnsi="Times New Roman" w:cs="Times New Roman"/>
          <w:sz w:val="24"/>
          <w:szCs w:val="24"/>
        </w:rPr>
        <w:t xml:space="preserve"> </w:t>
      </w:r>
      <w:r w:rsidRPr="004A29C6">
        <w:rPr>
          <w:rFonts w:ascii="Times New Roman" w:hAnsi="Times New Roman" w:cs="Times New Roman"/>
          <w:sz w:val="24"/>
          <w:szCs w:val="24"/>
          <w:vertAlign w:val="superscript"/>
        </w:rPr>
        <w:t>[6]</w:t>
      </w:r>
      <w:r w:rsidRPr="004A29C6">
        <w:rPr>
          <w:rFonts w:ascii="Times New Roman" w:hAnsi="Times New Roman" w:cs="Times New Roman"/>
          <w:sz w:val="24"/>
          <w:szCs w:val="24"/>
        </w:rPr>
        <w:t>. The agricultural industrial chain theory points out that the tea industry inherently features integration of primary, secondary</w:t>
      </w:r>
      <w:r w:rsidR="004D5D10">
        <w:rPr>
          <w:rFonts w:ascii="Times New Roman" w:hAnsi="Times New Roman" w:cs="Times New Roman"/>
          <w:sz w:val="24"/>
          <w:szCs w:val="24"/>
        </w:rPr>
        <w:t>,</w:t>
      </w:r>
      <w:r w:rsidRPr="004A29C6">
        <w:rPr>
          <w:rFonts w:ascii="Times New Roman" w:hAnsi="Times New Roman" w:cs="Times New Roman"/>
          <w:sz w:val="24"/>
          <w:szCs w:val="24"/>
        </w:rPr>
        <w:t xml:space="preserve"> and tertiary industries</w:t>
      </w:r>
      <w:r w:rsidR="004A29C6">
        <w:rPr>
          <w:rFonts w:ascii="Times New Roman" w:hAnsi="Times New Roman" w:cs="Times New Roman"/>
          <w:sz w:val="24"/>
          <w:szCs w:val="24"/>
        </w:rPr>
        <w:t xml:space="preserve"> </w:t>
      </w:r>
      <w:r w:rsidRPr="004A29C6">
        <w:rPr>
          <w:rFonts w:ascii="Times New Roman" w:hAnsi="Times New Roman" w:cs="Times New Roman"/>
          <w:sz w:val="24"/>
          <w:szCs w:val="24"/>
          <w:vertAlign w:val="superscript"/>
        </w:rPr>
        <w:t>[7]</w:t>
      </w:r>
      <w:r w:rsidRPr="004A29C6">
        <w:rPr>
          <w:rFonts w:ascii="Times New Roman" w:hAnsi="Times New Roman" w:cs="Times New Roman"/>
          <w:sz w:val="24"/>
          <w:szCs w:val="24"/>
        </w:rPr>
        <w:t>.</w:t>
      </w:r>
    </w:p>
    <w:p w14:paraId="5A65D732" w14:textId="77777777" w:rsidR="004A29C6" w:rsidRPr="004A29C6" w:rsidRDefault="004A29C6" w:rsidP="009502BA">
      <w:pPr>
        <w:rPr>
          <w:rFonts w:ascii="Times New Roman" w:hAnsi="Times New Roman" w:cs="Times New Roman"/>
          <w:sz w:val="24"/>
          <w:szCs w:val="24"/>
        </w:rPr>
      </w:pPr>
    </w:p>
    <w:p w14:paraId="7715E2AC" w14:textId="05684A88" w:rsidR="000621A4" w:rsidRPr="00EA4D6A" w:rsidRDefault="00000000" w:rsidP="009502BA">
      <w:pPr>
        <w:rPr>
          <w:rFonts w:ascii="Times New Roman" w:hAnsi="Times New Roman" w:cs="Times New Roman"/>
          <w:b/>
          <w:bCs/>
          <w:sz w:val="24"/>
          <w:szCs w:val="24"/>
        </w:rPr>
      </w:pPr>
      <w:bookmarkStart w:id="7" w:name="heading_7"/>
      <w:r w:rsidRPr="00EA4D6A">
        <w:rPr>
          <w:rFonts w:ascii="Times New Roman" w:hAnsi="Times New Roman" w:cs="Times New Roman"/>
          <w:b/>
          <w:bCs/>
          <w:sz w:val="24"/>
          <w:szCs w:val="24"/>
        </w:rPr>
        <w:t>2.3</w:t>
      </w:r>
      <w:r w:rsidR="004A29C6" w:rsidRPr="00EA4D6A">
        <w:rPr>
          <w:rFonts w:ascii="Times New Roman" w:hAnsi="Times New Roman" w:cs="Times New Roman"/>
          <w:b/>
          <w:bCs/>
          <w:sz w:val="24"/>
          <w:szCs w:val="24"/>
        </w:rPr>
        <w:t>.</w:t>
      </w:r>
      <w:r w:rsidRPr="00EA4D6A">
        <w:rPr>
          <w:rFonts w:ascii="Times New Roman" w:hAnsi="Times New Roman" w:cs="Times New Roman"/>
          <w:b/>
          <w:bCs/>
          <w:sz w:val="24"/>
          <w:szCs w:val="24"/>
        </w:rPr>
        <w:t xml:space="preserve"> Literature </w:t>
      </w:r>
      <w:r w:rsidR="004A29C6" w:rsidRPr="00EA4D6A">
        <w:rPr>
          <w:rFonts w:ascii="Times New Roman" w:hAnsi="Times New Roman" w:cs="Times New Roman"/>
          <w:b/>
          <w:bCs/>
          <w:sz w:val="24"/>
          <w:szCs w:val="24"/>
        </w:rPr>
        <w:t>revie</w:t>
      </w:r>
      <w:r w:rsidRPr="00EA4D6A">
        <w:rPr>
          <w:rFonts w:ascii="Times New Roman" w:hAnsi="Times New Roman" w:cs="Times New Roman"/>
          <w:b/>
          <w:bCs/>
          <w:sz w:val="24"/>
          <w:szCs w:val="24"/>
        </w:rPr>
        <w:t>w</w:t>
      </w:r>
      <w:bookmarkEnd w:id="7"/>
    </w:p>
    <w:p w14:paraId="1DA5C4F7" w14:textId="0194550B" w:rsidR="000621A4" w:rsidRDefault="00000000" w:rsidP="009502BA">
      <w:pPr>
        <w:rPr>
          <w:rFonts w:ascii="Times New Roman" w:hAnsi="Times New Roman" w:cs="Times New Roman"/>
          <w:sz w:val="24"/>
          <w:szCs w:val="24"/>
        </w:rPr>
      </w:pPr>
      <w:r w:rsidRPr="004A29C6">
        <w:rPr>
          <w:rFonts w:ascii="Times New Roman" w:hAnsi="Times New Roman" w:cs="Times New Roman"/>
          <w:sz w:val="24"/>
          <w:szCs w:val="24"/>
        </w:rPr>
        <w:t xml:space="preserve">Existing studies have discussed the rationality of industrialization, </w:t>
      </w:r>
      <w:r w:rsidR="004D5D10">
        <w:rPr>
          <w:rFonts w:ascii="Times New Roman" w:hAnsi="Times New Roman" w:cs="Times New Roman"/>
          <w:sz w:val="24"/>
          <w:szCs w:val="24"/>
        </w:rPr>
        <w:t>the construction of protection systems,</w:t>
      </w:r>
      <w:r w:rsidRPr="004A29C6">
        <w:rPr>
          <w:rFonts w:ascii="Times New Roman" w:hAnsi="Times New Roman" w:cs="Times New Roman"/>
          <w:sz w:val="24"/>
          <w:szCs w:val="24"/>
        </w:rPr>
        <w:t xml:space="preserve"> and ownership of rights, yet they pay insufficient attention to political factors</w:t>
      </w:r>
      <w:r w:rsidR="00482A68">
        <w:rPr>
          <w:rFonts w:ascii="Times New Roman" w:hAnsi="Times New Roman" w:cs="Times New Roman"/>
          <w:sz w:val="24"/>
          <w:szCs w:val="24"/>
        </w:rPr>
        <w:t xml:space="preserve"> </w:t>
      </w:r>
      <w:r w:rsidRPr="004A29C6">
        <w:rPr>
          <w:rFonts w:ascii="Times New Roman" w:hAnsi="Times New Roman" w:cs="Times New Roman"/>
          <w:sz w:val="24"/>
          <w:szCs w:val="24"/>
          <w:vertAlign w:val="superscript"/>
        </w:rPr>
        <w:t>[8</w:t>
      </w:r>
      <w:r w:rsidR="00482A68">
        <w:rPr>
          <w:rFonts w:ascii="Times New Roman" w:hAnsi="Times New Roman" w:cs="Times New Roman"/>
          <w:sz w:val="24"/>
          <w:szCs w:val="24"/>
          <w:vertAlign w:val="superscript"/>
        </w:rPr>
        <w:t>–</w:t>
      </w:r>
      <w:r w:rsidRPr="004A29C6">
        <w:rPr>
          <w:rFonts w:ascii="Times New Roman" w:hAnsi="Times New Roman" w:cs="Times New Roman"/>
          <w:sz w:val="24"/>
          <w:szCs w:val="24"/>
          <w:vertAlign w:val="superscript"/>
        </w:rPr>
        <w:t>10]</w:t>
      </w:r>
      <w:r w:rsidRPr="004A29C6">
        <w:rPr>
          <w:rFonts w:ascii="Times New Roman" w:hAnsi="Times New Roman" w:cs="Times New Roman"/>
          <w:sz w:val="24"/>
          <w:szCs w:val="24"/>
        </w:rPr>
        <w:t xml:space="preserve">. Gao Ziyue et al. conducted a systematic analysis on government functions in ICH industrialization, and </w:t>
      </w:r>
      <w:r w:rsidR="00482A68">
        <w:rPr>
          <w:rFonts w:ascii="Times New Roman" w:hAnsi="Times New Roman" w:cs="Times New Roman"/>
          <w:sz w:val="24"/>
          <w:szCs w:val="24"/>
        </w:rPr>
        <w:t>research on tea ICH has</w:t>
      </w:r>
      <w:r w:rsidRPr="004A29C6">
        <w:rPr>
          <w:rFonts w:ascii="Times New Roman" w:hAnsi="Times New Roman" w:cs="Times New Roman"/>
          <w:sz w:val="24"/>
          <w:szCs w:val="24"/>
        </w:rPr>
        <w:t xml:space="preserve"> explored the interaction mechanism between tea heritage and regional development without integrated analysis from the institutional driving perspective. This paper fills the above gaps by systematically elaborating the mechanism, path</w:t>
      </w:r>
      <w:r w:rsidR="00482A68">
        <w:rPr>
          <w:rFonts w:ascii="Times New Roman" w:hAnsi="Times New Roman" w:cs="Times New Roman"/>
          <w:sz w:val="24"/>
          <w:szCs w:val="24"/>
        </w:rPr>
        <w:t>,</w:t>
      </w:r>
      <w:r w:rsidRPr="004A29C6">
        <w:rPr>
          <w:rFonts w:ascii="Times New Roman" w:hAnsi="Times New Roman" w:cs="Times New Roman"/>
          <w:sz w:val="24"/>
          <w:szCs w:val="24"/>
        </w:rPr>
        <w:t xml:space="preserve"> and policy effects of institutional driving.</w:t>
      </w:r>
    </w:p>
    <w:p w14:paraId="6C901DBC" w14:textId="77777777" w:rsidR="004D5D10" w:rsidRPr="004A29C6" w:rsidRDefault="004D5D10" w:rsidP="009502BA">
      <w:pPr>
        <w:rPr>
          <w:rFonts w:ascii="Times New Roman" w:hAnsi="Times New Roman" w:cs="Times New Roman"/>
          <w:sz w:val="24"/>
          <w:szCs w:val="24"/>
        </w:rPr>
      </w:pPr>
    </w:p>
    <w:p w14:paraId="7B820188" w14:textId="6409D8F8" w:rsidR="000621A4" w:rsidRPr="00EA4D6A" w:rsidRDefault="00000000" w:rsidP="009502BA">
      <w:pPr>
        <w:rPr>
          <w:rFonts w:ascii="Times New Roman" w:hAnsi="Times New Roman" w:cs="Times New Roman"/>
          <w:b/>
          <w:bCs/>
          <w:sz w:val="24"/>
          <w:szCs w:val="24"/>
        </w:rPr>
      </w:pPr>
      <w:bookmarkStart w:id="8" w:name="heading_8"/>
      <w:r w:rsidRPr="00EA4D6A">
        <w:rPr>
          <w:rFonts w:ascii="Times New Roman" w:hAnsi="Times New Roman" w:cs="Times New Roman"/>
          <w:b/>
          <w:bCs/>
          <w:sz w:val="24"/>
          <w:szCs w:val="24"/>
        </w:rPr>
        <w:t>3</w:t>
      </w:r>
      <w:r w:rsidR="004D5D10" w:rsidRPr="00EA4D6A">
        <w:rPr>
          <w:rFonts w:ascii="Times New Roman" w:hAnsi="Times New Roman" w:cs="Times New Roman"/>
          <w:b/>
          <w:bCs/>
          <w:sz w:val="24"/>
          <w:szCs w:val="24"/>
        </w:rPr>
        <w:t>.</w:t>
      </w:r>
      <w:r w:rsidRPr="00EA4D6A">
        <w:rPr>
          <w:rFonts w:ascii="Times New Roman" w:hAnsi="Times New Roman" w:cs="Times New Roman"/>
          <w:b/>
          <w:bCs/>
          <w:sz w:val="24"/>
          <w:szCs w:val="24"/>
        </w:rPr>
        <w:t xml:space="preserve"> Institutional </w:t>
      </w:r>
      <w:r w:rsidR="004D5D10" w:rsidRPr="00EA4D6A">
        <w:rPr>
          <w:rFonts w:ascii="Times New Roman" w:hAnsi="Times New Roman" w:cs="Times New Roman"/>
          <w:b/>
          <w:bCs/>
          <w:sz w:val="24"/>
          <w:szCs w:val="24"/>
        </w:rPr>
        <w:t xml:space="preserve">driving mechanism of tea </w:t>
      </w:r>
      <w:r w:rsidRPr="00EA4D6A">
        <w:rPr>
          <w:rFonts w:ascii="Times New Roman" w:hAnsi="Times New Roman" w:cs="Times New Roman"/>
          <w:b/>
          <w:bCs/>
          <w:sz w:val="24"/>
          <w:szCs w:val="24"/>
        </w:rPr>
        <w:t xml:space="preserve">ICH </w:t>
      </w:r>
      <w:r w:rsidR="004D5D10" w:rsidRPr="00EA4D6A">
        <w:rPr>
          <w:rFonts w:ascii="Times New Roman" w:hAnsi="Times New Roman" w:cs="Times New Roman"/>
          <w:b/>
          <w:bCs/>
          <w:sz w:val="24"/>
          <w:szCs w:val="24"/>
        </w:rPr>
        <w:t>indu</w:t>
      </w:r>
      <w:r w:rsidRPr="00EA4D6A">
        <w:rPr>
          <w:rFonts w:ascii="Times New Roman" w:hAnsi="Times New Roman" w:cs="Times New Roman"/>
          <w:b/>
          <w:bCs/>
          <w:sz w:val="24"/>
          <w:szCs w:val="24"/>
        </w:rPr>
        <w:t>strialization in Enshi Prefecture</w:t>
      </w:r>
      <w:bookmarkEnd w:id="8"/>
    </w:p>
    <w:p w14:paraId="4581BB63" w14:textId="29F34701" w:rsidR="000621A4" w:rsidRDefault="00000000" w:rsidP="009502BA">
      <w:pPr>
        <w:rPr>
          <w:rFonts w:ascii="Times New Roman" w:hAnsi="Times New Roman" w:cs="Times New Roman"/>
          <w:sz w:val="24"/>
          <w:szCs w:val="24"/>
        </w:rPr>
      </w:pPr>
      <w:r w:rsidRPr="004A29C6">
        <w:rPr>
          <w:rFonts w:ascii="Times New Roman" w:hAnsi="Times New Roman" w:cs="Times New Roman"/>
          <w:sz w:val="24"/>
          <w:szCs w:val="24"/>
        </w:rPr>
        <w:t>Institutional driving refers to the behavioral pattern through which local public departments guide industrial development by institutional supply, resource allocation</w:t>
      </w:r>
      <w:r w:rsidR="004D5D10">
        <w:rPr>
          <w:rFonts w:ascii="Times New Roman" w:hAnsi="Times New Roman" w:cs="Times New Roman"/>
          <w:sz w:val="24"/>
          <w:szCs w:val="24"/>
        </w:rPr>
        <w:t>,</w:t>
      </w:r>
      <w:r w:rsidRPr="004A29C6">
        <w:rPr>
          <w:rFonts w:ascii="Times New Roman" w:hAnsi="Times New Roman" w:cs="Times New Roman"/>
          <w:sz w:val="24"/>
          <w:szCs w:val="24"/>
        </w:rPr>
        <w:t xml:space="preserve"> and governance innovation. Based on cultural governance theory and government function theory, this chapter systematically elaborates the three-layer driving mechanism for tea ICH industrialization in </w:t>
      </w:r>
      <w:r w:rsidRPr="004A29C6">
        <w:rPr>
          <w:rFonts w:ascii="Times New Roman" w:hAnsi="Times New Roman" w:cs="Times New Roman"/>
          <w:sz w:val="24"/>
          <w:szCs w:val="24"/>
        </w:rPr>
        <w:lastRenderedPageBreak/>
        <w:t>Enshi.</w:t>
      </w:r>
    </w:p>
    <w:p w14:paraId="6574761A" w14:textId="77777777" w:rsidR="003279DC" w:rsidRPr="004A29C6" w:rsidRDefault="003279DC" w:rsidP="009502BA">
      <w:pPr>
        <w:rPr>
          <w:rFonts w:ascii="Times New Roman" w:hAnsi="Times New Roman" w:cs="Times New Roman"/>
          <w:sz w:val="24"/>
          <w:szCs w:val="24"/>
        </w:rPr>
      </w:pPr>
    </w:p>
    <w:p w14:paraId="1CFE9DE8" w14:textId="784E9790" w:rsidR="000621A4" w:rsidRPr="00EA4D6A" w:rsidRDefault="00000000" w:rsidP="009502BA">
      <w:pPr>
        <w:rPr>
          <w:rFonts w:ascii="Times New Roman" w:hAnsi="Times New Roman" w:cs="Times New Roman"/>
          <w:b/>
          <w:bCs/>
          <w:sz w:val="24"/>
          <w:szCs w:val="24"/>
        </w:rPr>
      </w:pPr>
      <w:bookmarkStart w:id="9" w:name="heading_9"/>
      <w:r w:rsidRPr="00EA4D6A">
        <w:rPr>
          <w:rFonts w:ascii="Times New Roman" w:hAnsi="Times New Roman" w:cs="Times New Roman"/>
          <w:b/>
          <w:bCs/>
          <w:sz w:val="24"/>
          <w:szCs w:val="24"/>
        </w:rPr>
        <w:t>3.1</w:t>
      </w:r>
      <w:r w:rsidR="003279DC">
        <w:rPr>
          <w:rFonts w:ascii="Times New Roman" w:hAnsi="Times New Roman" w:cs="Times New Roman"/>
          <w:b/>
          <w:bCs/>
          <w:sz w:val="24"/>
          <w:szCs w:val="24"/>
        </w:rPr>
        <w:t>.</w:t>
      </w:r>
      <w:r w:rsidRPr="00EA4D6A">
        <w:rPr>
          <w:rFonts w:ascii="Times New Roman" w:hAnsi="Times New Roman" w:cs="Times New Roman"/>
          <w:b/>
          <w:bCs/>
          <w:sz w:val="24"/>
          <w:szCs w:val="24"/>
        </w:rPr>
        <w:t xml:space="preserve"> Institutional </w:t>
      </w:r>
      <w:r w:rsidR="003279DC" w:rsidRPr="00EA4D6A">
        <w:rPr>
          <w:rFonts w:ascii="Times New Roman" w:hAnsi="Times New Roman" w:cs="Times New Roman"/>
          <w:b/>
          <w:bCs/>
          <w:sz w:val="24"/>
          <w:szCs w:val="24"/>
        </w:rPr>
        <w:t>supp</w:t>
      </w:r>
      <w:r w:rsidRPr="00EA4D6A">
        <w:rPr>
          <w:rFonts w:ascii="Times New Roman" w:hAnsi="Times New Roman" w:cs="Times New Roman"/>
          <w:b/>
          <w:bCs/>
          <w:sz w:val="24"/>
          <w:szCs w:val="24"/>
        </w:rPr>
        <w:t>ly</w:t>
      </w:r>
      <w:r w:rsidR="009502BA" w:rsidRPr="00EA4D6A">
        <w:rPr>
          <w:rFonts w:ascii="Times New Roman" w:hAnsi="Times New Roman" w:cs="Times New Roman"/>
          <w:b/>
          <w:bCs/>
          <w:sz w:val="24"/>
          <w:szCs w:val="24"/>
        </w:rPr>
        <w:t>:</w:t>
      </w:r>
      <w:r w:rsidRPr="00EA4D6A">
        <w:rPr>
          <w:rFonts w:ascii="Times New Roman" w:hAnsi="Times New Roman" w:cs="Times New Roman"/>
          <w:b/>
          <w:bCs/>
          <w:sz w:val="24"/>
          <w:szCs w:val="24"/>
        </w:rPr>
        <w:t xml:space="preserve"> Construction of </w:t>
      </w:r>
      <w:r w:rsidR="003279DC" w:rsidRPr="00EA4D6A">
        <w:rPr>
          <w:rFonts w:ascii="Times New Roman" w:hAnsi="Times New Roman" w:cs="Times New Roman"/>
          <w:b/>
          <w:bCs/>
          <w:sz w:val="24"/>
          <w:szCs w:val="24"/>
        </w:rPr>
        <w:t>a hierarchical institutional system</w:t>
      </w:r>
      <w:bookmarkEnd w:id="9"/>
    </w:p>
    <w:p w14:paraId="6EFC980F" w14:textId="1664597E" w:rsidR="000621A4" w:rsidRPr="004A29C6" w:rsidRDefault="00000000" w:rsidP="009502BA">
      <w:pPr>
        <w:rPr>
          <w:rFonts w:ascii="Times New Roman" w:hAnsi="Times New Roman" w:cs="Times New Roman"/>
          <w:sz w:val="24"/>
          <w:szCs w:val="24"/>
        </w:rPr>
      </w:pPr>
      <w:r w:rsidRPr="004A29C6">
        <w:rPr>
          <w:rFonts w:ascii="Times New Roman" w:hAnsi="Times New Roman" w:cs="Times New Roman"/>
          <w:sz w:val="24"/>
          <w:szCs w:val="24"/>
        </w:rPr>
        <w:t>Institutional supply serves as the basic mechanism of institutional driving. Enshi Prefecture has built a four-level linked institutional system covering national, provincial, prefectural</w:t>
      </w:r>
      <w:r w:rsidR="003279DC">
        <w:rPr>
          <w:rFonts w:ascii="Times New Roman" w:hAnsi="Times New Roman" w:cs="Times New Roman"/>
          <w:sz w:val="24"/>
          <w:szCs w:val="24"/>
        </w:rPr>
        <w:t>,</w:t>
      </w:r>
      <w:r w:rsidRPr="004A29C6">
        <w:rPr>
          <w:rFonts w:ascii="Times New Roman" w:hAnsi="Times New Roman" w:cs="Times New Roman"/>
          <w:sz w:val="24"/>
          <w:szCs w:val="24"/>
        </w:rPr>
        <w:t xml:space="preserve"> and county levels, translating macro guidance into micro operational rules</w:t>
      </w:r>
      <w:r w:rsidR="003279DC">
        <w:rPr>
          <w:rFonts w:ascii="Times New Roman" w:hAnsi="Times New Roman" w:cs="Times New Roman"/>
          <w:sz w:val="24"/>
          <w:szCs w:val="24"/>
        </w:rPr>
        <w:t xml:space="preserve"> (</w:t>
      </w:r>
      <w:r w:rsidR="003279DC" w:rsidRPr="00EA4D6A">
        <w:rPr>
          <w:rFonts w:ascii="Times New Roman" w:hAnsi="Times New Roman" w:cs="Times New Roman"/>
          <w:b/>
          <w:bCs/>
          <w:sz w:val="24"/>
          <w:szCs w:val="24"/>
        </w:rPr>
        <w:t>Table 1</w:t>
      </w:r>
      <w:r w:rsidR="003279DC">
        <w:rPr>
          <w:rFonts w:ascii="Times New Roman" w:hAnsi="Times New Roman" w:cs="Times New Roman"/>
          <w:sz w:val="24"/>
          <w:szCs w:val="24"/>
        </w:rPr>
        <w:t>)</w:t>
      </w:r>
      <w:r w:rsidRPr="004A29C6">
        <w:rPr>
          <w:rFonts w:ascii="Times New Roman" w:hAnsi="Times New Roman" w:cs="Times New Roman"/>
          <w:sz w:val="24"/>
          <w:szCs w:val="24"/>
        </w:rPr>
        <w:t>.</w:t>
      </w:r>
    </w:p>
    <w:p w14:paraId="6B625BED" w14:textId="328F45CA" w:rsidR="000621A4" w:rsidRDefault="00000000" w:rsidP="00EA4D6A">
      <w:pPr>
        <w:ind w:firstLineChars="200" w:firstLine="480"/>
        <w:rPr>
          <w:rFonts w:ascii="Times New Roman" w:hAnsi="Times New Roman" w:cs="Times New Roman"/>
          <w:sz w:val="24"/>
          <w:szCs w:val="24"/>
        </w:rPr>
      </w:pPr>
      <w:r w:rsidRPr="004A29C6">
        <w:rPr>
          <w:rFonts w:ascii="Times New Roman" w:hAnsi="Times New Roman" w:cs="Times New Roman"/>
          <w:sz w:val="24"/>
          <w:szCs w:val="24"/>
        </w:rPr>
        <w:t xml:space="preserve">At the national level, the Wuling Mountains Cultural and Ecological Protection Experimental Zone (2014) puts forward the holistic protection concept of </w:t>
      </w:r>
      <w:r w:rsidR="009502BA" w:rsidRPr="004A29C6">
        <w:rPr>
          <w:rFonts w:ascii="Times New Roman" w:hAnsi="Times New Roman" w:cs="Times New Roman"/>
          <w:sz w:val="24"/>
          <w:szCs w:val="24"/>
        </w:rPr>
        <w:t>“</w:t>
      </w:r>
      <w:r w:rsidRPr="004A29C6">
        <w:rPr>
          <w:rFonts w:ascii="Times New Roman" w:hAnsi="Times New Roman" w:cs="Times New Roman"/>
          <w:sz w:val="24"/>
          <w:szCs w:val="24"/>
        </w:rPr>
        <w:t>protecting people, objects and living contexts</w:t>
      </w:r>
      <w:r w:rsidR="009502BA" w:rsidRPr="004A29C6">
        <w:rPr>
          <w:rFonts w:ascii="Times New Roman" w:hAnsi="Times New Roman" w:cs="Times New Roman"/>
          <w:sz w:val="24"/>
          <w:szCs w:val="24"/>
        </w:rPr>
        <w:t>.”</w:t>
      </w:r>
      <w:r w:rsidRPr="004A29C6">
        <w:rPr>
          <w:rFonts w:ascii="Times New Roman" w:hAnsi="Times New Roman" w:cs="Times New Roman"/>
          <w:sz w:val="24"/>
          <w:szCs w:val="24"/>
        </w:rPr>
        <w:t xml:space="preserve"> At the provincial level, the </w:t>
      </w:r>
      <w:r w:rsidRPr="004A29C6">
        <w:rPr>
          <w:rFonts w:ascii="Times New Roman" w:hAnsi="Times New Roman" w:cs="Times New Roman"/>
          <w:i/>
          <w:sz w:val="24"/>
          <w:szCs w:val="24"/>
        </w:rPr>
        <w:t>Regulations of Hubei Province on Promoting the Development of Tea Industry</w:t>
      </w:r>
      <w:r w:rsidRPr="004A29C6">
        <w:rPr>
          <w:rFonts w:ascii="Times New Roman" w:hAnsi="Times New Roman" w:cs="Times New Roman"/>
          <w:sz w:val="24"/>
          <w:szCs w:val="24"/>
        </w:rPr>
        <w:t xml:space="preserve"> (2021) is China</w:t>
      </w:r>
      <w:r w:rsidR="009502BA" w:rsidRPr="004A29C6">
        <w:rPr>
          <w:rFonts w:ascii="Times New Roman" w:hAnsi="Times New Roman" w:cs="Times New Roman"/>
          <w:sz w:val="24"/>
          <w:szCs w:val="24"/>
        </w:rPr>
        <w:t>’</w:t>
      </w:r>
      <w:r w:rsidRPr="004A29C6">
        <w:rPr>
          <w:rFonts w:ascii="Times New Roman" w:hAnsi="Times New Roman" w:cs="Times New Roman"/>
          <w:sz w:val="24"/>
          <w:szCs w:val="24"/>
        </w:rPr>
        <w:t xml:space="preserve">s first provincial special regulation on the tea industry. At the prefectural level, a four-in-one governance framework has been established, targeting the construction of 10 inheritance bases, cultivation of 100 inheritors and income growth for 10,000 tea households. At the county level, differentiated management is implemented for core and extended </w:t>
      </w:r>
      <w:r w:rsidR="003279DC">
        <w:rPr>
          <w:rFonts w:ascii="Times New Roman" w:hAnsi="Times New Roman" w:cs="Times New Roman"/>
          <w:sz w:val="24"/>
          <w:szCs w:val="24"/>
        </w:rPr>
        <w:t>tea-producing</w:t>
      </w:r>
      <w:r w:rsidRPr="004A29C6">
        <w:rPr>
          <w:rFonts w:ascii="Times New Roman" w:hAnsi="Times New Roman" w:cs="Times New Roman"/>
          <w:sz w:val="24"/>
          <w:szCs w:val="24"/>
        </w:rPr>
        <w:t xml:space="preserve"> areas.</w:t>
      </w:r>
    </w:p>
    <w:p w14:paraId="2C9CFC02" w14:textId="77777777" w:rsidR="003279DC" w:rsidRPr="004A29C6" w:rsidRDefault="003279DC" w:rsidP="009502BA">
      <w:pPr>
        <w:rPr>
          <w:rFonts w:ascii="Times New Roman" w:hAnsi="Times New Roman" w:cs="Times New Roman"/>
          <w:sz w:val="24"/>
          <w:szCs w:val="24"/>
        </w:rPr>
      </w:pPr>
    </w:p>
    <w:p w14:paraId="376D8344" w14:textId="13C6A098" w:rsidR="000621A4" w:rsidRDefault="00000000" w:rsidP="009502BA">
      <w:pPr>
        <w:rPr>
          <w:rFonts w:ascii="Times New Roman" w:hAnsi="Times New Roman" w:cs="Times New Roman"/>
          <w:sz w:val="24"/>
          <w:szCs w:val="24"/>
        </w:rPr>
      </w:pPr>
      <w:r w:rsidRPr="00EA4D6A">
        <w:rPr>
          <w:rFonts w:ascii="Times New Roman" w:hAnsi="Times New Roman" w:cs="Times New Roman"/>
          <w:b/>
          <w:bCs/>
          <w:sz w:val="24"/>
          <w:szCs w:val="24"/>
        </w:rPr>
        <w:t>Table 1</w:t>
      </w:r>
      <w:r w:rsidR="003279DC">
        <w:rPr>
          <w:rFonts w:ascii="Times New Roman" w:hAnsi="Times New Roman" w:cs="Times New Roman"/>
          <w:sz w:val="24"/>
          <w:szCs w:val="24"/>
        </w:rPr>
        <w:t>.</w:t>
      </w:r>
      <w:r w:rsidRPr="004A29C6">
        <w:rPr>
          <w:rFonts w:ascii="Times New Roman" w:hAnsi="Times New Roman" w:cs="Times New Roman"/>
          <w:sz w:val="24"/>
          <w:szCs w:val="24"/>
        </w:rPr>
        <w:t xml:space="preserve"> Hierarchical </w:t>
      </w:r>
      <w:r w:rsidR="003279DC" w:rsidRPr="004A29C6">
        <w:rPr>
          <w:rFonts w:ascii="Times New Roman" w:hAnsi="Times New Roman" w:cs="Times New Roman"/>
          <w:sz w:val="24"/>
          <w:szCs w:val="24"/>
        </w:rPr>
        <w:t xml:space="preserve">structure of institutional supply for tea </w:t>
      </w:r>
      <w:r w:rsidRPr="004A29C6">
        <w:rPr>
          <w:rFonts w:ascii="Times New Roman" w:hAnsi="Times New Roman" w:cs="Times New Roman"/>
          <w:sz w:val="24"/>
          <w:szCs w:val="24"/>
        </w:rPr>
        <w:t>ICH in Enshi Prefecture</w:t>
      </w:r>
    </w:p>
    <w:p w14:paraId="655889D9" w14:textId="77777777" w:rsidR="003279DC" w:rsidRPr="004A29C6" w:rsidRDefault="003279DC" w:rsidP="009502BA">
      <w:pPr>
        <w:rPr>
          <w:rFonts w:ascii="Times New Roman" w:hAnsi="Times New Roman" w:cs="Times New Roman"/>
          <w:sz w:val="24"/>
          <w:szCs w:val="24"/>
        </w:rPr>
      </w:pPr>
    </w:p>
    <w:tbl>
      <w:tblPr>
        <w:tblW w:w="0" w:type="auto"/>
        <w:tblBorders>
          <w:top w:val="single" w:sz="4" w:space="0" w:color="auto"/>
          <w:bottom w:val="single" w:sz="4" w:space="0" w:color="auto"/>
        </w:tblBorders>
        <w:tblLayout w:type="fixed"/>
        <w:tblCellMar>
          <w:left w:w="10" w:type="dxa"/>
          <w:right w:w="10" w:type="dxa"/>
        </w:tblCellMar>
        <w:tblLook w:val="04A0" w:firstRow="1" w:lastRow="0" w:firstColumn="1" w:lastColumn="0" w:noHBand="0" w:noVBand="1"/>
      </w:tblPr>
      <w:tblGrid>
        <w:gridCol w:w="2070"/>
        <w:gridCol w:w="2070"/>
        <w:gridCol w:w="2070"/>
        <w:gridCol w:w="2070"/>
      </w:tblGrid>
      <w:tr w:rsidR="000621A4" w:rsidRPr="00EA4D6A" w14:paraId="5277A88D" w14:textId="77777777" w:rsidTr="00EA4D6A">
        <w:tc>
          <w:tcPr>
            <w:tcW w:w="2070" w:type="dxa"/>
            <w:tcBorders>
              <w:top w:val="single" w:sz="4" w:space="0" w:color="auto"/>
              <w:bottom w:val="single" w:sz="4" w:space="0" w:color="auto"/>
            </w:tcBorders>
            <w:tcMar>
              <w:top w:w="60" w:type="dxa"/>
              <w:left w:w="120" w:type="dxa"/>
              <w:bottom w:w="30" w:type="dxa"/>
              <w:right w:w="120" w:type="dxa"/>
            </w:tcMar>
          </w:tcPr>
          <w:p w14:paraId="7F519E64" w14:textId="77777777" w:rsidR="000621A4" w:rsidRPr="00EA4D6A" w:rsidRDefault="00000000" w:rsidP="009502BA">
            <w:pPr>
              <w:rPr>
                <w:rFonts w:ascii="Times New Roman" w:hAnsi="Times New Roman" w:cs="Times New Roman"/>
                <w:b/>
                <w:bCs/>
                <w:sz w:val="20"/>
                <w:szCs w:val="20"/>
              </w:rPr>
            </w:pPr>
            <w:r w:rsidRPr="00EA4D6A">
              <w:rPr>
                <w:rFonts w:ascii="Times New Roman" w:hAnsi="Times New Roman" w:cs="Times New Roman"/>
                <w:b/>
                <w:bCs/>
                <w:sz w:val="20"/>
                <w:szCs w:val="20"/>
              </w:rPr>
              <w:t>Level</w:t>
            </w:r>
          </w:p>
        </w:tc>
        <w:tc>
          <w:tcPr>
            <w:tcW w:w="2070" w:type="dxa"/>
            <w:tcBorders>
              <w:top w:val="single" w:sz="4" w:space="0" w:color="auto"/>
              <w:bottom w:val="single" w:sz="4" w:space="0" w:color="auto"/>
            </w:tcBorders>
            <w:tcMar>
              <w:top w:w="60" w:type="dxa"/>
              <w:left w:w="120" w:type="dxa"/>
              <w:bottom w:w="30" w:type="dxa"/>
              <w:right w:w="120" w:type="dxa"/>
            </w:tcMar>
          </w:tcPr>
          <w:p w14:paraId="79366899" w14:textId="77777777" w:rsidR="000621A4" w:rsidRPr="00EA4D6A" w:rsidRDefault="00000000" w:rsidP="009502BA">
            <w:pPr>
              <w:rPr>
                <w:rFonts w:ascii="Times New Roman" w:hAnsi="Times New Roman" w:cs="Times New Roman"/>
                <w:b/>
                <w:bCs/>
                <w:sz w:val="20"/>
                <w:szCs w:val="20"/>
              </w:rPr>
            </w:pPr>
            <w:r w:rsidRPr="00EA4D6A">
              <w:rPr>
                <w:rFonts w:ascii="Times New Roman" w:hAnsi="Times New Roman" w:cs="Times New Roman"/>
                <w:b/>
                <w:bCs/>
                <w:sz w:val="20"/>
                <w:szCs w:val="20"/>
              </w:rPr>
              <w:t>Core Institution</w:t>
            </w:r>
          </w:p>
        </w:tc>
        <w:tc>
          <w:tcPr>
            <w:tcW w:w="2070" w:type="dxa"/>
            <w:tcBorders>
              <w:top w:val="single" w:sz="4" w:space="0" w:color="auto"/>
              <w:bottom w:val="single" w:sz="4" w:space="0" w:color="auto"/>
            </w:tcBorders>
            <w:tcMar>
              <w:top w:w="60" w:type="dxa"/>
              <w:left w:w="120" w:type="dxa"/>
              <w:bottom w:w="30" w:type="dxa"/>
              <w:right w:w="120" w:type="dxa"/>
            </w:tcMar>
          </w:tcPr>
          <w:p w14:paraId="3757A29B" w14:textId="77777777" w:rsidR="000621A4" w:rsidRPr="00EA4D6A" w:rsidRDefault="00000000" w:rsidP="009502BA">
            <w:pPr>
              <w:rPr>
                <w:rFonts w:ascii="Times New Roman" w:hAnsi="Times New Roman" w:cs="Times New Roman"/>
                <w:b/>
                <w:bCs/>
                <w:sz w:val="20"/>
                <w:szCs w:val="20"/>
              </w:rPr>
            </w:pPr>
            <w:r w:rsidRPr="00EA4D6A">
              <w:rPr>
                <w:rFonts w:ascii="Times New Roman" w:hAnsi="Times New Roman" w:cs="Times New Roman"/>
                <w:b/>
                <w:bCs/>
                <w:sz w:val="20"/>
                <w:szCs w:val="20"/>
              </w:rPr>
              <w:t>Functional Orientation</w:t>
            </w:r>
          </w:p>
        </w:tc>
        <w:tc>
          <w:tcPr>
            <w:tcW w:w="2070" w:type="dxa"/>
            <w:tcBorders>
              <w:top w:val="single" w:sz="4" w:space="0" w:color="auto"/>
              <w:bottom w:val="single" w:sz="4" w:space="0" w:color="auto"/>
            </w:tcBorders>
            <w:tcMar>
              <w:top w:w="60" w:type="dxa"/>
              <w:left w:w="120" w:type="dxa"/>
              <w:bottom w:w="30" w:type="dxa"/>
              <w:right w:w="120" w:type="dxa"/>
            </w:tcMar>
          </w:tcPr>
          <w:p w14:paraId="3805D2E0" w14:textId="77777777" w:rsidR="000621A4" w:rsidRPr="00EA4D6A" w:rsidRDefault="00000000" w:rsidP="009502BA">
            <w:pPr>
              <w:rPr>
                <w:rFonts w:ascii="Times New Roman" w:hAnsi="Times New Roman" w:cs="Times New Roman"/>
                <w:b/>
                <w:bCs/>
                <w:sz w:val="20"/>
                <w:szCs w:val="20"/>
              </w:rPr>
            </w:pPr>
            <w:r w:rsidRPr="00EA4D6A">
              <w:rPr>
                <w:rFonts w:ascii="Times New Roman" w:hAnsi="Times New Roman" w:cs="Times New Roman"/>
                <w:b/>
                <w:bCs/>
                <w:sz w:val="20"/>
                <w:szCs w:val="20"/>
              </w:rPr>
              <w:t>Key Innovation</w:t>
            </w:r>
          </w:p>
        </w:tc>
      </w:tr>
      <w:tr w:rsidR="000621A4" w:rsidRPr="00EA4D6A" w14:paraId="7625D19A" w14:textId="77777777" w:rsidTr="00EA4D6A">
        <w:tc>
          <w:tcPr>
            <w:tcW w:w="2070" w:type="dxa"/>
            <w:tcBorders>
              <w:top w:val="single" w:sz="4" w:space="0" w:color="auto"/>
            </w:tcBorders>
            <w:tcMar>
              <w:top w:w="60" w:type="dxa"/>
              <w:left w:w="120" w:type="dxa"/>
              <w:bottom w:w="30" w:type="dxa"/>
              <w:right w:w="120" w:type="dxa"/>
            </w:tcMar>
          </w:tcPr>
          <w:p w14:paraId="538A0682" w14:textId="77777777" w:rsidR="000621A4" w:rsidRPr="00EA4D6A" w:rsidRDefault="00000000" w:rsidP="009502BA">
            <w:pPr>
              <w:rPr>
                <w:rFonts w:ascii="Times New Roman" w:hAnsi="Times New Roman" w:cs="Times New Roman"/>
                <w:sz w:val="20"/>
                <w:szCs w:val="20"/>
              </w:rPr>
            </w:pPr>
            <w:r w:rsidRPr="00EA4D6A">
              <w:rPr>
                <w:rFonts w:ascii="Times New Roman" w:hAnsi="Times New Roman" w:cs="Times New Roman"/>
                <w:sz w:val="20"/>
                <w:szCs w:val="20"/>
              </w:rPr>
              <w:t>National</w:t>
            </w:r>
          </w:p>
        </w:tc>
        <w:tc>
          <w:tcPr>
            <w:tcW w:w="2070" w:type="dxa"/>
            <w:tcBorders>
              <w:top w:val="single" w:sz="4" w:space="0" w:color="auto"/>
            </w:tcBorders>
            <w:tcMar>
              <w:top w:w="60" w:type="dxa"/>
              <w:left w:w="120" w:type="dxa"/>
              <w:bottom w:w="30" w:type="dxa"/>
              <w:right w:w="120" w:type="dxa"/>
            </w:tcMar>
          </w:tcPr>
          <w:p w14:paraId="71288888" w14:textId="77777777" w:rsidR="000621A4" w:rsidRPr="00EA4D6A" w:rsidRDefault="00000000" w:rsidP="009502BA">
            <w:pPr>
              <w:rPr>
                <w:rFonts w:ascii="Times New Roman" w:hAnsi="Times New Roman" w:cs="Times New Roman"/>
                <w:sz w:val="20"/>
                <w:szCs w:val="20"/>
              </w:rPr>
            </w:pPr>
            <w:r w:rsidRPr="00EA4D6A">
              <w:rPr>
                <w:rFonts w:ascii="Times New Roman" w:hAnsi="Times New Roman" w:cs="Times New Roman"/>
                <w:sz w:val="20"/>
                <w:szCs w:val="20"/>
              </w:rPr>
              <w:t>Wuling Mountains Cultural and Ecological Protection Experimental Zone (2014)</w:t>
            </w:r>
          </w:p>
        </w:tc>
        <w:tc>
          <w:tcPr>
            <w:tcW w:w="2070" w:type="dxa"/>
            <w:tcBorders>
              <w:top w:val="single" w:sz="4" w:space="0" w:color="auto"/>
            </w:tcBorders>
            <w:tcMar>
              <w:top w:w="60" w:type="dxa"/>
              <w:left w:w="120" w:type="dxa"/>
              <w:bottom w:w="30" w:type="dxa"/>
              <w:right w:w="120" w:type="dxa"/>
            </w:tcMar>
          </w:tcPr>
          <w:p w14:paraId="3B0ACB68" w14:textId="77777777" w:rsidR="000621A4" w:rsidRPr="00EA4D6A" w:rsidRDefault="00000000" w:rsidP="009502BA">
            <w:pPr>
              <w:rPr>
                <w:rFonts w:ascii="Times New Roman" w:hAnsi="Times New Roman" w:cs="Times New Roman"/>
                <w:sz w:val="20"/>
                <w:szCs w:val="20"/>
              </w:rPr>
            </w:pPr>
            <w:r w:rsidRPr="00EA4D6A">
              <w:rPr>
                <w:rFonts w:ascii="Times New Roman" w:hAnsi="Times New Roman" w:cs="Times New Roman"/>
                <w:sz w:val="20"/>
                <w:szCs w:val="20"/>
              </w:rPr>
              <w:t>Provide legitimate foundation and resource mobilization framework</w:t>
            </w:r>
          </w:p>
        </w:tc>
        <w:tc>
          <w:tcPr>
            <w:tcW w:w="2070" w:type="dxa"/>
            <w:tcBorders>
              <w:top w:val="single" w:sz="4" w:space="0" w:color="auto"/>
            </w:tcBorders>
            <w:tcMar>
              <w:top w:w="60" w:type="dxa"/>
              <w:left w:w="120" w:type="dxa"/>
              <w:bottom w:w="30" w:type="dxa"/>
              <w:right w:w="120" w:type="dxa"/>
            </w:tcMar>
          </w:tcPr>
          <w:p w14:paraId="282A3451" w14:textId="77777777" w:rsidR="000621A4" w:rsidRPr="00EA4D6A" w:rsidRDefault="00000000" w:rsidP="009502BA">
            <w:pPr>
              <w:rPr>
                <w:rFonts w:ascii="Times New Roman" w:hAnsi="Times New Roman" w:cs="Times New Roman"/>
                <w:sz w:val="20"/>
                <w:szCs w:val="20"/>
              </w:rPr>
            </w:pPr>
            <w:r w:rsidRPr="00EA4D6A">
              <w:rPr>
                <w:rFonts w:ascii="Times New Roman" w:hAnsi="Times New Roman" w:cs="Times New Roman"/>
                <w:sz w:val="20"/>
                <w:szCs w:val="20"/>
              </w:rPr>
              <w:t>Holistic protection focusing on people, objects and living contexts</w:t>
            </w:r>
          </w:p>
        </w:tc>
      </w:tr>
      <w:tr w:rsidR="000621A4" w:rsidRPr="00EA4D6A" w14:paraId="57E321B7" w14:textId="77777777" w:rsidTr="00EA4D6A">
        <w:tc>
          <w:tcPr>
            <w:tcW w:w="2070" w:type="dxa"/>
            <w:tcMar>
              <w:top w:w="60" w:type="dxa"/>
              <w:left w:w="120" w:type="dxa"/>
              <w:bottom w:w="30" w:type="dxa"/>
              <w:right w:w="120" w:type="dxa"/>
            </w:tcMar>
          </w:tcPr>
          <w:p w14:paraId="23E6FA68" w14:textId="77777777" w:rsidR="000621A4" w:rsidRPr="00EA4D6A" w:rsidRDefault="00000000" w:rsidP="009502BA">
            <w:pPr>
              <w:rPr>
                <w:rFonts w:ascii="Times New Roman" w:hAnsi="Times New Roman" w:cs="Times New Roman"/>
                <w:sz w:val="20"/>
                <w:szCs w:val="20"/>
              </w:rPr>
            </w:pPr>
            <w:r w:rsidRPr="00EA4D6A">
              <w:rPr>
                <w:rFonts w:ascii="Times New Roman" w:hAnsi="Times New Roman" w:cs="Times New Roman"/>
                <w:sz w:val="20"/>
                <w:szCs w:val="20"/>
              </w:rPr>
              <w:t>Provincial</w:t>
            </w:r>
          </w:p>
        </w:tc>
        <w:tc>
          <w:tcPr>
            <w:tcW w:w="2070" w:type="dxa"/>
            <w:tcMar>
              <w:top w:w="60" w:type="dxa"/>
              <w:left w:w="120" w:type="dxa"/>
              <w:bottom w:w="30" w:type="dxa"/>
              <w:right w:w="120" w:type="dxa"/>
            </w:tcMar>
          </w:tcPr>
          <w:p w14:paraId="6F212C30" w14:textId="77777777" w:rsidR="000621A4" w:rsidRPr="00EA4D6A" w:rsidRDefault="00000000" w:rsidP="009502BA">
            <w:pPr>
              <w:rPr>
                <w:rFonts w:ascii="Times New Roman" w:hAnsi="Times New Roman" w:cs="Times New Roman"/>
                <w:sz w:val="20"/>
                <w:szCs w:val="20"/>
              </w:rPr>
            </w:pPr>
            <w:r w:rsidRPr="00EA4D6A">
              <w:rPr>
                <w:rFonts w:ascii="Times New Roman" w:hAnsi="Times New Roman" w:cs="Times New Roman"/>
                <w:i/>
                <w:sz w:val="20"/>
                <w:szCs w:val="20"/>
              </w:rPr>
              <w:t>Regulations of Hubei Province on Promoting the Development of Tea Industry</w:t>
            </w:r>
            <w:r w:rsidRPr="00EA4D6A">
              <w:rPr>
                <w:rFonts w:ascii="Times New Roman" w:hAnsi="Times New Roman" w:cs="Times New Roman"/>
                <w:sz w:val="20"/>
                <w:szCs w:val="20"/>
              </w:rPr>
              <w:t xml:space="preserve"> (2021)</w:t>
            </w:r>
          </w:p>
        </w:tc>
        <w:tc>
          <w:tcPr>
            <w:tcW w:w="2070" w:type="dxa"/>
            <w:tcMar>
              <w:top w:w="60" w:type="dxa"/>
              <w:left w:w="120" w:type="dxa"/>
              <w:bottom w:w="30" w:type="dxa"/>
              <w:right w:w="120" w:type="dxa"/>
            </w:tcMar>
          </w:tcPr>
          <w:p w14:paraId="66A9276B" w14:textId="77777777" w:rsidR="000621A4" w:rsidRPr="00EA4D6A" w:rsidRDefault="00000000" w:rsidP="009502BA">
            <w:pPr>
              <w:rPr>
                <w:rFonts w:ascii="Times New Roman" w:hAnsi="Times New Roman" w:cs="Times New Roman"/>
                <w:sz w:val="20"/>
                <w:szCs w:val="20"/>
              </w:rPr>
            </w:pPr>
            <w:r w:rsidRPr="00EA4D6A">
              <w:rPr>
                <w:rFonts w:ascii="Times New Roman" w:hAnsi="Times New Roman" w:cs="Times New Roman"/>
                <w:sz w:val="20"/>
                <w:szCs w:val="20"/>
              </w:rPr>
              <w:t>Enhance institutional binding force</w:t>
            </w:r>
          </w:p>
        </w:tc>
        <w:tc>
          <w:tcPr>
            <w:tcW w:w="2070" w:type="dxa"/>
            <w:tcMar>
              <w:top w:w="60" w:type="dxa"/>
              <w:left w:w="120" w:type="dxa"/>
              <w:bottom w:w="30" w:type="dxa"/>
              <w:right w:w="120" w:type="dxa"/>
            </w:tcMar>
          </w:tcPr>
          <w:p w14:paraId="025A28FD" w14:textId="1BD8E10F" w:rsidR="000621A4" w:rsidRPr="00EA4D6A" w:rsidRDefault="00000000" w:rsidP="009502BA">
            <w:pPr>
              <w:rPr>
                <w:rFonts w:ascii="Times New Roman" w:hAnsi="Times New Roman" w:cs="Times New Roman"/>
                <w:sz w:val="20"/>
                <w:szCs w:val="20"/>
              </w:rPr>
            </w:pPr>
            <w:r w:rsidRPr="00EA4D6A">
              <w:rPr>
                <w:rFonts w:ascii="Times New Roman" w:hAnsi="Times New Roman" w:cs="Times New Roman"/>
                <w:sz w:val="20"/>
                <w:szCs w:val="20"/>
              </w:rPr>
              <w:t>China</w:t>
            </w:r>
            <w:r w:rsidR="009502BA" w:rsidRPr="00EA4D6A">
              <w:rPr>
                <w:rFonts w:ascii="Times New Roman" w:hAnsi="Times New Roman" w:cs="Times New Roman"/>
                <w:sz w:val="20"/>
                <w:szCs w:val="20"/>
              </w:rPr>
              <w:t>’</w:t>
            </w:r>
            <w:r w:rsidRPr="00EA4D6A">
              <w:rPr>
                <w:rFonts w:ascii="Times New Roman" w:hAnsi="Times New Roman" w:cs="Times New Roman"/>
                <w:sz w:val="20"/>
                <w:szCs w:val="20"/>
              </w:rPr>
              <w:t>s first provincial tea industry regulation</w:t>
            </w:r>
          </w:p>
        </w:tc>
      </w:tr>
      <w:tr w:rsidR="000621A4" w:rsidRPr="00EA4D6A" w14:paraId="2F55A57E" w14:textId="77777777" w:rsidTr="00EA4D6A">
        <w:tc>
          <w:tcPr>
            <w:tcW w:w="2070" w:type="dxa"/>
            <w:tcMar>
              <w:top w:w="60" w:type="dxa"/>
              <w:left w:w="120" w:type="dxa"/>
              <w:bottom w:w="30" w:type="dxa"/>
              <w:right w:w="120" w:type="dxa"/>
            </w:tcMar>
          </w:tcPr>
          <w:p w14:paraId="3F913EFA" w14:textId="77777777" w:rsidR="000621A4" w:rsidRPr="00EA4D6A" w:rsidRDefault="00000000" w:rsidP="009502BA">
            <w:pPr>
              <w:rPr>
                <w:rFonts w:ascii="Times New Roman" w:hAnsi="Times New Roman" w:cs="Times New Roman"/>
                <w:sz w:val="20"/>
                <w:szCs w:val="20"/>
              </w:rPr>
            </w:pPr>
            <w:r w:rsidRPr="00EA4D6A">
              <w:rPr>
                <w:rFonts w:ascii="Times New Roman" w:hAnsi="Times New Roman" w:cs="Times New Roman"/>
                <w:sz w:val="20"/>
                <w:szCs w:val="20"/>
              </w:rPr>
              <w:t>Prefectural</w:t>
            </w:r>
          </w:p>
        </w:tc>
        <w:tc>
          <w:tcPr>
            <w:tcW w:w="2070" w:type="dxa"/>
            <w:tcMar>
              <w:top w:w="60" w:type="dxa"/>
              <w:left w:w="120" w:type="dxa"/>
              <w:bottom w:w="30" w:type="dxa"/>
              <w:right w:w="120" w:type="dxa"/>
            </w:tcMar>
          </w:tcPr>
          <w:p w14:paraId="4229D0F7" w14:textId="77777777" w:rsidR="000621A4" w:rsidRPr="00EA4D6A" w:rsidRDefault="00000000" w:rsidP="009502BA">
            <w:pPr>
              <w:rPr>
                <w:rFonts w:ascii="Times New Roman" w:hAnsi="Times New Roman" w:cs="Times New Roman"/>
                <w:sz w:val="20"/>
                <w:szCs w:val="20"/>
              </w:rPr>
            </w:pPr>
            <w:r w:rsidRPr="00EA4D6A">
              <w:rPr>
                <w:rFonts w:ascii="Times New Roman" w:hAnsi="Times New Roman" w:cs="Times New Roman"/>
                <w:sz w:val="20"/>
                <w:szCs w:val="20"/>
              </w:rPr>
              <w:t>Three-Year Action Plan for High-Quality Development of Tea Industry</w:t>
            </w:r>
          </w:p>
        </w:tc>
        <w:tc>
          <w:tcPr>
            <w:tcW w:w="2070" w:type="dxa"/>
            <w:tcMar>
              <w:top w:w="60" w:type="dxa"/>
              <w:left w:w="120" w:type="dxa"/>
              <w:bottom w:w="30" w:type="dxa"/>
              <w:right w:w="120" w:type="dxa"/>
            </w:tcMar>
          </w:tcPr>
          <w:p w14:paraId="59426CE5" w14:textId="77777777" w:rsidR="000621A4" w:rsidRPr="00EA4D6A" w:rsidRDefault="00000000" w:rsidP="009502BA">
            <w:pPr>
              <w:rPr>
                <w:rFonts w:ascii="Times New Roman" w:hAnsi="Times New Roman" w:cs="Times New Roman"/>
                <w:sz w:val="20"/>
                <w:szCs w:val="20"/>
              </w:rPr>
            </w:pPr>
            <w:r w:rsidRPr="00EA4D6A">
              <w:rPr>
                <w:rFonts w:ascii="Times New Roman" w:hAnsi="Times New Roman" w:cs="Times New Roman"/>
                <w:sz w:val="20"/>
                <w:szCs w:val="20"/>
              </w:rPr>
              <w:t>Refine operability and quantify development targets</w:t>
            </w:r>
          </w:p>
        </w:tc>
        <w:tc>
          <w:tcPr>
            <w:tcW w:w="2070" w:type="dxa"/>
            <w:tcMar>
              <w:top w:w="60" w:type="dxa"/>
              <w:left w:w="120" w:type="dxa"/>
              <w:bottom w:w="30" w:type="dxa"/>
              <w:right w:w="120" w:type="dxa"/>
            </w:tcMar>
          </w:tcPr>
          <w:p w14:paraId="64586CDF" w14:textId="77777777" w:rsidR="000621A4" w:rsidRPr="00EA4D6A" w:rsidRDefault="00000000" w:rsidP="009502BA">
            <w:pPr>
              <w:rPr>
                <w:rFonts w:ascii="Times New Roman" w:hAnsi="Times New Roman" w:cs="Times New Roman"/>
                <w:sz w:val="20"/>
                <w:szCs w:val="20"/>
              </w:rPr>
            </w:pPr>
            <w:r w:rsidRPr="00EA4D6A">
              <w:rPr>
                <w:rFonts w:ascii="Times New Roman" w:hAnsi="Times New Roman" w:cs="Times New Roman"/>
                <w:sz w:val="20"/>
                <w:szCs w:val="20"/>
              </w:rPr>
              <w:t>Four-in-one governance framework</w:t>
            </w:r>
          </w:p>
        </w:tc>
      </w:tr>
      <w:tr w:rsidR="000621A4" w:rsidRPr="00EA4D6A" w14:paraId="33A62413" w14:textId="77777777" w:rsidTr="00EA4D6A">
        <w:tc>
          <w:tcPr>
            <w:tcW w:w="2070" w:type="dxa"/>
            <w:tcMar>
              <w:top w:w="60" w:type="dxa"/>
              <w:left w:w="120" w:type="dxa"/>
              <w:bottom w:w="30" w:type="dxa"/>
              <w:right w:w="120" w:type="dxa"/>
            </w:tcMar>
          </w:tcPr>
          <w:p w14:paraId="03BA9DA1" w14:textId="77777777" w:rsidR="000621A4" w:rsidRPr="00EA4D6A" w:rsidRDefault="00000000" w:rsidP="009502BA">
            <w:pPr>
              <w:rPr>
                <w:rFonts w:ascii="Times New Roman" w:hAnsi="Times New Roman" w:cs="Times New Roman"/>
                <w:sz w:val="20"/>
                <w:szCs w:val="20"/>
              </w:rPr>
            </w:pPr>
            <w:r w:rsidRPr="00EA4D6A">
              <w:rPr>
                <w:rFonts w:ascii="Times New Roman" w:hAnsi="Times New Roman" w:cs="Times New Roman"/>
                <w:sz w:val="20"/>
                <w:szCs w:val="20"/>
              </w:rPr>
              <w:t>County</w:t>
            </w:r>
          </w:p>
        </w:tc>
        <w:tc>
          <w:tcPr>
            <w:tcW w:w="2070" w:type="dxa"/>
            <w:tcMar>
              <w:top w:w="60" w:type="dxa"/>
              <w:left w:w="120" w:type="dxa"/>
              <w:bottom w:w="30" w:type="dxa"/>
              <w:right w:w="120" w:type="dxa"/>
            </w:tcMar>
          </w:tcPr>
          <w:p w14:paraId="293DEE93" w14:textId="77777777" w:rsidR="000621A4" w:rsidRPr="00EA4D6A" w:rsidRDefault="00000000" w:rsidP="009502BA">
            <w:pPr>
              <w:rPr>
                <w:rFonts w:ascii="Times New Roman" w:hAnsi="Times New Roman" w:cs="Times New Roman"/>
                <w:sz w:val="20"/>
                <w:szCs w:val="20"/>
              </w:rPr>
            </w:pPr>
            <w:r w:rsidRPr="00EA4D6A">
              <w:rPr>
                <w:rFonts w:ascii="Times New Roman" w:hAnsi="Times New Roman" w:cs="Times New Roman"/>
                <w:sz w:val="20"/>
                <w:szCs w:val="20"/>
              </w:rPr>
              <w:t>Administrative Measures for Geographical Indication Protection, Territorial Spatial Planning</w:t>
            </w:r>
          </w:p>
        </w:tc>
        <w:tc>
          <w:tcPr>
            <w:tcW w:w="2070" w:type="dxa"/>
            <w:tcMar>
              <w:top w:w="60" w:type="dxa"/>
              <w:left w:w="120" w:type="dxa"/>
              <w:bottom w:w="30" w:type="dxa"/>
              <w:right w:w="120" w:type="dxa"/>
            </w:tcMar>
          </w:tcPr>
          <w:p w14:paraId="47F64303" w14:textId="77777777" w:rsidR="000621A4" w:rsidRPr="00EA4D6A" w:rsidRDefault="00000000" w:rsidP="009502BA">
            <w:pPr>
              <w:rPr>
                <w:rFonts w:ascii="Times New Roman" w:hAnsi="Times New Roman" w:cs="Times New Roman"/>
                <w:sz w:val="20"/>
                <w:szCs w:val="20"/>
              </w:rPr>
            </w:pPr>
            <w:r w:rsidRPr="00EA4D6A">
              <w:rPr>
                <w:rFonts w:ascii="Times New Roman" w:hAnsi="Times New Roman" w:cs="Times New Roman"/>
                <w:sz w:val="20"/>
                <w:szCs w:val="20"/>
              </w:rPr>
              <w:t>Localized implementation and differentiated management</w:t>
            </w:r>
          </w:p>
        </w:tc>
        <w:tc>
          <w:tcPr>
            <w:tcW w:w="2070" w:type="dxa"/>
            <w:tcMar>
              <w:top w:w="60" w:type="dxa"/>
              <w:left w:w="120" w:type="dxa"/>
              <w:bottom w:w="30" w:type="dxa"/>
              <w:right w:w="120" w:type="dxa"/>
            </w:tcMar>
          </w:tcPr>
          <w:p w14:paraId="4D759A1D" w14:textId="77777777" w:rsidR="000621A4" w:rsidRPr="00EA4D6A" w:rsidRDefault="00000000" w:rsidP="009502BA">
            <w:pPr>
              <w:rPr>
                <w:rFonts w:ascii="Times New Roman" w:hAnsi="Times New Roman" w:cs="Times New Roman"/>
                <w:sz w:val="20"/>
                <w:szCs w:val="20"/>
              </w:rPr>
            </w:pPr>
            <w:r w:rsidRPr="00EA4D6A">
              <w:rPr>
                <w:rFonts w:ascii="Times New Roman" w:hAnsi="Times New Roman" w:cs="Times New Roman"/>
                <w:sz w:val="20"/>
                <w:szCs w:val="20"/>
              </w:rPr>
              <w:t>Classified control of core and extended production zones</w:t>
            </w:r>
          </w:p>
        </w:tc>
      </w:tr>
    </w:tbl>
    <w:p w14:paraId="3FC23EE8" w14:textId="77777777" w:rsidR="003279DC" w:rsidRDefault="003279DC" w:rsidP="009502BA">
      <w:pPr>
        <w:rPr>
          <w:rFonts w:ascii="Times New Roman" w:hAnsi="Times New Roman" w:cs="Times New Roman"/>
          <w:sz w:val="24"/>
          <w:szCs w:val="24"/>
        </w:rPr>
      </w:pPr>
      <w:bookmarkStart w:id="10" w:name="heading_10"/>
    </w:p>
    <w:p w14:paraId="07C2C911" w14:textId="1EA637C0" w:rsidR="000621A4" w:rsidRPr="00EA4D6A" w:rsidRDefault="00000000" w:rsidP="009502BA">
      <w:pPr>
        <w:rPr>
          <w:rFonts w:ascii="Times New Roman" w:hAnsi="Times New Roman" w:cs="Times New Roman"/>
          <w:b/>
          <w:bCs/>
          <w:sz w:val="24"/>
          <w:szCs w:val="24"/>
        </w:rPr>
      </w:pPr>
      <w:r w:rsidRPr="00EA4D6A">
        <w:rPr>
          <w:rFonts w:ascii="Times New Roman" w:hAnsi="Times New Roman" w:cs="Times New Roman"/>
          <w:b/>
          <w:bCs/>
          <w:sz w:val="24"/>
          <w:szCs w:val="24"/>
        </w:rPr>
        <w:t>3.2</w:t>
      </w:r>
      <w:r w:rsidR="003279DC" w:rsidRPr="00EA4D6A">
        <w:rPr>
          <w:rFonts w:ascii="Times New Roman" w:hAnsi="Times New Roman" w:cs="Times New Roman"/>
          <w:b/>
          <w:bCs/>
          <w:sz w:val="24"/>
          <w:szCs w:val="24"/>
        </w:rPr>
        <w:t>.</w:t>
      </w:r>
      <w:r w:rsidRPr="00EA4D6A">
        <w:rPr>
          <w:rFonts w:ascii="Times New Roman" w:hAnsi="Times New Roman" w:cs="Times New Roman"/>
          <w:b/>
          <w:bCs/>
          <w:sz w:val="24"/>
          <w:szCs w:val="24"/>
        </w:rPr>
        <w:t xml:space="preserve"> Resource </w:t>
      </w:r>
      <w:r w:rsidR="003279DC" w:rsidRPr="00EA4D6A">
        <w:rPr>
          <w:rFonts w:ascii="Times New Roman" w:hAnsi="Times New Roman" w:cs="Times New Roman"/>
          <w:b/>
          <w:bCs/>
          <w:sz w:val="24"/>
          <w:szCs w:val="24"/>
        </w:rPr>
        <w:t>alloc</w:t>
      </w:r>
      <w:r w:rsidRPr="00EA4D6A">
        <w:rPr>
          <w:rFonts w:ascii="Times New Roman" w:hAnsi="Times New Roman" w:cs="Times New Roman"/>
          <w:b/>
          <w:bCs/>
          <w:sz w:val="24"/>
          <w:szCs w:val="24"/>
        </w:rPr>
        <w:t>ation</w:t>
      </w:r>
      <w:r w:rsidR="009502BA" w:rsidRPr="00EA4D6A">
        <w:rPr>
          <w:rFonts w:ascii="Times New Roman" w:hAnsi="Times New Roman" w:cs="Times New Roman"/>
          <w:b/>
          <w:bCs/>
          <w:sz w:val="24"/>
          <w:szCs w:val="24"/>
        </w:rPr>
        <w:t>:</w:t>
      </w:r>
      <w:r w:rsidRPr="00EA4D6A">
        <w:rPr>
          <w:rFonts w:ascii="Times New Roman" w:hAnsi="Times New Roman" w:cs="Times New Roman"/>
          <w:b/>
          <w:bCs/>
          <w:sz w:val="24"/>
          <w:szCs w:val="24"/>
        </w:rPr>
        <w:t xml:space="preserve"> Fiscal </w:t>
      </w:r>
      <w:r w:rsidR="003279DC" w:rsidRPr="00EA4D6A">
        <w:rPr>
          <w:rFonts w:ascii="Times New Roman" w:hAnsi="Times New Roman" w:cs="Times New Roman"/>
          <w:b/>
          <w:bCs/>
          <w:sz w:val="24"/>
          <w:szCs w:val="24"/>
        </w:rPr>
        <w:t>funds and project-based operation</w:t>
      </w:r>
      <w:bookmarkEnd w:id="10"/>
    </w:p>
    <w:p w14:paraId="56A854AF" w14:textId="3D75121A" w:rsidR="000621A4" w:rsidRDefault="00000000" w:rsidP="009502BA">
      <w:pPr>
        <w:rPr>
          <w:rFonts w:ascii="Times New Roman" w:hAnsi="Times New Roman" w:cs="Times New Roman"/>
          <w:sz w:val="24"/>
          <w:szCs w:val="24"/>
        </w:rPr>
      </w:pPr>
      <w:r w:rsidRPr="004A29C6">
        <w:rPr>
          <w:rFonts w:ascii="Times New Roman" w:hAnsi="Times New Roman" w:cs="Times New Roman"/>
          <w:sz w:val="24"/>
          <w:szCs w:val="24"/>
        </w:rPr>
        <w:t>Resource allocation is the core means of institutional driving. In accordance with Bourdieu</w:t>
      </w:r>
      <w:r w:rsidR="009502BA" w:rsidRPr="004A29C6">
        <w:rPr>
          <w:rFonts w:ascii="Times New Roman" w:hAnsi="Times New Roman" w:cs="Times New Roman"/>
          <w:sz w:val="24"/>
          <w:szCs w:val="24"/>
        </w:rPr>
        <w:t>’</w:t>
      </w:r>
      <w:r w:rsidRPr="004A29C6">
        <w:rPr>
          <w:rFonts w:ascii="Times New Roman" w:hAnsi="Times New Roman" w:cs="Times New Roman"/>
          <w:sz w:val="24"/>
          <w:szCs w:val="24"/>
        </w:rPr>
        <w:t>s cultural capital theory, fiscal funds are transformed into tea ICH capital through embodied, objective</w:t>
      </w:r>
      <w:r w:rsidR="003279DC">
        <w:rPr>
          <w:rFonts w:ascii="Times New Roman" w:hAnsi="Times New Roman" w:cs="Times New Roman"/>
          <w:sz w:val="24"/>
          <w:szCs w:val="24"/>
        </w:rPr>
        <w:t>,</w:t>
      </w:r>
      <w:r w:rsidRPr="004A29C6">
        <w:rPr>
          <w:rFonts w:ascii="Times New Roman" w:hAnsi="Times New Roman" w:cs="Times New Roman"/>
          <w:sz w:val="24"/>
          <w:szCs w:val="24"/>
        </w:rPr>
        <w:t xml:space="preserve"> and institutionalized forms. In 2023, the prefectural special fund for the tea industry reached 230 million yuan, 30% of which was allocated to ICH protection, distributed through a combination of factor-based allocation and project-based funding. Project carriers fall into three categories</w:t>
      </w:r>
      <w:r w:rsidR="009502BA" w:rsidRPr="004A29C6">
        <w:rPr>
          <w:rFonts w:ascii="Times New Roman" w:hAnsi="Times New Roman" w:cs="Times New Roman"/>
          <w:sz w:val="24"/>
          <w:szCs w:val="24"/>
        </w:rPr>
        <w:t>:</w:t>
      </w:r>
      <w:r w:rsidRPr="004A29C6">
        <w:rPr>
          <w:rFonts w:ascii="Times New Roman" w:hAnsi="Times New Roman" w:cs="Times New Roman"/>
          <w:sz w:val="24"/>
          <w:szCs w:val="24"/>
        </w:rPr>
        <w:t xml:space="preserve"> infrastructure projects (35 million yuan for the Enshi Yulu Inheritance Museum), inheritor training projects (500,000 yuan subsidies for national-level inheritor studios), and industrial integration projects (30%</w:t>
      </w:r>
      <w:r w:rsidR="003279DC">
        <w:rPr>
          <w:rFonts w:ascii="Times New Roman" w:hAnsi="Times New Roman" w:cs="Times New Roman"/>
          <w:sz w:val="24"/>
          <w:szCs w:val="24"/>
        </w:rPr>
        <w:t>–</w:t>
      </w:r>
      <w:r w:rsidRPr="004A29C6">
        <w:rPr>
          <w:rFonts w:ascii="Times New Roman" w:hAnsi="Times New Roman" w:cs="Times New Roman"/>
          <w:sz w:val="24"/>
          <w:szCs w:val="24"/>
        </w:rPr>
        <w:t xml:space="preserve">50% reward subsidies based on investment volume). The interest rate of </w:t>
      </w:r>
      <w:r w:rsidR="009502BA" w:rsidRPr="004A29C6">
        <w:rPr>
          <w:rFonts w:ascii="Times New Roman" w:hAnsi="Times New Roman" w:cs="Times New Roman"/>
          <w:sz w:val="24"/>
          <w:szCs w:val="24"/>
        </w:rPr>
        <w:t>“</w:t>
      </w:r>
      <w:r w:rsidRPr="004A29C6">
        <w:rPr>
          <w:rFonts w:ascii="Times New Roman" w:hAnsi="Times New Roman" w:cs="Times New Roman"/>
          <w:sz w:val="24"/>
          <w:szCs w:val="24"/>
        </w:rPr>
        <w:t>ICH loans</w:t>
      </w:r>
      <w:r w:rsidR="009502BA" w:rsidRPr="004A29C6">
        <w:rPr>
          <w:rFonts w:ascii="Times New Roman" w:hAnsi="Times New Roman" w:cs="Times New Roman"/>
          <w:sz w:val="24"/>
          <w:szCs w:val="24"/>
        </w:rPr>
        <w:t>”</w:t>
      </w:r>
      <w:r w:rsidRPr="004A29C6">
        <w:rPr>
          <w:rFonts w:ascii="Times New Roman" w:hAnsi="Times New Roman" w:cs="Times New Roman"/>
          <w:sz w:val="24"/>
          <w:szCs w:val="24"/>
        </w:rPr>
        <w:t xml:space="preserve"> is reduced by 20%, with 120 million yuan issued in 2023.</w:t>
      </w:r>
    </w:p>
    <w:p w14:paraId="17F7579E" w14:textId="77777777" w:rsidR="003279DC" w:rsidRPr="004A29C6" w:rsidRDefault="003279DC" w:rsidP="009502BA">
      <w:pPr>
        <w:rPr>
          <w:rFonts w:ascii="Times New Roman" w:hAnsi="Times New Roman" w:cs="Times New Roman"/>
          <w:sz w:val="24"/>
          <w:szCs w:val="24"/>
        </w:rPr>
      </w:pPr>
    </w:p>
    <w:p w14:paraId="12C5B0AB" w14:textId="334EBB5F" w:rsidR="000621A4" w:rsidRPr="00EA4D6A" w:rsidRDefault="00000000" w:rsidP="009502BA">
      <w:pPr>
        <w:rPr>
          <w:rFonts w:ascii="Times New Roman" w:hAnsi="Times New Roman" w:cs="Times New Roman"/>
          <w:b/>
          <w:bCs/>
          <w:sz w:val="24"/>
          <w:szCs w:val="24"/>
        </w:rPr>
      </w:pPr>
      <w:bookmarkStart w:id="11" w:name="heading_11"/>
      <w:r w:rsidRPr="00EA4D6A">
        <w:rPr>
          <w:rFonts w:ascii="Times New Roman" w:hAnsi="Times New Roman" w:cs="Times New Roman"/>
          <w:b/>
          <w:bCs/>
          <w:sz w:val="24"/>
          <w:szCs w:val="24"/>
        </w:rPr>
        <w:lastRenderedPageBreak/>
        <w:t>3.3</w:t>
      </w:r>
      <w:r w:rsidR="003279DC">
        <w:rPr>
          <w:rFonts w:ascii="Times New Roman" w:hAnsi="Times New Roman" w:cs="Times New Roman"/>
          <w:b/>
          <w:bCs/>
          <w:sz w:val="24"/>
          <w:szCs w:val="24"/>
        </w:rPr>
        <w:t>.</w:t>
      </w:r>
      <w:r w:rsidRPr="00EA4D6A">
        <w:rPr>
          <w:rFonts w:ascii="Times New Roman" w:hAnsi="Times New Roman" w:cs="Times New Roman"/>
          <w:b/>
          <w:bCs/>
          <w:sz w:val="24"/>
          <w:szCs w:val="24"/>
        </w:rPr>
        <w:t xml:space="preserve"> Governance </w:t>
      </w:r>
      <w:r w:rsidR="003279DC" w:rsidRPr="00EA4D6A">
        <w:rPr>
          <w:rFonts w:ascii="Times New Roman" w:hAnsi="Times New Roman" w:cs="Times New Roman"/>
          <w:b/>
          <w:bCs/>
          <w:sz w:val="24"/>
          <w:szCs w:val="24"/>
        </w:rPr>
        <w:t>inno</w:t>
      </w:r>
      <w:r w:rsidRPr="00EA4D6A">
        <w:rPr>
          <w:rFonts w:ascii="Times New Roman" w:hAnsi="Times New Roman" w:cs="Times New Roman"/>
          <w:b/>
          <w:bCs/>
          <w:sz w:val="24"/>
          <w:szCs w:val="24"/>
        </w:rPr>
        <w:t>vation</w:t>
      </w:r>
      <w:r w:rsidR="009502BA" w:rsidRPr="00EA4D6A">
        <w:rPr>
          <w:rFonts w:ascii="Times New Roman" w:hAnsi="Times New Roman" w:cs="Times New Roman"/>
          <w:b/>
          <w:bCs/>
          <w:sz w:val="24"/>
          <w:szCs w:val="24"/>
        </w:rPr>
        <w:t>:</w:t>
      </w:r>
      <w:r w:rsidRPr="00EA4D6A">
        <w:rPr>
          <w:rFonts w:ascii="Times New Roman" w:hAnsi="Times New Roman" w:cs="Times New Roman"/>
          <w:b/>
          <w:bCs/>
          <w:sz w:val="24"/>
          <w:szCs w:val="24"/>
        </w:rPr>
        <w:t xml:space="preserve"> Coordination </w:t>
      </w:r>
      <w:r w:rsidR="003279DC" w:rsidRPr="00EA4D6A">
        <w:rPr>
          <w:rFonts w:ascii="Times New Roman" w:hAnsi="Times New Roman" w:cs="Times New Roman"/>
          <w:b/>
          <w:bCs/>
          <w:sz w:val="24"/>
          <w:szCs w:val="24"/>
        </w:rPr>
        <w:t>mechanism and multi-stakeholder participation</w:t>
      </w:r>
      <w:bookmarkEnd w:id="11"/>
    </w:p>
    <w:p w14:paraId="45174399" w14:textId="4F444BDE" w:rsidR="000621A4" w:rsidRDefault="00000000" w:rsidP="009502BA">
      <w:pPr>
        <w:rPr>
          <w:rFonts w:ascii="Times New Roman" w:hAnsi="Times New Roman" w:cs="Times New Roman"/>
          <w:sz w:val="24"/>
          <w:szCs w:val="24"/>
        </w:rPr>
      </w:pPr>
      <w:r w:rsidRPr="004A29C6">
        <w:rPr>
          <w:rFonts w:ascii="Times New Roman" w:hAnsi="Times New Roman" w:cs="Times New Roman"/>
          <w:sz w:val="24"/>
          <w:szCs w:val="24"/>
        </w:rPr>
        <w:t>Governance innovation guarantees the efficiency of institutional driving. A prefectural tea industry joint meeting mechanism was established in 2019, presided over by the vice prefect in charge and attended by departments of culture and tourism, agriculture and market supervision, with quarterly coordination conferences to address major issues. In 2022, a four-tier tea chief system (prefecture-county-township-village) was modeled after the river chief system, incorporating ICH protection into assessment indicators accounting for 15% of the total tea industry evaluation score. An expert advisory group of 12 specialists</w:t>
      </w:r>
      <w:r w:rsidR="003279DC">
        <w:rPr>
          <w:rFonts w:ascii="Times New Roman" w:hAnsi="Times New Roman" w:cs="Times New Roman"/>
          <w:sz w:val="24"/>
          <w:szCs w:val="24"/>
        </w:rPr>
        <w:t>, including researchers from the China Tea Research Institute,</w:t>
      </w:r>
      <w:r w:rsidRPr="004A29C6">
        <w:rPr>
          <w:rFonts w:ascii="Times New Roman" w:hAnsi="Times New Roman" w:cs="Times New Roman"/>
          <w:sz w:val="24"/>
          <w:szCs w:val="24"/>
        </w:rPr>
        <w:t xml:space="preserve"> was recruited, adopting a chief expert system with Yang Shengwei serving as the chief expert for Enshi Yulu.</w:t>
      </w:r>
    </w:p>
    <w:p w14:paraId="4D6CC19D" w14:textId="77777777" w:rsidR="003279DC" w:rsidRPr="004A29C6" w:rsidRDefault="003279DC" w:rsidP="009502BA">
      <w:pPr>
        <w:rPr>
          <w:rFonts w:ascii="Times New Roman" w:hAnsi="Times New Roman" w:cs="Times New Roman"/>
          <w:sz w:val="24"/>
          <w:szCs w:val="24"/>
        </w:rPr>
      </w:pPr>
    </w:p>
    <w:p w14:paraId="28891641" w14:textId="7DE17BED" w:rsidR="000621A4" w:rsidRPr="00EA4D6A" w:rsidRDefault="00000000" w:rsidP="009502BA">
      <w:pPr>
        <w:rPr>
          <w:rFonts w:ascii="Times New Roman" w:hAnsi="Times New Roman" w:cs="Times New Roman"/>
          <w:b/>
          <w:bCs/>
          <w:sz w:val="24"/>
          <w:szCs w:val="24"/>
        </w:rPr>
      </w:pPr>
      <w:bookmarkStart w:id="12" w:name="heading_12"/>
      <w:r w:rsidRPr="00EA4D6A">
        <w:rPr>
          <w:rFonts w:ascii="Times New Roman" w:hAnsi="Times New Roman" w:cs="Times New Roman"/>
          <w:b/>
          <w:bCs/>
          <w:sz w:val="24"/>
          <w:szCs w:val="24"/>
        </w:rPr>
        <w:t>3.4</w:t>
      </w:r>
      <w:r w:rsidR="003279DC" w:rsidRPr="00EA4D6A">
        <w:rPr>
          <w:rFonts w:ascii="Times New Roman" w:hAnsi="Times New Roman" w:cs="Times New Roman"/>
          <w:b/>
          <w:bCs/>
          <w:sz w:val="24"/>
          <w:szCs w:val="24"/>
        </w:rPr>
        <w:t>.</w:t>
      </w:r>
      <w:r w:rsidRPr="00EA4D6A">
        <w:rPr>
          <w:rFonts w:ascii="Times New Roman" w:hAnsi="Times New Roman" w:cs="Times New Roman"/>
          <w:b/>
          <w:bCs/>
          <w:sz w:val="24"/>
          <w:szCs w:val="24"/>
        </w:rPr>
        <w:t xml:space="preserve"> Coupling </w:t>
      </w:r>
      <w:r w:rsidR="003279DC" w:rsidRPr="00EA4D6A">
        <w:rPr>
          <w:rFonts w:ascii="Times New Roman" w:hAnsi="Times New Roman" w:cs="Times New Roman"/>
          <w:b/>
          <w:bCs/>
          <w:sz w:val="24"/>
          <w:szCs w:val="24"/>
        </w:rPr>
        <w:t>mechanism of the three layers</w:t>
      </w:r>
      <w:bookmarkEnd w:id="12"/>
    </w:p>
    <w:p w14:paraId="2E279501" w14:textId="0A1F72B2" w:rsidR="000621A4" w:rsidRDefault="00000000" w:rsidP="009502BA">
      <w:pPr>
        <w:rPr>
          <w:rFonts w:ascii="Times New Roman" w:hAnsi="Times New Roman" w:cs="Times New Roman"/>
          <w:sz w:val="24"/>
          <w:szCs w:val="24"/>
        </w:rPr>
      </w:pPr>
      <w:r w:rsidRPr="004A29C6">
        <w:rPr>
          <w:rFonts w:ascii="Times New Roman" w:hAnsi="Times New Roman" w:cs="Times New Roman"/>
          <w:sz w:val="24"/>
          <w:szCs w:val="24"/>
        </w:rPr>
        <w:t>The above three layers form a coordinated coupling system of interrelated and interactive institutional supply, resource allocation</w:t>
      </w:r>
      <w:r w:rsidR="003279DC">
        <w:rPr>
          <w:rFonts w:ascii="Times New Roman" w:hAnsi="Times New Roman" w:cs="Times New Roman"/>
          <w:sz w:val="24"/>
          <w:szCs w:val="24"/>
        </w:rPr>
        <w:t>,</w:t>
      </w:r>
      <w:r w:rsidRPr="004A29C6">
        <w:rPr>
          <w:rFonts w:ascii="Times New Roman" w:hAnsi="Times New Roman" w:cs="Times New Roman"/>
          <w:sz w:val="24"/>
          <w:szCs w:val="24"/>
        </w:rPr>
        <w:t xml:space="preserve"> and governance innovation (</w:t>
      </w:r>
      <w:r w:rsidRPr="00EA4D6A">
        <w:rPr>
          <w:rFonts w:ascii="Times New Roman" w:hAnsi="Times New Roman" w:cs="Times New Roman"/>
          <w:b/>
          <w:bCs/>
          <w:sz w:val="24"/>
          <w:szCs w:val="24"/>
        </w:rPr>
        <w:t>Figure 1</w:t>
      </w:r>
      <w:r w:rsidRPr="004A29C6">
        <w:rPr>
          <w:rFonts w:ascii="Times New Roman" w:hAnsi="Times New Roman" w:cs="Times New Roman"/>
          <w:sz w:val="24"/>
          <w:szCs w:val="24"/>
        </w:rPr>
        <w:t>). Institutional supply establishes rule frameworks and grants legitimacy to resource allocation</w:t>
      </w:r>
      <w:r w:rsidR="009502BA" w:rsidRPr="004A29C6">
        <w:rPr>
          <w:rFonts w:ascii="Times New Roman" w:hAnsi="Times New Roman" w:cs="Times New Roman"/>
          <w:sz w:val="24"/>
          <w:szCs w:val="24"/>
        </w:rPr>
        <w:t>;</w:t>
      </w:r>
      <w:r w:rsidRPr="004A29C6">
        <w:rPr>
          <w:rFonts w:ascii="Times New Roman" w:hAnsi="Times New Roman" w:cs="Times New Roman"/>
          <w:sz w:val="24"/>
          <w:szCs w:val="24"/>
        </w:rPr>
        <w:t xml:space="preserve"> resource allocation translates institutional intentions into material carriers</w:t>
      </w:r>
      <w:r w:rsidR="009502BA" w:rsidRPr="004A29C6">
        <w:rPr>
          <w:rFonts w:ascii="Times New Roman" w:hAnsi="Times New Roman" w:cs="Times New Roman"/>
          <w:sz w:val="24"/>
          <w:szCs w:val="24"/>
        </w:rPr>
        <w:t>;</w:t>
      </w:r>
      <w:r w:rsidRPr="004A29C6">
        <w:rPr>
          <w:rFonts w:ascii="Times New Roman" w:hAnsi="Times New Roman" w:cs="Times New Roman"/>
          <w:sz w:val="24"/>
          <w:szCs w:val="24"/>
        </w:rPr>
        <w:t xml:space="preserve"> governance innovation optimizes institutional planning through feedback adjustment. Interconnected and mutually reinforcing, the three layers jointly constitute the institutional driving dynamic system for tea ICH industrialization.</w:t>
      </w:r>
    </w:p>
    <w:p w14:paraId="1EE76D36" w14:textId="77777777" w:rsidR="003279DC" w:rsidRPr="004A29C6" w:rsidRDefault="003279DC" w:rsidP="009502BA">
      <w:pPr>
        <w:rPr>
          <w:rFonts w:ascii="Times New Roman" w:hAnsi="Times New Roman" w:cs="Times New Roman"/>
          <w:sz w:val="24"/>
          <w:szCs w:val="24"/>
        </w:rPr>
      </w:pPr>
    </w:p>
    <w:p w14:paraId="7C250D9B" w14:textId="09944C14" w:rsidR="000621A4" w:rsidRPr="00EA4D6A" w:rsidRDefault="00000000" w:rsidP="003279DC">
      <w:pPr>
        <w:jc w:val="center"/>
        <w:rPr>
          <w:rFonts w:ascii="Times New Roman" w:hAnsi="Times New Roman" w:cs="Times New Roman"/>
          <w:sz w:val="20"/>
          <w:szCs w:val="20"/>
        </w:rPr>
      </w:pPr>
      <w:r w:rsidRPr="00EA4D6A">
        <w:rPr>
          <w:rFonts w:ascii="Times New Roman" w:hAnsi="Times New Roman" w:cs="Times New Roman"/>
          <w:noProof/>
          <w:sz w:val="24"/>
          <w:szCs w:val="24"/>
        </w:rPr>
        <w:drawing>
          <wp:inline distT="0" distB="0" distL="114300" distR="114300" wp14:anchorId="5459FD7B" wp14:editId="1B5E2D41">
            <wp:extent cx="5262880" cy="2355215"/>
            <wp:effectExtent l="0" t="0" r="13970" b="698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7"/>
                    <a:stretch>
                      <a:fillRect/>
                    </a:stretch>
                  </pic:blipFill>
                  <pic:spPr>
                    <a:xfrm>
                      <a:off x="0" y="0"/>
                      <a:ext cx="5262880" cy="2355215"/>
                    </a:xfrm>
                    <a:prstGeom prst="rect">
                      <a:avLst/>
                    </a:prstGeom>
                    <a:noFill/>
                    <a:ln>
                      <a:noFill/>
                    </a:ln>
                  </pic:spPr>
                </pic:pic>
              </a:graphicData>
            </a:graphic>
          </wp:inline>
        </w:drawing>
      </w:r>
      <w:r w:rsidRPr="004A29C6">
        <w:rPr>
          <w:rFonts w:ascii="Times New Roman" w:hAnsi="Times New Roman" w:cs="Times New Roman"/>
          <w:sz w:val="24"/>
          <w:szCs w:val="24"/>
        </w:rPr>
        <w:br/>
      </w:r>
      <w:r w:rsidR="003279DC" w:rsidRPr="00EA4D6A">
        <w:rPr>
          <w:rFonts w:ascii="Times New Roman" w:hAnsi="Times New Roman" w:cs="Times New Roman"/>
          <w:b/>
          <w:bCs/>
          <w:sz w:val="20"/>
          <w:szCs w:val="20"/>
        </w:rPr>
        <w:t>Figure 1</w:t>
      </w:r>
      <w:r w:rsidR="003279DC" w:rsidRPr="00EA4D6A">
        <w:rPr>
          <w:rFonts w:ascii="Times New Roman" w:hAnsi="Times New Roman" w:cs="Times New Roman"/>
          <w:sz w:val="20"/>
          <w:szCs w:val="20"/>
        </w:rPr>
        <w:t>. Schematic diagram of coupling mechanism</w:t>
      </w:r>
    </w:p>
    <w:p w14:paraId="600B3D2F" w14:textId="77777777" w:rsidR="003279DC" w:rsidRPr="004A29C6" w:rsidRDefault="003279DC" w:rsidP="00EA4D6A">
      <w:pPr>
        <w:jc w:val="center"/>
        <w:rPr>
          <w:rFonts w:ascii="Times New Roman" w:hAnsi="Times New Roman" w:cs="Times New Roman"/>
          <w:sz w:val="24"/>
          <w:szCs w:val="24"/>
        </w:rPr>
      </w:pPr>
    </w:p>
    <w:p w14:paraId="3487E5A6" w14:textId="1937606D" w:rsidR="000621A4" w:rsidRPr="00EA4D6A" w:rsidRDefault="00000000" w:rsidP="009502BA">
      <w:pPr>
        <w:rPr>
          <w:rFonts w:ascii="Times New Roman" w:hAnsi="Times New Roman" w:cs="Times New Roman"/>
          <w:b/>
          <w:bCs/>
          <w:sz w:val="24"/>
          <w:szCs w:val="24"/>
        </w:rPr>
      </w:pPr>
      <w:bookmarkStart w:id="13" w:name="heading_13"/>
      <w:r w:rsidRPr="00EA4D6A">
        <w:rPr>
          <w:rFonts w:ascii="Times New Roman" w:hAnsi="Times New Roman" w:cs="Times New Roman"/>
          <w:b/>
          <w:bCs/>
          <w:sz w:val="24"/>
          <w:szCs w:val="24"/>
        </w:rPr>
        <w:t>4</w:t>
      </w:r>
      <w:r w:rsidR="003279DC" w:rsidRPr="00EA4D6A">
        <w:rPr>
          <w:rFonts w:ascii="Times New Roman" w:hAnsi="Times New Roman" w:cs="Times New Roman"/>
          <w:b/>
          <w:bCs/>
          <w:sz w:val="24"/>
          <w:szCs w:val="24"/>
        </w:rPr>
        <w:t xml:space="preserve">. </w:t>
      </w:r>
      <w:r w:rsidRPr="00EA4D6A">
        <w:rPr>
          <w:rFonts w:ascii="Times New Roman" w:hAnsi="Times New Roman" w:cs="Times New Roman"/>
          <w:b/>
          <w:bCs/>
          <w:sz w:val="24"/>
          <w:szCs w:val="24"/>
        </w:rPr>
        <w:t xml:space="preserve">Practical </w:t>
      </w:r>
      <w:r w:rsidR="003279DC" w:rsidRPr="00EA4D6A">
        <w:rPr>
          <w:rFonts w:ascii="Times New Roman" w:hAnsi="Times New Roman" w:cs="Times New Roman"/>
          <w:b/>
          <w:bCs/>
          <w:sz w:val="24"/>
          <w:szCs w:val="24"/>
        </w:rPr>
        <w:t xml:space="preserve">paths of tea </w:t>
      </w:r>
      <w:r w:rsidRPr="00EA4D6A">
        <w:rPr>
          <w:rFonts w:ascii="Times New Roman" w:hAnsi="Times New Roman" w:cs="Times New Roman"/>
          <w:b/>
          <w:bCs/>
          <w:sz w:val="24"/>
          <w:szCs w:val="24"/>
        </w:rPr>
        <w:t xml:space="preserve">ICH </w:t>
      </w:r>
      <w:r w:rsidR="003279DC" w:rsidRPr="00EA4D6A">
        <w:rPr>
          <w:rFonts w:ascii="Times New Roman" w:hAnsi="Times New Roman" w:cs="Times New Roman"/>
          <w:b/>
          <w:bCs/>
          <w:sz w:val="24"/>
          <w:szCs w:val="24"/>
        </w:rPr>
        <w:t>industr</w:t>
      </w:r>
      <w:r w:rsidRPr="00EA4D6A">
        <w:rPr>
          <w:rFonts w:ascii="Times New Roman" w:hAnsi="Times New Roman" w:cs="Times New Roman"/>
          <w:b/>
          <w:bCs/>
          <w:sz w:val="24"/>
          <w:szCs w:val="24"/>
        </w:rPr>
        <w:t>ialization in Enshi</w:t>
      </w:r>
      <w:r w:rsidR="003279DC" w:rsidRPr="00EA4D6A">
        <w:rPr>
          <w:rFonts w:ascii="Times New Roman" w:hAnsi="Times New Roman" w:cs="Times New Roman"/>
          <w:b/>
          <w:bCs/>
          <w:sz w:val="24"/>
          <w:szCs w:val="24"/>
        </w:rPr>
        <w:t xml:space="preserve"> driven by institutions</w:t>
      </w:r>
      <w:bookmarkEnd w:id="13"/>
    </w:p>
    <w:p w14:paraId="5C81F256" w14:textId="6F51EA0C" w:rsidR="000621A4" w:rsidRPr="004A29C6" w:rsidRDefault="00000000" w:rsidP="009502BA">
      <w:pPr>
        <w:rPr>
          <w:rFonts w:ascii="Times New Roman" w:hAnsi="Times New Roman" w:cs="Times New Roman"/>
          <w:sz w:val="24"/>
          <w:szCs w:val="24"/>
        </w:rPr>
      </w:pPr>
      <w:r w:rsidRPr="004A29C6">
        <w:rPr>
          <w:rFonts w:ascii="Times New Roman" w:hAnsi="Times New Roman" w:cs="Times New Roman"/>
          <w:sz w:val="24"/>
          <w:szCs w:val="24"/>
        </w:rPr>
        <w:t xml:space="preserve">The institutional driving mechanism is translated into industrial practices through specific paths. Based on agricultural industrial chain theory and cultural capital transformation theory, this chapter illustrates the four-dimensional path system of </w:t>
      </w:r>
      <w:r w:rsidR="009502BA" w:rsidRPr="004A29C6">
        <w:rPr>
          <w:rFonts w:ascii="Times New Roman" w:hAnsi="Times New Roman" w:cs="Times New Roman"/>
          <w:sz w:val="24"/>
          <w:szCs w:val="24"/>
        </w:rPr>
        <w:t>“</w:t>
      </w:r>
      <w:r w:rsidRPr="004A29C6">
        <w:rPr>
          <w:rFonts w:ascii="Times New Roman" w:hAnsi="Times New Roman" w:cs="Times New Roman"/>
          <w:sz w:val="24"/>
          <w:szCs w:val="24"/>
        </w:rPr>
        <w:t>spatial reconstruction, industrial integration, factor activation and subject cultivation</w:t>
      </w:r>
      <w:r w:rsidR="009502BA" w:rsidRPr="004A29C6">
        <w:rPr>
          <w:rFonts w:ascii="Times New Roman" w:hAnsi="Times New Roman" w:cs="Times New Roman"/>
          <w:sz w:val="24"/>
          <w:szCs w:val="24"/>
        </w:rPr>
        <w:t>.”</w:t>
      </w:r>
    </w:p>
    <w:p w14:paraId="29B99E7C" w14:textId="77777777" w:rsidR="003279DC" w:rsidRDefault="003279DC" w:rsidP="009502BA">
      <w:pPr>
        <w:rPr>
          <w:rFonts w:ascii="Times New Roman" w:hAnsi="Times New Roman" w:cs="Times New Roman"/>
          <w:sz w:val="24"/>
          <w:szCs w:val="24"/>
        </w:rPr>
      </w:pPr>
      <w:bookmarkStart w:id="14" w:name="heading_14"/>
    </w:p>
    <w:p w14:paraId="003AAFB4" w14:textId="3157332B" w:rsidR="000621A4" w:rsidRPr="00EA4D6A" w:rsidRDefault="00000000" w:rsidP="009502BA">
      <w:pPr>
        <w:rPr>
          <w:rFonts w:ascii="Times New Roman" w:hAnsi="Times New Roman" w:cs="Times New Roman"/>
          <w:b/>
          <w:bCs/>
          <w:sz w:val="24"/>
          <w:szCs w:val="24"/>
        </w:rPr>
      </w:pPr>
      <w:r w:rsidRPr="00EA4D6A">
        <w:rPr>
          <w:rFonts w:ascii="Times New Roman" w:hAnsi="Times New Roman" w:cs="Times New Roman"/>
          <w:b/>
          <w:bCs/>
          <w:sz w:val="24"/>
          <w:szCs w:val="24"/>
        </w:rPr>
        <w:t>4.1</w:t>
      </w:r>
      <w:r w:rsidR="003279DC" w:rsidRPr="00EA4D6A">
        <w:rPr>
          <w:rFonts w:ascii="Times New Roman" w:hAnsi="Times New Roman" w:cs="Times New Roman"/>
          <w:b/>
          <w:bCs/>
          <w:sz w:val="24"/>
          <w:szCs w:val="24"/>
        </w:rPr>
        <w:t>.</w:t>
      </w:r>
      <w:r w:rsidRPr="00EA4D6A">
        <w:rPr>
          <w:rFonts w:ascii="Times New Roman" w:hAnsi="Times New Roman" w:cs="Times New Roman"/>
          <w:b/>
          <w:bCs/>
          <w:sz w:val="24"/>
          <w:szCs w:val="24"/>
        </w:rPr>
        <w:t xml:space="preserve"> Spatial </w:t>
      </w:r>
      <w:r w:rsidR="003279DC" w:rsidRPr="00EA4D6A">
        <w:rPr>
          <w:rFonts w:ascii="Times New Roman" w:hAnsi="Times New Roman" w:cs="Times New Roman"/>
          <w:b/>
          <w:bCs/>
          <w:sz w:val="24"/>
          <w:szCs w:val="24"/>
        </w:rPr>
        <w:t>production path</w:t>
      </w:r>
      <w:r w:rsidR="009502BA" w:rsidRPr="00EA4D6A">
        <w:rPr>
          <w:rFonts w:ascii="Times New Roman" w:hAnsi="Times New Roman" w:cs="Times New Roman"/>
          <w:b/>
          <w:bCs/>
          <w:sz w:val="24"/>
          <w:szCs w:val="24"/>
        </w:rPr>
        <w:t>:</w:t>
      </w:r>
      <w:r w:rsidRPr="00EA4D6A">
        <w:rPr>
          <w:rFonts w:ascii="Times New Roman" w:hAnsi="Times New Roman" w:cs="Times New Roman"/>
          <w:b/>
          <w:bCs/>
          <w:sz w:val="24"/>
          <w:szCs w:val="24"/>
        </w:rPr>
        <w:t xml:space="preserve"> Reconstruction</w:t>
      </w:r>
      <w:r w:rsidR="003279DC" w:rsidRPr="00EA4D6A">
        <w:rPr>
          <w:rFonts w:ascii="Times New Roman" w:hAnsi="Times New Roman" w:cs="Times New Roman"/>
          <w:b/>
          <w:bCs/>
          <w:sz w:val="24"/>
          <w:szCs w:val="24"/>
        </w:rPr>
        <w:t xml:space="preserve"> of tea cultural geography</w:t>
      </w:r>
      <w:bookmarkEnd w:id="14"/>
    </w:p>
    <w:p w14:paraId="6673336D" w14:textId="2434799F" w:rsidR="000621A4" w:rsidRDefault="00000000" w:rsidP="009502BA">
      <w:pPr>
        <w:rPr>
          <w:rFonts w:ascii="Times New Roman" w:hAnsi="Times New Roman" w:cs="Times New Roman"/>
          <w:sz w:val="24"/>
          <w:szCs w:val="24"/>
        </w:rPr>
      </w:pPr>
      <w:r w:rsidRPr="004A29C6">
        <w:rPr>
          <w:rFonts w:ascii="Times New Roman" w:hAnsi="Times New Roman" w:cs="Times New Roman"/>
          <w:sz w:val="24"/>
          <w:szCs w:val="24"/>
        </w:rPr>
        <w:t xml:space="preserve">Space acts as the carrier and industrialization field of tea ICH. Enshi Prefecture realizes productive transformation of cultural spaces through planning guidance and landscape construction. The spatial layout of </w:t>
      </w:r>
      <w:r w:rsidR="009502BA" w:rsidRPr="004A29C6">
        <w:rPr>
          <w:rFonts w:ascii="Times New Roman" w:hAnsi="Times New Roman" w:cs="Times New Roman"/>
          <w:sz w:val="24"/>
          <w:szCs w:val="24"/>
        </w:rPr>
        <w:t>“</w:t>
      </w:r>
      <w:r w:rsidRPr="004A29C6">
        <w:rPr>
          <w:rFonts w:ascii="Times New Roman" w:hAnsi="Times New Roman" w:cs="Times New Roman"/>
          <w:sz w:val="24"/>
          <w:szCs w:val="24"/>
        </w:rPr>
        <w:t>One Core, Three Belts</w:t>
      </w:r>
      <w:r w:rsidR="009502BA" w:rsidRPr="004A29C6">
        <w:rPr>
          <w:rFonts w:ascii="Times New Roman" w:hAnsi="Times New Roman" w:cs="Times New Roman"/>
          <w:sz w:val="24"/>
          <w:szCs w:val="24"/>
        </w:rPr>
        <w:t>”</w:t>
      </w:r>
      <w:r w:rsidRPr="004A29C6">
        <w:rPr>
          <w:rFonts w:ascii="Times New Roman" w:hAnsi="Times New Roman" w:cs="Times New Roman"/>
          <w:sz w:val="24"/>
          <w:szCs w:val="24"/>
        </w:rPr>
        <w:t xml:space="preserve"> is defined in the </w:t>
      </w:r>
      <w:r w:rsidRPr="004A29C6">
        <w:rPr>
          <w:rFonts w:ascii="Times New Roman" w:hAnsi="Times New Roman" w:cs="Times New Roman"/>
          <w:i/>
          <w:sz w:val="24"/>
          <w:szCs w:val="24"/>
        </w:rPr>
        <w:t>Enshi Prefecture Tea Cultural Space Protection Plan (2021-2035)</w:t>
      </w:r>
      <w:r w:rsidR="009502BA" w:rsidRPr="004A29C6">
        <w:rPr>
          <w:rFonts w:ascii="Times New Roman" w:hAnsi="Times New Roman" w:cs="Times New Roman"/>
          <w:sz w:val="24"/>
          <w:szCs w:val="24"/>
        </w:rPr>
        <w:t>:</w:t>
      </w:r>
      <w:r w:rsidRPr="004A29C6">
        <w:rPr>
          <w:rFonts w:ascii="Times New Roman" w:hAnsi="Times New Roman" w:cs="Times New Roman"/>
          <w:sz w:val="24"/>
          <w:szCs w:val="24"/>
        </w:rPr>
        <w:t xml:space="preserve"> one core (Enshi Yulu Cultural Industrial Park covering 1,200 mu, receiving 850,000 tourists in 2023), Yihong Black Tea Cultural Belt, Vine Tea Cultural Belt and Selenium-rich Tea Industrial Belt. The </w:t>
      </w:r>
      <w:r w:rsidR="009502BA" w:rsidRPr="004A29C6">
        <w:rPr>
          <w:rFonts w:ascii="Times New Roman" w:hAnsi="Times New Roman" w:cs="Times New Roman"/>
          <w:sz w:val="24"/>
          <w:szCs w:val="24"/>
        </w:rPr>
        <w:t>“</w:t>
      </w:r>
      <w:r w:rsidRPr="004A29C6">
        <w:rPr>
          <w:rFonts w:ascii="Times New Roman" w:hAnsi="Times New Roman" w:cs="Times New Roman"/>
          <w:sz w:val="24"/>
          <w:szCs w:val="24"/>
        </w:rPr>
        <w:t>Tea Wharf</w:t>
      </w:r>
      <w:r w:rsidR="009502BA" w:rsidRPr="004A29C6">
        <w:rPr>
          <w:rFonts w:ascii="Times New Roman" w:hAnsi="Times New Roman" w:cs="Times New Roman"/>
          <w:sz w:val="24"/>
          <w:szCs w:val="24"/>
        </w:rPr>
        <w:t>”</w:t>
      </w:r>
      <w:r w:rsidRPr="004A29C6">
        <w:rPr>
          <w:rFonts w:ascii="Times New Roman" w:hAnsi="Times New Roman" w:cs="Times New Roman"/>
          <w:sz w:val="24"/>
          <w:szCs w:val="24"/>
        </w:rPr>
        <w:t xml:space="preserve"> block in Shizhou Ancient City restores the Qing Dynasty scene of tea-salt trade</w:t>
      </w:r>
      <w:r w:rsidR="009502BA" w:rsidRPr="004A29C6">
        <w:rPr>
          <w:rFonts w:ascii="Times New Roman" w:hAnsi="Times New Roman" w:cs="Times New Roman"/>
          <w:sz w:val="24"/>
          <w:szCs w:val="24"/>
        </w:rPr>
        <w:t>;</w:t>
      </w:r>
      <w:r w:rsidRPr="004A29C6">
        <w:rPr>
          <w:rFonts w:ascii="Times New Roman" w:hAnsi="Times New Roman" w:cs="Times New Roman"/>
          <w:sz w:val="24"/>
          <w:szCs w:val="24"/>
        </w:rPr>
        <w:t xml:space="preserve"> the Wujia Platform </w:t>
      </w:r>
      <w:r w:rsidRPr="004A29C6">
        <w:rPr>
          <w:rFonts w:ascii="Times New Roman" w:hAnsi="Times New Roman" w:cs="Times New Roman"/>
          <w:sz w:val="24"/>
          <w:szCs w:val="24"/>
        </w:rPr>
        <w:lastRenderedPageBreak/>
        <w:t>Tribute Tea Tourist Area has been upgraded to a 4A-level scenic spot. The Fengxiangpo Dong Ethnic Cultural Village integrates tea ICH with Dong Grand Songs and local architecture, with 65% of villagers participating in inheritance activities.</w:t>
      </w:r>
    </w:p>
    <w:p w14:paraId="47CDC75D" w14:textId="77777777" w:rsidR="002E7031" w:rsidRPr="004A29C6" w:rsidRDefault="002E7031" w:rsidP="009502BA">
      <w:pPr>
        <w:rPr>
          <w:rFonts w:ascii="Times New Roman" w:hAnsi="Times New Roman" w:cs="Times New Roman"/>
          <w:sz w:val="24"/>
          <w:szCs w:val="24"/>
        </w:rPr>
      </w:pPr>
    </w:p>
    <w:p w14:paraId="6C88CECA" w14:textId="3CDD9433" w:rsidR="000621A4" w:rsidRPr="00EA4D6A" w:rsidRDefault="00000000" w:rsidP="009502BA">
      <w:pPr>
        <w:rPr>
          <w:rFonts w:ascii="Times New Roman" w:hAnsi="Times New Roman" w:cs="Times New Roman"/>
          <w:b/>
          <w:bCs/>
          <w:sz w:val="24"/>
          <w:szCs w:val="24"/>
        </w:rPr>
      </w:pPr>
      <w:bookmarkStart w:id="15" w:name="heading_15"/>
      <w:r w:rsidRPr="00EA4D6A">
        <w:rPr>
          <w:rFonts w:ascii="Times New Roman" w:hAnsi="Times New Roman" w:cs="Times New Roman"/>
          <w:b/>
          <w:bCs/>
          <w:sz w:val="24"/>
          <w:szCs w:val="24"/>
        </w:rPr>
        <w:t>4.2</w:t>
      </w:r>
      <w:r w:rsidR="002E7031" w:rsidRPr="00EA4D6A">
        <w:rPr>
          <w:rFonts w:ascii="Times New Roman" w:hAnsi="Times New Roman" w:cs="Times New Roman"/>
          <w:b/>
          <w:bCs/>
          <w:sz w:val="24"/>
          <w:szCs w:val="24"/>
        </w:rPr>
        <w:t>.</w:t>
      </w:r>
      <w:r w:rsidRPr="00EA4D6A">
        <w:rPr>
          <w:rFonts w:ascii="Times New Roman" w:hAnsi="Times New Roman" w:cs="Times New Roman"/>
          <w:b/>
          <w:bCs/>
          <w:sz w:val="24"/>
          <w:szCs w:val="24"/>
        </w:rPr>
        <w:t xml:space="preserve"> Industrial </w:t>
      </w:r>
      <w:r w:rsidR="002E7031" w:rsidRPr="00EA4D6A">
        <w:rPr>
          <w:rFonts w:ascii="Times New Roman" w:hAnsi="Times New Roman" w:cs="Times New Roman"/>
          <w:b/>
          <w:bCs/>
          <w:sz w:val="24"/>
          <w:szCs w:val="24"/>
        </w:rPr>
        <w:t>integration pat</w:t>
      </w:r>
      <w:r w:rsidRPr="00EA4D6A">
        <w:rPr>
          <w:rFonts w:ascii="Times New Roman" w:hAnsi="Times New Roman" w:cs="Times New Roman"/>
          <w:b/>
          <w:bCs/>
          <w:sz w:val="24"/>
          <w:szCs w:val="24"/>
        </w:rPr>
        <w:t>h</w:t>
      </w:r>
      <w:r w:rsidR="009502BA" w:rsidRPr="00EA4D6A">
        <w:rPr>
          <w:rFonts w:ascii="Times New Roman" w:hAnsi="Times New Roman" w:cs="Times New Roman"/>
          <w:b/>
          <w:bCs/>
          <w:sz w:val="24"/>
          <w:szCs w:val="24"/>
        </w:rPr>
        <w:t>:</w:t>
      </w:r>
      <w:r w:rsidRPr="00EA4D6A">
        <w:rPr>
          <w:rFonts w:ascii="Times New Roman" w:hAnsi="Times New Roman" w:cs="Times New Roman"/>
          <w:b/>
          <w:bCs/>
          <w:sz w:val="24"/>
          <w:szCs w:val="24"/>
        </w:rPr>
        <w:t xml:space="preserve"> In-depth </w:t>
      </w:r>
      <w:r w:rsidR="002E7031" w:rsidRPr="00EA4D6A">
        <w:rPr>
          <w:rFonts w:ascii="Times New Roman" w:hAnsi="Times New Roman" w:cs="Times New Roman"/>
          <w:b/>
          <w:bCs/>
          <w:sz w:val="24"/>
          <w:szCs w:val="24"/>
        </w:rPr>
        <w:t>integration of tea, culture and tourism</w:t>
      </w:r>
      <w:bookmarkEnd w:id="15"/>
    </w:p>
    <w:p w14:paraId="5771FCB7" w14:textId="7C7B022C" w:rsidR="000621A4" w:rsidRDefault="00000000" w:rsidP="009502BA">
      <w:pPr>
        <w:rPr>
          <w:rFonts w:ascii="Times New Roman" w:hAnsi="Times New Roman" w:cs="Times New Roman"/>
          <w:sz w:val="24"/>
          <w:szCs w:val="24"/>
        </w:rPr>
      </w:pPr>
      <w:r w:rsidRPr="004A29C6">
        <w:rPr>
          <w:rFonts w:ascii="Times New Roman" w:hAnsi="Times New Roman" w:cs="Times New Roman"/>
          <w:sz w:val="24"/>
          <w:szCs w:val="24"/>
        </w:rPr>
        <w:t>Industrial integration serves as the primary way to realize value appreciation of tea ICH. Tea ICH + Tourism</w:t>
      </w:r>
      <w:r w:rsidR="009502BA" w:rsidRPr="004A29C6">
        <w:rPr>
          <w:rFonts w:ascii="Times New Roman" w:hAnsi="Times New Roman" w:cs="Times New Roman"/>
          <w:sz w:val="24"/>
          <w:szCs w:val="24"/>
        </w:rPr>
        <w:t>:</w:t>
      </w:r>
      <w:r w:rsidRPr="004A29C6">
        <w:rPr>
          <w:rFonts w:ascii="Times New Roman" w:hAnsi="Times New Roman" w:cs="Times New Roman"/>
          <w:sz w:val="24"/>
          <w:szCs w:val="24"/>
        </w:rPr>
        <w:t xml:space="preserve"> Spaces featuring </w:t>
      </w:r>
      <w:r w:rsidR="009502BA" w:rsidRPr="004A29C6">
        <w:rPr>
          <w:rFonts w:ascii="Times New Roman" w:hAnsi="Times New Roman" w:cs="Times New Roman"/>
          <w:sz w:val="24"/>
          <w:szCs w:val="24"/>
        </w:rPr>
        <w:t>“</w:t>
      </w:r>
      <w:r w:rsidRPr="004A29C6">
        <w:rPr>
          <w:rFonts w:ascii="Times New Roman" w:hAnsi="Times New Roman" w:cs="Times New Roman"/>
          <w:sz w:val="24"/>
          <w:szCs w:val="24"/>
        </w:rPr>
        <w:t>Yulu Tea Break</w:t>
      </w:r>
      <w:r w:rsidR="009502BA" w:rsidRPr="004A29C6">
        <w:rPr>
          <w:rFonts w:ascii="Times New Roman" w:hAnsi="Times New Roman" w:cs="Times New Roman"/>
          <w:sz w:val="24"/>
          <w:szCs w:val="24"/>
        </w:rPr>
        <w:t>”</w:t>
      </w:r>
      <w:r w:rsidRPr="004A29C6">
        <w:rPr>
          <w:rFonts w:ascii="Times New Roman" w:hAnsi="Times New Roman" w:cs="Times New Roman"/>
          <w:sz w:val="24"/>
          <w:szCs w:val="24"/>
        </w:rPr>
        <w:t xml:space="preserve"> and </w:t>
      </w:r>
      <w:r w:rsidR="009502BA" w:rsidRPr="004A29C6">
        <w:rPr>
          <w:rFonts w:ascii="Times New Roman" w:hAnsi="Times New Roman" w:cs="Times New Roman"/>
          <w:sz w:val="24"/>
          <w:szCs w:val="24"/>
        </w:rPr>
        <w:t>“</w:t>
      </w:r>
      <w:r w:rsidRPr="004A29C6">
        <w:rPr>
          <w:rFonts w:ascii="Times New Roman" w:hAnsi="Times New Roman" w:cs="Times New Roman"/>
          <w:sz w:val="24"/>
          <w:szCs w:val="24"/>
        </w:rPr>
        <w:t>Yihong Tasting</w:t>
      </w:r>
      <w:r w:rsidR="009502BA" w:rsidRPr="004A29C6">
        <w:rPr>
          <w:rFonts w:ascii="Times New Roman" w:hAnsi="Times New Roman" w:cs="Times New Roman"/>
          <w:sz w:val="24"/>
          <w:szCs w:val="24"/>
        </w:rPr>
        <w:t>”</w:t>
      </w:r>
      <w:r w:rsidRPr="004A29C6">
        <w:rPr>
          <w:rFonts w:ascii="Times New Roman" w:hAnsi="Times New Roman" w:cs="Times New Roman"/>
          <w:sz w:val="24"/>
          <w:szCs w:val="24"/>
        </w:rPr>
        <w:t xml:space="preserve"> are set up in Enshi Grand Canyon and Tenglong Cave, receiving 1.2 million tourists with sales of 86 million yuan in 2023</w:t>
      </w:r>
      <w:r w:rsidR="004F121A">
        <w:rPr>
          <w:rFonts w:ascii="Times New Roman" w:hAnsi="Times New Roman" w:cs="Times New Roman"/>
          <w:sz w:val="24"/>
          <w:szCs w:val="24"/>
        </w:rPr>
        <w:t xml:space="preserve"> </w:t>
      </w:r>
      <w:r w:rsidRPr="004A29C6">
        <w:rPr>
          <w:rFonts w:ascii="Times New Roman" w:hAnsi="Times New Roman" w:cs="Times New Roman"/>
          <w:sz w:val="24"/>
          <w:szCs w:val="24"/>
          <w:vertAlign w:val="superscript"/>
        </w:rPr>
        <w:t>[11]</w:t>
      </w:r>
      <w:r w:rsidRPr="004A29C6">
        <w:rPr>
          <w:rFonts w:ascii="Times New Roman" w:hAnsi="Times New Roman" w:cs="Times New Roman"/>
          <w:sz w:val="24"/>
          <w:szCs w:val="24"/>
        </w:rPr>
        <w:t xml:space="preserve">. Premium tourist routes such as </w:t>
      </w:r>
      <w:r w:rsidR="009502BA" w:rsidRPr="004A29C6">
        <w:rPr>
          <w:rFonts w:ascii="Times New Roman" w:hAnsi="Times New Roman" w:cs="Times New Roman"/>
          <w:sz w:val="24"/>
          <w:szCs w:val="24"/>
        </w:rPr>
        <w:t>“</w:t>
      </w:r>
      <w:r w:rsidRPr="004A29C6">
        <w:rPr>
          <w:rFonts w:ascii="Times New Roman" w:hAnsi="Times New Roman" w:cs="Times New Roman"/>
          <w:sz w:val="24"/>
          <w:szCs w:val="24"/>
        </w:rPr>
        <w:t>Root-seeking Tour of Enshi Yulu</w:t>
      </w:r>
      <w:r w:rsidR="009502BA" w:rsidRPr="004A29C6">
        <w:rPr>
          <w:rFonts w:ascii="Times New Roman" w:hAnsi="Times New Roman" w:cs="Times New Roman"/>
          <w:sz w:val="24"/>
          <w:szCs w:val="24"/>
        </w:rPr>
        <w:t>”</w:t>
      </w:r>
      <w:r w:rsidRPr="004A29C6">
        <w:rPr>
          <w:rFonts w:ascii="Times New Roman" w:hAnsi="Times New Roman" w:cs="Times New Roman"/>
          <w:sz w:val="24"/>
          <w:szCs w:val="24"/>
        </w:rPr>
        <w:t xml:space="preserve"> have been launched. Tea ICH + Research and Study</w:t>
      </w:r>
      <w:r w:rsidR="009502BA" w:rsidRPr="004A29C6">
        <w:rPr>
          <w:rFonts w:ascii="Times New Roman" w:hAnsi="Times New Roman" w:cs="Times New Roman"/>
          <w:sz w:val="24"/>
          <w:szCs w:val="24"/>
        </w:rPr>
        <w:t>:</w:t>
      </w:r>
      <w:r w:rsidRPr="004A29C6">
        <w:rPr>
          <w:rFonts w:ascii="Times New Roman" w:hAnsi="Times New Roman" w:cs="Times New Roman"/>
          <w:sz w:val="24"/>
          <w:szCs w:val="24"/>
        </w:rPr>
        <w:t xml:space="preserve"> 12 research and study bases have been accredited with customized courses for different educational stages, generating revenue exceeding 50 million yuan in 2023. Tea ICH + Rural Revitalization</w:t>
      </w:r>
      <w:r w:rsidR="009502BA" w:rsidRPr="004A29C6">
        <w:rPr>
          <w:rFonts w:ascii="Times New Roman" w:hAnsi="Times New Roman" w:cs="Times New Roman"/>
          <w:sz w:val="24"/>
          <w:szCs w:val="24"/>
        </w:rPr>
        <w:t>:</w:t>
      </w:r>
      <w:r w:rsidRPr="004A29C6">
        <w:rPr>
          <w:rFonts w:ascii="Times New Roman" w:hAnsi="Times New Roman" w:cs="Times New Roman"/>
          <w:sz w:val="24"/>
          <w:szCs w:val="24"/>
        </w:rPr>
        <w:t xml:space="preserve"> The model of </w:t>
      </w:r>
      <w:r w:rsidR="009502BA" w:rsidRPr="004A29C6">
        <w:rPr>
          <w:rFonts w:ascii="Times New Roman" w:hAnsi="Times New Roman" w:cs="Times New Roman"/>
          <w:sz w:val="24"/>
          <w:szCs w:val="24"/>
        </w:rPr>
        <w:t>“</w:t>
      </w:r>
      <w:r w:rsidRPr="004A29C6">
        <w:rPr>
          <w:rFonts w:ascii="Times New Roman" w:hAnsi="Times New Roman" w:cs="Times New Roman"/>
          <w:sz w:val="24"/>
          <w:szCs w:val="24"/>
        </w:rPr>
        <w:t>Company + Cooperative + ICH Workshop + Farmers</w:t>
      </w:r>
      <w:r w:rsidR="009502BA" w:rsidRPr="004A29C6">
        <w:rPr>
          <w:rFonts w:ascii="Times New Roman" w:hAnsi="Times New Roman" w:cs="Times New Roman"/>
          <w:sz w:val="24"/>
          <w:szCs w:val="24"/>
        </w:rPr>
        <w:t>”</w:t>
      </w:r>
      <w:r w:rsidRPr="004A29C6">
        <w:rPr>
          <w:rFonts w:ascii="Times New Roman" w:hAnsi="Times New Roman" w:cs="Times New Roman"/>
          <w:sz w:val="24"/>
          <w:szCs w:val="24"/>
        </w:rPr>
        <w:t xml:space="preserve"> is implemented in Wujia Platform Village, with 8 ICH workshops driving over 300 tea households to achieve an average annual income increase of 24,000 yuan. Bajiao Dong Township has established the Enshi Yulu Industrial Consortium, incorporating 12,000 tea farmers into the industrial chain.</w:t>
      </w:r>
    </w:p>
    <w:p w14:paraId="773E9336" w14:textId="77777777" w:rsidR="004F121A" w:rsidRPr="004A29C6" w:rsidRDefault="004F121A" w:rsidP="009502BA">
      <w:pPr>
        <w:rPr>
          <w:rFonts w:ascii="Times New Roman" w:hAnsi="Times New Roman" w:cs="Times New Roman"/>
          <w:sz w:val="24"/>
          <w:szCs w:val="24"/>
        </w:rPr>
      </w:pPr>
    </w:p>
    <w:p w14:paraId="4AF8D085" w14:textId="6E45CE24" w:rsidR="000621A4" w:rsidRPr="00EA4D6A" w:rsidRDefault="00000000" w:rsidP="009502BA">
      <w:pPr>
        <w:rPr>
          <w:rFonts w:ascii="Times New Roman" w:hAnsi="Times New Roman" w:cs="Times New Roman"/>
          <w:b/>
          <w:bCs/>
          <w:sz w:val="24"/>
          <w:szCs w:val="24"/>
        </w:rPr>
      </w:pPr>
      <w:bookmarkStart w:id="16" w:name="heading_16"/>
      <w:r w:rsidRPr="00EA4D6A">
        <w:rPr>
          <w:rFonts w:ascii="Times New Roman" w:hAnsi="Times New Roman" w:cs="Times New Roman"/>
          <w:b/>
          <w:bCs/>
          <w:sz w:val="24"/>
          <w:szCs w:val="24"/>
        </w:rPr>
        <w:t>4.3</w:t>
      </w:r>
      <w:r w:rsidR="004F121A" w:rsidRPr="00EA4D6A">
        <w:rPr>
          <w:rFonts w:ascii="Times New Roman" w:hAnsi="Times New Roman" w:cs="Times New Roman"/>
          <w:b/>
          <w:bCs/>
          <w:sz w:val="24"/>
          <w:szCs w:val="24"/>
        </w:rPr>
        <w:t>.</w:t>
      </w:r>
      <w:r w:rsidRPr="00EA4D6A">
        <w:rPr>
          <w:rFonts w:ascii="Times New Roman" w:hAnsi="Times New Roman" w:cs="Times New Roman"/>
          <w:b/>
          <w:bCs/>
          <w:sz w:val="24"/>
          <w:szCs w:val="24"/>
        </w:rPr>
        <w:t xml:space="preserve"> Factor </w:t>
      </w:r>
      <w:r w:rsidR="004F121A" w:rsidRPr="00EA4D6A">
        <w:rPr>
          <w:rFonts w:ascii="Times New Roman" w:hAnsi="Times New Roman" w:cs="Times New Roman"/>
          <w:b/>
          <w:bCs/>
          <w:sz w:val="24"/>
          <w:szCs w:val="24"/>
        </w:rPr>
        <w:t>activation pa</w:t>
      </w:r>
      <w:r w:rsidRPr="00EA4D6A">
        <w:rPr>
          <w:rFonts w:ascii="Times New Roman" w:hAnsi="Times New Roman" w:cs="Times New Roman"/>
          <w:b/>
          <w:bCs/>
          <w:sz w:val="24"/>
          <w:szCs w:val="24"/>
        </w:rPr>
        <w:t>th</w:t>
      </w:r>
      <w:r w:rsidR="009502BA" w:rsidRPr="00EA4D6A">
        <w:rPr>
          <w:rFonts w:ascii="Times New Roman" w:hAnsi="Times New Roman" w:cs="Times New Roman"/>
          <w:b/>
          <w:bCs/>
          <w:sz w:val="24"/>
          <w:szCs w:val="24"/>
        </w:rPr>
        <w:t>:</w:t>
      </w:r>
      <w:r w:rsidRPr="00EA4D6A">
        <w:rPr>
          <w:rFonts w:ascii="Times New Roman" w:hAnsi="Times New Roman" w:cs="Times New Roman"/>
          <w:b/>
          <w:bCs/>
          <w:sz w:val="24"/>
          <w:szCs w:val="24"/>
        </w:rPr>
        <w:t xml:space="preserve"> Transformation of </w:t>
      </w:r>
      <w:r w:rsidR="004F121A" w:rsidRPr="00EA4D6A">
        <w:rPr>
          <w:rFonts w:ascii="Times New Roman" w:hAnsi="Times New Roman" w:cs="Times New Roman"/>
          <w:b/>
          <w:bCs/>
          <w:sz w:val="24"/>
          <w:szCs w:val="24"/>
        </w:rPr>
        <w:t>cultural capital</w:t>
      </w:r>
      <w:bookmarkEnd w:id="16"/>
    </w:p>
    <w:p w14:paraId="46646891" w14:textId="326BA5E2" w:rsidR="000621A4" w:rsidRDefault="00000000" w:rsidP="009502BA">
      <w:pPr>
        <w:rPr>
          <w:rFonts w:ascii="Times New Roman" w:hAnsi="Times New Roman" w:cs="Times New Roman"/>
          <w:sz w:val="24"/>
          <w:szCs w:val="24"/>
        </w:rPr>
      </w:pPr>
      <w:r w:rsidRPr="004A29C6">
        <w:rPr>
          <w:rFonts w:ascii="Times New Roman" w:hAnsi="Times New Roman" w:cs="Times New Roman"/>
          <w:sz w:val="24"/>
          <w:szCs w:val="24"/>
        </w:rPr>
        <w:t xml:space="preserve">Element activation serves as a key link in converting the intangible cultural heritage value of tea into economic value. The capitalization of tea culture based on the </w:t>
      </w:r>
      <w:r w:rsidR="009502BA" w:rsidRPr="004A29C6">
        <w:rPr>
          <w:rFonts w:ascii="Times New Roman" w:hAnsi="Times New Roman" w:cs="Times New Roman"/>
          <w:sz w:val="24"/>
          <w:szCs w:val="24"/>
        </w:rPr>
        <w:t>“</w:t>
      </w:r>
      <w:r w:rsidRPr="004A29C6">
        <w:rPr>
          <w:rFonts w:ascii="Times New Roman" w:hAnsi="Times New Roman" w:cs="Times New Roman"/>
          <w:sz w:val="24"/>
          <w:szCs w:val="24"/>
        </w:rPr>
        <w:t>Six Elements</w:t>
      </w:r>
      <w:r w:rsidR="009502BA" w:rsidRPr="004A29C6">
        <w:rPr>
          <w:rFonts w:ascii="Times New Roman" w:hAnsi="Times New Roman" w:cs="Times New Roman"/>
          <w:sz w:val="24"/>
          <w:szCs w:val="24"/>
        </w:rPr>
        <w:t>”</w:t>
      </w:r>
      <w:r w:rsidRPr="004A29C6">
        <w:rPr>
          <w:rFonts w:ascii="Times New Roman" w:hAnsi="Times New Roman" w:cs="Times New Roman"/>
          <w:sz w:val="24"/>
          <w:szCs w:val="24"/>
        </w:rPr>
        <w:t xml:space="preserve"> covers catering (oil tea soup and tea-themed feasts), accommodation (35 tea-themed farm stays with prices 40% higher than ordinary homestays), transportation (special tourist bus routes for tea tourism), sightseeing (scenic upgrading of tea plantations), shopping (e-commerce live-streaming bases with a sales volume of 450 million yuan in 2023), and entertainment (tea art performances). Blockchain traceability enables a unique code for each tea cake, driving a 30% premium on product prices. The </w:t>
      </w:r>
      <w:r w:rsidR="009502BA" w:rsidRPr="004A29C6">
        <w:rPr>
          <w:rFonts w:ascii="Times New Roman" w:hAnsi="Times New Roman" w:cs="Times New Roman"/>
          <w:sz w:val="24"/>
          <w:szCs w:val="24"/>
        </w:rPr>
        <w:t>“</w:t>
      </w:r>
      <w:r w:rsidRPr="004A29C6">
        <w:rPr>
          <w:rFonts w:ascii="Times New Roman" w:hAnsi="Times New Roman" w:cs="Times New Roman"/>
          <w:sz w:val="24"/>
          <w:szCs w:val="24"/>
        </w:rPr>
        <w:t>Enshi Tea Intangible Cultural Heritage Cloud Platform</w:t>
      </w:r>
      <w:r w:rsidR="009502BA" w:rsidRPr="004A29C6">
        <w:rPr>
          <w:rFonts w:ascii="Times New Roman" w:hAnsi="Times New Roman" w:cs="Times New Roman"/>
          <w:sz w:val="24"/>
          <w:szCs w:val="24"/>
        </w:rPr>
        <w:t>”</w:t>
      </w:r>
      <w:r w:rsidRPr="004A29C6">
        <w:rPr>
          <w:rFonts w:ascii="Times New Roman" w:hAnsi="Times New Roman" w:cs="Times New Roman"/>
          <w:sz w:val="24"/>
          <w:szCs w:val="24"/>
        </w:rPr>
        <w:t xml:space="preserve"> has 12,000 registered users and has delivered 2,300 sessions of remote guidance.</w:t>
      </w:r>
    </w:p>
    <w:p w14:paraId="48A64694" w14:textId="77777777" w:rsidR="004F121A" w:rsidRPr="004A29C6" w:rsidRDefault="004F121A" w:rsidP="009502BA">
      <w:pPr>
        <w:rPr>
          <w:rFonts w:ascii="Times New Roman" w:hAnsi="Times New Roman" w:cs="Times New Roman"/>
          <w:sz w:val="24"/>
          <w:szCs w:val="24"/>
        </w:rPr>
      </w:pPr>
    </w:p>
    <w:p w14:paraId="150C4BE2" w14:textId="05C645DD" w:rsidR="000621A4" w:rsidRPr="00EA4D6A" w:rsidRDefault="00000000" w:rsidP="009502BA">
      <w:pPr>
        <w:rPr>
          <w:rFonts w:ascii="Times New Roman" w:hAnsi="Times New Roman" w:cs="Times New Roman"/>
          <w:b/>
          <w:bCs/>
          <w:sz w:val="24"/>
          <w:szCs w:val="24"/>
        </w:rPr>
      </w:pPr>
      <w:bookmarkStart w:id="17" w:name="heading_17"/>
      <w:r w:rsidRPr="00EA4D6A">
        <w:rPr>
          <w:rFonts w:ascii="Times New Roman" w:hAnsi="Times New Roman" w:cs="Times New Roman"/>
          <w:b/>
          <w:bCs/>
          <w:sz w:val="24"/>
          <w:szCs w:val="24"/>
        </w:rPr>
        <w:t>4.4</w:t>
      </w:r>
      <w:r w:rsidR="004F121A" w:rsidRPr="00EA4D6A">
        <w:rPr>
          <w:rFonts w:ascii="Times New Roman" w:hAnsi="Times New Roman" w:cs="Times New Roman"/>
          <w:b/>
          <w:bCs/>
          <w:sz w:val="24"/>
          <w:szCs w:val="24"/>
        </w:rPr>
        <w:t>.</w:t>
      </w:r>
      <w:r w:rsidRPr="00EA4D6A">
        <w:rPr>
          <w:rFonts w:ascii="Times New Roman" w:hAnsi="Times New Roman" w:cs="Times New Roman"/>
          <w:b/>
          <w:bCs/>
          <w:sz w:val="24"/>
          <w:szCs w:val="24"/>
        </w:rPr>
        <w:t xml:space="preserve"> Subject </w:t>
      </w:r>
      <w:r w:rsidR="004F121A" w:rsidRPr="00EA4D6A">
        <w:rPr>
          <w:rFonts w:ascii="Times New Roman" w:hAnsi="Times New Roman" w:cs="Times New Roman"/>
          <w:b/>
          <w:bCs/>
          <w:sz w:val="24"/>
          <w:szCs w:val="24"/>
        </w:rPr>
        <w:t>cultivation path</w:t>
      </w:r>
      <w:r w:rsidR="009502BA" w:rsidRPr="00EA4D6A">
        <w:rPr>
          <w:rFonts w:ascii="Times New Roman" w:hAnsi="Times New Roman" w:cs="Times New Roman"/>
          <w:b/>
          <w:bCs/>
          <w:sz w:val="24"/>
          <w:szCs w:val="24"/>
        </w:rPr>
        <w:t>:</w:t>
      </w:r>
      <w:r w:rsidRPr="00EA4D6A">
        <w:rPr>
          <w:rFonts w:ascii="Times New Roman" w:hAnsi="Times New Roman" w:cs="Times New Roman"/>
          <w:b/>
          <w:bCs/>
          <w:sz w:val="24"/>
          <w:szCs w:val="24"/>
        </w:rPr>
        <w:t xml:space="preserve"> Construction of </w:t>
      </w:r>
      <w:r w:rsidR="004F121A" w:rsidRPr="00EA4D6A">
        <w:rPr>
          <w:rFonts w:ascii="Times New Roman" w:hAnsi="Times New Roman" w:cs="Times New Roman"/>
          <w:b/>
          <w:bCs/>
          <w:sz w:val="24"/>
          <w:szCs w:val="24"/>
        </w:rPr>
        <w:t>inheritor groups</w:t>
      </w:r>
      <w:bookmarkEnd w:id="17"/>
    </w:p>
    <w:p w14:paraId="13C7E257" w14:textId="5F4ECB7E" w:rsidR="000621A4" w:rsidRDefault="00000000" w:rsidP="009502BA">
      <w:pPr>
        <w:rPr>
          <w:rFonts w:ascii="Times New Roman" w:hAnsi="Times New Roman" w:cs="Times New Roman"/>
          <w:sz w:val="24"/>
          <w:szCs w:val="24"/>
        </w:rPr>
      </w:pPr>
      <w:r w:rsidRPr="004A29C6">
        <w:rPr>
          <w:rFonts w:ascii="Times New Roman" w:hAnsi="Times New Roman" w:cs="Times New Roman"/>
          <w:sz w:val="24"/>
          <w:szCs w:val="24"/>
        </w:rPr>
        <w:t xml:space="preserve">Inheritors are the core subjects of tea ICH. The </w:t>
      </w:r>
      <w:r w:rsidR="009502BA" w:rsidRPr="004A29C6">
        <w:rPr>
          <w:rFonts w:ascii="Times New Roman" w:hAnsi="Times New Roman" w:cs="Times New Roman"/>
          <w:sz w:val="24"/>
          <w:szCs w:val="24"/>
        </w:rPr>
        <w:t>“</w:t>
      </w:r>
      <w:r w:rsidRPr="004A29C6">
        <w:rPr>
          <w:rFonts w:ascii="Times New Roman" w:hAnsi="Times New Roman" w:cs="Times New Roman"/>
          <w:sz w:val="24"/>
          <w:szCs w:val="24"/>
        </w:rPr>
        <w:t>Inheritor Training Program</w:t>
      </w:r>
      <w:r w:rsidR="009502BA" w:rsidRPr="004A29C6">
        <w:rPr>
          <w:rFonts w:ascii="Times New Roman" w:hAnsi="Times New Roman" w:cs="Times New Roman"/>
          <w:sz w:val="24"/>
          <w:szCs w:val="24"/>
        </w:rPr>
        <w:t>”</w:t>
      </w:r>
      <w:r w:rsidRPr="004A29C6">
        <w:rPr>
          <w:rFonts w:ascii="Times New Roman" w:hAnsi="Times New Roman" w:cs="Times New Roman"/>
          <w:sz w:val="24"/>
          <w:szCs w:val="24"/>
        </w:rPr>
        <w:t xml:space="preserve"> has been implemented with a training base built relying on the China Tea Research Institute, offering training courses divided into three modules</w:t>
      </w:r>
      <w:r w:rsidR="009502BA" w:rsidRPr="004A29C6">
        <w:rPr>
          <w:rFonts w:ascii="Times New Roman" w:hAnsi="Times New Roman" w:cs="Times New Roman"/>
          <w:sz w:val="24"/>
          <w:szCs w:val="24"/>
        </w:rPr>
        <w:t>:</w:t>
      </w:r>
      <w:r w:rsidRPr="004A29C6">
        <w:rPr>
          <w:rFonts w:ascii="Times New Roman" w:hAnsi="Times New Roman" w:cs="Times New Roman"/>
          <w:sz w:val="24"/>
          <w:szCs w:val="24"/>
        </w:rPr>
        <w:t xml:space="preserve"> craftsmanship inheritance, industrial operation and cultural literacy. A total of 286 inheritors were certified in 2023. Inheritors enjoy preferential policies including 50% rent reduction for housing, dedicated medical channels and honor incentives</w:t>
      </w:r>
      <w:r w:rsidR="009502BA" w:rsidRPr="004A29C6">
        <w:rPr>
          <w:rFonts w:ascii="Times New Roman" w:hAnsi="Times New Roman" w:cs="Times New Roman"/>
          <w:sz w:val="24"/>
          <w:szCs w:val="24"/>
        </w:rPr>
        <w:t>:</w:t>
      </w:r>
      <w:r w:rsidRPr="004A29C6">
        <w:rPr>
          <w:rFonts w:ascii="Times New Roman" w:hAnsi="Times New Roman" w:cs="Times New Roman"/>
          <w:sz w:val="24"/>
          <w:szCs w:val="24"/>
        </w:rPr>
        <w:t xml:space="preserve"> the title of </w:t>
      </w:r>
      <w:r w:rsidR="009502BA" w:rsidRPr="004A29C6">
        <w:rPr>
          <w:rFonts w:ascii="Times New Roman" w:hAnsi="Times New Roman" w:cs="Times New Roman"/>
          <w:sz w:val="24"/>
          <w:szCs w:val="24"/>
        </w:rPr>
        <w:t>“</w:t>
      </w:r>
      <w:r w:rsidRPr="004A29C6">
        <w:rPr>
          <w:rFonts w:ascii="Times New Roman" w:hAnsi="Times New Roman" w:cs="Times New Roman"/>
          <w:sz w:val="24"/>
          <w:szCs w:val="24"/>
        </w:rPr>
        <w:t>Enshi Tea ICH Master</w:t>
      </w:r>
      <w:r w:rsidR="009502BA" w:rsidRPr="004A29C6">
        <w:rPr>
          <w:rFonts w:ascii="Times New Roman" w:hAnsi="Times New Roman" w:cs="Times New Roman"/>
          <w:sz w:val="24"/>
          <w:szCs w:val="24"/>
        </w:rPr>
        <w:t>”</w:t>
      </w:r>
      <w:r w:rsidRPr="004A29C6">
        <w:rPr>
          <w:rFonts w:ascii="Times New Roman" w:hAnsi="Times New Roman" w:cs="Times New Roman"/>
          <w:sz w:val="24"/>
          <w:szCs w:val="24"/>
        </w:rPr>
        <w:t xml:space="preserve"> is awarded every two years with a 100,000-yuan bonus. Enterprises founded by inheritors receive tax reductions, loan interest subsidies and land security support.</w:t>
      </w:r>
    </w:p>
    <w:p w14:paraId="2AF9530E" w14:textId="77777777" w:rsidR="004F121A" w:rsidRPr="004A29C6" w:rsidRDefault="004F121A" w:rsidP="009502BA">
      <w:pPr>
        <w:rPr>
          <w:rFonts w:ascii="Times New Roman" w:hAnsi="Times New Roman" w:cs="Times New Roman"/>
          <w:sz w:val="24"/>
          <w:szCs w:val="24"/>
        </w:rPr>
      </w:pPr>
    </w:p>
    <w:p w14:paraId="7642D0C9" w14:textId="4F067950" w:rsidR="000621A4" w:rsidRPr="00EA4D6A" w:rsidRDefault="00000000" w:rsidP="009502BA">
      <w:pPr>
        <w:rPr>
          <w:rFonts w:ascii="Times New Roman" w:hAnsi="Times New Roman" w:cs="Times New Roman"/>
          <w:b/>
          <w:bCs/>
          <w:sz w:val="24"/>
          <w:szCs w:val="24"/>
        </w:rPr>
      </w:pPr>
      <w:bookmarkStart w:id="18" w:name="heading_18"/>
      <w:r w:rsidRPr="00EA4D6A">
        <w:rPr>
          <w:rFonts w:ascii="Times New Roman" w:hAnsi="Times New Roman" w:cs="Times New Roman"/>
          <w:b/>
          <w:bCs/>
          <w:sz w:val="24"/>
          <w:szCs w:val="24"/>
        </w:rPr>
        <w:t>5</w:t>
      </w:r>
      <w:r w:rsidR="004F121A" w:rsidRPr="00EA4D6A">
        <w:rPr>
          <w:rFonts w:ascii="Times New Roman" w:hAnsi="Times New Roman" w:cs="Times New Roman"/>
          <w:b/>
          <w:bCs/>
          <w:sz w:val="24"/>
          <w:szCs w:val="24"/>
        </w:rPr>
        <w:t>.</w:t>
      </w:r>
      <w:r w:rsidRPr="00EA4D6A">
        <w:rPr>
          <w:rFonts w:ascii="Times New Roman" w:hAnsi="Times New Roman" w:cs="Times New Roman"/>
          <w:b/>
          <w:bCs/>
          <w:sz w:val="24"/>
          <w:szCs w:val="24"/>
        </w:rPr>
        <w:t xml:space="preserve"> Effect </w:t>
      </w:r>
      <w:r w:rsidR="004F121A" w:rsidRPr="00EA4D6A">
        <w:rPr>
          <w:rFonts w:ascii="Times New Roman" w:hAnsi="Times New Roman" w:cs="Times New Roman"/>
          <w:b/>
          <w:bCs/>
          <w:sz w:val="24"/>
          <w:szCs w:val="24"/>
        </w:rPr>
        <w:t>inspection and reflection on difficulties of the institutional driving model</w:t>
      </w:r>
      <w:bookmarkEnd w:id="18"/>
    </w:p>
    <w:p w14:paraId="7C509D29" w14:textId="47131341" w:rsidR="000621A4" w:rsidRPr="00EA4D6A" w:rsidRDefault="00000000" w:rsidP="009502BA">
      <w:pPr>
        <w:rPr>
          <w:rFonts w:ascii="Times New Roman" w:hAnsi="Times New Roman" w:cs="Times New Roman"/>
          <w:b/>
          <w:bCs/>
          <w:sz w:val="24"/>
          <w:szCs w:val="24"/>
        </w:rPr>
      </w:pPr>
      <w:bookmarkStart w:id="19" w:name="heading_19"/>
      <w:r w:rsidRPr="00EA4D6A">
        <w:rPr>
          <w:rFonts w:ascii="Times New Roman" w:hAnsi="Times New Roman" w:cs="Times New Roman"/>
          <w:b/>
          <w:bCs/>
          <w:sz w:val="24"/>
          <w:szCs w:val="24"/>
        </w:rPr>
        <w:t>5.1</w:t>
      </w:r>
      <w:r w:rsidR="004F121A" w:rsidRPr="00EA4D6A">
        <w:rPr>
          <w:rFonts w:ascii="Times New Roman" w:hAnsi="Times New Roman" w:cs="Times New Roman"/>
          <w:b/>
          <w:bCs/>
          <w:sz w:val="24"/>
          <w:szCs w:val="24"/>
        </w:rPr>
        <w:t>.</w:t>
      </w:r>
      <w:r w:rsidRPr="00EA4D6A">
        <w:rPr>
          <w:rFonts w:ascii="Times New Roman" w:hAnsi="Times New Roman" w:cs="Times New Roman"/>
          <w:b/>
          <w:bCs/>
          <w:sz w:val="24"/>
          <w:szCs w:val="24"/>
        </w:rPr>
        <w:t xml:space="preserve"> Development</w:t>
      </w:r>
      <w:r w:rsidR="004F121A" w:rsidRPr="00EA4D6A">
        <w:rPr>
          <w:rFonts w:ascii="Times New Roman" w:hAnsi="Times New Roman" w:cs="Times New Roman"/>
          <w:b/>
          <w:bCs/>
          <w:sz w:val="24"/>
          <w:szCs w:val="24"/>
        </w:rPr>
        <w:t xml:space="preserve"> achievements</w:t>
      </w:r>
      <w:bookmarkEnd w:id="19"/>
    </w:p>
    <w:p w14:paraId="3BAA2EB2" w14:textId="713D50E9" w:rsidR="000621A4" w:rsidRDefault="00000000" w:rsidP="009502BA">
      <w:pPr>
        <w:rPr>
          <w:rFonts w:ascii="Times New Roman" w:hAnsi="Times New Roman" w:cs="Times New Roman"/>
          <w:sz w:val="24"/>
          <w:szCs w:val="24"/>
        </w:rPr>
      </w:pPr>
      <w:r w:rsidRPr="004A29C6">
        <w:rPr>
          <w:rFonts w:ascii="Times New Roman" w:hAnsi="Times New Roman" w:cs="Times New Roman"/>
          <w:sz w:val="24"/>
          <w:szCs w:val="24"/>
        </w:rPr>
        <w:t xml:space="preserve">The ICH list system and protection level have been upgraded, forming a complete hierarchical system including 2 World-level, 2 national-level and 8 provincial-level tea ICH items. The inscription on the World ICH List in 2022 marked a historic breakthrough. A full-coverage protection network consisting of 15 inheritance museums, 42 ICH workshops and 28 inheritance bases has been constructed. The integrated protection model of </w:t>
      </w:r>
      <w:r w:rsidR="009502BA" w:rsidRPr="004A29C6">
        <w:rPr>
          <w:rFonts w:ascii="Times New Roman" w:hAnsi="Times New Roman" w:cs="Times New Roman"/>
          <w:sz w:val="24"/>
          <w:szCs w:val="24"/>
        </w:rPr>
        <w:t>“</w:t>
      </w:r>
      <w:r w:rsidRPr="004A29C6">
        <w:rPr>
          <w:rFonts w:ascii="Times New Roman" w:hAnsi="Times New Roman" w:cs="Times New Roman"/>
          <w:sz w:val="24"/>
          <w:szCs w:val="24"/>
        </w:rPr>
        <w:t>Tea Mountain-Tea Village-Tea City</w:t>
      </w:r>
      <w:r w:rsidR="009502BA" w:rsidRPr="004A29C6">
        <w:rPr>
          <w:rFonts w:ascii="Times New Roman" w:hAnsi="Times New Roman" w:cs="Times New Roman"/>
          <w:sz w:val="24"/>
          <w:szCs w:val="24"/>
        </w:rPr>
        <w:t>”</w:t>
      </w:r>
      <w:r w:rsidRPr="004A29C6">
        <w:rPr>
          <w:rFonts w:ascii="Times New Roman" w:hAnsi="Times New Roman" w:cs="Times New Roman"/>
          <w:sz w:val="24"/>
          <w:szCs w:val="24"/>
        </w:rPr>
        <w:t xml:space="preserve"> has been cited as a typical case by the Ministry of Culture and Tourism. In 2023, the comprehensive output value of the tea industry hit 22 billion yuan, with tea ICH-related products accounting for 35% of total output. Per capita annual tea income reached 7,771 yuan, a 42% increase compared with 2020. The brand value of Enshi Yulu stands at 2.25 billion yuan.</w:t>
      </w:r>
    </w:p>
    <w:p w14:paraId="3E672AF0" w14:textId="77777777" w:rsidR="009C72CD" w:rsidRPr="004A29C6" w:rsidRDefault="009C72CD" w:rsidP="009502BA">
      <w:pPr>
        <w:rPr>
          <w:rFonts w:ascii="Times New Roman" w:hAnsi="Times New Roman" w:cs="Times New Roman"/>
          <w:sz w:val="24"/>
          <w:szCs w:val="24"/>
        </w:rPr>
      </w:pPr>
    </w:p>
    <w:p w14:paraId="0ACE45CC" w14:textId="4A848F95" w:rsidR="000621A4" w:rsidRPr="00EA4D6A" w:rsidRDefault="00000000" w:rsidP="009502BA">
      <w:pPr>
        <w:rPr>
          <w:rFonts w:ascii="Times New Roman" w:hAnsi="Times New Roman" w:cs="Times New Roman"/>
          <w:b/>
          <w:bCs/>
          <w:sz w:val="24"/>
          <w:szCs w:val="24"/>
        </w:rPr>
      </w:pPr>
      <w:bookmarkStart w:id="20" w:name="heading_20"/>
      <w:r w:rsidRPr="00EA4D6A">
        <w:rPr>
          <w:rFonts w:ascii="Times New Roman" w:hAnsi="Times New Roman" w:cs="Times New Roman"/>
          <w:b/>
          <w:bCs/>
          <w:sz w:val="24"/>
          <w:szCs w:val="24"/>
        </w:rPr>
        <w:t>5.2</w:t>
      </w:r>
      <w:r w:rsidR="009C72CD" w:rsidRPr="00EA4D6A">
        <w:rPr>
          <w:rFonts w:ascii="Times New Roman" w:hAnsi="Times New Roman" w:cs="Times New Roman"/>
          <w:b/>
          <w:bCs/>
          <w:sz w:val="24"/>
          <w:szCs w:val="24"/>
        </w:rPr>
        <w:t>.</w:t>
      </w:r>
      <w:r w:rsidRPr="00EA4D6A">
        <w:rPr>
          <w:rFonts w:ascii="Times New Roman" w:hAnsi="Times New Roman" w:cs="Times New Roman"/>
          <w:b/>
          <w:bCs/>
          <w:sz w:val="24"/>
          <w:szCs w:val="24"/>
        </w:rPr>
        <w:t xml:space="preserve"> Practical </w:t>
      </w:r>
      <w:r w:rsidR="009C72CD" w:rsidRPr="00EA4D6A">
        <w:rPr>
          <w:rFonts w:ascii="Times New Roman" w:hAnsi="Times New Roman" w:cs="Times New Roman"/>
          <w:b/>
          <w:bCs/>
          <w:sz w:val="24"/>
          <w:szCs w:val="24"/>
        </w:rPr>
        <w:t>dilemma</w:t>
      </w:r>
      <w:r w:rsidRPr="00EA4D6A">
        <w:rPr>
          <w:rFonts w:ascii="Times New Roman" w:hAnsi="Times New Roman" w:cs="Times New Roman"/>
          <w:b/>
          <w:bCs/>
          <w:sz w:val="24"/>
          <w:szCs w:val="24"/>
        </w:rPr>
        <w:t>s</w:t>
      </w:r>
      <w:bookmarkEnd w:id="20"/>
    </w:p>
    <w:p w14:paraId="26586280" w14:textId="77777777" w:rsidR="000621A4" w:rsidRDefault="00000000" w:rsidP="009502BA">
      <w:pPr>
        <w:rPr>
          <w:rFonts w:ascii="Times New Roman" w:hAnsi="Times New Roman" w:cs="Times New Roman"/>
          <w:sz w:val="24"/>
          <w:szCs w:val="24"/>
        </w:rPr>
      </w:pPr>
      <w:r w:rsidRPr="004A29C6">
        <w:rPr>
          <w:rFonts w:ascii="Times New Roman" w:hAnsi="Times New Roman" w:cs="Times New Roman"/>
          <w:sz w:val="24"/>
          <w:szCs w:val="24"/>
        </w:rPr>
        <w:t>Excessive and inadequate performance of government functions, administrative interference in micro-management of business operations, insufficient efforts to protect core craftsmanship, and some enterprises simplifying production processes and lowering product quality have led to the risk of delinking tea heritage from intangible cultural heritage. 15% of Enshi Yulu tea fails to meet geographical indication standards, 30% of intangible cultural heritage experience activities related to tea are more form than substance, the average age of inheritors is 58 years old with only 22% under 50, and techniques such as shaping and glazing are on the verge of being lost. The digital divide is reflected in the fact that people aged 60 and above account for 65% of the total population, yet their participation rate in live-streaming e-commerce is less than 20%.</w:t>
      </w:r>
    </w:p>
    <w:p w14:paraId="01C2D0CB" w14:textId="77777777" w:rsidR="009C72CD" w:rsidRPr="004A29C6" w:rsidRDefault="009C72CD" w:rsidP="009502BA">
      <w:pPr>
        <w:rPr>
          <w:rFonts w:ascii="Times New Roman" w:hAnsi="Times New Roman" w:cs="Times New Roman"/>
          <w:sz w:val="24"/>
          <w:szCs w:val="24"/>
        </w:rPr>
      </w:pPr>
    </w:p>
    <w:p w14:paraId="27C7959A" w14:textId="639E2A20" w:rsidR="000621A4" w:rsidRPr="00EA4D6A" w:rsidRDefault="00000000" w:rsidP="009502BA">
      <w:pPr>
        <w:rPr>
          <w:rFonts w:ascii="Times New Roman" w:hAnsi="Times New Roman" w:cs="Times New Roman"/>
          <w:b/>
          <w:bCs/>
          <w:sz w:val="24"/>
          <w:szCs w:val="24"/>
        </w:rPr>
      </w:pPr>
      <w:bookmarkStart w:id="21" w:name="heading_21"/>
      <w:r w:rsidRPr="00EA4D6A">
        <w:rPr>
          <w:rFonts w:ascii="Times New Roman" w:hAnsi="Times New Roman" w:cs="Times New Roman"/>
          <w:b/>
          <w:bCs/>
          <w:sz w:val="24"/>
          <w:szCs w:val="24"/>
        </w:rPr>
        <w:t>5.3</w:t>
      </w:r>
      <w:r w:rsidR="009C72CD" w:rsidRPr="00EA4D6A">
        <w:rPr>
          <w:rFonts w:ascii="Times New Roman" w:hAnsi="Times New Roman" w:cs="Times New Roman"/>
          <w:b/>
          <w:bCs/>
          <w:sz w:val="24"/>
          <w:szCs w:val="24"/>
        </w:rPr>
        <w:t>.</w:t>
      </w:r>
      <w:r w:rsidRPr="00EA4D6A">
        <w:rPr>
          <w:rFonts w:ascii="Times New Roman" w:hAnsi="Times New Roman" w:cs="Times New Roman"/>
          <w:b/>
          <w:bCs/>
          <w:sz w:val="24"/>
          <w:szCs w:val="24"/>
        </w:rPr>
        <w:t xml:space="preserve"> Underlying </w:t>
      </w:r>
      <w:r w:rsidR="009C72CD" w:rsidRPr="00EA4D6A">
        <w:rPr>
          <w:rFonts w:ascii="Times New Roman" w:hAnsi="Times New Roman" w:cs="Times New Roman"/>
          <w:b/>
          <w:bCs/>
          <w:sz w:val="24"/>
          <w:szCs w:val="24"/>
        </w:rPr>
        <w:t>contradictions</w:t>
      </w:r>
      <w:bookmarkEnd w:id="21"/>
    </w:p>
    <w:p w14:paraId="2EC30B44" w14:textId="22B0991F" w:rsidR="000621A4" w:rsidRPr="004A29C6" w:rsidRDefault="00000000" w:rsidP="009502BA">
      <w:pPr>
        <w:rPr>
          <w:rFonts w:ascii="Times New Roman" w:hAnsi="Times New Roman" w:cs="Times New Roman"/>
          <w:sz w:val="24"/>
          <w:szCs w:val="24"/>
        </w:rPr>
      </w:pPr>
      <w:r w:rsidRPr="004A29C6">
        <w:rPr>
          <w:rFonts w:ascii="Times New Roman" w:hAnsi="Times New Roman" w:cs="Times New Roman"/>
          <w:sz w:val="24"/>
          <w:szCs w:val="24"/>
        </w:rPr>
        <w:t>The above difficulties reflect three fundamental conflicts</w:t>
      </w:r>
      <w:r w:rsidR="009502BA" w:rsidRPr="004A29C6">
        <w:rPr>
          <w:rFonts w:ascii="Times New Roman" w:hAnsi="Times New Roman" w:cs="Times New Roman"/>
          <w:sz w:val="24"/>
          <w:szCs w:val="24"/>
        </w:rPr>
        <w:t>:</w:t>
      </w:r>
      <w:r w:rsidRPr="004A29C6">
        <w:rPr>
          <w:rFonts w:ascii="Times New Roman" w:hAnsi="Times New Roman" w:cs="Times New Roman"/>
          <w:sz w:val="24"/>
          <w:szCs w:val="24"/>
        </w:rPr>
        <w:t xml:space="preserve"> the dynamic adjustment conflict between public governance logic and market logic, the balance conflict between cultural protection and economic development, and the coordination conflict between government leadership and social participation.</w:t>
      </w:r>
    </w:p>
    <w:p w14:paraId="5AD9CDD3" w14:textId="77777777" w:rsidR="009C72CD" w:rsidRDefault="009C72CD" w:rsidP="009502BA">
      <w:pPr>
        <w:rPr>
          <w:rFonts w:ascii="Times New Roman" w:hAnsi="Times New Roman" w:cs="Times New Roman"/>
          <w:sz w:val="24"/>
          <w:szCs w:val="24"/>
        </w:rPr>
      </w:pPr>
      <w:bookmarkStart w:id="22" w:name="heading_22"/>
    </w:p>
    <w:p w14:paraId="0B93ECC6" w14:textId="63EC0E13" w:rsidR="000621A4" w:rsidRPr="00EA4D6A" w:rsidRDefault="00000000" w:rsidP="009502BA">
      <w:pPr>
        <w:rPr>
          <w:rFonts w:ascii="Times New Roman" w:hAnsi="Times New Roman" w:cs="Times New Roman"/>
          <w:b/>
          <w:bCs/>
          <w:sz w:val="24"/>
          <w:szCs w:val="24"/>
        </w:rPr>
      </w:pPr>
      <w:r w:rsidRPr="00EA4D6A">
        <w:rPr>
          <w:rFonts w:ascii="Times New Roman" w:hAnsi="Times New Roman" w:cs="Times New Roman"/>
          <w:b/>
          <w:bCs/>
          <w:sz w:val="24"/>
          <w:szCs w:val="24"/>
        </w:rPr>
        <w:t>6</w:t>
      </w:r>
      <w:r w:rsidR="009C72CD" w:rsidRPr="00EA4D6A">
        <w:rPr>
          <w:rFonts w:ascii="Times New Roman" w:hAnsi="Times New Roman" w:cs="Times New Roman"/>
          <w:b/>
          <w:bCs/>
          <w:sz w:val="24"/>
          <w:szCs w:val="24"/>
        </w:rPr>
        <w:t>.</w:t>
      </w:r>
      <w:r w:rsidRPr="00EA4D6A">
        <w:rPr>
          <w:rFonts w:ascii="Times New Roman" w:hAnsi="Times New Roman" w:cs="Times New Roman"/>
          <w:b/>
          <w:bCs/>
          <w:sz w:val="24"/>
          <w:szCs w:val="24"/>
        </w:rPr>
        <w:t xml:space="preserve"> Optimization </w:t>
      </w:r>
      <w:r w:rsidR="009C72CD" w:rsidRPr="00EA4D6A">
        <w:rPr>
          <w:rFonts w:ascii="Times New Roman" w:hAnsi="Times New Roman" w:cs="Times New Roman"/>
          <w:b/>
          <w:bCs/>
          <w:sz w:val="24"/>
          <w:szCs w:val="24"/>
        </w:rPr>
        <w:t>paths and institutional suggestions for te</w:t>
      </w:r>
      <w:r w:rsidRPr="00EA4D6A">
        <w:rPr>
          <w:rFonts w:ascii="Times New Roman" w:hAnsi="Times New Roman" w:cs="Times New Roman"/>
          <w:b/>
          <w:bCs/>
          <w:sz w:val="24"/>
          <w:szCs w:val="24"/>
        </w:rPr>
        <w:t xml:space="preserve">a ICH </w:t>
      </w:r>
      <w:r w:rsidR="009C72CD" w:rsidRPr="00EA4D6A">
        <w:rPr>
          <w:rFonts w:ascii="Times New Roman" w:hAnsi="Times New Roman" w:cs="Times New Roman"/>
          <w:b/>
          <w:bCs/>
          <w:sz w:val="24"/>
          <w:szCs w:val="24"/>
        </w:rPr>
        <w:t>industr</w:t>
      </w:r>
      <w:r w:rsidRPr="00EA4D6A">
        <w:rPr>
          <w:rFonts w:ascii="Times New Roman" w:hAnsi="Times New Roman" w:cs="Times New Roman"/>
          <w:b/>
          <w:bCs/>
          <w:sz w:val="24"/>
          <w:szCs w:val="24"/>
        </w:rPr>
        <w:t>ialization</w:t>
      </w:r>
      <w:bookmarkEnd w:id="22"/>
    </w:p>
    <w:p w14:paraId="44EF1CD4" w14:textId="0CC3A932" w:rsidR="000621A4" w:rsidRPr="00EA4D6A" w:rsidRDefault="00000000" w:rsidP="009502BA">
      <w:pPr>
        <w:rPr>
          <w:rFonts w:ascii="Times New Roman" w:hAnsi="Times New Roman" w:cs="Times New Roman"/>
          <w:b/>
          <w:bCs/>
          <w:sz w:val="24"/>
          <w:szCs w:val="24"/>
        </w:rPr>
      </w:pPr>
      <w:bookmarkStart w:id="23" w:name="heading_23"/>
      <w:r w:rsidRPr="00EA4D6A">
        <w:rPr>
          <w:rFonts w:ascii="Times New Roman" w:hAnsi="Times New Roman" w:cs="Times New Roman"/>
          <w:b/>
          <w:bCs/>
          <w:sz w:val="24"/>
          <w:szCs w:val="24"/>
        </w:rPr>
        <w:t>6.1</w:t>
      </w:r>
      <w:r w:rsidR="009C72CD" w:rsidRPr="00EA4D6A">
        <w:rPr>
          <w:rFonts w:ascii="Times New Roman" w:hAnsi="Times New Roman" w:cs="Times New Roman"/>
          <w:b/>
          <w:bCs/>
          <w:sz w:val="24"/>
          <w:szCs w:val="24"/>
        </w:rPr>
        <w:t>.</w:t>
      </w:r>
      <w:r w:rsidRPr="00EA4D6A">
        <w:rPr>
          <w:rFonts w:ascii="Times New Roman" w:hAnsi="Times New Roman" w:cs="Times New Roman"/>
          <w:b/>
          <w:bCs/>
          <w:sz w:val="24"/>
          <w:szCs w:val="24"/>
        </w:rPr>
        <w:t xml:space="preserve"> Improve</w:t>
      </w:r>
      <w:r w:rsidR="009C72CD" w:rsidRPr="00EA4D6A">
        <w:rPr>
          <w:rFonts w:ascii="Times New Roman" w:hAnsi="Times New Roman" w:cs="Times New Roman"/>
          <w:b/>
          <w:bCs/>
          <w:sz w:val="24"/>
          <w:szCs w:val="24"/>
        </w:rPr>
        <w:t xml:space="preserve"> institutional design</w:t>
      </w:r>
      <w:bookmarkEnd w:id="23"/>
    </w:p>
    <w:p w14:paraId="2431D3FF" w14:textId="18B66B24" w:rsidR="000621A4" w:rsidRPr="004A29C6" w:rsidRDefault="00000000" w:rsidP="009502BA">
      <w:pPr>
        <w:rPr>
          <w:rFonts w:ascii="Times New Roman" w:hAnsi="Times New Roman" w:cs="Times New Roman"/>
          <w:sz w:val="24"/>
          <w:szCs w:val="24"/>
        </w:rPr>
      </w:pPr>
      <w:r w:rsidRPr="004A29C6">
        <w:rPr>
          <w:rFonts w:ascii="Times New Roman" w:hAnsi="Times New Roman" w:cs="Times New Roman"/>
          <w:sz w:val="24"/>
          <w:szCs w:val="24"/>
        </w:rPr>
        <w:t xml:space="preserve">Formulate the </w:t>
      </w:r>
      <w:r w:rsidRPr="004A29C6">
        <w:rPr>
          <w:rFonts w:ascii="Times New Roman" w:hAnsi="Times New Roman" w:cs="Times New Roman"/>
          <w:i/>
          <w:sz w:val="24"/>
          <w:szCs w:val="24"/>
        </w:rPr>
        <w:t>Regulations of Enshi Prefecture on the Protection of Tea Intangible Cultural Heritage</w:t>
      </w:r>
      <w:r w:rsidRPr="004A29C6">
        <w:rPr>
          <w:rFonts w:ascii="Times New Roman" w:hAnsi="Times New Roman" w:cs="Times New Roman"/>
          <w:sz w:val="24"/>
          <w:szCs w:val="24"/>
        </w:rPr>
        <w:t xml:space="preserve">, establish hierarchical and classified protection standards, and adopt differentiated management modes for </w:t>
      </w:r>
      <w:r w:rsidR="009502BA" w:rsidRPr="004A29C6">
        <w:rPr>
          <w:rFonts w:ascii="Times New Roman" w:hAnsi="Times New Roman" w:cs="Times New Roman"/>
          <w:sz w:val="24"/>
          <w:szCs w:val="24"/>
        </w:rPr>
        <w:t>“</w:t>
      </w:r>
      <w:r w:rsidRPr="004A29C6">
        <w:rPr>
          <w:rFonts w:ascii="Times New Roman" w:hAnsi="Times New Roman" w:cs="Times New Roman"/>
          <w:sz w:val="24"/>
          <w:szCs w:val="24"/>
        </w:rPr>
        <w:t>core craftsmanship protection zones</w:t>
      </w:r>
      <w:r w:rsidR="009502BA" w:rsidRPr="004A29C6">
        <w:rPr>
          <w:rFonts w:ascii="Times New Roman" w:hAnsi="Times New Roman" w:cs="Times New Roman"/>
          <w:sz w:val="24"/>
          <w:szCs w:val="24"/>
        </w:rPr>
        <w:t>”</w:t>
      </w:r>
      <w:r w:rsidRPr="004A29C6">
        <w:rPr>
          <w:rFonts w:ascii="Times New Roman" w:hAnsi="Times New Roman" w:cs="Times New Roman"/>
          <w:sz w:val="24"/>
          <w:szCs w:val="24"/>
        </w:rPr>
        <w:t xml:space="preserve"> and </w:t>
      </w:r>
      <w:r w:rsidR="009502BA" w:rsidRPr="004A29C6">
        <w:rPr>
          <w:rFonts w:ascii="Times New Roman" w:hAnsi="Times New Roman" w:cs="Times New Roman"/>
          <w:sz w:val="24"/>
          <w:szCs w:val="24"/>
        </w:rPr>
        <w:t>“</w:t>
      </w:r>
      <w:r w:rsidRPr="004A29C6">
        <w:rPr>
          <w:rFonts w:ascii="Times New Roman" w:hAnsi="Times New Roman" w:cs="Times New Roman"/>
          <w:sz w:val="24"/>
          <w:szCs w:val="24"/>
        </w:rPr>
        <w:t>industrial expansion zones</w:t>
      </w:r>
      <w:r w:rsidR="009502BA" w:rsidRPr="004A29C6">
        <w:rPr>
          <w:rFonts w:ascii="Times New Roman" w:hAnsi="Times New Roman" w:cs="Times New Roman"/>
          <w:sz w:val="24"/>
          <w:szCs w:val="24"/>
        </w:rPr>
        <w:t>”</w:t>
      </w:r>
      <w:r w:rsidR="009C72CD">
        <w:rPr>
          <w:rFonts w:ascii="Times New Roman" w:hAnsi="Times New Roman" w:cs="Times New Roman"/>
          <w:sz w:val="24"/>
          <w:szCs w:val="24"/>
        </w:rPr>
        <w:t xml:space="preserve"> </w:t>
      </w:r>
      <w:r w:rsidRPr="004A29C6">
        <w:rPr>
          <w:rFonts w:ascii="Times New Roman" w:hAnsi="Times New Roman" w:cs="Times New Roman"/>
          <w:sz w:val="24"/>
          <w:szCs w:val="24"/>
          <w:vertAlign w:val="superscript"/>
        </w:rPr>
        <w:t>[12]</w:t>
      </w:r>
      <w:r w:rsidRPr="004A29C6">
        <w:rPr>
          <w:rFonts w:ascii="Times New Roman" w:hAnsi="Times New Roman" w:cs="Times New Roman"/>
          <w:sz w:val="24"/>
          <w:szCs w:val="24"/>
        </w:rPr>
        <w:t>. Build an access and exit system for tea ICH industrial service providers with qualification certification and dynamic evaluation mechanisms</w:t>
      </w:r>
      <w:r w:rsidR="009C72CD">
        <w:rPr>
          <w:rFonts w:ascii="Times New Roman" w:hAnsi="Times New Roman" w:cs="Times New Roman"/>
          <w:sz w:val="24"/>
          <w:szCs w:val="24"/>
        </w:rPr>
        <w:t xml:space="preserve"> </w:t>
      </w:r>
      <w:r w:rsidRPr="004A29C6">
        <w:rPr>
          <w:rFonts w:ascii="Times New Roman" w:hAnsi="Times New Roman" w:cs="Times New Roman"/>
          <w:sz w:val="24"/>
          <w:szCs w:val="24"/>
          <w:vertAlign w:val="superscript"/>
        </w:rPr>
        <w:t>[13]</w:t>
      </w:r>
      <w:r w:rsidRPr="004A29C6">
        <w:rPr>
          <w:rFonts w:ascii="Times New Roman" w:hAnsi="Times New Roman" w:cs="Times New Roman"/>
          <w:sz w:val="24"/>
          <w:szCs w:val="24"/>
        </w:rPr>
        <w:t>.</w:t>
      </w:r>
    </w:p>
    <w:p w14:paraId="0CAFA474" w14:textId="77777777" w:rsidR="009C72CD" w:rsidRDefault="009C72CD" w:rsidP="009502BA">
      <w:pPr>
        <w:rPr>
          <w:rFonts w:ascii="Times New Roman" w:hAnsi="Times New Roman" w:cs="Times New Roman"/>
          <w:sz w:val="24"/>
          <w:szCs w:val="24"/>
        </w:rPr>
      </w:pPr>
      <w:bookmarkStart w:id="24" w:name="heading_24"/>
    </w:p>
    <w:p w14:paraId="269EB574" w14:textId="469E7954" w:rsidR="000621A4" w:rsidRPr="00EA4D6A" w:rsidRDefault="00000000" w:rsidP="009502BA">
      <w:pPr>
        <w:rPr>
          <w:rFonts w:ascii="Times New Roman" w:hAnsi="Times New Roman" w:cs="Times New Roman"/>
          <w:b/>
          <w:bCs/>
          <w:sz w:val="24"/>
          <w:szCs w:val="24"/>
        </w:rPr>
      </w:pPr>
      <w:r w:rsidRPr="00EA4D6A">
        <w:rPr>
          <w:rFonts w:ascii="Times New Roman" w:hAnsi="Times New Roman" w:cs="Times New Roman"/>
          <w:b/>
          <w:bCs/>
          <w:sz w:val="24"/>
          <w:szCs w:val="24"/>
        </w:rPr>
        <w:t>6.2</w:t>
      </w:r>
      <w:r w:rsidR="009C72CD" w:rsidRPr="00EA4D6A">
        <w:rPr>
          <w:rFonts w:ascii="Times New Roman" w:hAnsi="Times New Roman" w:cs="Times New Roman"/>
          <w:b/>
          <w:bCs/>
          <w:sz w:val="24"/>
          <w:szCs w:val="24"/>
        </w:rPr>
        <w:t>.</w:t>
      </w:r>
      <w:r w:rsidRPr="00EA4D6A">
        <w:rPr>
          <w:rFonts w:ascii="Times New Roman" w:hAnsi="Times New Roman" w:cs="Times New Roman"/>
          <w:b/>
          <w:bCs/>
          <w:sz w:val="24"/>
          <w:szCs w:val="24"/>
        </w:rPr>
        <w:t xml:space="preserve"> Innovate </w:t>
      </w:r>
      <w:r w:rsidR="009C72CD" w:rsidRPr="00EA4D6A">
        <w:rPr>
          <w:rFonts w:ascii="Times New Roman" w:hAnsi="Times New Roman" w:cs="Times New Roman"/>
          <w:b/>
          <w:bCs/>
          <w:sz w:val="24"/>
          <w:szCs w:val="24"/>
        </w:rPr>
        <w:t>governance mechanisms</w:t>
      </w:r>
      <w:bookmarkEnd w:id="24"/>
    </w:p>
    <w:p w14:paraId="31A3F87C" w14:textId="5CACFB10" w:rsidR="000621A4" w:rsidRDefault="00000000" w:rsidP="009502BA">
      <w:pPr>
        <w:rPr>
          <w:rFonts w:ascii="Times New Roman" w:hAnsi="Times New Roman" w:cs="Times New Roman"/>
          <w:sz w:val="24"/>
          <w:szCs w:val="24"/>
        </w:rPr>
      </w:pPr>
      <w:r w:rsidRPr="004A29C6">
        <w:rPr>
          <w:rFonts w:ascii="Times New Roman" w:hAnsi="Times New Roman" w:cs="Times New Roman"/>
          <w:sz w:val="24"/>
          <w:szCs w:val="24"/>
        </w:rPr>
        <w:t>Establish a joint law enforcement system integrating market supervision (geographical indications), culture and tourism (ICH protection) and agriculture (quality safety) to severely punish false ICH marketing. Give play to the self-regulatory role of the Tea ICH Protection Association and set up tea farmer councils to participate in industrial planning and decision-making, realizing multi-stakeholder co-governance of governments, markets, communities and tea farmers</w:t>
      </w:r>
      <w:r w:rsidR="004D116E">
        <w:rPr>
          <w:rFonts w:ascii="Times New Roman" w:hAnsi="Times New Roman" w:cs="Times New Roman"/>
          <w:sz w:val="24"/>
          <w:szCs w:val="24"/>
        </w:rPr>
        <w:t xml:space="preserve"> </w:t>
      </w:r>
      <w:r w:rsidRPr="004A29C6">
        <w:rPr>
          <w:rFonts w:ascii="Times New Roman" w:hAnsi="Times New Roman" w:cs="Times New Roman"/>
          <w:sz w:val="24"/>
          <w:szCs w:val="24"/>
          <w:vertAlign w:val="superscript"/>
        </w:rPr>
        <w:t>[14]</w:t>
      </w:r>
      <w:r w:rsidRPr="004A29C6">
        <w:rPr>
          <w:rFonts w:ascii="Times New Roman" w:hAnsi="Times New Roman" w:cs="Times New Roman"/>
          <w:sz w:val="24"/>
          <w:szCs w:val="24"/>
        </w:rPr>
        <w:t>.</w:t>
      </w:r>
    </w:p>
    <w:p w14:paraId="58727519" w14:textId="77777777" w:rsidR="004D116E" w:rsidRPr="004A29C6" w:rsidRDefault="004D116E" w:rsidP="009502BA">
      <w:pPr>
        <w:rPr>
          <w:rFonts w:ascii="Times New Roman" w:hAnsi="Times New Roman" w:cs="Times New Roman"/>
          <w:sz w:val="24"/>
          <w:szCs w:val="24"/>
        </w:rPr>
      </w:pPr>
    </w:p>
    <w:p w14:paraId="7A80829D" w14:textId="6A57C05C" w:rsidR="000621A4" w:rsidRPr="00EA4D6A" w:rsidRDefault="00000000" w:rsidP="009502BA">
      <w:pPr>
        <w:rPr>
          <w:rFonts w:ascii="Times New Roman" w:hAnsi="Times New Roman" w:cs="Times New Roman"/>
          <w:b/>
          <w:bCs/>
          <w:color w:val="000000" w:themeColor="text1"/>
          <w:sz w:val="24"/>
          <w:szCs w:val="24"/>
        </w:rPr>
      </w:pPr>
      <w:bookmarkStart w:id="25" w:name="heading_25"/>
      <w:r w:rsidRPr="00EA4D6A">
        <w:rPr>
          <w:rFonts w:ascii="Times New Roman" w:hAnsi="Times New Roman" w:cs="Times New Roman"/>
          <w:b/>
          <w:bCs/>
          <w:color w:val="000000" w:themeColor="text1"/>
          <w:sz w:val="24"/>
          <w:szCs w:val="24"/>
        </w:rPr>
        <w:t>6.3</w:t>
      </w:r>
      <w:r w:rsidR="004D116E" w:rsidRPr="00EA4D6A">
        <w:rPr>
          <w:rFonts w:ascii="Times New Roman" w:hAnsi="Times New Roman" w:cs="Times New Roman"/>
          <w:b/>
          <w:bCs/>
          <w:color w:val="000000" w:themeColor="text1"/>
          <w:sz w:val="24"/>
          <w:szCs w:val="24"/>
        </w:rPr>
        <w:t>.</w:t>
      </w:r>
      <w:r w:rsidRPr="00EA4D6A">
        <w:rPr>
          <w:rFonts w:ascii="Times New Roman" w:hAnsi="Times New Roman" w:cs="Times New Roman"/>
          <w:b/>
          <w:bCs/>
          <w:color w:val="000000" w:themeColor="text1"/>
          <w:sz w:val="24"/>
          <w:szCs w:val="24"/>
        </w:rPr>
        <w:t xml:space="preserve"> Guard </w:t>
      </w:r>
      <w:r w:rsidR="004D116E" w:rsidRPr="00EA4D6A">
        <w:rPr>
          <w:rFonts w:ascii="Times New Roman" w:hAnsi="Times New Roman" w:cs="Times New Roman"/>
          <w:b/>
          <w:bCs/>
          <w:color w:val="000000" w:themeColor="text1"/>
          <w:sz w:val="24"/>
          <w:szCs w:val="24"/>
        </w:rPr>
        <w:t>against development risks</w:t>
      </w:r>
      <w:bookmarkEnd w:id="25"/>
    </w:p>
    <w:p w14:paraId="2F1FAB82" w14:textId="77777777" w:rsidR="000621A4" w:rsidRDefault="00000000" w:rsidP="009502BA">
      <w:pPr>
        <w:rPr>
          <w:rFonts w:ascii="Times New Roman" w:hAnsi="Times New Roman" w:cs="Times New Roman"/>
          <w:sz w:val="24"/>
          <w:szCs w:val="24"/>
        </w:rPr>
      </w:pPr>
      <w:r w:rsidRPr="004A29C6">
        <w:rPr>
          <w:rFonts w:ascii="Times New Roman" w:hAnsi="Times New Roman" w:cs="Times New Roman"/>
          <w:sz w:val="24"/>
          <w:szCs w:val="24"/>
        </w:rPr>
        <w:t>Construct a three-dimensional monitoring and early warning index system covering craftsmanship inheritance degree, cultural authenticity and economic contribution rate for regular assessment. Set up a special fund for tea ICH digitalization and carry out digital training programs for elderly inheritors to achieve full 5G coverage in rural tea areas.</w:t>
      </w:r>
    </w:p>
    <w:p w14:paraId="6EE9A101" w14:textId="77777777" w:rsidR="004D116E" w:rsidRPr="004A29C6" w:rsidRDefault="004D116E" w:rsidP="009502BA">
      <w:pPr>
        <w:rPr>
          <w:rFonts w:ascii="Times New Roman" w:hAnsi="Times New Roman" w:cs="Times New Roman"/>
          <w:sz w:val="24"/>
          <w:szCs w:val="24"/>
        </w:rPr>
      </w:pPr>
    </w:p>
    <w:p w14:paraId="6D037869" w14:textId="46990B37" w:rsidR="000621A4" w:rsidRPr="00EA4D6A" w:rsidRDefault="00000000" w:rsidP="009502BA">
      <w:pPr>
        <w:rPr>
          <w:rFonts w:ascii="Times New Roman" w:hAnsi="Times New Roman" w:cs="Times New Roman"/>
          <w:b/>
          <w:bCs/>
          <w:sz w:val="24"/>
          <w:szCs w:val="24"/>
        </w:rPr>
      </w:pPr>
      <w:bookmarkStart w:id="26" w:name="heading_26"/>
      <w:r w:rsidRPr="00EA4D6A">
        <w:rPr>
          <w:rFonts w:ascii="Times New Roman" w:hAnsi="Times New Roman" w:cs="Times New Roman"/>
          <w:b/>
          <w:bCs/>
          <w:sz w:val="24"/>
          <w:szCs w:val="24"/>
        </w:rPr>
        <w:t>6.4</w:t>
      </w:r>
      <w:r w:rsidR="004D116E" w:rsidRPr="00EA4D6A">
        <w:rPr>
          <w:rFonts w:ascii="Times New Roman" w:hAnsi="Times New Roman" w:cs="Times New Roman"/>
          <w:b/>
          <w:bCs/>
          <w:sz w:val="24"/>
          <w:szCs w:val="24"/>
        </w:rPr>
        <w:t>.</w:t>
      </w:r>
      <w:r w:rsidRPr="00EA4D6A">
        <w:rPr>
          <w:rFonts w:ascii="Times New Roman" w:hAnsi="Times New Roman" w:cs="Times New Roman"/>
          <w:b/>
          <w:bCs/>
          <w:sz w:val="24"/>
          <w:szCs w:val="24"/>
        </w:rPr>
        <w:t xml:space="preserve"> Promote </w:t>
      </w:r>
      <w:r w:rsidR="004D116E" w:rsidRPr="00EA4D6A">
        <w:rPr>
          <w:rFonts w:ascii="Times New Roman" w:hAnsi="Times New Roman" w:cs="Times New Roman"/>
          <w:b/>
          <w:bCs/>
          <w:sz w:val="24"/>
          <w:szCs w:val="24"/>
        </w:rPr>
        <w:t>high-quality development</w:t>
      </w:r>
      <w:bookmarkEnd w:id="26"/>
    </w:p>
    <w:p w14:paraId="392F3A59" w14:textId="05A1FC0C" w:rsidR="000621A4" w:rsidRDefault="00000000" w:rsidP="009502BA">
      <w:pPr>
        <w:rPr>
          <w:rFonts w:ascii="Times New Roman" w:hAnsi="Times New Roman" w:cs="Times New Roman"/>
          <w:sz w:val="24"/>
          <w:szCs w:val="24"/>
        </w:rPr>
      </w:pPr>
      <w:r w:rsidRPr="004A29C6">
        <w:rPr>
          <w:rFonts w:ascii="Times New Roman" w:hAnsi="Times New Roman" w:cs="Times New Roman"/>
          <w:sz w:val="24"/>
          <w:szCs w:val="24"/>
        </w:rPr>
        <w:t xml:space="preserve">Build standardized demonstration bases for Enshi Yulu steaming green craftsmanship training, adopting flexible inheritance with </w:t>
      </w:r>
      <w:r w:rsidR="009502BA" w:rsidRPr="004A29C6">
        <w:rPr>
          <w:rFonts w:ascii="Times New Roman" w:hAnsi="Times New Roman" w:cs="Times New Roman"/>
          <w:sz w:val="24"/>
          <w:szCs w:val="24"/>
        </w:rPr>
        <w:t>“</w:t>
      </w:r>
      <w:r w:rsidRPr="004A29C6">
        <w:rPr>
          <w:rFonts w:ascii="Times New Roman" w:hAnsi="Times New Roman" w:cs="Times New Roman"/>
          <w:sz w:val="24"/>
          <w:szCs w:val="24"/>
        </w:rPr>
        <w:t>unchanged core techniques and optimized auxiliary links</w:t>
      </w:r>
      <w:r w:rsidR="009502BA" w:rsidRPr="004A29C6">
        <w:rPr>
          <w:rFonts w:ascii="Times New Roman" w:hAnsi="Times New Roman" w:cs="Times New Roman"/>
          <w:sz w:val="24"/>
          <w:szCs w:val="24"/>
        </w:rPr>
        <w:t>”</w:t>
      </w:r>
      <w:r w:rsidR="004D116E">
        <w:rPr>
          <w:rFonts w:ascii="Times New Roman" w:hAnsi="Times New Roman" w:cs="Times New Roman"/>
          <w:sz w:val="24"/>
          <w:szCs w:val="24"/>
        </w:rPr>
        <w:t xml:space="preserve"> </w:t>
      </w:r>
      <w:r w:rsidRPr="004A29C6">
        <w:rPr>
          <w:rFonts w:ascii="Times New Roman" w:hAnsi="Times New Roman" w:cs="Times New Roman"/>
          <w:sz w:val="24"/>
          <w:szCs w:val="24"/>
          <w:vertAlign w:val="superscript"/>
        </w:rPr>
        <w:t>[15]</w:t>
      </w:r>
      <w:r w:rsidRPr="004A29C6">
        <w:rPr>
          <w:rFonts w:ascii="Times New Roman" w:hAnsi="Times New Roman" w:cs="Times New Roman"/>
          <w:sz w:val="24"/>
          <w:szCs w:val="24"/>
        </w:rPr>
        <w:t>. Promote courtyard tea workshops where inheritors provide regular on-site guidance for farmers to realize craftsmanship inheritance without leaving villages or farmland. Expand tea cultural research and study routes, upgrade tea science and technology, and form a virtuous cycle where the tea industry feeds back cultural inheritance.</w:t>
      </w:r>
    </w:p>
    <w:p w14:paraId="2D7195A2" w14:textId="77777777" w:rsidR="004D116E" w:rsidRPr="004A29C6" w:rsidRDefault="004D116E" w:rsidP="009502BA">
      <w:pPr>
        <w:rPr>
          <w:rFonts w:ascii="Times New Roman" w:hAnsi="Times New Roman" w:cs="Times New Roman"/>
          <w:sz w:val="24"/>
          <w:szCs w:val="24"/>
        </w:rPr>
      </w:pPr>
    </w:p>
    <w:p w14:paraId="63DE38E1" w14:textId="3405A000" w:rsidR="000621A4" w:rsidRPr="00EA4D6A" w:rsidRDefault="00000000" w:rsidP="009502BA">
      <w:pPr>
        <w:rPr>
          <w:rFonts w:ascii="Times New Roman" w:hAnsi="Times New Roman" w:cs="Times New Roman"/>
          <w:b/>
          <w:bCs/>
          <w:sz w:val="24"/>
          <w:szCs w:val="24"/>
        </w:rPr>
      </w:pPr>
      <w:bookmarkStart w:id="27" w:name="heading_27"/>
      <w:r w:rsidRPr="00EA4D6A">
        <w:rPr>
          <w:rFonts w:ascii="Times New Roman" w:hAnsi="Times New Roman" w:cs="Times New Roman"/>
          <w:b/>
          <w:bCs/>
          <w:sz w:val="24"/>
          <w:szCs w:val="24"/>
        </w:rPr>
        <w:t>7</w:t>
      </w:r>
      <w:r w:rsidR="004D116E" w:rsidRPr="00EA4D6A">
        <w:rPr>
          <w:rFonts w:ascii="Times New Roman" w:hAnsi="Times New Roman" w:cs="Times New Roman"/>
          <w:b/>
          <w:bCs/>
          <w:sz w:val="24"/>
          <w:szCs w:val="24"/>
        </w:rPr>
        <w:t>.</w:t>
      </w:r>
      <w:r w:rsidRPr="00EA4D6A">
        <w:rPr>
          <w:rFonts w:ascii="Times New Roman" w:hAnsi="Times New Roman" w:cs="Times New Roman"/>
          <w:b/>
          <w:bCs/>
          <w:sz w:val="24"/>
          <w:szCs w:val="24"/>
        </w:rPr>
        <w:t xml:space="preserve"> Conclusion </w:t>
      </w:r>
      <w:r w:rsidR="004D116E" w:rsidRPr="00EA4D6A">
        <w:rPr>
          <w:rFonts w:ascii="Times New Roman" w:hAnsi="Times New Roman" w:cs="Times New Roman"/>
          <w:b/>
          <w:bCs/>
          <w:sz w:val="24"/>
          <w:szCs w:val="24"/>
        </w:rPr>
        <w:t>and pros</w:t>
      </w:r>
      <w:r w:rsidRPr="00EA4D6A">
        <w:rPr>
          <w:rFonts w:ascii="Times New Roman" w:hAnsi="Times New Roman" w:cs="Times New Roman"/>
          <w:b/>
          <w:bCs/>
          <w:sz w:val="24"/>
          <w:szCs w:val="24"/>
        </w:rPr>
        <w:t>pect</w:t>
      </w:r>
      <w:bookmarkEnd w:id="27"/>
    </w:p>
    <w:p w14:paraId="5F38F3B1" w14:textId="37932A57" w:rsidR="000621A4" w:rsidRPr="00EA4D6A" w:rsidRDefault="00000000" w:rsidP="009502BA">
      <w:pPr>
        <w:rPr>
          <w:rFonts w:ascii="Times New Roman" w:hAnsi="Times New Roman" w:cs="Times New Roman"/>
          <w:b/>
          <w:bCs/>
          <w:sz w:val="24"/>
          <w:szCs w:val="24"/>
        </w:rPr>
      </w:pPr>
      <w:bookmarkStart w:id="28" w:name="heading_28"/>
      <w:r w:rsidRPr="00EA4D6A">
        <w:rPr>
          <w:rFonts w:ascii="Times New Roman" w:hAnsi="Times New Roman" w:cs="Times New Roman"/>
          <w:b/>
          <w:bCs/>
          <w:sz w:val="24"/>
          <w:szCs w:val="24"/>
        </w:rPr>
        <w:lastRenderedPageBreak/>
        <w:t>7.1</w:t>
      </w:r>
      <w:r w:rsidR="004D116E">
        <w:rPr>
          <w:rFonts w:ascii="Times New Roman" w:hAnsi="Times New Roman" w:cs="Times New Roman"/>
          <w:b/>
          <w:bCs/>
          <w:sz w:val="24"/>
          <w:szCs w:val="24"/>
        </w:rPr>
        <w:t>.</w:t>
      </w:r>
      <w:r w:rsidRPr="00EA4D6A">
        <w:rPr>
          <w:rFonts w:ascii="Times New Roman" w:hAnsi="Times New Roman" w:cs="Times New Roman"/>
          <w:b/>
          <w:bCs/>
          <w:sz w:val="24"/>
          <w:szCs w:val="24"/>
        </w:rPr>
        <w:t xml:space="preserve"> Main </w:t>
      </w:r>
      <w:r w:rsidR="004D116E" w:rsidRPr="00EA4D6A">
        <w:rPr>
          <w:rFonts w:ascii="Times New Roman" w:hAnsi="Times New Roman" w:cs="Times New Roman"/>
          <w:b/>
          <w:bCs/>
          <w:sz w:val="24"/>
          <w:szCs w:val="24"/>
        </w:rPr>
        <w:t>conclusio</w:t>
      </w:r>
      <w:r w:rsidRPr="00EA4D6A">
        <w:rPr>
          <w:rFonts w:ascii="Times New Roman" w:hAnsi="Times New Roman" w:cs="Times New Roman"/>
          <w:b/>
          <w:bCs/>
          <w:sz w:val="24"/>
          <w:szCs w:val="24"/>
        </w:rPr>
        <w:t>ns</w:t>
      </w:r>
      <w:bookmarkEnd w:id="28"/>
    </w:p>
    <w:p w14:paraId="26E9B2FB" w14:textId="62BA253D" w:rsidR="000621A4" w:rsidRPr="004A29C6" w:rsidRDefault="00000000" w:rsidP="00EA4D6A">
      <w:pPr>
        <w:rPr>
          <w:rFonts w:ascii="Times New Roman" w:hAnsi="Times New Roman" w:cs="Times New Roman"/>
          <w:sz w:val="24"/>
          <w:szCs w:val="24"/>
        </w:rPr>
      </w:pPr>
      <w:r w:rsidRPr="004A29C6">
        <w:rPr>
          <w:rFonts w:ascii="Times New Roman" w:hAnsi="Times New Roman" w:cs="Times New Roman"/>
          <w:sz w:val="24"/>
          <w:szCs w:val="24"/>
        </w:rPr>
        <w:t>Taking tea ICH in Enshi as a case, this paper systematically analyzes the mechanism and paths of institution-driven ICH industrialization. Three core conclusions are drawn</w:t>
      </w:r>
      <w:r w:rsidR="009502BA" w:rsidRPr="004A29C6">
        <w:rPr>
          <w:rFonts w:ascii="Times New Roman" w:hAnsi="Times New Roman" w:cs="Times New Roman"/>
          <w:sz w:val="24"/>
          <w:szCs w:val="24"/>
        </w:rPr>
        <w:t>:</w:t>
      </w:r>
      <w:r w:rsidRPr="004A29C6">
        <w:rPr>
          <w:rFonts w:ascii="Times New Roman" w:hAnsi="Times New Roman" w:cs="Times New Roman"/>
          <w:sz w:val="24"/>
          <w:szCs w:val="24"/>
        </w:rPr>
        <w:br/>
        <w:t xml:space="preserve">First, institutional driving is a key variable for ICH industrialization in ethnic regions. Enshi Prefecture has built a complete institutional driving system via the four-in-one model of </w:t>
      </w:r>
      <w:r w:rsidR="009502BA" w:rsidRPr="004A29C6">
        <w:rPr>
          <w:rFonts w:ascii="Times New Roman" w:hAnsi="Times New Roman" w:cs="Times New Roman"/>
          <w:sz w:val="24"/>
          <w:szCs w:val="24"/>
        </w:rPr>
        <w:t>“</w:t>
      </w:r>
      <w:r w:rsidRPr="004A29C6">
        <w:rPr>
          <w:rFonts w:ascii="Times New Roman" w:hAnsi="Times New Roman" w:cs="Times New Roman"/>
          <w:sz w:val="24"/>
          <w:szCs w:val="24"/>
        </w:rPr>
        <w:t>legislative protection, standard guidance, brand operation and digital empowerment</w:t>
      </w:r>
      <w:r w:rsidR="009502BA" w:rsidRPr="004A29C6">
        <w:rPr>
          <w:rFonts w:ascii="Times New Roman" w:hAnsi="Times New Roman" w:cs="Times New Roman"/>
          <w:sz w:val="24"/>
          <w:szCs w:val="24"/>
        </w:rPr>
        <w:t>.”</w:t>
      </w:r>
      <w:r w:rsidRPr="004A29C6">
        <w:rPr>
          <w:rFonts w:ascii="Times New Roman" w:hAnsi="Times New Roman" w:cs="Times New Roman"/>
          <w:sz w:val="24"/>
          <w:szCs w:val="24"/>
        </w:rPr>
        <w:br/>
        <w:t>Second, the Enshi tea ICH model features institutional priority (China</w:t>
      </w:r>
      <w:r w:rsidR="009502BA" w:rsidRPr="004A29C6">
        <w:rPr>
          <w:rFonts w:ascii="Times New Roman" w:hAnsi="Times New Roman" w:cs="Times New Roman"/>
          <w:sz w:val="24"/>
          <w:szCs w:val="24"/>
        </w:rPr>
        <w:t>’</w:t>
      </w:r>
      <w:r w:rsidRPr="004A29C6">
        <w:rPr>
          <w:rFonts w:ascii="Times New Roman" w:hAnsi="Times New Roman" w:cs="Times New Roman"/>
          <w:sz w:val="24"/>
          <w:szCs w:val="24"/>
        </w:rPr>
        <w:t xml:space="preserve">s first provincial tea industry regulation plus special prefectural ordinances), spatial reconstruction of tea cultural geography under the </w:t>
      </w:r>
      <w:r w:rsidR="009502BA" w:rsidRPr="004A29C6">
        <w:rPr>
          <w:rFonts w:ascii="Times New Roman" w:hAnsi="Times New Roman" w:cs="Times New Roman"/>
          <w:sz w:val="24"/>
          <w:szCs w:val="24"/>
        </w:rPr>
        <w:t>“</w:t>
      </w:r>
      <w:r w:rsidRPr="004A29C6">
        <w:rPr>
          <w:rFonts w:ascii="Times New Roman" w:hAnsi="Times New Roman" w:cs="Times New Roman"/>
          <w:sz w:val="24"/>
          <w:szCs w:val="24"/>
        </w:rPr>
        <w:t>One Core, Three Belts</w:t>
      </w:r>
      <w:r w:rsidR="009502BA" w:rsidRPr="004A29C6">
        <w:rPr>
          <w:rFonts w:ascii="Times New Roman" w:hAnsi="Times New Roman" w:cs="Times New Roman"/>
          <w:sz w:val="24"/>
          <w:szCs w:val="24"/>
        </w:rPr>
        <w:t>”</w:t>
      </w:r>
      <w:r w:rsidRPr="004A29C6">
        <w:rPr>
          <w:rFonts w:ascii="Times New Roman" w:hAnsi="Times New Roman" w:cs="Times New Roman"/>
          <w:sz w:val="24"/>
          <w:szCs w:val="24"/>
        </w:rPr>
        <w:t xml:space="preserve"> layout, in-depth integration of tea, culture and tourism, and multi-stakeholder co-governance coordinated by government, market and community</w:t>
      </w:r>
      <w:r w:rsidR="005E50C8">
        <w:rPr>
          <w:rFonts w:ascii="Times New Roman" w:hAnsi="Times New Roman" w:cs="Times New Roman"/>
          <w:sz w:val="24"/>
          <w:szCs w:val="24"/>
        </w:rPr>
        <w:t xml:space="preserve">. </w:t>
      </w:r>
      <w:r w:rsidRPr="004A29C6">
        <w:rPr>
          <w:rFonts w:ascii="Times New Roman" w:hAnsi="Times New Roman" w:cs="Times New Roman"/>
          <w:sz w:val="24"/>
          <w:szCs w:val="24"/>
        </w:rPr>
        <w:t>Third, institutional driving must guard against excessive government intervention. Problems including government offside/absence, de-ICH risks and digital divide indicate the necessity of establishing a dynamic balance mechanism between protection and development.</w:t>
      </w:r>
    </w:p>
    <w:p w14:paraId="6AF6433C" w14:textId="77777777" w:rsidR="00683B29" w:rsidRDefault="00683B29" w:rsidP="009502BA">
      <w:pPr>
        <w:rPr>
          <w:rFonts w:ascii="Times New Roman" w:hAnsi="Times New Roman" w:cs="Times New Roman"/>
          <w:sz w:val="24"/>
          <w:szCs w:val="24"/>
        </w:rPr>
      </w:pPr>
      <w:bookmarkStart w:id="29" w:name="heading_29"/>
    </w:p>
    <w:p w14:paraId="6E840D50" w14:textId="06D2D49E" w:rsidR="000621A4" w:rsidRPr="00EA4D6A" w:rsidRDefault="00000000" w:rsidP="009502BA">
      <w:pPr>
        <w:rPr>
          <w:rFonts w:ascii="Times New Roman" w:hAnsi="Times New Roman" w:cs="Times New Roman"/>
          <w:b/>
          <w:bCs/>
          <w:sz w:val="24"/>
          <w:szCs w:val="24"/>
        </w:rPr>
      </w:pPr>
      <w:r w:rsidRPr="00EA4D6A">
        <w:rPr>
          <w:rFonts w:ascii="Times New Roman" w:hAnsi="Times New Roman" w:cs="Times New Roman"/>
          <w:b/>
          <w:bCs/>
          <w:sz w:val="24"/>
          <w:szCs w:val="24"/>
        </w:rPr>
        <w:t>7.2</w:t>
      </w:r>
      <w:r w:rsidR="00683B29">
        <w:rPr>
          <w:rFonts w:ascii="Times New Roman" w:hAnsi="Times New Roman" w:cs="Times New Roman"/>
          <w:b/>
          <w:bCs/>
          <w:sz w:val="24"/>
          <w:szCs w:val="24"/>
        </w:rPr>
        <w:t>.</w:t>
      </w:r>
      <w:r w:rsidRPr="00EA4D6A">
        <w:rPr>
          <w:rFonts w:ascii="Times New Roman" w:hAnsi="Times New Roman" w:cs="Times New Roman"/>
          <w:b/>
          <w:bCs/>
          <w:sz w:val="24"/>
          <w:szCs w:val="24"/>
        </w:rPr>
        <w:t xml:space="preserve"> Research </w:t>
      </w:r>
      <w:r w:rsidR="00683B29" w:rsidRPr="00EA4D6A">
        <w:rPr>
          <w:rFonts w:ascii="Times New Roman" w:hAnsi="Times New Roman" w:cs="Times New Roman"/>
          <w:b/>
          <w:bCs/>
          <w:sz w:val="24"/>
          <w:szCs w:val="24"/>
        </w:rPr>
        <w:t>contributions and limitations</w:t>
      </w:r>
      <w:bookmarkEnd w:id="29"/>
    </w:p>
    <w:p w14:paraId="1E7C6F1A" w14:textId="77777777" w:rsidR="005E50C8" w:rsidRDefault="00000000" w:rsidP="00EA4D6A">
      <w:pPr>
        <w:rPr>
          <w:rFonts w:ascii="Times New Roman" w:hAnsi="Times New Roman" w:cs="Times New Roman"/>
          <w:sz w:val="24"/>
          <w:szCs w:val="24"/>
        </w:rPr>
      </w:pPr>
      <w:r w:rsidRPr="004A29C6">
        <w:rPr>
          <w:rFonts w:ascii="Times New Roman" w:hAnsi="Times New Roman" w:cs="Times New Roman"/>
          <w:sz w:val="24"/>
          <w:szCs w:val="24"/>
        </w:rPr>
        <w:t>Contributions</w:t>
      </w:r>
      <w:r w:rsidR="009502BA" w:rsidRPr="004A29C6">
        <w:rPr>
          <w:rFonts w:ascii="Times New Roman" w:hAnsi="Times New Roman" w:cs="Times New Roman"/>
          <w:sz w:val="24"/>
          <w:szCs w:val="24"/>
        </w:rPr>
        <w:t>:</w:t>
      </w:r>
      <w:r w:rsidRPr="004A29C6">
        <w:rPr>
          <w:rFonts w:ascii="Times New Roman" w:hAnsi="Times New Roman" w:cs="Times New Roman"/>
          <w:sz w:val="24"/>
          <w:szCs w:val="24"/>
        </w:rPr>
        <w:t xml:space="preserve"> This paper introduces the institutional driving perspective into ICH industrialization research and enriches practical experience of ethnic regions centered on tea ICH.</w:t>
      </w:r>
    </w:p>
    <w:p w14:paraId="5AFFB6DD" w14:textId="1A3374C5" w:rsidR="000621A4" w:rsidRPr="004A29C6" w:rsidRDefault="00000000" w:rsidP="00EA4D6A">
      <w:pPr>
        <w:ind w:firstLineChars="200" w:firstLine="480"/>
        <w:rPr>
          <w:rFonts w:ascii="Times New Roman" w:hAnsi="Times New Roman" w:cs="Times New Roman"/>
          <w:sz w:val="24"/>
          <w:szCs w:val="24"/>
        </w:rPr>
      </w:pPr>
      <w:r w:rsidRPr="004A29C6">
        <w:rPr>
          <w:rFonts w:ascii="Times New Roman" w:hAnsi="Times New Roman" w:cs="Times New Roman"/>
          <w:sz w:val="24"/>
          <w:szCs w:val="24"/>
        </w:rPr>
        <w:t>Limitations</w:t>
      </w:r>
      <w:r w:rsidR="009502BA" w:rsidRPr="004A29C6">
        <w:rPr>
          <w:rFonts w:ascii="Times New Roman" w:hAnsi="Times New Roman" w:cs="Times New Roman"/>
          <w:sz w:val="24"/>
          <w:szCs w:val="24"/>
        </w:rPr>
        <w:t>:</w:t>
      </w:r>
      <w:r w:rsidRPr="004A29C6">
        <w:rPr>
          <w:rFonts w:ascii="Times New Roman" w:hAnsi="Times New Roman" w:cs="Times New Roman"/>
          <w:sz w:val="24"/>
          <w:szCs w:val="24"/>
        </w:rPr>
        <w:t xml:space="preserve"> Field surveys were mainly conducted from 2023 to 2024, requiring long-term tracking research on the sustained effects of institutions.</w:t>
      </w:r>
    </w:p>
    <w:p w14:paraId="4349BD12" w14:textId="77777777" w:rsidR="00683B29" w:rsidRDefault="00683B29" w:rsidP="009502BA">
      <w:pPr>
        <w:rPr>
          <w:rFonts w:ascii="Times New Roman" w:hAnsi="Times New Roman" w:cs="Times New Roman"/>
          <w:sz w:val="24"/>
          <w:szCs w:val="24"/>
        </w:rPr>
      </w:pPr>
      <w:bookmarkStart w:id="30" w:name="heading_30"/>
    </w:p>
    <w:p w14:paraId="1F171F6B" w14:textId="1931774D" w:rsidR="000621A4" w:rsidRPr="00EA4D6A" w:rsidRDefault="00000000" w:rsidP="009502BA">
      <w:pPr>
        <w:rPr>
          <w:rFonts w:ascii="Times New Roman" w:hAnsi="Times New Roman" w:cs="Times New Roman"/>
          <w:b/>
          <w:bCs/>
          <w:sz w:val="24"/>
          <w:szCs w:val="24"/>
        </w:rPr>
      </w:pPr>
      <w:r w:rsidRPr="00EA4D6A">
        <w:rPr>
          <w:rFonts w:ascii="Times New Roman" w:hAnsi="Times New Roman" w:cs="Times New Roman"/>
          <w:b/>
          <w:bCs/>
          <w:sz w:val="24"/>
          <w:szCs w:val="24"/>
        </w:rPr>
        <w:t>7.3</w:t>
      </w:r>
      <w:r w:rsidR="00683B29" w:rsidRPr="00EA4D6A">
        <w:rPr>
          <w:rFonts w:ascii="Times New Roman" w:hAnsi="Times New Roman" w:cs="Times New Roman"/>
          <w:b/>
          <w:bCs/>
          <w:sz w:val="24"/>
          <w:szCs w:val="24"/>
        </w:rPr>
        <w:t>.</w:t>
      </w:r>
      <w:r w:rsidRPr="00EA4D6A">
        <w:rPr>
          <w:rFonts w:ascii="Times New Roman" w:hAnsi="Times New Roman" w:cs="Times New Roman"/>
          <w:b/>
          <w:bCs/>
          <w:sz w:val="24"/>
          <w:szCs w:val="24"/>
        </w:rPr>
        <w:t xml:space="preserve"> Future </w:t>
      </w:r>
      <w:r w:rsidR="00683B29" w:rsidRPr="00EA4D6A">
        <w:rPr>
          <w:rFonts w:ascii="Times New Roman" w:hAnsi="Times New Roman" w:cs="Times New Roman"/>
          <w:b/>
          <w:bCs/>
          <w:sz w:val="24"/>
          <w:szCs w:val="24"/>
        </w:rPr>
        <w:t>prospec</w:t>
      </w:r>
      <w:r w:rsidRPr="00EA4D6A">
        <w:rPr>
          <w:rFonts w:ascii="Times New Roman" w:hAnsi="Times New Roman" w:cs="Times New Roman"/>
          <w:b/>
          <w:bCs/>
          <w:sz w:val="24"/>
          <w:szCs w:val="24"/>
        </w:rPr>
        <w:t>t</w:t>
      </w:r>
      <w:bookmarkEnd w:id="30"/>
    </w:p>
    <w:p w14:paraId="551D0B42" w14:textId="1112F5F3" w:rsidR="000621A4" w:rsidRPr="004A29C6" w:rsidRDefault="00000000" w:rsidP="009502BA">
      <w:pPr>
        <w:rPr>
          <w:rFonts w:ascii="Times New Roman" w:hAnsi="Times New Roman" w:cs="Times New Roman"/>
          <w:sz w:val="24"/>
          <w:szCs w:val="24"/>
        </w:rPr>
      </w:pPr>
      <w:r w:rsidRPr="004A29C6">
        <w:rPr>
          <w:rFonts w:ascii="Times New Roman" w:hAnsi="Times New Roman" w:cs="Times New Roman"/>
          <w:sz w:val="24"/>
          <w:szCs w:val="24"/>
        </w:rPr>
        <w:t>Five major trends will characterize the industrialization of Enshi tea ICH from 2026 to 2030</w:t>
      </w:r>
      <w:r w:rsidR="009502BA" w:rsidRPr="004A29C6">
        <w:rPr>
          <w:rFonts w:ascii="Times New Roman" w:hAnsi="Times New Roman" w:cs="Times New Roman"/>
          <w:sz w:val="24"/>
          <w:szCs w:val="24"/>
        </w:rPr>
        <w:t>:</w:t>
      </w:r>
      <w:r w:rsidRPr="004A29C6">
        <w:rPr>
          <w:rFonts w:ascii="Times New Roman" w:hAnsi="Times New Roman" w:cs="Times New Roman"/>
          <w:sz w:val="24"/>
          <w:szCs w:val="24"/>
        </w:rPr>
        <w:t xml:space="preserve"> institutionalization (promotion of independent special legislation), digitalization (AI tea-making assistance and metaverse tea spaces), daily-life integration (tea ICH embedded in daily consumption), integrated new formats (tea health care and tea exhibitions), and internationalization (global communication of World ICH tea craftsmanship). Governance by local public sectors shall further emphasize coordination between market mechanisms and social participation, ultimately realizing the creative transformation and innovative development of tea intangible cultural heritage.</w:t>
      </w:r>
    </w:p>
    <w:p w14:paraId="2EC0DB52" w14:textId="77777777" w:rsidR="00F62F39" w:rsidRPr="004A29C6" w:rsidRDefault="00F62F39" w:rsidP="009502BA">
      <w:pPr>
        <w:rPr>
          <w:rFonts w:ascii="Times New Roman" w:hAnsi="Times New Roman" w:cs="Times New Roman"/>
          <w:sz w:val="24"/>
          <w:szCs w:val="24"/>
        </w:rPr>
      </w:pPr>
      <w:bookmarkStart w:id="31" w:name="heading_33"/>
    </w:p>
    <w:p w14:paraId="55FC9094" w14:textId="6A1E61A7" w:rsidR="000621A4" w:rsidRPr="004A29C6" w:rsidRDefault="00000000" w:rsidP="009502BA">
      <w:pPr>
        <w:rPr>
          <w:rFonts w:ascii="Times New Roman" w:hAnsi="Times New Roman" w:cs="Times New Roman"/>
          <w:b/>
          <w:bCs/>
          <w:sz w:val="24"/>
          <w:szCs w:val="24"/>
        </w:rPr>
      </w:pPr>
      <w:r w:rsidRPr="004A29C6">
        <w:rPr>
          <w:rFonts w:ascii="Times New Roman" w:hAnsi="Times New Roman" w:cs="Times New Roman"/>
          <w:b/>
          <w:bCs/>
          <w:sz w:val="24"/>
          <w:szCs w:val="24"/>
        </w:rPr>
        <w:t>F</w:t>
      </w:r>
      <w:bookmarkEnd w:id="31"/>
      <w:r w:rsidR="00F62F39" w:rsidRPr="004A29C6">
        <w:rPr>
          <w:rFonts w:ascii="Times New Roman" w:hAnsi="Times New Roman" w:cs="Times New Roman"/>
          <w:b/>
          <w:bCs/>
          <w:sz w:val="24"/>
          <w:szCs w:val="24"/>
        </w:rPr>
        <w:t>unding</w:t>
      </w:r>
    </w:p>
    <w:p w14:paraId="55435907" w14:textId="7E215404" w:rsidR="000621A4" w:rsidRPr="004A29C6" w:rsidRDefault="00000000" w:rsidP="009502BA">
      <w:pPr>
        <w:rPr>
          <w:rFonts w:ascii="Times New Roman" w:hAnsi="Times New Roman" w:cs="Times New Roman"/>
          <w:sz w:val="24"/>
          <w:szCs w:val="24"/>
        </w:rPr>
      </w:pPr>
      <w:r w:rsidRPr="004A29C6">
        <w:rPr>
          <w:rFonts w:ascii="Times New Roman" w:hAnsi="Times New Roman" w:cs="Times New Roman"/>
          <w:sz w:val="24"/>
          <w:szCs w:val="24"/>
        </w:rPr>
        <w:t>This paper is a phased achievement of the 2025 National College Students</w:t>
      </w:r>
      <w:r w:rsidR="009502BA" w:rsidRPr="004A29C6">
        <w:rPr>
          <w:rFonts w:ascii="Times New Roman" w:hAnsi="Times New Roman" w:cs="Times New Roman"/>
          <w:sz w:val="24"/>
          <w:szCs w:val="24"/>
        </w:rPr>
        <w:t>’</w:t>
      </w:r>
      <w:r w:rsidRPr="004A29C6">
        <w:rPr>
          <w:rFonts w:ascii="Times New Roman" w:hAnsi="Times New Roman" w:cs="Times New Roman"/>
          <w:sz w:val="24"/>
          <w:szCs w:val="24"/>
        </w:rPr>
        <w:t xml:space="preserve"> Innovation and Entrepreneurship Training Program (Entrepreneurship Training Project) </w:t>
      </w:r>
      <w:r w:rsidR="009502BA" w:rsidRPr="004A29C6">
        <w:rPr>
          <w:rFonts w:ascii="Times New Roman" w:hAnsi="Times New Roman" w:cs="Times New Roman"/>
          <w:sz w:val="24"/>
          <w:szCs w:val="24"/>
        </w:rPr>
        <w:t>“</w:t>
      </w:r>
      <w:r w:rsidRPr="004A29C6">
        <w:rPr>
          <w:rFonts w:ascii="Times New Roman" w:hAnsi="Times New Roman" w:cs="Times New Roman"/>
          <w:sz w:val="24"/>
          <w:szCs w:val="24"/>
        </w:rPr>
        <w:t>Tea Quest — Innovative Practice of Digital Inheritance of Intangible Cultural Heritage and Rural Revitalization</w:t>
      </w:r>
      <w:r w:rsidR="009502BA" w:rsidRPr="004A29C6">
        <w:rPr>
          <w:rFonts w:ascii="Times New Roman" w:hAnsi="Times New Roman" w:cs="Times New Roman"/>
          <w:sz w:val="24"/>
          <w:szCs w:val="24"/>
        </w:rPr>
        <w:t>”</w:t>
      </w:r>
      <w:r w:rsidRPr="004A29C6">
        <w:rPr>
          <w:rFonts w:ascii="Times New Roman" w:hAnsi="Times New Roman" w:cs="Times New Roman"/>
          <w:sz w:val="24"/>
          <w:szCs w:val="24"/>
        </w:rPr>
        <w:t xml:space="preserve"> (Project No.</w:t>
      </w:r>
      <w:r w:rsidR="009502BA" w:rsidRPr="004A29C6">
        <w:rPr>
          <w:rFonts w:ascii="Times New Roman" w:hAnsi="Times New Roman" w:cs="Times New Roman"/>
          <w:sz w:val="24"/>
          <w:szCs w:val="24"/>
        </w:rPr>
        <w:t>:</w:t>
      </w:r>
      <w:r w:rsidRPr="004A29C6">
        <w:rPr>
          <w:rFonts w:ascii="Times New Roman" w:hAnsi="Times New Roman" w:cs="Times New Roman"/>
          <w:sz w:val="24"/>
          <w:szCs w:val="24"/>
        </w:rPr>
        <w:t xml:space="preserve"> 202511800006X).</w:t>
      </w:r>
    </w:p>
    <w:p w14:paraId="0BE469A5" w14:textId="77777777" w:rsidR="00F62F39" w:rsidRPr="004A29C6" w:rsidRDefault="00F62F39" w:rsidP="009502BA">
      <w:pPr>
        <w:rPr>
          <w:rFonts w:ascii="Times New Roman" w:hAnsi="Times New Roman" w:cs="Times New Roman"/>
          <w:sz w:val="24"/>
          <w:szCs w:val="24"/>
        </w:rPr>
      </w:pPr>
      <w:bookmarkStart w:id="32" w:name="heading_31"/>
    </w:p>
    <w:p w14:paraId="395065C9" w14:textId="77777777" w:rsidR="00F62F39" w:rsidRPr="004A29C6" w:rsidRDefault="00F62F39" w:rsidP="00F62F39">
      <w:pPr>
        <w:rPr>
          <w:rFonts w:ascii="Times New Roman" w:hAnsi="Times New Roman" w:cs="Times New Roman"/>
          <w:b/>
          <w:bCs/>
          <w:sz w:val="24"/>
          <w:szCs w:val="24"/>
        </w:rPr>
      </w:pPr>
      <w:r w:rsidRPr="004A29C6">
        <w:rPr>
          <w:rFonts w:ascii="Times New Roman" w:hAnsi="Times New Roman" w:cs="Times New Roman"/>
          <w:b/>
          <w:bCs/>
          <w:sz w:val="24"/>
          <w:szCs w:val="24"/>
        </w:rPr>
        <w:t>Disclosure statement</w:t>
      </w:r>
    </w:p>
    <w:p w14:paraId="000C01E3" w14:textId="5C5D98EC" w:rsidR="00F62F39" w:rsidRPr="004A29C6" w:rsidRDefault="00F62F39" w:rsidP="00F62F39">
      <w:pPr>
        <w:rPr>
          <w:rFonts w:ascii="Times New Roman" w:hAnsi="Times New Roman" w:cs="Times New Roman"/>
          <w:sz w:val="24"/>
          <w:szCs w:val="24"/>
        </w:rPr>
      </w:pPr>
      <w:r w:rsidRPr="004A29C6">
        <w:rPr>
          <w:rFonts w:ascii="Times New Roman" w:hAnsi="Times New Roman" w:cs="Times New Roman"/>
          <w:sz w:val="24"/>
          <w:szCs w:val="24"/>
        </w:rPr>
        <w:t>The author declares no conflict of interest.</w:t>
      </w:r>
    </w:p>
    <w:p w14:paraId="0CDF715C" w14:textId="77777777" w:rsidR="00F62F39" w:rsidRPr="004A29C6" w:rsidRDefault="00F62F39" w:rsidP="009502BA">
      <w:pPr>
        <w:rPr>
          <w:rFonts w:ascii="Times New Roman" w:hAnsi="Times New Roman" w:cs="Times New Roman"/>
          <w:sz w:val="24"/>
          <w:szCs w:val="24"/>
        </w:rPr>
      </w:pPr>
    </w:p>
    <w:p w14:paraId="13BB4487" w14:textId="6E2B3D88" w:rsidR="000621A4" w:rsidRPr="004A29C6" w:rsidRDefault="00000000" w:rsidP="009502BA">
      <w:pPr>
        <w:rPr>
          <w:rFonts w:ascii="Times New Roman" w:hAnsi="Times New Roman" w:cs="Times New Roman"/>
          <w:b/>
          <w:bCs/>
          <w:sz w:val="24"/>
          <w:szCs w:val="24"/>
        </w:rPr>
      </w:pPr>
      <w:r w:rsidRPr="004A29C6">
        <w:rPr>
          <w:rFonts w:ascii="Times New Roman" w:hAnsi="Times New Roman" w:cs="Times New Roman"/>
          <w:b/>
          <w:bCs/>
          <w:sz w:val="24"/>
          <w:szCs w:val="24"/>
        </w:rPr>
        <w:t>References</w:t>
      </w:r>
      <w:bookmarkEnd w:id="32"/>
    </w:p>
    <w:p w14:paraId="52331238" w14:textId="3C8A656F" w:rsidR="00F62F39" w:rsidRPr="004A29C6" w:rsidRDefault="00F62F39" w:rsidP="00F62F39">
      <w:pPr>
        <w:rPr>
          <w:rFonts w:ascii="Times New Roman" w:hAnsi="Times New Roman" w:cs="Times New Roman"/>
          <w:sz w:val="24"/>
          <w:szCs w:val="24"/>
        </w:rPr>
      </w:pPr>
      <w:r w:rsidRPr="004A29C6">
        <w:rPr>
          <w:rFonts w:ascii="Times New Roman" w:hAnsi="Times New Roman" w:cs="Times New Roman"/>
          <w:sz w:val="24"/>
          <w:szCs w:val="24"/>
        </w:rPr>
        <w:t>[1] Gao Z Y, Xiao ZY, Deng HL</w:t>
      </w:r>
      <w:r w:rsidR="00683B29">
        <w:rPr>
          <w:rFonts w:ascii="Times New Roman" w:hAnsi="Times New Roman" w:cs="Times New Roman"/>
          <w:sz w:val="24"/>
          <w:szCs w:val="24"/>
        </w:rPr>
        <w:t>, 2020,</w:t>
      </w:r>
      <w:r w:rsidRPr="004A29C6">
        <w:rPr>
          <w:rFonts w:ascii="Times New Roman" w:hAnsi="Times New Roman" w:cs="Times New Roman"/>
          <w:sz w:val="24"/>
          <w:szCs w:val="24"/>
        </w:rPr>
        <w:t xml:space="preserve"> Research on Government Participation in the Industrialized Protection of Intangible Cultural Heritage — A Case Study of Enshi City, Hubei Province. Identification and Appreciation of Cultural Relics, 2020(18): 153</w:t>
      </w:r>
      <w:r w:rsidR="00640CDA">
        <w:rPr>
          <w:rFonts w:ascii="Times New Roman" w:hAnsi="Times New Roman" w:cs="Times New Roman"/>
          <w:sz w:val="24"/>
          <w:szCs w:val="24"/>
        </w:rPr>
        <w:t>–</w:t>
      </w:r>
      <w:r w:rsidRPr="004A29C6">
        <w:rPr>
          <w:rFonts w:ascii="Times New Roman" w:hAnsi="Times New Roman" w:cs="Times New Roman"/>
          <w:sz w:val="24"/>
          <w:szCs w:val="24"/>
        </w:rPr>
        <w:t>155.</w:t>
      </w:r>
    </w:p>
    <w:p w14:paraId="0C4EC171" w14:textId="129A475C" w:rsidR="00F62F39" w:rsidRPr="004A29C6" w:rsidRDefault="00F62F39" w:rsidP="00F62F39">
      <w:pPr>
        <w:rPr>
          <w:rFonts w:ascii="Times New Roman" w:hAnsi="Times New Roman" w:cs="Times New Roman"/>
          <w:sz w:val="24"/>
          <w:szCs w:val="24"/>
        </w:rPr>
      </w:pPr>
      <w:r w:rsidRPr="004A29C6">
        <w:rPr>
          <w:rFonts w:ascii="Times New Roman" w:hAnsi="Times New Roman" w:cs="Times New Roman"/>
          <w:sz w:val="24"/>
          <w:szCs w:val="24"/>
        </w:rPr>
        <w:t>[2] Chen Y, Zhu YY</w:t>
      </w:r>
      <w:r w:rsidR="0011369D">
        <w:rPr>
          <w:rFonts w:ascii="Times New Roman" w:hAnsi="Times New Roman" w:cs="Times New Roman"/>
          <w:sz w:val="24"/>
          <w:szCs w:val="24"/>
        </w:rPr>
        <w:t>, 2021,</w:t>
      </w:r>
      <w:r w:rsidRPr="004A29C6">
        <w:rPr>
          <w:rFonts w:ascii="Times New Roman" w:hAnsi="Times New Roman" w:cs="Times New Roman"/>
          <w:sz w:val="24"/>
          <w:szCs w:val="24"/>
        </w:rPr>
        <w:t xml:space="preserve"> Rural Characteristic Industrial Development Path Under Multiple Capital Operation — A Case Study of Wujia Platform Village Tea Industry in Xuan’en. Journal of South-Central Minzu University (Humanities and Social Sciences Edition), 41(9): 47</w:t>
      </w:r>
      <w:r w:rsidR="0011369D">
        <w:rPr>
          <w:rFonts w:ascii="Times New Roman" w:hAnsi="Times New Roman" w:cs="Times New Roman"/>
          <w:sz w:val="24"/>
          <w:szCs w:val="24"/>
        </w:rPr>
        <w:t>–</w:t>
      </w:r>
      <w:r w:rsidRPr="004A29C6">
        <w:rPr>
          <w:rFonts w:ascii="Times New Roman" w:hAnsi="Times New Roman" w:cs="Times New Roman"/>
          <w:sz w:val="24"/>
          <w:szCs w:val="24"/>
        </w:rPr>
        <w:t>54.</w:t>
      </w:r>
    </w:p>
    <w:p w14:paraId="445FD063" w14:textId="0D5EED85" w:rsidR="00F62F39" w:rsidRPr="004A29C6" w:rsidRDefault="00F62F39" w:rsidP="00F62F39">
      <w:pPr>
        <w:rPr>
          <w:rFonts w:ascii="Times New Roman" w:hAnsi="Times New Roman" w:cs="Times New Roman"/>
          <w:sz w:val="24"/>
          <w:szCs w:val="24"/>
        </w:rPr>
      </w:pPr>
      <w:r w:rsidRPr="004A29C6">
        <w:rPr>
          <w:rFonts w:ascii="Times New Roman" w:hAnsi="Times New Roman" w:cs="Times New Roman"/>
          <w:sz w:val="24"/>
          <w:szCs w:val="24"/>
        </w:rPr>
        <w:t>[3] People’s Government of Enshi Prefecture</w:t>
      </w:r>
      <w:r w:rsidR="0011369D">
        <w:rPr>
          <w:rFonts w:ascii="Times New Roman" w:hAnsi="Times New Roman" w:cs="Times New Roman"/>
          <w:sz w:val="24"/>
          <w:szCs w:val="24"/>
        </w:rPr>
        <w:t xml:space="preserve">, 2020, </w:t>
      </w:r>
      <w:r w:rsidRPr="004A29C6">
        <w:rPr>
          <w:rFonts w:ascii="Times New Roman" w:hAnsi="Times New Roman" w:cs="Times New Roman"/>
          <w:sz w:val="24"/>
          <w:szCs w:val="24"/>
        </w:rPr>
        <w:t>Green Tea Making Technique (Enshi Yulu Tea Making Technique). http://www.enshi.gov.cn/zq_50192/whyc/202012/t20201222_1076985.html</w:t>
      </w:r>
    </w:p>
    <w:p w14:paraId="2ACA329E" w14:textId="2A5E5B84" w:rsidR="00F62F39" w:rsidRPr="004A29C6" w:rsidRDefault="00F62F39" w:rsidP="00F62F39">
      <w:pPr>
        <w:rPr>
          <w:rFonts w:ascii="Times New Roman" w:hAnsi="Times New Roman" w:cs="Times New Roman"/>
          <w:sz w:val="24"/>
          <w:szCs w:val="24"/>
        </w:rPr>
      </w:pPr>
      <w:r w:rsidRPr="004A29C6">
        <w:rPr>
          <w:rFonts w:ascii="Times New Roman" w:hAnsi="Times New Roman" w:cs="Times New Roman"/>
          <w:sz w:val="24"/>
          <w:szCs w:val="24"/>
        </w:rPr>
        <w:lastRenderedPageBreak/>
        <w:t>[4] Xinhua News Agency</w:t>
      </w:r>
      <w:r w:rsidR="0011369D">
        <w:rPr>
          <w:rFonts w:ascii="Times New Roman" w:hAnsi="Times New Roman" w:cs="Times New Roman"/>
          <w:sz w:val="24"/>
          <w:szCs w:val="24"/>
        </w:rPr>
        <w:t xml:space="preserve">, </w:t>
      </w:r>
      <w:r w:rsidRPr="004A29C6">
        <w:rPr>
          <w:rFonts w:ascii="Times New Roman" w:hAnsi="Times New Roman" w:cs="Times New Roman"/>
          <w:sz w:val="24"/>
          <w:szCs w:val="24"/>
        </w:rPr>
        <w:t>Wenchuang China</w:t>
      </w:r>
      <w:r w:rsidR="0011369D">
        <w:rPr>
          <w:rFonts w:ascii="Times New Roman" w:hAnsi="Times New Roman" w:cs="Times New Roman"/>
          <w:sz w:val="24"/>
          <w:szCs w:val="24"/>
        </w:rPr>
        <w:t>, 2024,</w:t>
      </w:r>
      <w:r w:rsidRPr="004A29C6">
        <w:rPr>
          <w:rFonts w:ascii="Times New Roman" w:hAnsi="Times New Roman" w:cs="Times New Roman"/>
          <w:sz w:val="24"/>
          <w:szCs w:val="24"/>
        </w:rPr>
        <w:t xml:space="preserve"> Unleash the Potential of Intangible Cultural Heritage and Integrate into Modern Life — Hubei Model of National Cultural Ecological Protection Experimental Zones. http://creativity.china.com.cn/2024-06/17/content_42830809.htm</w:t>
      </w:r>
    </w:p>
    <w:p w14:paraId="2A04AA45" w14:textId="282D5311" w:rsidR="00F62F39" w:rsidRPr="004A29C6" w:rsidRDefault="00F62F39" w:rsidP="00F62F39">
      <w:pPr>
        <w:rPr>
          <w:rFonts w:ascii="Times New Roman" w:hAnsi="Times New Roman" w:cs="Times New Roman"/>
          <w:sz w:val="24"/>
          <w:szCs w:val="24"/>
        </w:rPr>
      </w:pPr>
      <w:r w:rsidRPr="004A29C6">
        <w:rPr>
          <w:rFonts w:ascii="Times New Roman" w:hAnsi="Times New Roman" w:cs="Times New Roman"/>
          <w:sz w:val="24"/>
          <w:szCs w:val="24"/>
        </w:rPr>
        <w:t>[5] Ding YZ</w:t>
      </w:r>
      <w:r w:rsidR="0011369D">
        <w:rPr>
          <w:rFonts w:ascii="Times New Roman" w:hAnsi="Times New Roman" w:cs="Times New Roman"/>
          <w:sz w:val="24"/>
          <w:szCs w:val="24"/>
        </w:rPr>
        <w:t xml:space="preserve">, 2020, </w:t>
      </w:r>
      <w:r w:rsidRPr="004A29C6">
        <w:rPr>
          <w:rFonts w:ascii="Times New Roman" w:hAnsi="Times New Roman" w:cs="Times New Roman"/>
          <w:sz w:val="24"/>
          <w:szCs w:val="24"/>
        </w:rPr>
        <w:t>Research on Systematic Protection Institutional Measures for Intangible Cultural Heritage During the 14th Five-Year Plan Period. Management World, 36(11): 22</w:t>
      </w:r>
      <w:r w:rsidR="0011369D">
        <w:rPr>
          <w:rFonts w:ascii="Times New Roman" w:hAnsi="Times New Roman" w:cs="Times New Roman"/>
          <w:sz w:val="24"/>
          <w:szCs w:val="24"/>
        </w:rPr>
        <w:t>–</w:t>
      </w:r>
      <w:r w:rsidRPr="004A29C6">
        <w:rPr>
          <w:rFonts w:ascii="Times New Roman" w:hAnsi="Times New Roman" w:cs="Times New Roman"/>
          <w:sz w:val="24"/>
          <w:szCs w:val="24"/>
        </w:rPr>
        <w:t>35.</w:t>
      </w:r>
    </w:p>
    <w:p w14:paraId="1004EEDD" w14:textId="27BDA318" w:rsidR="00F62F39" w:rsidRPr="004A29C6" w:rsidRDefault="00F62F39" w:rsidP="00F62F39">
      <w:pPr>
        <w:rPr>
          <w:rFonts w:ascii="Times New Roman" w:hAnsi="Times New Roman" w:cs="Times New Roman"/>
          <w:sz w:val="24"/>
          <w:szCs w:val="24"/>
        </w:rPr>
      </w:pPr>
      <w:r w:rsidRPr="004A29C6">
        <w:rPr>
          <w:rFonts w:ascii="Times New Roman" w:hAnsi="Times New Roman" w:cs="Times New Roman"/>
          <w:sz w:val="24"/>
          <w:szCs w:val="24"/>
        </w:rPr>
        <w:t>[6] Li X</w:t>
      </w:r>
      <w:r w:rsidR="0011369D">
        <w:rPr>
          <w:rFonts w:ascii="Times New Roman" w:hAnsi="Times New Roman" w:cs="Times New Roman"/>
          <w:sz w:val="24"/>
          <w:szCs w:val="24"/>
        </w:rPr>
        <w:t>, 2009,</w:t>
      </w:r>
      <w:r w:rsidRPr="004A29C6">
        <w:rPr>
          <w:rFonts w:ascii="Times New Roman" w:hAnsi="Times New Roman" w:cs="Times New Roman"/>
          <w:sz w:val="24"/>
          <w:szCs w:val="24"/>
        </w:rPr>
        <w:t xml:space="preserve"> Discussion on the Rationality of Industrialized Operation of Operable Intangible Cultural Heritage. Guangxi Ethnic Studies, 2009(1): 165</w:t>
      </w:r>
      <w:r w:rsidR="0011369D">
        <w:rPr>
          <w:rFonts w:ascii="Times New Roman" w:hAnsi="Times New Roman" w:cs="Times New Roman"/>
          <w:sz w:val="24"/>
          <w:szCs w:val="24"/>
        </w:rPr>
        <w:t>–</w:t>
      </w:r>
      <w:r w:rsidRPr="004A29C6">
        <w:rPr>
          <w:rFonts w:ascii="Times New Roman" w:hAnsi="Times New Roman" w:cs="Times New Roman"/>
          <w:sz w:val="24"/>
          <w:szCs w:val="24"/>
        </w:rPr>
        <w:t>171.</w:t>
      </w:r>
    </w:p>
    <w:p w14:paraId="284C46F0" w14:textId="02EF99B3" w:rsidR="00F62F39" w:rsidRPr="004A29C6" w:rsidRDefault="00F62F39" w:rsidP="00F62F39">
      <w:pPr>
        <w:rPr>
          <w:rFonts w:ascii="Times New Roman" w:hAnsi="Times New Roman" w:cs="Times New Roman"/>
          <w:sz w:val="24"/>
          <w:szCs w:val="24"/>
        </w:rPr>
      </w:pPr>
      <w:r w:rsidRPr="004A29C6">
        <w:rPr>
          <w:rFonts w:ascii="Times New Roman" w:hAnsi="Times New Roman" w:cs="Times New Roman"/>
          <w:sz w:val="24"/>
          <w:szCs w:val="24"/>
        </w:rPr>
        <w:t>[7] Zhang W, Li RG</w:t>
      </w:r>
      <w:r w:rsidR="0011369D">
        <w:rPr>
          <w:rFonts w:ascii="Times New Roman" w:hAnsi="Times New Roman" w:cs="Times New Roman"/>
          <w:sz w:val="24"/>
          <w:szCs w:val="24"/>
        </w:rPr>
        <w:t>, 2013,</w:t>
      </w:r>
      <w:r w:rsidRPr="004A29C6">
        <w:rPr>
          <w:rFonts w:ascii="Times New Roman" w:hAnsi="Times New Roman" w:cs="Times New Roman"/>
          <w:sz w:val="24"/>
          <w:szCs w:val="24"/>
        </w:rPr>
        <w:t xml:space="preserve"> Research on Industrialized Protection System of Intangible Cultural Heritage Based on System Dynamics. Guangxi Ethnic Studies, 2013(2): 182</w:t>
      </w:r>
      <w:r w:rsidR="0011369D">
        <w:rPr>
          <w:rFonts w:ascii="Times New Roman" w:hAnsi="Times New Roman" w:cs="Times New Roman"/>
          <w:sz w:val="24"/>
          <w:szCs w:val="24"/>
        </w:rPr>
        <w:t>–</w:t>
      </w:r>
      <w:r w:rsidRPr="004A29C6">
        <w:rPr>
          <w:rFonts w:ascii="Times New Roman" w:hAnsi="Times New Roman" w:cs="Times New Roman"/>
          <w:sz w:val="24"/>
          <w:szCs w:val="24"/>
        </w:rPr>
        <w:t>188.</w:t>
      </w:r>
    </w:p>
    <w:p w14:paraId="114A36F0" w14:textId="791DFAED" w:rsidR="00F62F39" w:rsidRPr="004A29C6" w:rsidRDefault="00F62F39" w:rsidP="00F62F39">
      <w:pPr>
        <w:rPr>
          <w:rFonts w:ascii="Times New Roman" w:hAnsi="Times New Roman" w:cs="Times New Roman"/>
          <w:sz w:val="24"/>
          <w:szCs w:val="24"/>
        </w:rPr>
      </w:pPr>
      <w:r w:rsidRPr="004A29C6">
        <w:rPr>
          <w:rFonts w:ascii="Times New Roman" w:hAnsi="Times New Roman" w:cs="Times New Roman"/>
          <w:sz w:val="24"/>
          <w:szCs w:val="24"/>
        </w:rPr>
        <w:t>[8] Li LJ, Ye F</w:t>
      </w:r>
      <w:r w:rsidR="0011369D">
        <w:rPr>
          <w:rFonts w:ascii="Times New Roman" w:hAnsi="Times New Roman" w:cs="Times New Roman"/>
          <w:sz w:val="24"/>
          <w:szCs w:val="24"/>
        </w:rPr>
        <w:t>, 2015,</w:t>
      </w:r>
      <w:r w:rsidRPr="004A29C6">
        <w:rPr>
          <w:rFonts w:ascii="Times New Roman" w:hAnsi="Times New Roman" w:cs="Times New Roman"/>
          <w:sz w:val="24"/>
          <w:szCs w:val="24"/>
        </w:rPr>
        <w:t xml:space="preserve"> A Review of Domestic Research on Industrialization of Intangible Cultural Heritage. Journal of Kunming University of Science and Technology (Social Science Edition), 15(6): 103</w:t>
      </w:r>
      <w:r w:rsidR="0011369D">
        <w:rPr>
          <w:rFonts w:ascii="Times New Roman" w:hAnsi="Times New Roman" w:cs="Times New Roman"/>
          <w:sz w:val="24"/>
          <w:szCs w:val="24"/>
        </w:rPr>
        <w:t>–</w:t>
      </w:r>
      <w:r w:rsidRPr="004A29C6">
        <w:rPr>
          <w:rFonts w:ascii="Times New Roman" w:hAnsi="Times New Roman" w:cs="Times New Roman"/>
          <w:sz w:val="24"/>
          <w:szCs w:val="24"/>
        </w:rPr>
        <w:t>108.</w:t>
      </w:r>
    </w:p>
    <w:p w14:paraId="672A4F2E" w14:textId="43CF04B6" w:rsidR="00F62F39" w:rsidRPr="004A29C6" w:rsidRDefault="00F62F39" w:rsidP="00F62F39">
      <w:pPr>
        <w:rPr>
          <w:rFonts w:ascii="Times New Roman" w:hAnsi="Times New Roman" w:cs="Times New Roman"/>
          <w:sz w:val="24"/>
          <w:szCs w:val="24"/>
        </w:rPr>
      </w:pPr>
      <w:r w:rsidRPr="004A29C6">
        <w:rPr>
          <w:rFonts w:ascii="Times New Roman" w:hAnsi="Times New Roman" w:cs="Times New Roman"/>
          <w:sz w:val="24"/>
          <w:szCs w:val="24"/>
        </w:rPr>
        <w:t>[9]</w:t>
      </w:r>
      <w:r w:rsidR="00556797">
        <w:rPr>
          <w:rFonts w:ascii="Times New Roman" w:hAnsi="Times New Roman" w:cs="Times New Roman"/>
          <w:sz w:val="24"/>
          <w:szCs w:val="24"/>
        </w:rPr>
        <w:t xml:space="preserve"> </w:t>
      </w:r>
      <w:r w:rsidRPr="004A29C6">
        <w:rPr>
          <w:rFonts w:ascii="Times New Roman" w:hAnsi="Times New Roman" w:cs="Times New Roman"/>
          <w:sz w:val="24"/>
          <w:szCs w:val="24"/>
        </w:rPr>
        <w:t>Wang SH, Liao R</w:t>
      </w:r>
      <w:r w:rsidR="0011369D">
        <w:rPr>
          <w:rFonts w:ascii="Times New Roman" w:hAnsi="Times New Roman" w:cs="Times New Roman"/>
          <w:sz w:val="24"/>
          <w:szCs w:val="24"/>
        </w:rPr>
        <w:t>, 2008,</w:t>
      </w:r>
      <w:r w:rsidRPr="004A29C6">
        <w:rPr>
          <w:rFonts w:ascii="Times New Roman" w:hAnsi="Times New Roman" w:cs="Times New Roman"/>
          <w:sz w:val="24"/>
          <w:szCs w:val="24"/>
        </w:rPr>
        <w:t xml:space="preserve"> Protection of Intangible Cultural Heritage from the Industrialization Perspective. Journal of Tongji University (Social Science Edition), 2008(1): 107</w:t>
      </w:r>
      <w:r w:rsidR="0011369D">
        <w:rPr>
          <w:rFonts w:ascii="Times New Roman" w:hAnsi="Times New Roman" w:cs="Times New Roman"/>
          <w:sz w:val="24"/>
          <w:szCs w:val="24"/>
        </w:rPr>
        <w:t>–</w:t>
      </w:r>
      <w:r w:rsidRPr="004A29C6">
        <w:rPr>
          <w:rFonts w:ascii="Times New Roman" w:hAnsi="Times New Roman" w:cs="Times New Roman"/>
          <w:sz w:val="24"/>
          <w:szCs w:val="24"/>
        </w:rPr>
        <w:t>112.</w:t>
      </w:r>
    </w:p>
    <w:p w14:paraId="5D2C882D" w14:textId="14E42929" w:rsidR="00F62F39" w:rsidRPr="004A29C6" w:rsidRDefault="00F62F39" w:rsidP="00F62F39">
      <w:pPr>
        <w:rPr>
          <w:rFonts w:ascii="Times New Roman" w:hAnsi="Times New Roman" w:cs="Times New Roman"/>
          <w:sz w:val="24"/>
          <w:szCs w:val="24"/>
        </w:rPr>
      </w:pPr>
      <w:r w:rsidRPr="004A29C6">
        <w:rPr>
          <w:rFonts w:ascii="Times New Roman" w:hAnsi="Times New Roman" w:cs="Times New Roman"/>
          <w:sz w:val="24"/>
          <w:szCs w:val="24"/>
        </w:rPr>
        <w:t>[10] Lu CX</w:t>
      </w:r>
      <w:r w:rsidR="0097777D">
        <w:rPr>
          <w:rFonts w:ascii="Times New Roman" w:hAnsi="Times New Roman" w:cs="Times New Roman"/>
          <w:sz w:val="24"/>
          <w:szCs w:val="24"/>
        </w:rPr>
        <w:t>, 2011,</w:t>
      </w:r>
      <w:r w:rsidRPr="004A29C6">
        <w:rPr>
          <w:rFonts w:ascii="Times New Roman" w:hAnsi="Times New Roman" w:cs="Times New Roman"/>
          <w:sz w:val="24"/>
          <w:szCs w:val="24"/>
        </w:rPr>
        <w:t xml:space="preserve"> Research on Ownership Rights in the Industrialization of Intangible Cultural Heritage — Taking Handicraft Heritage as an Example. Dongyue Tribune, 2011(4): 108</w:t>
      </w:r>
      <w:r w:rsidR="0097777D">
        <w:rPr>
          <w:rFonts w:ascii="Times New Roman" w:hAnsi="Times New Roman" w:cs="Times New Roman"/>
          <w:sz w:val="24"/>
          <w:szCs w:val="24"/>
        </w:rPr>
        <w:t>–</w:t>
      </w:r>
      <w:r w:rsidRPr="004A29C6">
        <w:rPr>
          <w:rFonts w:ascii="Times New Roman" w:hAnsi="Times New Roman" w:cs="Times New Roman"/>
          <w:sz w:val="24"/>
          <w:szCs w:val="24"/>
        </w:rPr>
        <w:t>111.</w:t>
      </w:r>
    </w:p>
    <w:p w14:paraId="107118D7" w14:textId="6C99B6B6" w:rsidR="00F62F39" w:rsidRPr="004A29C6" w:rsidRDefault="00F62F39" w:rsidP="00F62F39">
      <w:pPr>
        <w:rPr>
          <w:rFonts w:ascii="Times New Roman" w:hAnsi="Times New Roman" w:cs="Times New Roman"/>
          <w:sz w:val="24"/>
          <w:szCs w:val="24"/>
        </w:rPr>
      </w:pPr>
      <w:r w:rsidRPr="004A29C6">
        <w:rPr>
          <w:rFonts w:ascii="Times New Roman" w:hAnsi="Times New Roman" w:cs="Times New Roman"/>
          <w:sz w:val="24"/>
          <w:szCs w:val="24"/>
        </w:rPr>
        <w:t>[11] Jiao Q</w:t>
      </w:r>
      <w:r w:rsidR="0097777D">
        <w:rPr>
          <w:rFonts w:ascii="Times New Roman" w:hAnsi="Times New Roman" w:cs="Times New Roman"/>
          <w:sz w:val="24"/>
          <w:szCs w:val="24"/>
        </w:rPr>
        <w:t>, 2019,</w:t>
      </w:r>
      <w:r w:rsidRPr="004A29C6">
        <w:rPr>
          <w:rFonts w:ascii="Times New Roman" w:hAnsi="Times New Roman" w:cs="Times New Roman"/>
          <w:sz w:val="24"/>
          <w:szCs w:val="24"/>
        </w:rPr>
        <w:t xml:space="preserve"> Development Strategy of Tea-Tourism Integration in Enshi Under the Background of Cultural and Tourism Integration. Guangdong Sericulture,</w:t>
      </w:r>
      <w:r w:rsidR="0097777D">
        <w:rPr>
          <w:rFonts w:ascii="Times New Roman" w:hAnsi="Times New Roman" w:cs="Times New Roman"/>
          <w:sz w:val="24"/>
          <w:szCs w:val="24"/>
        </w:rPr>
        <w:t xml:space="preserve"> </w:t>
      </w:r>
      <w:r w:rsidRPr="004A29C6">
        <w:rPr>
          <w:rFonts w:ascii="Times New Roman" w:hAnsi="Times New Roman" w:cs="Times New Roman"/>
          <w:sz w:val="24"/>
          <w:szCs w:val="24"/>
        </w:rPr>
        <w:t>53(6): 71</w:t>
      </w:r>
      <w:r w:rsidR="0097777D">
        <w:rPr>
          <w:rFonts w:ascii="Times New Roman" w:hAnsi="Times New Roman" w:cs="Times New Roman"/>
          <w:sz w:val="24"/>
          <w:szCs w:val="24"/>
        </w:rPr>
        <w:t>–</w:t>
      </w:r>
      <w:r w:rsidRPr="004A29C6">
        <w:rPr>
          <w:rFonts w:ascii="Times New Roman" w:hAnsi="Times New Roman" w:cs="Times New Roman"/>
          <w:sz w:val="24"/>
          <w:szCs w:val="24"/>
        </w:rPr>
        <w:t>72.</w:t>
      </w:r>
    </w:p>
    <w:p w14:paraId="5DD2B88F" w14:textId="4A7E3B27" w:rsidR="00F62F39" w:rsidRPr="004A29C6" w:rsidRDefault="00F62F39" w:rsidP="00F62F39">
      <w:pPr>
        <w:rPr>
          <w:rFonts w:ascii="Times New Roman" w:hAnsi="Times New Roman" w:cs="Times New Roman"/>
          <w:sz w:val="24"/>
          <w:szCs w:val="24"/>
        </w:rPr>
      </w:pPr>
      <w:r w:rsidRPr="004A29C6">
        <w:rPr>
          <w:rFonts w:ascii="Times New Roman" w:hAnsi="Times New Roman" w:cs="Times New Roman"/>
          <w:sz w:val="24"/>
          <w:szCs w:val="24"/>
        </w:rPr>
        <w:t>[12] Standing Committee of Hubei Provincial People’s Congress</w:t>
      </w:r>
      <w:r w:rsidR="0097777D">
        <w:rPr>
          <w:rFonts w:ascii="Times New Roman" w:hAnsi="Times New Roman" w:cs="Times New Roman"/>
          <w:sz w:val="24"/>
          <w:szCs w:val="24"/>
        </w:rPr>
        <w:t>, 2021,</w:t>
      </w:r>
      <w:r w:rsidRPr="004A29C6">
        <w:rPr>
          <w:rFonts w:ascii="Times New Roman" w:hAnsi="Times New Roman" w:cs="Times New Roman"/>
          <w:sz w:val="24"/>
          <w:szCs w:val="24"/>
        </w:rPr>
        <w:t xml:space="preserve"> Regulations of Hubei Province on Promoting the Development of Tea Industry.</w:t>
      </w:r>
    </w:p>
    <w:p w14:paraId="77FF3896" w14:textId="6DE5F941" w:rsidR="00F62F39" w:rsidRPr="004A29C6" w:rsidRDefault="00F62F39" w:rsidP="00F62F39">
      <w:pPr>
        <w:rPr>
          <w:rFonts w:ascii="Times New Roman" w:hAnsi="Times New Roman" w:cs="Times New Roman"/>
          <w:sz w:val="24"/>
          <w:szCs w:val="24"/>
        </w:rPr>
      </w:pPr>
      <w:r w:rsidRPr="004A29C6">
        <w:rPr>
          <w:rFonts w:ascii="Times New Roman" w:hAnsi="Times New Roman" w:cs="Times New Roman"/>
          <w:sz w:val="24"/>
          <w:szCs w:val="24"/>
        </w:rPr>
        <w:t>[13] Li J, Wang Q</w:t>
      </w:r>
      <w:r w:rsidR="0097777D">
        <w:rPr>
          <w:rFonts w:ascii="Times New Roman" w:hAnsi="Times New Roman" w:cs="Times New Roman"/>
          <w:sz w:val="24"/>
          <w:szCs w:val="24"/>
        </w:rPr>
        <w:t>, 2025,</w:t>
      </w:r>
      <w:r w:rsidRPr="004A29C6">
        <w:rPr>
          <w:rFonts w:ascii="Times New Roman" w:hAnsi="Times New Roman" w:cs="Times New Roman"/>
          <w:sz w:val="24"/>
          <w:szCs w:val="24"/>
        </w:rPr>
        <w:t xml:space="preserve"> Research on Standardization Problems and Countermeasures of Ethnic Intangible Cultural Heritage Protection and Inheritance. Standard Science, 2025(2): 57</w:t>
      </w:r>
      <w:r w:rsidR="0097777D">
        <w:rPr>
          <w:rFonts w:ascii="Times New Roman" w:hAnsi="Times New Roman" w:cs="Times New Roman"/>
          <w:sz w:val="24"/>
          <w:szCs w:val="24"/>
        </w:rPr>
        <w:t>–</w:t>
      </w:r>
      <w:r w:rsidRPr="004A29C6">
        <w:rPr>
          <w:rFonts w:ascii="Times New Roman" w:hAnsi="Times New Roman" w:cs="Times New Roman"/>
          <w:sz w:val="24"/>
          <w:szCs w:val="24"/>
        </w:rPr>
        <w:t>62.</w:t>
      </w:r>
    </w:p>
    <w:p w14:paraId="152ACF40" w14:textId="29C0263F" w:rsidR="00F62F39" w:rsidRPr="004A29C6" w:rsidRDefault="00F62F39" w:rsidP="00F62F39">
      <w:pPr>
        <w:rPr>
          <w:rFonts w:ascii="Times New Roman" w:hAnsi="Times New Roman" w:cs="Times New Roman"/>
          <w:sz w:val="24"/>
          <w:szCs w:val="24"/>
        </w:rPr>
      </w:pPr>
      <w:r w:rsidRPr="004A29C6">
        <w:rPr>
          <w:rFonts w:ascii="Times New Roman" w:hAnsi="Times New Roman" w:cs="Times New Roman"/>
          <w:sz w:val="24"/>
          <w:szCs w:val="24"/>
        </w:rPr>
        <w:t>[14] Cheng P</w:t>
      </w:r>
      <w:r w:rsidR="0097777D">
        <w:rPr>
          <w:rFonts w:ascii="Times New Roman" w:hAnsi="Times New Roman" w:cs="Times New Roman"/>
          <w:sz w:val="24"/>
          <w:szCs w:val="24"/>
        </w:rPr>
        <w:t>, 2024,</w:t>
      </w:r>
      <w:r w:rsidRPr="004A29C6">
        <w:rPr>
          <w:rFonts w:ascii="Times New Roman" w:hAnsi="Times New Roman" w:cs="Times New Roman"/>
          <w:sz w:val="24"/>
          <w:szCs w:val="24"/>
        </w:rPr>
        <w:t xml:space="preserve"> Practical Shift and Key Issues of Community-based Protection of Chinese Intangible Cultural Heritage. Journal of Shenzhen University (Humanities &amp; Social Sciences Edition), 2024(2): 56</w:t>
      </w:r>
      <w:r w:rsidR="00057455">
        <w:rPr>
          <w:rFonts w:ascii="Times New Roman" w:hAnsi="Times New Roman" w:cs="Times New Roman"/>
          <w:sz w:val="24"/>
          <w:szCs w:val="24"/>
        </w:rPr>
        <w:t>–</w:t>
      </w:r>
      <w:r w:rsidRPr="004A29C6">
        <w:rPr>
          <w:rFonts w:ascii="Times New Roman" w:hAnsi="Times New Roman" w:cs="Times New Roman"/>
          <w:sz w:val="24"/>
          <w:szCs w:val="24"/>
        </w:rPr>
        <w:t>65.</w:t>
      </w:r>
    </w:p>
    <w:p w14:paraId="09B04749" w14:textId="4B88089E" w:rsidR="00F62F39" w:rsidRPr="004A29C6" w:rsidRDefault="00F62F39" w:rsidP="00F62F39">
      <w:pPr>
        <w:rPr>
          <w:rFonts w:ascii="Times New Roman" w:hAnsi="Times New Roman" w:cs="Times New Roman"/>
          <w:sz w:val="24"/>
          <w:szCs w:val="24"/>
        </w:rPr>
      </w:pPr>
      <w:r w:rsidRPr="004A29C6">
        <w:rPr>
          <w:rFonts w:ascii="Times New Roman" w:hAnsi="Times New Roman" w:cs="Times New Roman"/>
          <w:sz w:val="24"/>
          <w:szCs w:val="24"/>
        </w:rPr>
        <w:t xml:space="preserve">[15] </w:t>
      </w:r>
      <w:r w:rsidR="00057455">
        <w:rPr>
          <w:rFonts w:ascii="Times New Roman" w:hAnsi="Times New Roman" w:cs="Times New Roman"/>
          <w:sz w:val="24"/>
          <w:szCs w:val="24"/>
        </w:rPr>
        <w:t xml:space="preserve">Silk Road Info, 2022, </w:t>
      </w:r>
      <w:r w:rsidRPr="004A29C6">
        <w:rPr>
          <w:rFonts w:ascii="Times New Roman" w:hAnsi="Times New Roman" w:cs="Times New Roman"/>
          <w:sz w:val="24"/>
          <w:szCs w:val="24"/>
        </w:rPr>
        <w:t>Research on Heritage Protection and Development of Enshi Yulu Tea Culture Under the Background of Rural Revitalization. Collected Essays on Yangtze River Culture, 2022. https://yangtze.silkroadinfo.org.cn/2022/8/20220822144806193</w:t>
      </w:r>
    </w:p>
    <w:p w14:paraId="1ECCA8FA" w14:textId="77777777" w:rsidR="00F62F39" w:rsidRPr="004A29C6" w:rsidRDefault="00F62F39" w:rsidP="00F62F39">
      <w:pPr>
        <w:rPr>
          <w:rFonts w:ascii="Times New Roman" w:hAnsi="Times New Roman" w:cs="Times New Roman"/>
          <w:sz w:val="24"/>
          <w:szCs w:val="24"/>
        </w:rPr>
      </w:pPr>
    </w:p>
    <w:p w14:paraId="3385E533" w14:textId="77777777" w:rsidR="00F62F39" w:rsidRPr="004A29C6" w:rsidRDefault="00F62F39" w:rsidP="00F62F39">
      <w:pPr>
        <w:rPr>
          <w:rFonts w:ascii="Times New Roman" w:eastAsia="SimSun" w:hAnsi="Times New Roman" w:cs="Times New Roman"/>
          <w:b/>
          <w:bCs/>
          <w:sz w:val="20"/>
          <w:szCs w:val="20"/>
        </w:rPr>
      </w:pPr>
      <w:r w:rsidRPr="004A29C6">
        <w:rPr>
          <w:rFonts w:ascii="Times New Roman" w:eastAsia="SimSun" w:hAnsi="Times New Roman" w:cs="Times New Roman"/>
          <w:b/>
          <w:bCs/>
          <w:sz w:val="20"/>
          <w:szCs w:val="20"/>
        </w:rPr>
        <w:t>Publisher’s note</w:t>
      </w:r>
    </w:p>
    <w:p w14:paraId="52B4FC58" w14:textId="674DDFB8" w:rsidR="00F62F39" w:rsidRPr="00F62F39" w:rsidRDefault="00F62F39" w:rsidP="00F62F39">
      <w:pPr>
        <w:rPr>
          <w:rFonts w:ascii="Times New Roman" w:eastAsia="SimSun" w:hAnsi="Times New Roman" w:cs="Times New Roman"/>
          <w:sz w:val="20"/>
          <w:szCs w:val="20"/>
        </w:rPr>
      </w:pPr>
      <w:r w:rsidRPr="004A29C6">
        <w:rPr>
          <w:rFonts w:ascii="Times New Roman" w:eastAsia="SimSun" w:hAnsi="Times New Roman" w:cs="Times New Roman"/>
          <w:sz w:val="20"/>
          <w:szCs w:val="20"/>
        </w:rPr>
        <w:t>Bio-Byword Scientific Publishing remains neutral with regard to jurisdictional claims in published maps and institutional affiliations.</w:t>
      </w:r>
    </w:p>
    <w:sectPr w:rsidR="00F62F39" w:rsidRPr="00F62F39">
      <w:headerReference w:type="default" r:id="rId8"/>
      <w:footerReference w:type="default" r:id="rId9"/>
      <w:pgSz w:w="11905" w:h="16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9C6227" w14:textId="77777777" w:rsidR="00BB3120" w:rsidRPr="004A29C6" w:rsidRDefault="00BB3120">
      <w:r w:rsidRPr="004A29C6">
        <w:separator/>
      </w:r>
    </w:p>
  </w:endnote>
  <w:endnote w:type="continuationSeparator" w:id="0">
    <w:p w14:paraId="15A51E28" w14:textId="77777777" w:rsidR="00BB3120" w:rsidRPr="004A29C6" w:rsidRDefault="00BB3120">
      <w:r w:rsidRPr="004A29C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B297B" w14:textId="77777777" w:rsidR="000621A4" w:rsidRPr="004A29C6" w:rsidRDefault="000621A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47F83F" w14:textId="77777777" w:rsidR="00BB3120" w:rsidRPr="004A29C6" w:rsidRDefault="00BB3120">
      <w:r w:rsidRPr="004A29C6">
        <w:separator/>
      </w:r>
    </w:p>
  </w:footnote>
  <w:footnote w:type="continuationSeparator" w:id="0">
    <w:p w14:paraId="75FF06E6" w14:textId="77777777" w:rsidR="00BB3120" w:rsidRPr="004A29C6" w:rsidRDefault="00BB3120">
      <w:r w:rsidRPr="004A29C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F6556" w14:textId="77777777" w:rsidR="000621A4" w:rsidRPr="004A29C6" w:rsidRDefault="000621A4"/>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21A4"/>
    <w:rsid w:val="000134AF"/>
    <w:rsid w:val="000151AB"/>
    <w:rsid w:val="00046B1E"/>
    <w:rsid w:val="00057455"/>
    <w:rsid w:val="000621A4"/>
    <w:rsid w:val="0006736D"/>
    <w:rsid w:val="000D6F42"/>
    <w:rsid w:val="0011369D"/>
    <w:rsid w:val="00181D37"/>
    <w:rsid w:val="00203150"/>
    <w:rsid w:val="00232691"/>
    <w:rsid w:val="0025754E"/>
    <w:rsid w:val="002E7031"/>
    <w:rsid w:val="003042A9"/>
    <w:rsid w:val="00324E81"/>
    <w:rsid w:val="003279DC"/>
    <w:rsid w:val="00366751"/>
    <w:rsid w:val="00372ED2"/>
    <w:rsid w:val="00482A68"/>
    <w:rsid w:val="004A29C6"/>
    <w:rsid w:val="004D116E"/>
    <w:rsid w:val="004D5D10"/>
    <w:rsid w:val="004E0F59"/>
    <w:rsid w:val="004F121A"/>
    <w:rsid w:val="005116AB"/>
    <w:rsid w:val="00526E93"/>
    <w:rsid w:val="00556797"/>
    <w:rsid w:val="005C6B71"/>
    <w:rsid w:val="005E50C8"/>
    <w:rsid w:val="00625485"/>
    <w:rsid w:val="00640CDA"/>
    <w:rsid w:val="00683B29"/>
    <w:rsid w:val="00740B67"/>
    <w:rsid w:val="007A5531"/>
    <w:rsid w:val="008F017D"/>
    <w:rsid w:val="00915D43"/>
    <w:rsid w:val="009502BA"/>
    <w:rsid w:val="0097777D"/>
    <w:rsid w:val="009C72CD"/>
    <w:rsid w:val="00A71BD6"/>
    <w:rsid w:val="00A9449E"/>
    <w:rsid w:val="00AE2B75"/>
    <w:rsid w:val="00B245D6"/>
    <w:rsid w:val="00B82F72"/>
    <w:rsid w:val="00BB3120"/>
    <w:rsid w:val="00C52866"/>
    <w:rsid w:val="00C53D56"/>
    <w:rsid w:val="00D76BCD"/>
    <w:rsid w:val="00E3339E"/>
    <w:rsid w:val="00EA4D6A"/>
    <w:rsid w:val="00F62F39"/>
    <w:rsid w:val="00F74756"/>
    <w:rsid w:val="00F93C35"/>
    <w:rsid w:val="02C56A91"/>
    <w:rsid w:val="25AB23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8AF87"/>
  <w15:docId w15:val="{F886146B-0CFD-47A1-931E-87AC8F108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MY"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sz w:val="21"/>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F62F39"/>
    <w:rPr>
      <w:color w:val="0000FF" w:themeColor="hyperlink"/>
      <w:u w:val="single"/>
    </w:rPr>
  </w:style>
  <w:style w:type="character" w:styleId="UnresolvedMention">
    <w:name w:val="Unresolved Mention"/>
    <w:basedOn w:val="DefaultParagraphFont"/>
    <w:uiPriority w:val="99"/>
    <w:semiHidden/>
    <w:unhideWhenUsed/>
    <w:rsid w:val="00F62F39"/>
    <w:rPr>
      <w:color w:val="605E5C"/>
      <w:shd w:val="clear" w:color="auto" w:fill="E1DFDD"/>
    </w:rPr>
  </w:style>
  <w:style w:type="paragraph" w:styleId="Revision">
    <w:name w:val="Revision"/>
    <w:hidden/>
    <w:uiPriority w:val="99"/>
    <w:unhideWhenUsed/>
    <w:rsid w:val="00181D37"/>
    <w:rPr>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249079-9667-4CB3-A6F2-55A546D2F1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3801</Words>
  <Characters>21672</Characters>
  <Application>Microsoft Office Word</Application>
  <DocSecurity>0</DocSecurity>
  <Lines>180</Lines>
  <Paragraphs>50</Paragraphs>
  <ScaleCrop>false</ScaleCrop>
  <Company/>
  <LinksUpToDate>false</LinksUpToDate>
  <CharactersWithSpaces>25423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Acer NB</cp:lastModifiedBy>
  <cp:revision>5</cp:revision>
  <dcterms:created xsi:type="dcterms:W3CDTF">2026-07-21T08:45:00Z</dcterms:created>
  <dcterms:modified xsi:type="dcterms:W3CDTF">2026-07-22T09:18:00Z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{"Label":"1","ContentProducer":"001191110102MACQD9K64010000","ProduceID":"7659707919294483422","ReservedCode1":"","ContentPropagator":"","PropagateID":"","ReservedCode2":""}</vt:lpwstr>
  </property>
  <property fmtid="{D5CDD505-2E9C-101B-9397-08002B2CF9AE}" pid="3" name="KSOTemplateDocerSaveRecord">
    <vt:lpwstr>eyJoZGlkIjoiYzEzOWZlYzFlNTk2MmQzMDQwMDE5MjliMjM5ODUzNjEiLCJ1c2VySWQiOiI2NTQ2OTg3NDEifQ==</vt:lpwstr>
  </property>
  <property fmtid="{D5CDD505-2E9C-101B-9397-08002B2CF9AE}" pid="4" name="KSOProductBuildVer">
    <vt:lpwstr>2052-12.1.0.26895</vt:lpwstr>
  </property>
  <property fmtid="{D5CDD505-2E9C-101B-9397-08002B2CF9AE}" pid="5" name="ICV">
    <vt:lpwstr>243531013B7D4EA29C425ADBD2DA1A4F_12</vt:lpwstr>
  </property>
  <property fmtid="{D5CDD505-2E9C-101B-9397-08002B2CF9AE}" pid="6" name="GrammarlyDocumentId">
    <vt:lpwstr>e94e2506-d4d3-40a3-a1a6-17b0e172c123</vt:lpwstr>
  </property>
</Properties>
</file>