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1CAF5" w14:textId="77777777" w:rsidR="00A611CC" w:rsidRPr="00506015" w:rsidRDefault="00000000" w:rsidP="00506015">
      <w:pPr>
        <w:jc w:val="left"/>
        <w:rPr>
          <w:rFonts w:cs="Times New Roman"/>
          <w:b/>
          <w:bCs/>
          <w:sz w:val="44"/>
          <w:szCs w:val="44"/>
        </w:rPr>
      </w:pPr>
      <w:r w:rsidRPr="00506015">
        <w:rPr>
          <w:rFonts w:cs="Times New Roman"/>
          <w:b/>
          <w:bCs/>
          <w:sz w:val="44"/>
          <w:szCs w:val="44"/>
        </w:rPr>
        <w:t>Analysis of the Influence of Differences in English and Chinese Modes of Thinking on Language Expression</w:t>
      </w:r>
    </w:p>
    <w:p w14:paraId="2A23F637" w14:textId="77777777" w:rsidR="00A611CC" w:rsidRPr="00506015" w:rsidRDefault="00000000" w:rsidP="005503FE">
      <w:pPr>
        <w:rPr>
          <w:rFonts w:cs="Times New Roman"/>
          <w:b/>
          <w:bCs/>
        </w:rPr>
      </w:pPr>
      <w:r w:rsidRPr="00506015">
        <w:rPr>
          <w:rFonts w:cs="Times New Roman"/>
          <w:b/>
          <w:bCs/>
        </w:rPr>
        <w:t>Dan Cui*, Yuhuan Nie</w:t>
      </w:r>
    </w:p>
    <w:p w14:paraId="40A97452" w14:textId="77777777" w:rsidR="00A611CC" w:rsidRPr="005503FE" w:rsidRDefault="00000000" w:rsidP="005503FE">
      <w:pPr>
        <w:rPr>
          <w:rFonts w:cs="Times New Roman"/>
        </w:rPr>
      </w:pPr>
      <w:r w:rsidRPr="005503FE">
        <w:rPr>
          <w:rFonts w:cs="Times New Roman"/>
        </w:rPr>
        <w:t>School of Foreign Studies, Harbin Engineering University, Harbin</w:t>
      </w:r>
      <w:r w:rsidRPr="005503FE">
        <w:rPr>
          <w:rFonts w:eastAsia="SimSun" w:cs="Times New Roman"/>
        </w:rPr>
        <w:t xml:space="preserve"> </w:t>
      </w:r>
      <w:r w:rsidRPr="005503FE">
        <w:rPr>
          <w:rFonts w:cs="Times New Roman"/>
        </w:rPr>
        <w:t>150001, Heilongjiang, China</w:t>
      </w:r>
    </w:p>
    <w:p w14:paraId="1B0BD2F2" w14:textId="4754D14F" w:rsidR="00A611CC" w:rsidRDefault="005503FE" w:rsidP="005503FE">
      <w:pPr>
        <w:rPr>
          <w:rFonts w:cs="Times New Roman"/>
          <w:iCs/>
        </w:rPr>
      </w:pPr>
      <w:r w:rsidRPr="00CA5E5D">
        <w:rPr>
          <w:rFonts w:cs="Times New Roman"/>
          <w:b/>
          <w:bCs/>
          <w:iCs/>
        </w:rPr>
        <w:t>*Corresponding author:</w:t>
      </w:r>
      <w:r w:rsidRPr="005503FE">
        <w:rPr>
          <w:rFonts w:cs="Times New Roman"/>
          <w:iCs/>
        </w:rPr>
        <w:t xml:space="preserve"> Dan Cui, cuidan@hrbeu.edu.cn</w:t>
      </w:r>
    </w:p>
    <w:p w14:paraId="44990F35" w14:textId="77777777" w:rsidR="005503FE" w:rsidRDefault="005503FE" w:rsidP="005503FE">
      <w:pPr>
        <w:rPr>
          <w:rFonts w:cs="Times New Roman"/>
          <w:iCs/>
        </w:rPr>
      </w:pPr>
    </w:p>
    <w:p w14:paraId="04E8EDBA" w14:textId="7A8DBA1D" w:rsidR="00CA5E5D" w:rsidRPr="006F7A85" w:rsidRDefault="006F7A85" w:rsidP="005503FE">
      <w:pPr>
        <w:rPr>
          <w:rFonts w:cs="Times New Roman"/>
          <w:sz w:val="20"/>
        </w:rPr>
      </w:pPr>
      <w:r w:rsidRPr="00095942">
        <w:rPr>
          <w:rFonts w:cs="Times New Roman"/>
          <w:b/>
          <w:sz w:val="20"/>
        </w:rPr>
        <w:t>Copyright:</w:t>
      </w:r>
      <w:r>
        <w:rPr>
          <w:rFonts w:cs="Times New Roman"/>
          <w:sz w:val="20"/>
        </w:rPr>
        <w:t xml:space="preserve"> </w:t>
      </w:r>
      <w:r w:rsidRPr="00095942">
        <w:rPr>
          <w:rFonts w:cs="Times New Roman"/>
          <w:sz w:val="20"/>
        </w:rPr>
        <w:t>©</w:t>
      </w:r>
      <w:r>
        <w:rPr>
          <w:rFonts w:cs="Times New Roman"/>
          <w:sz w:val="20"/>
        </w:rPr>
        <w:t xml:space="preserve"> </w:t>
      </w:r>
      <w:r w:rsidRPr="00095942">
        <w:rPr>
          <w:rFonts w:cs="Times New Roman"/>
          <w:sz w:val="20"/>
        </w:rPr>
        <w:t>2026</w:t>
      </w:r>
      <w:r>
        <w:rPr>
          <w:rFonts w:cs="Times New Roman"/>
          <w:sz w:val="20"/>
        </w:rPr>
        <w:t xml:space="preserve"> </w:t>
      </w:r>
      <w:r w:rsidRPr="00095942">
        <w:rPr>
          <w:rFonts w:cs="Times New Roman"/>
          <w:sz w:val="20"/>
        </w:rPr>
        <w:t>Author(s).</w:t>
      </w:r>
      <w:r>
        <w:rPr>
          <w:rFonts w:cs="Times New Roman"/>
          <w:sz w:val="20"/>
        </w:rPr>
        <w:t xml:space="preserve"> </w:t>
      </w:r>
      <w:r w:rsidRPr="00095942">
        <w:rPr>
          <w:rFonts w:cs="Times New Roman"/>
          <w:sz w:val="20"/>
        </w:rPr>
        <w:t>This</w:t>
      </w:r>
      <w:r>
        <w:rPr>
          <w:rFonts w:cs="Times New Roman"/>
          <w:sz w:val="20"/>
        </w:rPr>
        <w:t xml:space="preserve"> </w:t>
      </w:r>
      <w:r w:rsidRPr="00095942">
        <w:rPr>
          <w:rFonts w:cs="Times New Roman"/>
          <w:sz w:val="20"/>
        </w:rPr>
        <w:t>is</w:t>
      </w:r>
      <w:r>
        <w:rPr>
          <w:rFonts w:cs="Times New Roman"/>
          <w:sz w:val="20"/>
        </w:rPr>
        <w:t xml:space="preserve"> </w:t>
      </w:r>
      <w:r w:rsidRPr="00095942">
        <w:rPr>
          <w:rFonts w:cs="Times New Roman"/>
          <w:sz w:val="20"/>
        </w:rPr>
        <w:t>an</w:t>
      </w:r>
      <w:r>
        <w:rPr>
          <w:rFonts w:cs="Times New Roman"/>
          <w:sz w:val="20"/>
        </w:rPr>
        <w:t xml:space="preserve"> </w:t>
      </w:r>
      <w:r w:rsidRPr="00095942">
        <w:rPr>
          <w:rFonts w:cs="Times New Roman"/>
          <w:sz w:val="20"/>
        </w:rPr>
        <w:t>open-access</w:t>
      </w:r>
      <w:r>
        <w:rPr>
          <w:rFonts w:cs="Times New Roman"/>
          <w:sz w:val="20"/>
        </w:rPr>
        <w:t xml:space="preserve"> </w:t>
      </w:r>
      <w:r w:rsidRPr="00095942">
        <w:rPr>
          <w:rFonts w:cs="Times New Roman"/>
          <w:sz w:val="20"/>
        </w:rPr>
        <w:t>article</w:t>
      </w:r>
      <w:r>
        <w:rPr>
          <w:rFonts w:cs="Times New Roman"/>
          <w:sz w:val="20"/>
        </w:rPr>
        <w:t xml:space="preserve"> </w:t>
      </w:r>
      <w:r w:rsidRPr="00095942">
        <w:rPr>
          <w:rFonts w:cs="Times New Roman"/>
          <w:sz w:val="20"/>
        </w:rPr>
        <w:t>distributed</w:t>
      </w:r>
      <w:r>
        <w:rPr>
          <w:rFonts w:cs="Times New Roman"/>
          <w:sz w:val="20"/>
        </w:rPr>
        <w:t xml:space="preserve"> </w:t>
      </w:r>
      <w:r w:rsidRPr="00095942">
        <w:rPr>
          <w:rFonts w:cs="Times New Roman"/>
          <w:sz w:val="20"/>
        </w:rPr>
        <w:t>under</w:t>
      </w:r>
      <w:r>
        <w:rPr>
          <w:rFonts w:cs="Times New Roman"/>
          <w:sz w:val="20"/>
        </w:rPr>
        <w:t xml:space="preserve"> </w:t>
      </w:r>
      <w:r w:rsidRPr="00095942">
        <w:rPr>
          <w:rFonts w:cs="Times New Roman"/>
          <w:sz w:val="20"/>
        </w:rPr>
        <w:t>the</w:t>
      </w:r>
      <w:r>
        <w:rPr>
          <w:rFonts w:cs="Times New Roman"/>
          <w:sz w:val="20"/>
        </w:rPr>
        <w:t xml:space="preserve"> </w:t>
      </w:r>
      <w:r w:rsidRPr="00095942">
        <w:rPr>
          <w:rFonts w:cs="Times New Roman"/>
          <w:sz w:val="20"/>
        </w:rPr>
        <w:t>terms</w:t>
      </w:r>
      <w:r>
        <w:rPr>
          <w:rFonts w:cs="Times New Roman"/>
          <w:sz w:val="20"/>
        </w:rPr>
        <w:t xml:space="preserve"> </w:t>
      </w:r>
      <w:r w:rsidRPr="00095942">
        <w:rPr>
          <w:rFonts w:cs="Times New Roman"/>
          <w:sz w:val="20"/>
        </w:rPr>
        <w:t>of</w:t>
      </w:r>
      <w:r>
        <w:rPr>
          <w:rFonts w:cs="Times New Roman"/>
          <w:sz w:val="20"/>
        </w:rPr>
        <w:t xml:space="preserve"> </w:t>
      </w:r>
      <w:r w:rsidRPr="00095942">
        <w:rPr>
          <w:rFonts w:cs="Times New Roman"/>
          <w:sz w:val="20"/>
        </w:rPr>
        <w:t>the</w:t>
      </w:r>
      <w:r>
        <w:rPr>
          <w:rFonts w:cs="Times New Roman"/>
          <w:sz w:val="20"/>
        </w:rPr>
        <w:t xml:space="preserve"> </w:t>
      </w:r>
      <w:r w:rsidRPr="00095942">
        <w:rPr>
          <w:rFonts w:cs="Times New Roman"/>
          <w:sz w:val="20"/>
        </w:rPr>
        <w:t>Creative</w:t>
      </w:r>
      <w:r>
        <w:rPr>
          <w:rFonts w:cs="Times New Roman"/>
          <w:sz w:val="20"/>
        </w:rPr>
        <w:t xml:space="preserve"> </w:t>
      </w:r>
      <w:r w:rsidRPr="00095942">
        <w:rPr>
          <w:rFonts w:cs="Times New Roman"/>
          <w:sz w:val="20"/>
        </w:rPr>
        <w:t>Commons</w:t>
      </w:r>
      <w:r>
        <w:rPr>
          <w:rFonts w:cs="Times New Roman"/>
          <w:sz w:val="20"/>
        </w:rPr>
        <w:t xml:space="preserve"> </w:t>
      </w:r>
      <w:r w:rsidRPr="00095942">
        <w:rPr>
          <w:rFonts w:cs="Times New Roman"/>
          <w:sz w:val="20"/>
        </w:rPr>
        <w:t>Attribution</w:t>
      </w:r>
      <w:r>
        <w:rPr>
          <w:rFonts w:cs="Times New Roman"/>
          <w:sz w:val="20"/>
        </w:rPr>
        <w:t xml:space="preserve"> </w:t>
      </w:r>
      <w:r w:rsidRPr="00095942">
        <w:rPr>
          <w:rFonts w:cs="Times New Roman"/>
          <w:sz w:val="20"/>
        </w:rPr>
        <w:t>License</w:t>
      </w:r>
      <w:r>
        <w:rPr>
          <w:rFonts w:cs="Times New Roman"/>
          <w:sz w:val="20"/>
        </w:rPr>
        <w:t xml:space="preserve"> </w:t>
      </w:r>
      <w:r w:rsidRPr="00095942">
        <w:rPr>
          <w:rFonts w:cs="Times New Roman"/>
          <w:sz w:val="20"/>
        </w:rPr>
        <w:t>(CC</w:t>
      </w:r>
      <w:r>
        <w:rPr>
          <w:rFonts w:cs="Times New Roman"/>
          <w:sz w:val="20"/>
        </w:rPr>
        <w:t xml:space="preserve"> </w:t>
      </w:r>
      <w:r w:rsidRPr="00095942">
        <w:rPr>
          <w:rFonts w:cs="Times New Roman"/>
          <w:sz w:val="20"/>
        </w:rPr>
        <w:t>BY</w:t>
      </w:r>
      <w:r>
        <w:rPr>
          <w:rFonts w:cs="Times New Roman"/>
          <w:sz w:val="20"/>
        </w:rPr>
        <w:t xml:space="preserve"> </w:t>
      </w:r>
      <w:r w:rsidRPr="00095942">
        <w:rPr>
          <w:rFonts w:cs="Times New Roman"/>
          <w:sz w:val="20"/>
        </w:rPr>
        <w:t>4.0),</w:t>
      </w:r>
      <w:r>
        <w:rPr>
          <w:rFonts w:cs="Times New Roman"/>
          <w:sz w:val="20"/>
        </w:rPr>
        <w:t xml:space="preserve"> </w:t>
      </w:r>
      <w:r w:rsidRPr="00095942">
        <w:rPr>
          <w:rFonts w:cs="Times New Roman"/>
          <w:sz w:val="20"/>
        </w:rPr>
        <w:t>permitting</w:t>
      </w:r>
      <w:r>
        <w:rPr>
          <w:rFonts w:cs="Times New Roman"/>
          <w:sz w:val="20"/>
        </w:rPr>
        <w:t xml:space="preserve"> </w:t>
      </w:r>
      <w:r w:rsidRPr="00095942">
        <w:rPr>
          <w:rFonts w:cs="Times New Roman"/>
          <w:sz w:val="20"/>
        </w:rPr>
        <w:t>distribution</w:t>
      </w:r>
      <w:r>
        <w:rPr>
          <w:rFonts w:cs="Times New Roman"/>
          <w:sz w:val="20"/>
        </w:rPr>
        <w:t xml:space="preserve"> </w:t>
      </w:r>
      <w:r w:rsidRPr="00095942">
        <w:rPr>
          <w:rFonts w:cs="Times New Roman"/>
          <w:sz w:val="20"/>
        </w:rPr>
        <w:t>and</w:t>
      </w:r>
      <w:r>
        <w:rPr>
          <w:rFonts w:cs="Times New Roman"/>
          <w:sz w:val="20"/>
        </w:rPr>
        <w:t xml:space="preserve"> </w:t>
      </w:r>
      <w:r w:rsidRPr="00095942">
        <w:rPr>
          <w:rFonts w:cs="Times New Roman"/>
          <w:sz w:val="20"/>
        </w:rPr>
        <w:t>reproduction</w:t>
      </w:r>
      <w:r>
        <w:rPr>
          <w:rFonts w:cs="Times New Roman"/>
          <w:sz w:val="20"/>
        </w:rPr>
        <w:t xml:space="preserve"> </w:t>
      </w:r>
      <w:r w:rsidRPr="00095942">
        <w:rPr>
          <w:rFonts w:cs="Times New Roman"/>
          <w:sz w:val="20"/>
        </w:rPr>
        <w:t>in</w:t>
      </w:r>
      <w:r>
        <w:rPr>
          <w:rFonts w:cs="Times New Roman"/>
          <w:sz w:val="20"/>
        </w:rPr>
        <w:t xml:space="preserve"> </w:t>
      </w:r>
      <w:r w:rsidRPr="00095942">
        <w:rPr>
          <w:rFonts w:cs="Times New Roman"/>
          <w:sz w:val="20"/>
        </w:rPr>
        <w:t>any</w:t>
      </w:r>
      <w:r>
        <w:rPr>
          <w:rFonts w:cs="Times New Roman"/>
          <w:sz w:val="20"/>
        </w:rPr>
        <w:t xml:space="preserve"> </w:t>
      </w:r>
      <w:r w:rsidRPr="00095942">
        <w:rPr>
          <w:rFonts w:cs="Times New Roman"/>
          <w:sz w:val="20"/>
        </w:rPr>
        <w:t>medium,</w:t>
      </w:r>
      <w:r>
        <w:rPr>
          <w:rFonts w:cs="Times New Roman"/>
          <w:sz w:val="20"/>
        </w:rPr>
        <w:t xml:space="preserve"> </w:t>
      </w:r>
      <w:r w:rsidRPr="00095942">
        <w:rPr>
          <w:rFonts w:cs="Times New Roman"/>
          <w:sz w:val="20"/>
        </w:rPr>
        <w:t>provided</w:t>
      </w:r>
      <w:r>
        <w:rPr>
          <w:rFonts w:cs="Times New Roman"/>
          <w:sz w:val="20"/>
        </w:rPr>
        <w:t xml:space="preserve"> </w:t>
      </w:r>
      <w:r w:rsidRPr="00095942">
        <w:rPr>
          <w:rFonts w:cs="Times New Roman"/>
          <w:sz w:val="20"/>
        </w:rPr>
        <w:t>the</w:t>
      </w:r>
      <w:r>
        <w:rPr>
          <w:rFonts w:cs="Times New Roman"/>
          <w:sz w:val="20"/>
        </w:rPr>
        <w:t xml:space="preserve"> </w:t>
      </w:r>
      <w:r w:rsidRPr="00095942">
        <w:rPr>
          <w:rFonts w:cs="Times New Roman"/>
          <w:sz w:val="20"/>
        </w:rPr>
        <w:t>original</w:t>
      </w:r>
      <w:r>
        <w:rPr>
          <w:rFonts w:cs="Times New Roman"/>
          <w:sz w:val="20"/>
        </w:rPr>
        <w:t xml:space="preserve"> </w:t>
      </w:r>
      <w:r w:rsidRPr="00095942">
        <w:rPr>
          <w:rFonts w:cs="Times New Roman"/>
          <w:sz w:val="20"/>
        </w:rPr>
        <w:t>work</w:t>
      </w:r>
      <w:r>
        <w:rPr>
          <w:rFonts w:cs="Times New Roman"/>
          <w:sz w:val="20"/>
        </w:rPr>
        <w:t xml:space="preserve"> </w:t>
      </w:r>
      <w:r w:rsidRPr="00095942">
        <w:rPr>
          <w:rFonts w:cs="Times New Roman"/>
          <w:sz w:val="20"/>
        </w:rPr>
        <w:t>is</w:t>
      </w:r>
      <w:r>
        <w:rPr>
          <w:rFonts w:cs="Times New Roman"/>
          <w:sz w:val="20"/>
        </w:rPr>
        <w:t xml:space="preserve"> </w:t>
      </w:r>
      <w:r w:rsidRPr="00095942">
        <w:rPr>
          <w:rFonts w:cs="Times New Roman"/>
          <w:sz w:val="20"/>
        </w:rPr>
        <w:t>cited.</w:t>
      </w:r>
    </w:p>
    <w:p w14:paraId="51E5A390" w14:textId="77777777" w:rsidR="00CA5E5D" w:rsidRPr="005503FE" w:rsidRDefault="00CA5E5D" w:rsidP="005503FE">
      <w:pPr>
        <w:rPr>
          <w:rFonts w:cs="Times New Roman"/>
          <w:iCs/>
        </w:rPr>
      </w:pPr>
    </w:p>
    <w:p w14:paraId="2FA854A6" w14:textId="32FF3ADA" w:rsidR="00A611CC" w:rsidRPr="005503FE" w:rsidRDefault="00000000" w:rsidP="005503FE">
      <w:pPr>
        <w:rPr>
          <w:rFonts w:cs="Times New Roman"/>
        </w:rPr>
      </w:pPr>
      <w:r w:rsidRPr="00506015">
        <w:rPr>
          <w:rFonts w:cs="Times New Roman"/>
          <w:b/>
          <w:bCs/>
        </w:rPr>
        <w:t>Abstract</w:t>
      </w:r>
      <w:r w:rsidR="005503FE" w:rsidRPr="00506015">
        <w:rPr>
          <w:rFonts w:cs="Times New Roman"/>
          <w:b/>
          <w:bCs/>
        </w:rPr>
        <w:t>:</w:t>
      </w:r>
      <w:r w:rsidRPr="005503FE">
        <w:rPr>
          <w:rFonts w:cs="Times New Roman"/>
        </w:rPr>
        <w:t xml:space="preserve"> Language expression is shaped by linguistic structure, cultural convention, cognitive habit, and communicative purpose. Based on a critical review of English-Chinese contrastive research, this paper examines three related tendencies</w:t>
      </w:r>
      <w:r w:rsidR="005503FE">
        <w:rPr>
          <w:rFonts w:cs="Times New Roman"/>
        </w:rPr>
        <w:t>:</w:t>
      </w:r>
      <w:r w:rsidRPr="005503FE">
        <w:rPr>
          <w:rFonts w:cs="Times New Roman"/>
        </w:rPr>
        <w:t xml:space="preserve"> holistic and analytic orientation, image-based and abstract-conceptual preference, and context-dependent and explicit-linear organization. It considers how these tendencies appear in lexical choice, sentence construction, discourse progression, and pragmatic framing. The discussion does not use broad cultural labels as self-sufficient explanations. Instead, it treats the observed contrasts as variable preferences mediated by genre, context, bilingual experience, and audience. The analysis suggests that effective teaching and translation should connect formal comparison with functional interpretation. Learners need to identify semantic boundaries, recover implicit clause relations, reorganize information for target readers, and adjust politeness strategies and cultural images to the communicative situation. It also explains why formally acceptable sentences may remain rhetorically awkward or pragmatically unsuitable for target readers. Such training can improve accuracy and coherence without turning recurrent differences into fixed stereotypes.</w:t>
      </w:r>
    </w:p>
    <w:p w14:paraId="67C429C3" w14:textId="15541B7C" w:rsidR="00A611CC" w:rsidRDefault="00000000" w:rsidP="005503FE">
      <w:pPr>
        <w:rPr>
          <w:rFonts w:cs="Times New Roman"/>
        </w:rPr>
      </w:pPr>
      <w:r w:rsidRPr="006F7A85">
        <w:rPr>
          <w:rFonts w:cs="Times New Roman"/>
          <w:b/>
          <w:bCs/>
        </w:rPr>
        <w:t>Keywords</w:t>
      </w:r>
      <w:r w:rsidR="005503FE" w:rsidRPr="006F7A85">
        <w:rPr>
          <w:rFonts w:cs="Times New Roman"/>
          <w:b/>
          <w:bCs/>
        </w:rPr>
        <w:t>:</w:t>
      </w:r>
      <w:r w:rsidRPr="005503FE">
        <w:rPr>
          <w:rFonts w:cs="Times New Roman"/>
        </w:rPr>
        <w:t xml:space="preserve"> English-Chinese thinking differences</w:t>
      </w:r>
      <w:r w:rsidR="006F7A85">
        <w:rPr>
          <w:rFonts w:cs="Times New Roman"/>
        </w:rPr>
        <w:t>;</w:t>
      </w:r>
      <w:r w:rsidR="006F7A85" w:rsidRPr="005503FE">
        <w:rPr>
          <w:rFonts w:cs="Times New Roman"/>
        </w:rPr>
        <w:t xml:space="preserve"> Lan</w:t>
      </w:r>
      <w:r w:rsidRPr="005503FE">
        <w:rPr>
          <w:rFonts w:cs="Times New Roman"/>
        </w:rPr>
        <w:t>guage expression</w:t>
      </w:r>
      <w:r w:rsidR="005503FE">
        <w:rPr>
          <w:rFonts w:cs="Times New Roman"/>
        </w:rPr>
        <w:t>;</w:t>
      </w:r>
      <w:r w:rsidRPr="005503FE">
        <w:rPr>
          <w:rFonts w:cs="Times New Roman"/>
        </w:rPr>
        <w:t xml:space="preserve"> </w:t>
      </w:r>
      <w:r w:rsidR="006F7A85" w:rsidRPr="005503FE">
        <w:rPr>
          <w:rFonts w:cs="Times New Roman"/>
        </w:rPr>
        <w:t>Interc</w:t>
      </w:r>
      <w:r w:rsidRPr="005503FE">
        <w:rPr>
          <w:rFonts w:cs="Times New Roman"/>
        </w:rPr>
        <w:t>ultural communication</w:t>
      </w:r>
      <w:r w:rsidR="005503FE">
        <w:rPr>
          <w:rFonts w:cs="Times New Roman"/>
        </w:rPr>
        <w:t>;</w:t>
      </w:r>
      <w:r w:rsidRPr="005503FE">
        <w:rPr>
          <w:rFonts w:cs="Times New Roman"/>
        </w:rPr>
        <w:t xml:space="preserve"> </w:t>
      </w:r>
      <w:r w:rsidR="006F7A85" w:rsidRPr="005503FE">
        <w:rPr>
          <w:rFonts w:cs="Times New Roman"/>
        </w:rPr>
        <w:t>Pa</w:t>
      </w:r>
      <w:r w:rsidRPr="005503FE">
        <w:rPr>
          <w:rFonts w:cs="Times New Roman"/>
        </w:rPr>
        <w:t>rataxis and hypotaxis</w:t>
      </w:r>
      <w:r w:rsidR="005503FE">
        <w:rPr>
          <w:rFonts w:cs="Times New Roman"/>
        </w:rPr>
        <w:t>;</w:t>
      </w:r>
      <w:r w:rsidRPr="005503FE">
        <w:rPr>
          <w:rFonts w:cs="Times New Roman"/>
        </w:rPr>
        <w:t xml:space="preserve"> </w:t>
      </w:r>
      <w:r w:rsidR="006F7A85" w:rsidRPr="005503FE">
        <w:rPr>
          <w:rFonts w:cs="Times New Roman"/>
        </w:rPr>
        <w:t>Pra</w:t>
      </w:r>
      <w:r w:rsidRPr="005503FE">
        <w:rPr>
          <w:rFonts w:cs="Times New Roman"/>
        </w:rPr>
        <w:t>gmatic strategies</w:t>
      </w:r>
    </w:p>
    <w:p w14:paraId="69961AC9" w14:textId="77777777" w:rsidR="006F7A85" w:rsidRDefault="006F7A85" w:rsidP="005503FE">
      <w:pPr>
        <w:rPr>
          <w:rFonts w:cs="Times New Roman"/>
        </w:rPr>
      </w:pPr>
    </w:p>
    <w:p w14:paraId="7D29D79A" w14:textId="7320C444" w:rsidR="006F7A85" w:rsidRPr="006F7A85" w:rsidRDefault="006F7A85" w:rsidP="005503FE">
      <w:pPr>
        <w:rPr>
          <w:rFonts w:eastAsia="SimSun" w:cs="Times New Roman"/>
          <w:b/>
          <w:bCs/>
          <w:sz w:val="20"/>
          <w:szCs w:val="20"/>
        </w:rPr>
      </w:pPr>
      <w:r w:rsidRPr="00095942">
        <w:rPr>
          <w:rFonts w:eastAsia="SimSun" w:cs="Times New Roman"/>
          <w:b/>
          <w:bCs/>
          <w:sz w:val="20"/>
          <w:szCs w:val="20"/>
        </w:rPr>
        <w:t>Online</w:t>
      </w:r>
      <w:r>
        <w:rPr>
          <w:rFonts w:eastAsia="SimSun" w:cs="Times New Roman"/>
          <w:b/>
          <w:bCs/>
          <w:sz w:val="20"/>
          <w:szCs w:val="20"/>
        </w:rPr>
        <w:t xml:space="preserve"> </w:t>
      </w:r>
      <w:r w:rsidRPr="00095942">
        <w:rPr>
          <w:rFonts w:eastAsia="SimSun" w:cs="Times New Roman"/>
          <w:b/>
          <w:bCs/>
          <w:sz w:val="20"/>
          <w:szCs w:val="20"/>
        </w:rPr>
        <w:t>publication:</w:t>
      </w:r>
    </w:p>
    <w:p w14:paraId="639B237B" w14:textId="77777777" w:rsidR="006F7A85" w:rsidRPr="005503FE" w:rsidRDefault="006F7A85" w:rsidP="005503FE">
      <w:pPr>
        <w:rPr>
          <w:rFonts w:cs="Times New Roman"/>
        </w:rPr>
      </w:pPr>
    </w:p>
    <w:p w14:paraId="6B83064A" w14:textId="77777777" w:rsidR="00A611CC" w:rsidRPr="00506015" w:rsidRDefault="00000000" w:rsidP="005503FE">
      <w:pPr>
        <w:rPr>
          <w:rFonts w:cs="Times New Roman"/>
          <w:b/>
          <w:bCs/>
        </w:rPr>
      </w:pPr>
      <w:r w:rsidRPr="00506015">
        <w:rPr>
          <w:rFonts w:cs="Times New Roman"/>
          <w:b/>
          <w:bCs/>
        </w:rPr>
        <w:t>1. Introduction</w:t>
      </w:r>
    </w:p>
    <w:p w14:paraId="1C9526AB" w14:textId="662059C7" w:rsidR="00A611CC" w:rsidRPr="005503FE" w:rsidRDefault="00000000" w:rsidP="005503FE">
      <w:pPr>
        <w:rPr>
          <w:rFonts w:cs="Times New Roman"/>
        </w:rPr>
      </w:pPr>
      <w:r w:rsidRPr="005503FE">
        <w:rPr>
          <w:rFonts w:cs="Times New Roman"/>
        </w:rPr>
        <w:t xml:space="preserve">The relation among language, thought, and culture has remained a central issue in linguistics and translation studies. Sapir defines language as </w:t>
      </w:r>
      <w:r w:rsidR="005503FE">
        <w:rPr>
          <w:rFonts w:cs="Times New Roman"/>
        </w:rPr>
        <w:t>“</w:t>
      </w:r>
      <w:r w:rsidRPr="005503FE">
        <w:rPr>
          <w:rFonts w:cs="Times New Roman"/>
        </w:rPr>
        <w:t>a purely human and noninstinctive method of communicating ideas, emotions, and desires by means of a system of voluntarily produced symbols</w:t>
      </w:r>
      <w:r w:rsidR="005503FE">
        <w:rPr>
          <w:rFonts w:cs="Times New Roman"/>
        </w:rPr>
        <w:t>”</w:t>
      </w:r>
      <w:r w:rsidR="008B1210">
        <w:rPr>
          <w:rFonts w:cs="Times New Roman"/>
        </w:rPr>
        <w:t xml:space="preserve"> </w:t>
      </w:r>
      <w:r w:rsidRPr="005503FE">
        <w:rPr>
          <w:rFonts w:cs="Times New Roman"/>
          <w:vertAlign w:val="superscript"/>
        </w:rPr>
        <w:t>[1]</w:t>
      </w:r>
      <w:r w:rsidRPr="005503FE">
        <w:rPr>
          <w:rFonts w:cs="Times New Roman"/>
        </w:rPr>
        <w:t>. This definition places language within human cultural experience rather than treating it as a neutral list of labels. Later comparative work has generally rejected the strong claim that language determines thought, but it continues to ask whether habitual linguistic patterns guide attention and expression. Nisbett, for example, distinguishes relatively holistic and analytic orientations while also noting variation within cultural groups</w:t>
      </w:r>
      <w:r w:rsidR="00AD40DB">
        <w:rPr>
          <w:rFonts w:cs="Times New Roman"/>
        </w:rPr>
        <w:t xml:space="preserve"> </w:t>
      </w:r>
      <w:r w:rsidRPr="005503FE">
        <w:rPr>
          <w:rFonts w:cs="Times New Roman"/>
          <w:vertAlign w:val="superscript"/>
        </w:rPr>
        <w:t>[2]</w:t>
      </w:r>
      <w:r w:rsidRPr="005503FE">
        <w:rPr>
          <w:rFonts w:cs="Times New Roman"/>
        </w:rPr>
        <w:t>.</w:t>
      </w:r>
    </w:p>
    <w:p w14:paraId="20F9233F" w14:textId="77777777" w:rsidR="00A611CC" w:rsidRPr="005503FE" w:rsidRDefault="00000000" w:rsidP="00506015">
      <w:pPr>
        <w:ind w:firstLineChars="200" w:firstLine="480"/>
        <w:rPr>
          <w:rFonts w:cs="Times New Roman"/>
        </w:rPr>
      </w:pPr>
      <w:r w:rsidRPr="005503FE">
        <w:rPr>
          <w:rFonts w:cs="Times New Roman"/>
        </w:rPr>
        <w:t>The issue is best approached through a distinction between linguistic resources and deterministic cultural claims. Languages provide conventional ways of marking agency, linking clauses, packaging topics, and managing interpersonal distance, but speakers are not confined to one permanent pattern. Education, professional training, bilingual experience, and genre knowledge can alter the choices a writer makes. The same Chinese-English bilingual may rely on contextual inference in an informal conversation, use explicit logical markers in an academic article, and adopt highly conventional politeness formulas in an institutional email. A contrastive account is therefore useful only when it explains recurrent preferences without converting them into fixed psychological attributes.</w:t>
      </w:r>
    </w:p>
    <w:p w14:paraId="10C9F969" w14:textId="4E157452" w:rsidR="00A611CC" w:rsidRPr="005503FE" w:rsidRDefault="00000000" w:rsidP="00506015">
      <w:pPr>
        <w:ind w:firstLineChars="200" w:firstLine="480"/>
        <w:rPr>
          <w:rFonts w:cs="Times New Roman"/>
        </w:rPr>
      </w:pPr>
      <w:r w:rsidRPr="005503FE">
        <w:rPr>
          <w:rFonts w:cs="Times New Roman"/>
        </w:rPr>
        <w:t>Existing studies approach the comparison from different levels. Li and Thompson explain the typological importance of topic and subject, while Lian surveys contrasts in lexicalization, syntax, discourse, and translation</w:t>
      </w:r>
      <w:r w:rsidR="00AD40DB">
        <w:rPr>
          <w:rFonts w:cs="Times New Roman"/>
        </w:rPr>
        <w:t xml:space="preserve"> </w:t>
      </w:r>
      <w:r w:rsidRPr="005503FE">
        <w:rPr>
          <w:rFonts w:cs="Times New Roman"/>
          <w:vertAlign w:val="superscript"/>
        </w:rPr>
        <w:t>[</w:t>
      </w:r>
      <w:r w:rsidR="00AD40DB">
        <w:rPr>
          <w:rFonts w:cs="Times New Roman"/>
          <w:vertAlign w:val="superscript"/>
        </w:rPr>
        <w:t>3–</w:t>
      </w:r>
      <w:r w:rsidRPr="005503FE">
        <w:rPr>
          <w:rFonts w:cs="Times New Roman"/>
          <w:vertAlign w:val="superscript"/>
        </w:rPr>
        <w:t>4]</w:t>
      </w:r>
      <w:r w:rsidRPr="005503FE">
        <w:rPr>
          <w:rFonts w:cs="Times New Roman"/>
        </w:rPr>
        <w:t xml:space="preserve">. Shen goes further by asking how several grammatical contrasts may </w:t>
      </w:r>
      <w:r w:rsidRPr="005503FE">
        <w:rPr>
          <w:rFonts w:cs="Times New Roman"/>
        </w:rPr>
        <w:lastRenderedPageBreak/>
        <w:t xml:space="preserve">form a connected system rather than a </w:t>
      </w:r>
      <w:r w:rsidR="00AD40DB">
        <w:rPr>
          <w:rFonts w:cs="Times New Roman"/>
        </w:rPr>
        <w:t>catalog</w:t>
      </w:r>
      <w:r w:rsidR="00AD40DB" w:rsidRPr="005503FE">
        <w:rPr>
          <w:rFonts w:cs="Times New Roman"/>
        </w:rPr>
        <w:t xml:space="preserve"> </w:t>
      </w:r>
      <w:r w:rsidRPr="005503FE">
        <w:rPr>
          <w:rFonts w:cs="Times New Roman"/>
        </w:rPr>
        <w:t>of isolated facts</w:t>
      </w:r>
      <w:r w:rsidR="00AD40DB">
        <w:rPr>
          <w:rFonts w:cs="Times New Roman"/>
        </w:rPr>
        <w:t xml:space="preserve"> </w:t>
      </w:r>
      <w:r w:rsidRPr="005503FE">
        <w:rPr>
          <w:rFonts w:cs="Times New Roman"/>
          <w:vertAlign w:val="superscript"/>
        </w:rPr>
        <w:t>[5]</w:t>
      </w:r>
      <w:r w:rsidRPr="005503FE">
        <w:rPr>
          <w:rFonts w:cs="Times New Roman"/>
        </w:rPr>
        <w:t>. Recent work has brought the discussion into translation theory and teaching</w:t>
      </w:r>
      <w:r w:rsidR="005503FE">
        <w:rPr>
          <w:rFonts w:cs="Times New Roman"/>
        </w:rPr>
        <w:t>:</w:t>
      </w:r>
      <w:r w:rsidRPr="005503FE">
        <w:rPr>
          <w:rFonts w:cs="Times New Roman"/>
        </w:rPr>
        <w:t xml:space="preserve"> Wang emphasizes the interaction of experience, cognition, and linguistic choice, and Xiang and Yang examine how differences in perspective affect Chinese-English translation</w:t>
      </w:r>
      <w:r w:rsidR="00AD40DB">
        <w:rPr>
          <w:rFonts w:cs="Times New Roman"/>
        </w:rPr>
        <w:t xml:space="preserve"> </w:t>
      </w:r>
      <w:r w:rsidRPr="005503FE">
        <w:rPr>
          <w:rFonts w:cs="Times New Roman"/>
          <w:vertAlign w:val="superscript"/>
        </w:rPr>
        <w:t>[</w:t>
      </w:r>
      <w:r w:rsidR="00AD40DB">
        <w:rPr>
          <w:rFonts w:cs="Times New Roman"/>
          <w:vertAlign w:val="superscript"/>
        </w:rPr>
        <w:t>6–</w:t>
      </w:r>
      <w:r w:rsidRPr="005503FE">
        <w:rPr>
          <w:rFonts w:cs="Times New Roman"/>
          <w:vertAlign w:val="superscript"/>
        </w:rPr>
        <w:t>8]</w:t>
      </w:r>
      <w:r w:rsidRPr="005503FE">
        <w:rPr>
          <w:rFonts w:cs="Times New Roman"/>
        </w:rPr>
        <w:t>. Read together, these studies suggest that language structure matters, but so do genre, proficiency, disciplinary convention, and the immediate communicative task.</w:t>
      </w:r>
    </w:p>
    <w:p w14:paraId="2F71FC99" w14:textId="35632BF1" w:rsidR="00A611CC" w:rsidRPr="005503FE" w:rsidRDefault="00000000" w:rsidP="00506015">
      <w:pPr>
        <w:ind w:firstLineChars="200" w:firstLine="480"/>
        <w:rPr>
          <w:rFonts w:cs="Times New Roman"/>
        </w:rPr>
      </w:pPr>
      <w:r w:rsidRPr="005503FE">
        <w:rPr>
          <w:rFonts w:cs="Times New Roman"/>
        </w:rPr>
        <w:t>This paper therefore adopts a conceptual and literature-based contrastive approach. It uses representative examples to examine four levels of expression</w:t>
      </w:r>
      <w:r w:rsidR="005503FE">
        <w:rPr>
          <w:rFonts w:cs="Times New Roman"/>
        </w:rPr>
        <w:t>:</w:t>
      </w:r>
      <w:r w:rsidRPr="005503FE">
        <w:rPr>
          <w:rFonts w:cs="Times New Roman"/>
        </w:rPr>
        <w:t xml:space="preserve"> lexis, sentence structure, discourse organization, and pragmatics. The examples are explanatory rather than corpus data. </w:t>
      </w:r>
      <w:r w:rsidR="00AD40DB">
        <w:rPr>
          <w:rFonts w:cs="Times New Roman"/>
        </w:rPr>
        <w:t>The</w:t>
      </w:r>
      <w:r w:rsidRPr="005503FE">
        <w:rPr>
          <w:rFonts w:cs="Times New Roman"/>
        </w:rPr>
        <w:t xml:space="preserve"> aim is to identify recurrent points at which cross-linguistic transfer may occur, to distinguish structural constraints from rhetorical preferences, and to show why a formally correct expression can still sound unclear, misplaced, or pragmatically inappropriate in the target language.</w:t>
      </w:r>
    </w:p>
    <w:p w14:paraId="42F4500D" w14:textId="77777777" w:rsidR="00A611CC" w:rsidRPr="005503FE" w:rsidRDefault="00A611CC" w:rsidP="005503FE">
      <w:pPr>
        <w:rPr>
          <w:rFonts w:cs="Times New Roman"/>
        </w:rPr>
      </w:pPr>
    </w:p>
    <w:p w14:paraId="31AFCDBA" w14:textId="6FC8E082" w:rsidR="00A611CC" w:rsidRPr="00506015" w:rsidRDefault="00000000" w:rsidP="005503FE">
      <w:pPr>
        <w:rPr>
          <w:rFonts w:cs="Times New Roman"/>
          <w:b/>
          <w:bCs/>
        </w:rPr>
      </w:pPr>
      <w:r w:rsidRPr="00506015">
        <w:rPr>
          <w:rFonts w:cs="Times New Roman"/>
          <w:b/>
          <w:bCs/>
        </w:rPr>
        <w:t xml:space="preserve">2. Conceptual </w:t>
      </w:r>
      <w:r w:rsidR="00AD40DB" w:rsidRPr="00506015">
        <w:rPr>
          <w:rFonts w:cs="Times New Roman"/>
          <w:b/>
          <w:bCs/>
        </w:rPr>
        <w:t>framework</w:t>
      </w:r>
    </w:p>
    <w:p w14:paraId="40742B97" w14:textId="38998887" w:rsidR="00A611CC" w:rsidRPr="005503FE" w:rsidRDefault="00000000" w:rsidP="005503FE">
      <w:pPr>
        <w:rPr>
          <w:rFonts w:cs="Times New Roman"/>
        </w:rPr>
      </w:pPr>
      <w:r w:rsidRPr="005503FE">
        <w:rPr>
          <w:rFonts w:cs="Times New Roman"/>
        </w:rPr>
        <w:t>The framework used here is deliberately modest. It does not claim that cognitive habits can be read directly from a single word or construction. Language expression emerges from the interaction of grammatical resources, cultural knowledge, discourse convention, and communicative purpose. A missing subject may be recoverable from the Chinese context</w:t>
      </w:r>
      <w:r w:rsidR="005503FE">
        <w:rPr>
          <w:rFonts w:cs="Times New Roman"/>
        </w:rPr>
        <w:t>;</w:t>
      </w:r>
      <w:r w:rsidRPr="005503FE">
        <w:rPr>
          <w:rFonts w:cs="Times New Roman"/>
        </w:rPr>
        <w:t xml:space="preserve"> an English conjunction may be required by the logic of a particular sentence</w:t>
      </w:r>
      <w:r w:rsidR="005503FE">
        <w:rPr>
          <w:rFonts w:cs="Times New Roman"/>
        </w:rPr>
        <w:t>;</w:t>
      </w:r>
      <w:r w:rsidRPr="005503FE">
        <w:rPr>
          <w:rFonts w:cs="Times New Roman"/>
        </w:rPr>
        <w:t xml:space="preserve"> and a writer may delay a claim because a genre permits contextual preparation. These choices need to be interpreted together rather than attributed automatically to national character</w:t>
      </w:r>
      <w:r w:rsidR="00AD40DB">
        <w:rPr>
          <w:rFonts w:cs="Times New Roman"/>
        </w:rPr>
        <w:t xml:space="preserve"> </w:t>
      </w:r>
      <w:r w:rsidRPr="005503FE">
        <w:rPr>
          <w:rFonts w:cs="Times New Roman"/>
          <w:vertAlign w:val="superscript"/>
        </w:rPr>
        <w:t>[4</w:t>
      </w:r>
      <w:r w:rsidR="00AD40DB">
        <w:rPr>
          <w:rFonts w:cs="Times New Roman"/>
          <w:vertAlign w:val="superscript"/>
        </w:rPr>
        <w:t>–</w:t>
      </w:r>
      <w:r w:rsidRPr="005503FE">
        <w:rPr>
          <w:rFonts w:cs="Times New Roman"/>
          <w:vertAlign w:val="superscript"/>
        </w:rPr>
        <w:t>5]</w:t>
      </w:r>
      <w:r w:rsidRPr="005503FE">
        <w:rPr>
          <w:rFonts w:cs="Times New Roman"/>
        </w:rPr>
        <w:t>.</w:t>
      </w:r>
    </w:p>
    <w:p w14:paraId="43B92396" w14:textId="1DB2D5D6" w:rsidR="00A611CC" w:rsidRPr="005503FE" w:rsidRDefault="00000000" w:rsidP="00506015">
      <w:pPr>
        <w:ind w:firstLineChars="200" w:firstLine="480"/>
        <w:rPr>
          <w:rFonts w:cs="Times New Roman"/>
        </w:rPr>
      </w:pPr>
      <w:r w:rsidRPr="005503FE">
        <w:rPr>
          <w:rFonts w:cs="Times New Roman"/>
        </w:rPr>
        <w:t>Three dimensions organize the analysis. The first contrasts a holistic orientation, which gives salience to relations and situational configuration, with an analytic orientation, which foregrounds discrete entities and explicit propositional relations</w:t>
      </w:r>
      <w:r w:rsidR="00AD40DB">
        <w:rPr>
          <w:rFonts w:cs="Times New Roman"/>
        </w:rPr>
        <w:t xml:space="preserve"> </w:t>
      </w:r>
      <w:r w:rsidRPr="005503FE">
        <w:rPr>
          <w:rFonts w:cs="Times New Roman"/>
          <w:vertAlign w:val="superscript"/>
        </w:rPr>
        <w:t>[2]</w:t>
      </w:r>
      <w:r w:rsidRPr="005503FE">
        <w:rPr>
          <w:rFonts w:cs="Times New Roman"/>
        </w:rPr>
        <w:t>. The second concerns image-based and abstract-conceptual preferences. Both languages use metaphor, but they conventionalize different images and distribute abstract meaning differently across words and contexts. The third contrasts context-dependent organization with explicit-linear organization. The former allows information to be recovered through shared knowledge and sequence</w:t>
      </w:r>
      <w:r w:rsidR="005503FE">
        <w:rPr>
          <w:rFonts w:cs="Times New Roman"/>
        </w:rPr>
        <w:t>;</w:t>
      </w:r>
      <w:r w:rsidRPr="005503FE">
        <w:rPr>
          <w:rFonts w:cs="Times New Roman"/>
        </w:rPr>
        <w:t xml:space="preserve"> the latter tends to mark agents, logical relations, and argumentative progression more overtly. Similar contrasts have been discussed in English-Chinese language and translation research, although the labels and examples vary across studies</w:t>
      </w:r>
      <w:r w:rsidR="00AD40DB">
        <w:rPr>
          <w:rFonts w:cs="Times New Roman"/>
        </w:rPr>
        <w:t xml:space="preserve"> </w:t>
      </w:r>
      <w:r w:rsidRPr="005503FE">
        <w:rPr>
          <w:rFonts w:cs="Times New Roman"/>
          <w:vertAlign w:val="superscript"/>
        </w:rPr>
        <w:t>[5,</w:t>
      </w:r>
      <w:r w:rsidR="00AD40DB">
        <w:rPr>
          <w:rFonts w:cs="Times New Roman"/>
          <w:vertAlign w:val="superscript"/>
        </w:rPr>
        <w:t xml:space="preserve"> </w:t>
      </w:r>
      <w:r w:rsidRPr="005503FE">
        <w:rPr>
          <w:rFonts w:cs="Times New Roman"/>
          <w:vertAlign w:val="superscript"/>
        </w:rPr>
        <w:t>7]</w:t>
      </w:r>
      <w:r w:rsidRPr="005503FE">
        <w:rPr>
          <w:rFonts w:cs="Times New Roman"/>
        </w:rPr>
        <w:t>.</w:t>
      </w:r>
    </w:p>
    <w:p w14:paraId="30970244" w14:textId="1377B4EC" w:rsidR="00A611CC" w:rsidRPr="005503FE" w:rsidRDefault="00000000" w:rsidP="00506015">
      <w:pPr>
        <w:ind w:firstLineChars="200" w:firstLine="480"/>
        <w:rPr>
          <w:rFonts w:cs="Times New Roman"/>
        </w:rPr>
      </w:pPr>
      <w:r w:rsidRPr="005503FE">
        <w:rPr>
          <w:rFonts w:cs="Times New Roman"/>
        </w:rPr>
        <w:t>The three dimensions intersect. A culture-loaded lexical item may require contextual explanation, a clause may omit an agent because the discourse already identifies it, and an entire paragraph may delay its main claim because a particular rhetorical tradition values contextual buildup. These are not separate manifestations of a single cultural essence. Rather, they are choices made at different linguistic levels under different constraints. The analytical task is to determine where meaning is encoded</w:t>
      </w:r>
      <w:r w:rsidR="005503FE">
        <w:rPr>
          <w:rFonts w:cs="Times New Roman"/>
        </w:rPr>
        <w:t>:</w:t>
      </w:r>
      <w:r w:rsidRPr="005503FE">
        <w:rPr>
          <w:rFonts w:cs="Times New Roman"/>
        </w:rPr>
        <w:t xml:space="preserve"> in lexical semantics, grammatical form, information order, genre convention, or shared inference. This distinction prevents the explanation of every English-Chinese difference by an undifferentiated appeal to </w:t>
      </w:r>
      <w:r w:rsidR="005503FE">
        <w:rPr>
          <w:rFonts w:cs="Times New Roman"/>
        </w:rPr>
        <w:t>“</w:t>
      </w:r>
      <w:r w:rsidRPr="005503FE">
        <w:rPr>
          <w:rFonts w:cs="Times New Roman"/>
        </w:rPr>
        <w:t>thinking style.</w:t>
      </w:r>
      <w:r w:rsidR="005503FE">
        <w:rPr>
          <w:rFonts w:cs="Times New Roman"/>
        </w:rPr>
        <w:t>”</w:t>
      </w:r>
    </w:p>
    <w:p w14:paraId="2C3EBD33" w14:textId="137E43F5" w:rsidR="00A611CC" w:rsidRPr="005503FE" w:rsidRDefault="00000000" w:rsidP="00506015">
      <w:pPr>
        <w:ind w:firstLineChars="200" w:firstLine="480"/>
        <w:rPr>
          <w:rFonts w:cs="Times New Roman"/>
        </w:rPr>
      </w:pPr>
      <w:r w:rsidRPr="005503FE">
        <w:rPr>
          <w:rFonts w:cs="Times New Roman"/>
        </w:rPr>
        <w:t>These dimensions are analytical lenses, not permanent properties of individuals. A bilingual writer may use a compact, explicitly signposted structure in an English abstract and a more cumulative structure in a Chinese essay. The same writer may also choose differently in a business email and a literary translation. For that reason, the link between thinking and linguistic form is best understood as probabilistic and bidirectional</w:t>
      </w:r>
      <w:r w:rsidR="005503FE">
        <w:rPr>
          <w:rFonts w:cs="Times New Roman"/>
        </w:rPr>
        <w:t>:</w:t>
      </w:r>
      <w:r w:rsidRPr="005503FE">
        <w:rPr>
          <w:rFonts w:cs="Times New Roman"/>
        </w:rPr>
        <w:t xml:space="preserve"> repeated forms can encourage habitual patterns of attention, while changing communicative practices can reshape the forms speakers prefer. The question is not which language is inherently more logical or implicit, but how each text allocates meaning among lexical choice, grammar, discourse structure, and inference.</w:t>
      </w:r>
    </w:p>
    <w:p w14:paraId="7DED26D7" w14:textId="77777777" w:rsidR="00A611CC" w:rsidRPr="005503FE" w:rsidRDefault="00A611CC" w:rsidP="005503FE">
      <w:pPr>
        <w:rPr>
          <w:rFonts w:cs="Times New Roman"/>
        </w:rPr>
      </w:pPr>
    </w:p>
    <w:p w14:paraId="7C4DF684" w14:textId="751783EC" w:rsidR="00A611CC" w:rsidRPr="00506015" w:rsidRDefault="00000000" w:rsidP="005503FE">
      <w:pPr>
        <w:rPr>
          <w:rFonts w:cs="Times New Roman"/>
          <w:b/>
          <w:bCs/>
        </w:rPr>
      </w:pPr>
      <w:r w:rsidRPr="00506015">
        <w:rPr>
          <w:rFonts w:cs="Times New Roman"/>
          <w:b/>
          <w:bCs/>
        </w:rPr>
        <w:t xml:space="preserve">3. Influence on </w:t>
      </w:r>
      <w:r w:rsidR="00AD40DB" w:rsidRPr="00AD40DB">
        <w:rPr>
          <w:rFonts w:cs="Times New Roman"/>
          <w:b/>
          <w:bCs/>
        </w:rPr>
        <w:t>language expression</w:t>
      </w:r>
    </w:p>
    <w:p w14:paraId="55F71EE3" w14:textId="077A79B7" w:rsidR="00A611CC" w:rsidRPr="00506015" w:rsidRDefault="00000000" w:rsidP="005503FE">
      <w:pPr>
        <w:rPr>
          <w:rFonts w:cs="Times New Roman"/>
          <w:b/>
          <w:bCs/>
        </w:rPr>
      </w:pPr>
      <w:r w:rsidRPr="00506015">
        <w:rPr>
          <w:rFonts w:cs="Times New Roman"/>
          <w:b/>
          <w:bCs/>
        </w:rPr>
        <w:t xml:space="preserve">3.1. Lexical </w:t>
      </w:r>
      <w:r w:rsidR="00AD40DB" w:rsidRPr="00AD40DB">
        <w:rPr>
          <w:rFonts w:cs="Times New Roman"/>
          <w:b/>
          <w:bCs/>
        </w:rPr>
        <w:t>express</w:t>
      </w:r>
      <w:r w:rsidRPr="00506015">
        <w:rPr>
          <w:rFonts w:cs="Times New Roman"/>
          <w:b/>
          <w:bCs/>
        </w:rPr>
        <w:t>ion</w:t>
      </w:r>
    </w:p>
    <w:p w14:paraId="0468CAE7" w14:textId="222CEF9E" w:rsidR="00A611CC" w:rsidRPr="005503FE" w:rsidRDefault="00000000" w:rsidP="005503FE">
      <w:pPr>
        <w:rPr>
          <w:rFonts w:cs="Times New Roman"/>
        </w:rPr>
      </w:pPr>
      <w:r w:rsidRPr="005503FE">
        <w:rPr>
          <w:rFonts w:cs="Times New Roman"/>
        </w:rPr>
        <w:t xml:space="preserve">At the lexical level, the two languages often divide semantic fields along different boundaries. Chinese items such as guanxi, </w:t>
      </w:r>
      <w:proofErr w:type="spellStart"/>
      <w:r w:rsidRPr="005503FE">
        <w:rPr>
          <w:rFonts w:cs="Times New Roman"/>
        </w:rPr>
        <w:t>renqing</w:t>
      </w:r>
      <w:proofErr w:type="spellEnd"/>
      <w:r w:rsidRPr="005503FE">
        <w:rPr>
          <w:rFonts w:cs="Times New Roman"/>
        </w:rPr>
        <w:t xml:space="preserve">, and </w:t>
      </w:r>
      <w:proofErr w:type="spellStart"/>
      <w:r w:rsidRPr="005503FE">
        <w:rPr>
          <w:rFonts w:cs="Times New Roman"/>
        </w:rPr>
        <w:t>mianzi</w:t>
      </w:r>
      <w:proofErr w:type="spellEnd"/>
      <w:r w:rsidRPr="005503FE">
        <w:rPr>
          <w:rFonts w:cs="Times New Roman"/>
        </w:rPr>
        <w:t xml:space="preserve"> combine description with evaluations of social </w:t>
      </w:r>
      <w:r w:rsidR="00600BF3">
        <w:rPr>
          <w:rFonts w:cs="Times New Roman"/>
        </w:rPr>
        <w:t>relationships</w:t>
      </w:r>
      <w:r w:rsidRPr="005503FE">
        <w:rPr>
          <w:rFonts w:cs="Times New Roman"/>
        </w:rPr>
        <w:t xml:space="preserve">. Depending on context, guanxi may mean an ordinary relationship, a useful connection, </w:t>
      </w:r>
      <w:r w:rsidRPr="005503FE">
        <w:rPr>
          <w:rFonts w:cs="Times New Roman"/>
        </w:rPr>
        <w:lastRenderedPageBreak/>
        <w:t>a personal network, or reciprocal ties. English, by contrast, distinguishes among job, career, and profession, and among family, household, and home, in ways that a single broad Chinese equivalent may not preserve. Contrastive research has long treated such non-equivalence as a problem of semantic range and cultural association rather than a search for one fixed counterpart</w:t>
      </w:r>
      <w:r w:rsidR="00600BF3">
        <w:rPr>
          <w:rFonts w:cs="Times New Roman"/>
        </w:rPr>
        <w:t xml:space="preserve"> </w:t>
      </w:r>
      <w:r w:rsidRPr="005503FE">
        <w:rPr>
          <w:rFonts w:cs="Times New Roman"/>
          <w:vertAlign w:val="superscript"/>
        </w:rPr>
        <w:t>[4]</w:t>
      </w:r>
      <w:r w:rsidRPr="005503FE">
        <w:rPr>
          <w:rFonts w:cs="Times New Roman"/>
        </w:rPr>
        <w:t>.</w:t>
      </w:r>
    </w:p>
    <w:p w14:paraId="433CAAA1" w14:textId="77777777" w:rsidR="00A611CC" w:rsidRPr="005503FE" w:rsidRDefault="00000000" w:rsidP="00506015">
      <w:pPr>
        <w:ind w:firstLineChars="200" w:firstLine="480"/>
        <w:rPr>
          <w:rFonts w:cs="Times New Roman"/>
        </w:rPr>
      </w:pPr>
      <w:r w:rsidRPr="005503FE">
        <w:rPr>
          <w:rFonts w:cs="Times New Roman"/>
        </w:rPr>
        <w:t>Lexical mismatch also appears in collocation and register. An English word that seems equivalent in a bilingual dictionary may be restricted to a professional, legal, or informal context, while the Chinese source item may be neutral. Conversely, a Chinese expression may carry interpersonal evaluation that is not encoded in its most obvious English counterpart. Translators therefore need to examine not only denotation but also habitual co-text, social meaning, and genre. A technically accurate term can still be misleading when its collocational profile or evaluative force differs from that of the source expression.</w:t>
      </w:r>
    </w:p>
    <w:p w14:paraId="096AAA7F" w14:textId="3D1CE6BA" w:rsidR="00A611CC" w:rsidRPr="005503FE" w:rsidRDefault="00000000" w:rsidP="00506015">
      <w:pPr>
        <w:ind w:firstLineChars="200" w:firstLine="480"/>
        <w:rPr>
          <w:rFonts w:cs="Times New Roman"/>
        </w:rPr>
      </w:pPr>
      <w:r w:rsidRPr="005503FE">
        <w:rPr>
          <w:rFonts w:cs="Times New Roman"/>
        </w:rPr>
        <w:t xml:space="preserve">Culturally conventional images create a second difficulty. </w:t>
      </w:r>
      <w:proofErr w:type="spellStart"/>
      <w:r w:rsidRPr="005503FE">
        <w:rPr>
          <w:rFonts w:cs="Times New Roman"/>
        </w:rPr>
        <w:t>Taoli</w:t>
      </w:r>
      <w:proofErr w:type="spellEnd"/>
      <w:r w:rsidRPr="005503FE">
        <w:rPr>
          <w:rFonts w:cs="Times New Roman"/>
        </w:rPr>
        <w:t xml:space="preserve"> </w:t>
      </w:r>
      <w:proofErr w:type="spellStart"/>
      <w:r w:rsidRPr="005503FE">
        <w:rPr>
          <w:rFonts w:cs="Times New Roman"/>
        </w:rPr>
        <w:t>mantianxia</w:t>
      </w:r>
      <w:proofErr w:type="spellEnd"/>
      <w:r w:rsidRPr="005503FE">
        <w:rPr>
          <w:rFonts w:cs="Times New Roman"/>
        </w:rPr>
        <w:t xml:space="preserve"> evokes a teacher whose students are found in many places, while </w:t>
      </w:r>
      <w:proofErr w:type="spellStart"/>
      <w:r w:rsidRPr="005503FE">
        <w:rPr>
          <w:rFonts w:cs="Times New Roman"/>
        </w:rPr>
        <w:t>luoye</w:t>
      </w:r>
      <w:proofErr w:type="spellEnd"/>
      <w:r w:rsidRPr="005503FE">
        <w:rPr>
          <w:rFonts w:cs="Times New Roman"/>
        </w:rPr>
        <w:t xml:space="preserve"> </w:t>
      </w:r>
      <w:proofErr w:type="spellStart"/>
      <w:r w:rsidRPr="005503FE">
        <w:rPr>
          <w:rFonts w:cs="Times New Roman"/>
        </w:rPr>
        <w:t>guigen</w:t>
      </w:r>
      <w:proofErr w:type="spellEnd"/>
      <w:r w:rsidRPr="005503FE">
        <w:rPr>
          <w:rFonts w:cs="Times New Roman"/>
        </w:rPr>
        <w:t xml:space="preserve"> connects return with the image of a falling leaf returning to its roots. A literal version may be effective in literature, where the image can be sustained, but cumbersome in a report or business text. In the latter contexts, the translator may need to foreground the function, such as educational achievement or attachment to one</w:t>
      </w:r>
      <w:r w:rsidR="005503FE">
        <w:rPr>
          <w:rFonts w:cs="Times New Roman"/>
        </w:rPr>
        <w:t>’</w:t>
      </w:r>
      <w:r w:rsidRPr="005503FE">
        <w:rPr>
          <w:rFonts w:cs="Times New Roman"/>
        </w:rPr>
        <w:t>s place of origin. Xiang similarly stresses that translation teaching should make students notice shifts between image-based and more abstract modes of expression</w:t>
      </w:r>
      <w:r w:rsidR="002A3AD8">
        <w:rPr>
          <w:rFonts w:cs="Times New Roman"/>
        </w:rPr>
        <w:t xml:space="preserve"> </w:t>
      </w:r>
      <w:r w:rsidRPr="005503FE">
        <w:rPr>
          <w:rFonts w:cs="Times New Roman"/>
          <w:vertAlign w:val="superscript"/>
        </w:rPr>
        <w:t>[7]</w:t>
      </w:r>
      <w:r w:rsidRPr="005503FE">
        <w:rPr>
          <w:rFonts w:cs="Times New Roman"/>
        </w:rPr>
        <w:t>. The practical issue is not whether one language has metaphor and the other does not</w:t>
      </w:r>
      <w:r w:rsidR="005503FE">
        <w:rPr>
          <w:rFonts w:cs="Times New Roman"/>
        </w:rPr>
        <w:t>;</w:t>
      </w:r>
      <w:r w:rsidRPr="005503FE">
        <w:rPr>
          <w:rFonts w:cs="Times New Roman"/>
        </w:rPr>
        <w:t xml:space="preserve"> it is whether the selected image is recognizable and useful to the target reader.</w:t>
      </w:r>
    </w:p>
    <w:p w14:paraId="5C1B92F7" w14:textId="256037D8" w:rsidR="00A611CC" w:rsidRPr="005503FE" w:rsidRDefault="00000000" w:rsidP="00506015">
      <w:pPr>
        <w:ind w:firstLineChars="200" w:firstLine="480"/>
        <w:rPr>
          <w:rFonts w:cs="Times New Roman"/>
        </w:rPr>
      </w:pPr>
      <w:r w:rsidRPr="005503FE">
        <w:rPr>
          <w:rFonts w:cs="Times New Roman"/>
        </w:rPr>
        <w:t xml:space="preserve">Context also changes the meaning of apparently familiar words. </w:t>
      </w:r>
      <w:proofErr w:type="spellStart"/>
      <w:r w:rsidRPr="005503FE">
        <w:rPr>
          <w:rFonts w:cs="Times New Roman"/>
        </w:rPr>
        <w:t>Fangbian</w:t>
      </w:r>
      <w:proofErr w:type="spellEnd"/>
      <w:r w:rsidRPr="005503FE">
        <w:rPr>
          <w:rFonts w:cs="Times New Roman"/>
        </w:rPr>
        <w:t xml:space="preserve"> may mean convenient, available, appropriate, or willing to help. Thus, </w:t>
      </w:r>
      <w:proofErr w:type="spellStart"/>
      <w:r w:rsidRPr="005503FE">
        <w:rPr>
          <w:rFonts w:cs="Times New Roman"/>
        </w:rPr>
        <w:t>nin</w:t>
      </w:r>
      <w:proofErr w:type="spellEnd"/>
      <w:r w:rsidRPr="005503FE">
        <w:rPr>
          <w:rFonts w:cs="Times New Roman"/>
        </w:rPr>
        <w:t xml:space="preserve"> </w:t>
      </w:r>
      <w:proofErr w:type="spellStart"/>
      <w:r w:rsidRPr="005503FE">
        <w:rPr>
          <w:rFonts w:cs="Times New Roman"/>
        </w:rPr>
        <w:t>kan</w:t>
      </w:r>
      <w:proofErr w:type="spellEnd"/>
      <w:r w:rsidRPr="005503FE">
        <w:rPr>
          <w:rFonts w:cs="Times New Roman"/>
        </w:rPr>
        <w:t xml:space="preserve"> </w:t>
      </w:r>
      <w:proofErr w:type="spellStart"/>
      <w:r w:rsidRPr="005503FE">
        <w:rPr>
          <w:rFonts w:cs="Times New Roman"/>
        </w:rPr>
        <w:t>fangbian</w:t>
      </w:r>
      <w:proofErr w:type="spellEnd"/>
      <w:r w:rsidRPr="005503FE">
        <w:rPr>
          <w:rFonts w:cs="Times New Roman"/>
        </w:rPr>
        <w:t xml:space="preserve"> </w:t>
      </w:r>
      <w:proofErr w:type="spellStart"/>
      <w:r w:rsidRPr="005503FE">
        <w:rPr>
          <w:rFonts w:cs="Times New Roman"/>
        </w:rPr>
        <w:t>dehua</w:t>
      </w:r>
      <w:proofErr w:type="spellEnd"/>
      <w:r w:rsidRPr="005503FE">
        <w:rPr>
          <w:rFonts w:cs="Times New Roman"/>
        </w:rPr>
        <w:t xml:space="preserve"> can be rendered as </w:t>
      </w:r>
      <w:r w:rsidR="005503FE">
        <w:rPr>
          <w:rFonts w:cs="Times New Roman"/>
        </w:rPr>
        <w:t>“</w:t>
      </w:r>
      <w:r w:rsidRPr="005503FE">
        <w:rPr>
          <w:rFonts w:cs="Times New Roman"/>
        </w:rPr>
        <w:t>If it is convenient for you</w:t>
      </w:r>
      <w:r w:rsidR="005503FE">
        <w:rPr>
          <w:rFonts w:cs="Times New Roman"/>
        </w:rPr>
        <w:t>”</w:t>
      </w:r>
      <w:r w:rsidRPr="005503FE">
        <w:rPr>
          <w:rFonts w:cs="Times New Roman"/>
        </w:rPr>
        <w:t xml:space="preserve"> or </w:t>
      </w:r>
      <w:r w:rsidR="005503FE">
        <w:rPr>
          <w:rFonts w:cs="Times New Roman"/>
        </w:rPr>
        <w:t>“</w:t>
      </w:r>
      <w:r w:rsidRPr="005503FE">
        <w:rPr>
          <w:rFonts w:cs="Times New Roman"/>
        </w:rPr>
        <w:t>I would appreciate it if you could...,</w:t>
      </w:r>
      <w:r w:rsidR="005503FE">
        <w:rPr>
          <w:rFonts w:cs="Times New Roman"/>
        </w:rPr>
        <w:t>”</w:t>
      </w:r>
      <w:r w:rsidRPr="005503FE">
        <w:rPr>
          <w:rFonts w:cs="Times New Roman"/>
        </w:rPr>
        <w:t xml:space="preserve"> but not normally as the learner expression </w:t>
      </w:r>
      <w:r w:rsidR="005503FE">
        <w:rPr>
          <w:rFonts w:cs="Times New Roman"/>
        </w:rPr>
        <w:t>“</w:t>
      </w:r>
      <w:r w:rsidRPr="005503FE">
        <w:rPr>
          <w:rFonts w:cs="Times New Roman"/>
        </w:rPr>
        <w:t>if you are convenient.</w:t>
      </w:r>
      <w:r w:rsidR="005503FE">
        <w:rPr>
          <w:rFonts w:cs="Times New Roman"/>
        </w:rPr>
        <w:t>”</w:t>
      </w:r>
      <w:r w:rsidRPr="005503FE">
        <w:rPr>
          <w:rFonts w:cs="Times New Roman"/>
        </w:rPr>
        <w:t xml:space="preserve"> </w:t>
      </w:r>
      <w:proofErr w:type="spellStart"/>
      <w:r w:rsidRPr="005503FE">
        <w:rPr>
          <w:rFonts w:cs="Times New Roman"/>
        </w:rPr>
        <w:t>Yisi</w:t>
      </w:r>
      <w:proofErr w:type="spellEnd"/>
      <w:r w:rsidRPr="005503FE">
        <w:rPr>
          <w:rFonts w:cs="Times New Roman"/>
        </w:rPr>
        <w:t xml:space="preserve"> may refer to meaning, intention, interest, a token gift, or an indirect suggestion. These examples show why dictionary equivalence is only the first step. Collocation, interpersonal stance, and the function of the utterance must be considered before an English item is chosen.</w:t>
      </w:r>
    </w:p>
    <w:p w14:paraId="28E1FCDA" w14:textId="77777777" w:rsidR="00A611CC" w:rsidRPr="005503FE" w:rsidRDefault="00A611CC" w:rsidP="005503FE">
      <w:pPr>
        <w:rPr>
          <w:rFonts w:cs="Times New Roman"/>
        </w:rPr>
      </w:pPr>
    </w:p>
    <w:p w14:paraId="00ADF8FD" w14:textId="73CDD8F1" w:rsidR="00A611CC" w:rsidRPr="00506015" w:rsidRDefault="00000000" w:rsidP="005503FE">
      <w:pPr>
        <w:rPr>
          <w:rFonts w:cs="Times New Roman"/>
          <w:b/>
          <w:bCs/>
        </w:rPr>
      </w:pPr>
      <w:r w:rsidRPr="00506015">
        <w:rPr>
          <w:rFonts w:cs="Times New Roman"/>
          <w:b/>
          <w:bCs/>
        </w:rPr>
        <w:t xml:space="preserve">3.2. Sentential </w:t>
      </w:r>
      <w:r w:rsidR="002A3AD8" w:rsidRPr="00506015">
        <w:rPr>
          <w:rFonts w:cs="Times New Roman"/>
          <w:b/>
          <w:bCs/>
        </w:rPr>
        <w:t>expression</w:t>
      </w:r>
    </w:p>
    <w:p w14:paraId="2D35A175" w14:textId="30F1560B" w:rsidR="00A611CC" w:rsidRPr="005503FE" w:rsidRDefault="00000000" w:rsidP="005503FE">
      <w:pPr>
        <w:rPr>
          <w:rFonts w:cs="Times New Roman"/>
        </w:rPr>
      </w:pPr>
      <w:r w:rsidRPr="005503FE">
        <w:rPr>
          <w:rFonts w:cs="Times New Roman"/>
        </w:rPr>
        <w:t xml:space="preserve">At the sentence level, a recurring contrast concerns paratactic sequencing and explicit clause linkage. Chinese can place two clauses in sequence and leave a causal, temporal, or conditional relation to inference. In tian </w:t>
      </w:r>
      <w:proofErr w:type="spellStart"/>
      <w:r w:rsidRPr="005503FE">
        <w:rPr>
          <w:rFonts w:cs="Times New Roman"/>
        </w:rPr>
        <w:t>leng</w:t>
      </w:r>
      <w:proofErr w:type="spellEnd"/>
      <w:r w:rsidRPr="005503FE">
        <w:rPr>
          <w:rFonts w:cs="Times New Roman"/>
        </w:rPr>
        <w:t xml:space="preserve"> le, duo </w:t>
      </w:r>
      <w:proofErr w:type="spellStart"/>
      <w:r w:rsidRPr="005503FE">
        <w:rPr>
          <w:rFonts w:cs="Times New Roman"/>
        </w:rPr>
        <w:t>chuan</w:t>
      </w:r>
      <w:proofErr w:type="spellEnd"/>
      <w:r w:rsidRPr="005503FE">
        <w:rPr>
          <w:rFonts w:cs="Times New Roman"/>
        </w:rPr>
        <w:t xml:space="preserve"> </w:t>
      </w:r>
      <w:proofErr w:type="spellStart"/>
      <w:r w:rsidRPr="005503FE">
        <w:rPr>
          <w:rFonts w:cs="Times New Roman"/>
        </w:rPr>
        <w:t>dian</w:t>
      </w:r>
      <w:proofErr w:type="spellEnd"/>
      <w:r w:rsidRPr="005503FE">
        <w:rPr>
          <w:rFonts w:cs="Times New Roman"/>
        </w:rPr>
        <w:t xml:space="preserve"> </w:t>
      </w:r>
      <w:proofErr w:type="spellStart"/>
      <w:r w:rsidRPr="005503FE">
        <w:rPr>
          <w:rFonts w:cs="Times New Roman"/>
        </w:rPr>
        <w:t>yifu</w:t>
      </w:r>
      <w:proofErr w:type="spellEnd"/>
      <w:r w:rsidRPr="005503FE">
        <w:rPr>
          <w:rFonts w:cs="Times New Roman"/>
        </w:rPr>
        <w:t xml:space="preserve"> (</w:t>
      </w:r>
      <w:r w:rsidR="005503FE">
        <w:rPr>
          <w:rFonts w:cs="Times New Roman"/>
        </w:rPr>
        <w:t>“</w:t>
      </w:r>
      <w:r w:rsidRPr="005503FE">
        <w:rPr>
          <w:rFonts w:cs="Times New Roman"/>
        </w:rPr>
        <w:t>It is getting cold</w:t>
      </w:r>
      <w:r w:rsidR="005503FE">
        <w:rPr>
          <w:rFonts w:cs="Times New Roman"/>
        </w:rPr>
        <w:t>;</w:t>
      </w:r>
      <w:r w:rsidRPr="005503FE">
        <w:rPr>
          <w:rFonts w:cs="Times New Roman"/>
        </w:rPr>
        <w:t xml:space="preserve"> wear more clothes</w:t>
      </w:r>
      <w:r w:rsidR="005503FE">
        <w:rPr>
          <w:rFonts w:cs="Times New Roman"/>
        </w:rPr>
        <w:t>”</w:t>
      </w:r>
      <w:r w:rsidRPr="005503FE">
        <w:rPr>
          <w:rFonts w:cs="Times New Roman"/>
        </w:rPr>
        <w:t>), the second clause is understood as advice motivated by the first. English may state the relation overtly</w:t>
      </w:r>
      <w:r w:rsidR="005503FE">
        <w:rPr>
          <w:rFonts w:cs="Times New Roman"/>
        </w:rPr>
        <w:t>:</w:t>
      </w:r>
      <w:r w:rsidRPr="005503FE">
        <w:rPr>
          <w:rFonts w:cs="Times New Roman"/>
        </w:rPr>
        <w:t xml:space="preserve"> </w:t>
      </w:r>
      <w:r w:rsidR="005503FE">
        <w:rPr>
          <w:rFonts w:cs="Times New Roman"/>
        </w:rPr>
        <w:t>“</w:t>
      </w:r>
      <w:r w:rsidRPr="005503FE">
        <w:rPr>
          <w:rFonts w:cs="Times New Roman"/>
        </w:rPr>
        <w:t>Since it is getting cold, you should wear more clothes.</w:t>
      </w:r>
      <w:r w:rsidR="005503FE">
        <w:rPr>
          <w:rFonts w:cs="Times New Roman"/>
        </w:rPr>
        <w:t>”</w:t>
      </w:r>
      <w:r w:rsidRPr="005503FE">
        <w:rPr>
          <w:rFonts w:cs="Times New Roman"/>
        </w:rPr>
        <w:t xml:space="preserve"> This does not mean that Chinese lacks logical structure. Rather, the relation is distributed differently between form and context, a distinction emphasized in English-Chinese contrastive studies</w:t>
      </w:r>
      <w:r w:rsidR="00AD7FC5">
        <w:rPr>
          <w:rFonts w:cs="Times New Roman"/>
        </w:rPr>
        <w:t xml:space="preserve"> </w:t>
      </w:r>
      <w:r w:rsidRPr="005503FE">
        <w:rPr>
          <w:rFonts w:cs="Times New Roman"/>
          <w:vertAlign w:val="superscript"/>
        </w:rPr>
        <w:t>[4</w:t>
      </w:r>
      <w:r w:rsidR="00AD7FC5">
        <w:rPr>
          <w:rFonts w:cs="Times New Roman"/>
          <w:vertAlign w:val="superscript"/>
        </w:rPr>
        <w:t>–</w:t>
      </w:r>
      <w:r w:rsidRPr="005503FE">
        <w:rPr>
          <w:rFonts w:cs="Times New Roman"/>
          <w:vertAlign w:val="superscript"/>
        </w:rPr>
        <w:t>5]</w:t>
      </w:r>
      <w:r w:rsidRPr="005503FE">
        <w:rPr>
          <w:rFonts w:cs="Times New Roman"/>
        </w:rPr>
        <w:t>.</w:t>
      </w:r>
    </w:p>
    <w:p w14:paraId="7D7FCB09" w14:textId="357EAF13" w:rsidR="00A611CC" w:rsidRPr="005503FE" w:rsidRDefault="00000000" w:rsidP="00506015">
      <w:pPr>
        <w:ind w:firstLineChars="200" w:firstLine="480"/>
        <w:rPr>
          <w:rFonts w:cs="Times New Roman"/>
        </w:rPr>
      </w:pPr>
      <w:r w:rsidRPr="005503FE">
        <w:rPr>
          <w:rFonts w:cs="Times New Roman"/>
        </w:rPr>
        <w:t>Topic prominence offers a more specific illustration. Li and Thompson state</w:t>
      </w:r>
      <w:r w:rsidR="005503FE">
        <w:rPr>
          <w:rFonts w:cs="Times New Roman"/>
        </w:rPr>
        <w:t>:</w:t>
      </w:r>
      <w:r w:rsidRPr="005503FE">
        <w:rPr>
          <w:rFonts w:cs="Times New Roman"/>
        </w:rPr>
        <w:t xml:space="preserve"> </w:t>
      </w:r>
      <w:r w:rsidR="005503FE">
        <w:rPr>
          <w:rFonts w:cs="Times New Roman"/>
        </w:rPr>
        <w:t>“</w:t>
      </w:r>
      <w:r w:rsidRPr="005503FE">
        <w:rPr>
          <w:rFonts w:cs="Times New Roman"/>
        </w:rPr>
        <w:t>The present paper is an attempt to lay the foundation for a typology based on the grammatical relations subject-predicate and topic-comment</w:t>
      </w:r>
      <w:r w:rsidR="005503FE">
        <w:rPr>
          <w:rFonts w:cs="Times New Roman"/>
        </w:rPr>
        <w:t>”</w:t>
      </w:r>
      <w:r w:rsidR="00AD7FC5">
        <w:rPr>
          <w:rFonts w:cs="Times New Roman"/>
        </w:rPr>
        <w:t xml:space="preserve"> </w:t>
      </w:r>
      <w:r w:rsidRPr="005503FE">
        <w:rPr>
          <w:rFonts w:cs="Times New Roman"/>
          <w:vertAlign w:val="superscript"/>
        </w:rPr>
        <w:t>[3]</w:t>
      </w:r>
      <w:r w:rsidRPr="005503FE">
        <w:rPr>
          <w:rFonts w:cs="Times New Roman"/>
        </w:rPr>
        <w:t xml:space="preserve">. Chinese readily places a topic before a comment, as in </w:t>
      </w:r>
      <w:proofErr w:type="spellStart"/>
      <w:r w:rsidRPr="005503FE">
        <w:rPr>
          <w:rFonts w:cs="Times New Roman"/>
        </w:rPr>
        <w:t>zhe</w:t>
      </w:r>
      <w:proofErr w:type="spellEnd"/>
      <w:r w:rsidRPr="005503FE">
        <w:rPr>
          <w:rFonts w:cs="Times New Roman"/>
        </w:rPr>
        <w:t xml:space="preserve"> ben </w:t>
      </w:r>
      <w:proofErr w:type="spellStart"/>
      <w:r w:rsidRPr="005503FE">
        <w:rPr>
          <w:rFonts w:cs="Times New Roman"/>
        </w:rPr>
        <w:t>shu</w:t>
      </w:r>
      <w:proofErr w:type="spellEnd"/>
      <w:r w:rsidRPr="005503FE">
        <w:rPr>
          <w:rFonts w:cs="Times New Roman"/>
        </w:rPr>
        <w:t xml:space="preserve">, wo </w:t>
      </w:r>
      <w:proofErr w:type="spellStart"/>
      <w:r w:rsidRPr="005503FE">
        <w:rPr>
          <w:rFonts w:cs="Times New Roman"/>
        </w:rPr>
        <w:t>kan</w:t>
      </w:r>
      <w:proofErr w:type="spellEnd"/>
      <w:r w:rsidRPr="005503FE">
        <w:rPr>
          <w:rFonts w:cs="Times New Roman"/>
        </w:rPr>
        <w:t xml:space="preserve"> wan le (</w:t>
      </w:r>
      <w:r w:rsidR="005503FE">
        <w:rPr>
          <w:rFonts w:cs="Times New Roman"/>
        </w:rPr>
        <w:t>“</w:t>
      </w:r>
      <w:r w:rsidRPr="005503FE">
        <w:rPr>
          <w:rFonts w:cs="Times New Roman"/>
        </w:rPr>
        <w:t>As for this book, I have finished it</w:t>
      </w:r>
      <w:r w:rsidR="005503FE">
        <w:rPr>
          <w:rFonts w:cs="Times New Roman"/>
        </w:rPr>
        <w:t>”</w:t>
      </w:r>
      <w:r w:rsidRPr="005503FE">
        <w:rPr>
          <w:rFonts w:cs="Times New Roman"/>
        </w:rPr>
        <w:t>). English normally integrates the information into a subject-predicate clause</w:t>
      </w:r>
      <w:r w:rsidR="005503FE">
        <w:rPr>
          <w:rFonts w:cs="Times New Roman"/>
        </w:rPr>
        <w:t>:</w:t>
      </w:r>
      <w:r w:rsidRPr="005503FE">
        <w:rPr>
          <w:rFonts w:cs="Times New Roman"/>
        </w:rPr>
        <w:t xml:space="preserve"> </w:t>
      </w:r>
      <w:r w:rsidR="005503FE">
        <w:rPr>
          <w:rFonts w:cs="Times New Roman"/>
        </w:rPr>
        <w:t>“</w:t>
      </w:r>
      <w:r w:rsidRPr="005503FE">
        <w:rPr>
          <w:rFonts w:cs="Times New Roman"/>
        </w:rPr>
        <w:t>I have finished reading this book.</w:t>
      </w:r>
      <w:r w:rsidR="005503FE">
        <w:rPr>
          <w:rFonts w:cs="Times New Roman"/>
        </w:rPr>
        <w:t>”</w:t>
      </w:r>
      <w:r w:rsidRPr="005503FE">
        <w:rPr>
          <w:rFonts w:cs="Times New Roman"/>
        </w:rPr>
        <w:t xml:space="preserve"> Their typology explains why the learner sentence </w:t>
      </w:r>
      <w:r w:rsidR="005503FE">
        <w:rPr>
          <w:rFonts w:cs="Times New Roman"/>
        </w:rPr>
        <w:t>“</w:t>
      </w:r>
      <w:r w:rsidRPr="005503FE">
        <w:rPr>
          <w:rFonts w:cs="Times New Roman"/>
        </w:rPr>
        <w:t>This book I have read it</w:t>
      </w:r>
      <w:r w:rsidR="005503FE">
        <w:rPr>
          <w:rFonts w:cs="Times New Roman"/>
        </w:rPr>
        <w:t>”</w:t>
      </w:r>
      <w:r w:rsidRPr="005503FE">
        <w:rPr>
          <w:rFonts w:cs="Times New Roman"/>
        </w:rPr>
        <w:t xml:space="preserve"> contains redundant reference in English. English can topicalize an element for contrast</w:t>
      </w:r>
      <w:proofErr w:type="gramStart"/>
      <w:r w:rsidRPr="005503FE">
        <w:rPr>
          <w:rFonts w:cs="Times New Roman"/>
        </w:rPr>
        <w:t>—</w:t>
      </w:r>
      <w:r w:rsidR="00AD7FC5">
        <w:rPr>
          <w:rFonts w:cs="Times New Roman"/>
        </w:rPr>
        <w:t>“</w:t>
      </w:r>
      <w:proofErr w:type="gramEnd"/>
      <w:r w:rsidRPr="005503FE">
        <w:rPr>
          <w:rFonts w:cs="Times New Roman"/>
        </w:rPr>
        <w:t>This book, I have finished</w:t>
      </w:r>
      <w:r w:rsidR="005503FE">
        <w:rPr>
          <w:rFonts w:cs="Times New Roman"/>
        </w:rPr>
        <w:t>”</w:t>
      </w:r>
      <w:r w:rsidRPr="005503FE">
        <w:rPr>
          <w:rFonts w:cs="Times New Roman"/>
        </w:rPr>
        <w:t>—but the construction is more marked than the ordinary Chinese topic-comment pattern.</w:t>
      </w:r>
    </w:p>
    <w:p w14:paraId="2A9D1331" w14:textId="121791E5" w:rsidR="00A611CC" w:rsidRPr="005503FE" w:rsidRDefault="00000000" w:rsidP="00506015">
      <w:pPr>
        <w:ind w:firstLineChars="200" w:firstLine="480"/>
        <w:rPr>
          <w:rFonts w:cs="Times New Roman"/>
        </w:rPr>
      </w:pPr>
      <w:r w:rsidRPr="005503FE">
        <w:rPr>
          <w:rFonts w:cs="Times New Roman"/>
        </w:rPr>
        <w:t xml:space="preserve">Argument omission follows the same principle of recoverability. </w:t>
      </w:r>
      <w:proofErr w:type="spellStart"/>
      <w:r w:rsidRPr="005503FE">
        <w:rPr>
          <w:rFonts w:cs="Times New Roman"/>
        </w:rPr>
        <w:t>Yijing</w:t>
      </w:r>
      <w:proofErr w:type="spellEnd"/>
      <w:r w:rsidRPr="005503FE">
        <w:rPr>
          <w:rFonts w:cs="Times New Roman"/>
        </w:rPr>
        <w:t xml:space="preserve"> </w:t>
      </w:r>
      <w:proofErr w:type="spellStart"/>
      <w:r w:rsidRPr="005503FE">
        <w:rPr>
          <w:rFonts w:cs="Times New Roman"/>
        </w:rPr>
        <w:t>anpai</w:t>
      </w:r>
      <w:proofErr w:type="spellEnd"/>
      <w:r w:rsidRPr="005503FE">
        <w:rPr>
          <w:rFonts w:cs="Times New Roman"/>
        </w:rPr>
        <w:t xml:space="preserve"> hao le can become </w:t>
      </w:r>
      <w:r w:rsidR="005503FE">
        <w:rPr>
          <w:rFonts w:cs="Times New Roman"/>
        </w:rPr>
        <w:t>“</w:t>
      </w:r>
      <w:r w:rsidRPr="005503FE">
        <w:rPr>
          <w:rFonts w:cs="Times New Roman"/>
        </w:rPr>
        <w:t>It has already been arranged</w:t>
      </w:r>
      <w:r w:rsidR="005503FE">
        <w:rPr>
          <w:rFonts w:cs="Times New Roman"/>
        </w:rPr>
        <w:t>”</w:t>
      </w:r>
      <w:r w:rsidRPr="005503FE">
        <w:rPr>
          <w:rFonts w:cs="Times New Roman"/>
        </w:rPr>
        <w:t xml:space="preserve"> when the result is foregrounded, or </w:t>
      </w:r>
      <w:r w:rsidR="005503FE">
        <w:rPr>
          <w:rFonts w:cs="Times New Roman"/>
        </w:rPr>
        <w:t>“</w:t>
      </w:r>
      <w:r w:rsidRPr="005503FE">
        <w:rPr>
          <w:rFonts w:cs="Times New Roman"/>
        </w:rPr>
        <w:t>We have already made the arrangements</w:t>
      </w:r>
      <w:r w:rsidR="005503FE">
        <w:rPr>
          <w:rFonts w:cs="Times New Roman"/>
        </w:rPr>
        <w:t>”</w:t>
      </w:r>
      <w:r w:rsidRPr="005503FE">
        <w:rPr>
          <w:rFonts w:cs="Times New Roman"/>
        </w:rPr>
        <w:t xml:space="preserve"> when agency matters. The translator must therefore decide who acted, whether responsibility should be visible, and which information belongs in subject position. Such decisions are grammatical, but they also affect stance. An active clause can identify responsibility, whereas a passive clause can keep attention on the process or result.</w:t>
      </w:r>
    </w:p>
    <w:p w14:paraId="66F604DB" w14:textId="77777777" w:rsidR="00A611CC" w:rsidRPr="005503FE" w:rsidRDefault="00000000" w:rsidP="00506015">
      <w:pPr>
        <w:ind w:firstLineChars="200" w:firstLine="480"/>
        <w:rPr>
          <w:rFonts w:cs="Times New Roman"/>
        </w:rPr>
      </w:pPr>
      <w:r w:rsidRPr="005503FE">
        <w:rPr>
          <w:rFonts w:cs="Times New Roman"/>
        </w:rPr>
        <w:t xml:space="preserve">Sentence restructuring is especially important when several Chinese clauses share an implicit topic. A word-for-word English version may produce a chain of coordinate clauses with uncertain </w:t>
      </w:r>
      <w:r w:rsidRPr="005503FE">
        <w:rPr>
          <w:rFonts w:cs="Times New Roman"/>
        </w:rPr>
        <w:lastRenderedPageBreak/>
        <w:t>logical relations or unstable reference. The translator may need to divide the sequence, supply a subject, subordinate one proposition, or turn an action into a noun phrase. The appropriate solution depends on information focus rather than on a mechanical rule that every Chinese clause requires an additional connective. Explicitness should clarify the relation actually intended, not add formal markers where no relation has been established.</w:t>
      </w:r>
    </w:p>
    <w:p w14:paraId="07253F65" w14:textId="77777777" w:rsidR="00A611CC" w:rsidRPr="005503FE" w:rsidRDefault="00A611CC" w:rsidP="005503FE">
      <w:pPr>
        <w:rPr>
          <w:rFonts w:cs="Times New Roman"/>
        </w:rPr>
      </w:pPr>
    </w:p>
    <w:p w14:paraId="3AFDC681" w14:textId="0497DDDD" w:rsidR="00A611CC" w:rsidRPr="00506015" w:rsidRDefault="00000000" w:rsidP="005503FE">
      <w:pPr>
        <w:rPr>
          <w:rFonts w:cs="Times New Roman"/>
          <w:b/>
          <w:bCs/>
        </w:rPr>
      </w:pPr>
      <w:r w:rsidRPr="00506015">
        <w:rPr>
          <w:rFonts w:cs="Times New Roman"/>
          <w:b/>
          <w:bCs/>
        </w:rPr>
        <w:t xml:space="preserve">3.3. Discourse </w:t>
      </w:r>
      <w:r w:rsidR="00637F45" w:rsidRPr="00637F45">
        <w:rPr>
          <w:rFonts w:cs="Times New Roman"/>
          <w:b/>
          <w:bCs/>
        </w:rPr>
        <w:t>exp</w:t>
      </w:r>
      <w:r w:rsidRPr="00506015">
        <w:rPr>
          <w:rFonts w:cs="Times New Roman"/>
          <w:b/>
          <w:bCs/>
        </w:rPr>
        <w:t>ression</w:t>
      </w:r>
    </w:p>
    <w:p w14:paraId="34B52146" w14:textId="580F45E4" w:rsidR="00A611CC" w:rsidRPr="005503FE" w:rsidRDefault="00000000" w:rsidP="005503FE">
      <w:pPr>
        <w:rPr>
          <w:rFonts w:cs="Times New Roman"/>
        </w:rPr>
      </w:pPr>
      <w:r w:rsidRPr="005503FE">
        <w:rPr>
          <w:rFonts w:cs="Times New Roman"/>
        </w:rPr>
        <w:t xml:space="preserve">At the discourse level, the main question is not </w:t>
      </w:r>
      <w:proofErr w:type="gramStart"/>
      <w:r w:rsidRPr="005503FE">
        <w:rPr>
          <w:rFonts w:cs="Times New Roman"/>
        </w:rPr>
        <w:t>sentence</w:t>
      </w:r>
      <w:proofErr w:type="gramEnd"/>
      <w:r w:rsidRPr="005503FE">
        <w:rPr>
          <w:rFonts w:cs="Times New Roman"/>
        </w:rPr>
        <w:t xml:space="preserve"> correctness but the order in which a text makes its purpose and evidence visible. Kaplan argued that </w:t>
      </w:r>
      <w:r w:rsidR="005503FE">
        <w:rPr>
          <w:rFonts w:cs="Times New Roman"/>
        </w:rPr>
        <w:t>“</w:t>
      </w:r>
      <w:r w:rsidRPr="005503FE">
        <w:rPr>
          <w:rFonts w:cs="Times New Roman"/>
        </w:rPr>
        <w:t>logic ... is evolved out of a culture</w:t>
      </w:r>
      <w:r w:rsidR="005503FE">
        <w:rPr>
          <w:rFonts w:cs="Times New Roman"/>
        </w:rPr>
        <w:t>;</w:t>
      </w:r>
      <w:r w:rsidRPr="005503FE">
        <w:rPr>
          <w:rFonts w:cs="Times New Roman"/>
        </w:rPr>
        <w:t xml:space="preserve"> it is not universal</w:t>
      </w:r>
      <w:r w:rsidR="005503FE">
        <w:rPr>
          <w:rFonts w:cs="Times New Roman"/>
        </w:rPr>
        <w:t>”</w:t>
      </w:r>
      <w:r w:rsidRPr="005503FE">
        <w:rPr>
          <w:rFonts w:cs="Times New Roman"/>
        </w:rPr>
        <w:t>, thereby drawing attention to culturally associated rhetorical patterns and comparatively linear organization in English expository writing</w:t>
      </w:r>
      <w:r w:rsidR="00637F45">
        <w:rPr>
          <w:rFonts w:cs="Times New Roman"/>
        </w:rPr>
        <w:t xml:space="preserve"> </w:t>
      </w:r>
      <w:r w:rsidR="00637F45" w:rsidRPr="00506015">
        <w:rPr>
          <w:rFonts w:cs="Times New Roman"/>
          <w:vertAlign w:val="superscript"/>
        </w:rPr>
        <w:t>[9]</w:t>
      </w:r>
      <w:r w:rsidRPr="005503FE">
        <w:rPr>
          <w:rFonts w:cs="Times New Roman"/>
        </w:rPr>
        <w:t xml:space="preserve">. His model has been criticized for broad cultural generalization, yet its enduring contribution is to show that paragraph organization is not culturally neutral. In present-day academic writing, the more useful question is not whether one group </w:t>
      </w:r>
      <w:r w:rsidR="005503FE">
        <w:rPr>
          <w:rFonts w:cs="Times New Roman"/>
        </w:rPr>
        <w:t>“</w:t>
      </w:r>
      <w:r w:rsidRPr="005503FE">
        <w:rPr>
          <w:rFonts w:cs="Times New Roman"/>
        </w:rPr>
        <w:t>thinks linearly,</w:t>
      </w:r>
      <w:r w:rsidR="005503FE">
        <w:rPr>
          <w:rFonts w:cs="Times New Roman"/>
        </w:rPr>
        <w:t>”</w:t>
      </w:r>
      <w:r w:rsidRPr="005503FE">
        <w:rPr>
          <w:rFonts w:cs="Times New Roman"/>
        </w:rPr>
        <w:t xml:space="preserve"> but what a particular genre asks writers to state first and what readers expect to be made explicit.</w:t>
      </w:r>
    </w:p>
    <w:p w14:paraId="23CA4F2D" w14:textId="77777777" w:rsidR="00A611CC" w:rsidRPr="005503FE" w:rsidRDefault="00000000" w:rsidP="00506015">
      <w:pPr>
        <w:ind w:firstLineChars="200" w:firstLine="480"/>
        <w:rPr>
          <w:rFonts w:cs="Times New Roman"/>
        </w:rPr>
      </w:pPr>
      <w:r w:rsidRPr="005503FE">
        <w:rPr>
          <w:rFonts w:cs="Times New Roman"/>
        </w:rPr>
        <w:t>Abstracts provide a clear example. An English abstract that spends most of its space on broad background may postpone the research object and contribution. A more reader-oriented sequence states the purpose, approach, main observations, and implications early enough for the contribution to be identified. This pattern should not be imposed mechanically on every Chinese genre, where more contextual preparation may be acceptable. What requires adjustment in translation is the sequence of rhetorical functions, not merely the wording of individual sentences.</w:t>
      </w:r>
    </w:p>
    <w:p w14:paraId="234C3589" w14:textId="77777777" w:rsidR="00A611CC" w:rsidRPr="005503FE" w:rsidRDefault="00000000" w:rsidP="00506015">
      <w:pPr>
        <w:ind w:firstLineChars="200" w:firstLine="480"/>
        <w:rPr>
          <w:rFonts w:cs="Times New Roman"/>
        </w:rPr>
      </w:pPr>
      <w:r w:rsidRPr="005503FE">
        <w:rPr>
          <w:rFonts w:cs="Times New Roman"/>
        </w:rPr>
        <w:t>The same issue arises in introductions and argumentative paragraphs. English-language journals often expect a visible research problem and an early indication of how the paper addresses it. A paragraph normally benefits from a controlling claim whose relation to the supporting examples is explicit. Chinese prose can also be tightly organized, but some texts allow a more cumulative movement from situation to evaluation. When translated without rhetorical reordering, such a passage may remain grammatical while appearing delayed or diffuse to the target reader. Discourse-level translation must therefore examine the function of each sentence within the paragraph, not only its local meaning.</w:t>
      </w:r>
    </w:p>
    <w:p w14:paraId="3DAE877C" w14:textId="62374A2D" w:rsidR="00A611CC" w:rsidRPr="005503FE" w:rsidRDefault="00000000" w:rsidP="00506015">
      <w:pPr>
        <w:ind w:firstLineChars="200" w:firstLine="480"/>
        <w:rPr>
          <w:rFonts w:cs="Times New Roman"/>
        </w:rPr>
      </w:pPr>
      <w:r w:rsidRPr="005503FE">
        <w:rPr>
          <w:rFonts w:cs="Times New Roman"/>
        </w:rPr>
        <w:t xml:space="preserve">Cohesion presents a related but distinct problem. Halliday and Hasan state that </w:t>
      </w:r>
      <w:r w:rsidR="005503FE">
        <w:rPr>
          <w:rFonts w:cs="Times New Roman"/>
        </w:rPr>
        <w:t>“</w:t>
      </w:r>
      <w:r w:rsidRPr="005503FE">
        <w:rPr>
          <w:rFonts w:cs="Times New Roman"/>
        </w:rPr>
        <w:t>cohesion occurs where the interpretation of some element in the discourse is dependent on that of another</w:t>
      </w:r>
      <w:r w:rsidR="005503FE">
        <w:rPr>
          <w:rFonts w:cs="Times New Roman"/>
        </w:rPr>
        <w:t>”</w:t>
      </w:r>
      <w:r w:rsidR="00D55396">
        <w:rPr>
          <w:rFonts w:cs="Times New Roman"/>
        </w:rPr>
        <w:t xml:space="preserve"> </w:t>
      </w:r>
      <w:r w:rsidRPr="005503FE">
        <w:rPr>
          <w:rFonts w:cs="Times New Roman"/>
          <w:vertAlign w:val="superscript"/>
        </w:rPr>
        <w:t>[10]</w:t>
      </w:r>
      <w:r w:rsidRPr="005503FE">
        <w:rPr>
          <w:rFonts w:cs="Times New Roman"/>
        </w:rPr>
        <w:t>. They further show that textual relations can be realized through reference, conjunction, substitution, and lexical cohesion. English academic prose often signals contrast or consequence with markers such as however, therefore, and in contrast, whereas Chinese can rely more on thematic continuity or semantic association. The pedagogical point is not to maximize connectives. A connective is useful only when it makes a genuine relation visible</w:t>
      </w:r>
      <w:r w:rsidR="005503FE">
        <w:rPr>
          <w:rFonts w:cs="Times New Roman"/>
        </w:rPr>
        <w:t>;</w:t>
      </w:r>
      <w:r w:rsidRPr="005503FE">
        <w:rPr>
          <w:rFonts w:cs="Times New Roman"/>
        </w:rPr>
        <w:t xml:space="preserve"> excessive signposting can make a paragraph mechanical.</w:t>
      </w:r>
    </w:p>
    <w:p w14:paraId="6B907B28" w14:textId="77777777" w:rsidR="00A611CC" w:rsidRPr="005503FE" w:rsidRDefault="00A611CC" w:rsidP="005503FE">
      <w:pPr>
        <w:rPr>
          <w:rFonts w:cs="Times New Roman"/>
        </w:rPr>
      </w:pPr>
    </w:p>
    <w:p w14:paraId="20D1A8F1" w14:textId="011483BF" w:rsidR="00A611CC" w:rsidRPr="00506015" w:rsidRDefault="00000000" w:rsidP="005503FE">
      <w:pPr>
        <w:rPr>
          <w:rFonts w:cs="Times New Roman"/>
          <w:b/>
          <w:bCs/>
        </w:rPr>
      </w:pPr>
      <w:r w:rsidRPr="00506015">
        <w:rPr>
          <w:rFonts w:cs="Times New Roman"/>
          <w:b/>
          <w:bCs/>
        </w:rPr>
        <w:t xml:space="preserve">3.4. Pragmatic </w:t>
      </w:r>
      <w:r w:rsidR="00D55396" w:rsidRPr="00506015">
        <w:rPr>
          <w:rFonts w:cs="Times New Roman"/>
          <w:b/>
          <w:bCs/>
        </w:rPr>
        <w:t>expression</w:t>
      </w:r>
    </w:p>
    <w:p w14:paraId="264ADF53" w14:textId="7625E2AB" w:rsidR="00A611CC" w:rsidRPr="005503FE" w:rsidRDefault="00000000" w:rsidP="005503FE">
      <w:pPr>
        <w:rPr>
          <w:rFonts w:cs="Times New Roman"/>
        </w:rPr>
      </w:pPr>
      <w:r w:rsidRPr="005503FE">
        <w:rPr>
          <w:rFonts w:cs="Times New Roman"/>
        </w:rPr>
        <w:t xml:space="preserve">Pragmatic contrast becomes visible when similar intentions are framed differently. A Chinese request or criticism may begin with contextual preparation or a tentative question, as in </w:t>
      </w:r>
      <w:proofErr w:type="spellStart"/>
      <w:r w:rsidRPr="005503FE">
        <w:rPr>
          <w:rFonts w:cs="Times New Roman"/>
        </w:rPr>
        <w:t>zhe</w:t>
      </w:r>
      <w:proofErr w:type="spellEnd"/>
      <w:r w:rsidRPr="005503FE">
        <w:rPr>
          <w:rFonts w:cs="Times New Roman"/>
        </w:rPr>
        <w:t xml:space="preserve"> </w:t>
      </w:r>
      <w:proofErr w:type="spellStart"/>
      <w:r w:rsidRPr="005503FE">
        <w:rPr>
          <w:rFonts w:cs="Times New Roman"/>
        </w:rPr>
        <w:t>ge</w:t>
      </w:r>
      <w:proofErr w:type="spellEnd"/>
      <w:r w:rsidRPr="005503FE">
        <w:rPr>
          <w:rFonts w:cs="Times New Roman"/>
        </w:rPr>
        <w:t xml:space="preserve"> </w:t>
      </w:r>
      <w:proofErr w:type="spellStart"/>
      <w:r w:rsidRPr="005503FE">
        <w:rPr>
          <w:rFonts w:cs="Times New Roman"/>
        </w:rPr>
        <w:t>fang</w:t>
      </w:r>
      <w:r w:rsidR="005503FE">
        <w:rPr>
          <w:rFonts w:cs="Times New Roman"/>
        </w:rPr>
        <w:t>’</w:t>
      </w:r>
      <w:r w:rsidRPr="005503FE">
        <w:rPr>
          <w:rFonts w:cs="Times New Roman"/>
        </w:rPr>
        <w:t>an</w:t>
      </w:r>
      <w:proofErr w:type="spellEnd"/>
      <w:r w:rsidRPr="005503FE">
        <w:rPr>
          <w:rFonts w:cs="Times New Roman"/>
        </w:rPr>
        <w:t xml:space="preserve"> </w:t>
      </w:r>
      <w:proofErr w:type="spellStart"/>
      <w:r w:rsidRPr="005503FE">
        <w:rPr>
          <w:rFonts w:cs="Times New Roman"/>
        </w:rPr>
        <w:t>shi</w:t>
      </w:r>
      <w:proofErr w:type="spellEnd"/>
      <w:r w:rsidRPr="005503FE">
        <w:rPr>
          <w:rFonts w:cs="Times New Roman"/>
        </w:rPr>
        <w:t xml:space="preserve"> </w:t>
      </w:r>
      <w:proofErr w:type="spellStart"/>
      <w:r w:rsidRPr="005503FE">
        <w:rPr>
          <w:rFonts w:cs="Times New Roman"/>
        </w:rPr>
        <w:t>bu</w:t>
      </w:r>
      <w:proofErr w:type="spellEnd"/>
      <w:r w:rsidRPr="005503FE">
        <w:rPr>
          <w:rFonts w:cs="Times New Roman"/>
        </w:rPr>
        <w:t xml:space="preserve"> </w:t>
      </w:r>
      <w:proofErr w:type="spellStart"/>
      <w:r w:rsidRPr="005503FE">
        <w:rPr>
          <w:rFonts w:cs="Times New Roman"/>
        </w:rPr>
        <w:t>shi</w:t>
      </w:r>
      <w:proofErr w:type="spellEnd"/>
      <w:r w:rsidRPr="005503FE">
        <w:rPr>
          <w:rFonts w:cs="Times New Roman"/>
        </w:rPr>
        <w:t xml:space="preserve"> </w:t>
      </w:r>
      <w:proofErr w:type="spellStart"/>
      <w:r w:rsidRPr="005503FE">
        <w:rPr>
          <w:rFonts w:cs="Times New Roman"/>
        </w:rPr>
        <w:t>hai</w:t>
      </w:r>
      <w:proofErr w:type="spellEnd"/>
      <w:r w:rsidRPr="005503FE">
        <w:rPr>
          <w:rFonts w:cs="Times New Roman"/>
        </w:rPr>
        <w:t xml:space="preserve"> </w:t>
      </w:r>
      <w:proofErr w:type="spellStart"/>
      <w:r w:rsidRPr="005503FE">
        <w:rPr>
          <w:rFonts w:cs="Times New Roman"/>
        </w:rPr>
        <w:t>keyi</w:t>
      </w:r>
      <w:proofErr w:type="spellEnd"/>
      <w:r w:rsidRPr="005503FE">
        <w:rPr>
          <w:rFonts w:cs="Times New Roman"/>
        </w:rPr>
        <w:t xml:space="preserve"> </w:t>
      </w:r>
      <w:proofErr w:type="spellStart"/>
      <w:r w:rsidRPr="005503FE">
        <w:rPr>
          <w:rFonts w:cs="Times New Roman"/>
        </w:rPr>
        <w:t>zai</w:t>
      </w:r>
      <w:proofErr w:type="spellEnd"/>
      <w:r w:rsidRPr="005503FE">
        <w:rPr>
          <w:rFonts w:cs="Times New Roman"/>
        </w:rPr>
        <w:t xml:space="preserve"> </w:t>
      </w:r>
      <w:proofErr w:type="spellStart"/>
      <w:r w:rsidRPr="005503FE">
        <w:rPr>
          <w:rFonts w:cs="Times New Roman"/>
        </w:rPr>
        <w:t>zhenzhuo</w:t>
      </w:r>
      <w:proofErr w:type="spellEnd"/>
      <w:r w:rsidRPr="005503FE">
        <w:rPr>
          <w:rFonts w:cs="Times New Roman"/>
        </w:rPr>
        <w:t xml:space="preserve"> </w:t>
      </w:r>
      <w:proofErr w:type="spellStart"/>
      <w:r w:rsidRPr="005503FE">
        <w:rPr>
          <w:rFonts w:cs="Times New Roman"/>
        </w:rPr>
        <w:t>yixia</w:t>
      </w:r>
      <w:proofErr w:type="spellEnd"/>
      <w:r w:rsidRPr="005503FE">
        <w:rPr>
          <w:rFonts w:cs="Times New Roman"/>
        </w:rPr>
        <w:t xml:space="preserve"> (</w:t>
      </w:r>
      <w:r w:rsidR="005503FE">
        <w:rPr>
          <w:rFonts w:cs="Times New Roman"/>
        </w:rPr>
        <w:t>“</w:t>
      </w:r>
      <w:r w:rsidRPr="005503FE">
        <w:rPr>
          <w:rFonts w:cs="Times New Roman"/>
        </w:rPr>
        <w:t>Could this proposal perhaps be reconsidered?</w:t>
      </w:r>
      <w:r w:rsidR="005503FE">
        <w:rPr>
          <w:rFonts w:cs="Times New Roman"/>
        </w:rPr>
        <w:t>”</w:t>
      </w:r>
      <w:r w:rsidRPr="005503FE">
        <w:rPr>
          <w:rFonts w:cs="Times New Roman"/>
        </w:rPr>
        <w:t>). English also mitigates imposition, but often through conventional modals, hedges, and a clearly stated action</w:t>
      </w:r>
      <w:r w:rsidR="005503FE">
        <w:rPr>
          <w:rFonts w:cs="Times New Roman"/>
        </w:rPr>
        <w:t>:</w:t>
      </w:r>
      <w:r w:rsidRPr="005503FE">
        <w:rPr>
          <w:rFonts w:cs="Times New Roman"/>
        </w:rPr>
        <w:t xml:space="preserve"> </w:t>
      </w:r>
      <w:r w:rsidR="005503FE">
        <w:rPr>
          <w:rFonts w:cs="Times New Roman"/>
        </w:rPr>
        <w:t>“</w:t>
      </w:r>
      <w:r w:rsidRPr="005503FE">
        <w:rPr>
          <w:rFonts w:cs="Times New Roman"/>
        </w:rPr>
        <w:t>Could you please send the document by Friday?</w:t>
      </w:r>
      <w:r w:rsidR="005503FE">
        <w:rPr>
          <w:rFonts w:cs="Times New Roman"/>
        </w:rPr>
        <w:t>”</w:t>
      </w:r>
      <w:r w:rsidRPr="005503FE">
        <w:rPr>
          <w:rFonts w:cs="Times New Roman"/>
        </w:rPr>
        <w:t xml:space="preserve"> The contrast is therefore not simply indirectness versus directness. Politeness depends on how clarity, social distance, and the burden placed on the listener are balanced in a particular setting</w:t>
      </w:r>
      <w:r w:rsidR="00D55396">
        <w:rPr>
          <w:rFonts w:cs="Times New Roman"/>
        </w:rPr>
        <w:t xml:space="preserve"> </w:t>
      </w:r>
      <w:r w:rsidRPr="005503FE">
        <w:rPr>
          <w:rFonts w:cs="Times New Roman"/>
          <w:vertAlign w:val="superscript"/>
        </w:rPr>
        <w:t>[4]</w:t>
      </w:r>
      <w:r w:rsidRPr="005503FE">
        <w:rPr>
          <w:rFonts w:cs="Times New Roman"/>
        </w:rPr>
        <w:t>.</w:t>
      </w:r>
    </w:p>
    <w:p w14:paraId="2166285B" w14:textId="4A1BE2D6" w:rsidR="00A611CC" w:rsidRPr="005503FE" w:rsidRDefault="00000000" w:rsidP="00506015">
      <w:pPr>
        <w:ind w:firstLineChars="200" w:firstLine="480"/>
        <w:rPr>
          <w:rFonts w:cs="Times New Roman"/>
        </w:rPr>
      </w:pPr>
      <w:r w:rsidRPr="005503FE">
        <w:rPr>
          <w:rFonts w:cs="Times New Roman"/>
        </w:rPr>
        <w:t>Routine expressions make the role of inference especially clear. Chi le ma (</w:t>
      </w:r>
      <w:r w:rsidR="005503FE">
        <w:rPr>
          <w:rFonts w:cs="Times New Roman"/>
        </w:rPr>
        <w:t>“</w:t>
      </w:r>
      <w:r w:rsidRPr="005503FE">
        <w:rPr>
          <w:rFonts w:cs="Times New Roman"/>
        </w:rPr>
        <w:t>Have you eaten?</w:t>
      </w:r>
      <w:r w:rsidR="005503FE">
        <w:rPr>
          <w:rFonts w:cs="Times New Roman"/>
        </w:rPr>
        <w:t>”</w:t>
      </w:r>
      <w:r w:rsidRPr="005503FE">
        <w:rPr>
          <w:rFonts w:cs="Times New Roman"/>
        </w:rPr>
        <w:t>) may function as relational contact rather than a literal request for information. Compliment responses may also differ</w:t>
      </w:r>
      <w:r w:rsidR="005503FE">
        <w:rPr>
          <w:rFonts w:cs="Times New Roman"/>
        </w:rPr>
        <w:t>:</w:t>
      </w:r>
      <w:r w:rsidRPr="005503FE">
        <w:rPr>
          <w:rFonts w:cs="Times New Roman"/>
        </w:rPr>
        <w:t xml:space="preserve"> minimizing praise is conventional in some Chinese contexts, whereas </w:t>
      </w:r>
      <w:r w:rsidR="005503FE">
        <w:rPr>
          <w:rFonts w:cs="Times New Roman"/>
        </w:rPr>
        <w:t>“</w:t>
      </w:r>
      <w:r w:rsidRPr="005503FE">
        <w:rPr>
          <w:rFonts w:cs="Times New Roman"/>
        </w:rPr>
        <w:t>Thank you</w:t>
      </w:r>
      <w:r w:rsidR="005503FE">
        <w:rPr>
          <w:rFonts w:cs="Times New Roman"/>
        </w:rPr>
        <w:t>”</w:t>
      </w:r>
      <w:r w:rsidRPr="005503FE">
        <w:rPr>
          <w:rFonts w:cs="Times New Roman"/>
        </w:rPr>
        <w:t xml:space="preserve"> is often expected in English. In institutional refusals, a Chinese message may give appreciation and explanation before the decision, while an English message may announce the decision earlier and then provide a reason. Teaching these forms as interchangeable sentence patterns misses the point. Learners need to identify the speech act, the relationship between participants, and the consequences </w:t>
      </w:r>
      <w:r w:rsidRPr="005503FE">
        <w:rPr>
          <w:rFonts w:cs="Times New Roman"/>
        </w:rPr>
        <w:lastRenderedPageBreak/>
        <w:t>of placing information earlier or later.</w:t>
      </w:r>
    </w:p>
    <w:p w14:paraId="6726DD2F" w14:textId="181D5C53" w:rsidR="00A611CC" w:rsidRPr="005503FE" w:rsidRDefault="00000000" w:rsidP="00506015">
      <w:pPr>
        <w:ind w:firstLineChars="200" w:firstLine="480"/>
        <w:rPr>
          <w:rFonts w:cs="Times New Roman"/>
        </w:rPr>
      </w:pPr>
      <w:r w:rsidRPr="005503FE">
        <w:rPr>
          <w:rFonts w:cs="Times New Roman"/>
        </w:rPr>
        <w:t xml:space="preserve">Pragmatic transfer often occurs even when grammar and vocabulary are correct. A request may sound vague because the expected action is not stated, while a refusal may sound abrupt because the writer has transferred an informational sequence that does not fit the target institution. The remedy is not to memorize one </w:t>
      </w:r>
      <w:r w:rsidR="005503FE">
        <w:rPr>
          <w:rFonts w:cs="Times New Roman"/>
        </w:rPr>
        <w:t>“</w:t>
      </w:r>
      <w:r w:rsidRPr="005503FE">
        <w:rPr>
          <w:rFonts w:cs="Times New Roman"/>
        </w:rPr>
        <w:t>polite sentence,</w:t>
      </w:r>
      <w:r w:rsidR="005503FE">
        <w:rPr>
          <w:rFonts w:cs="Times New Roman"/>
        </w:rPr>
        <w:t>”</w:t>
      </w:r>
      <w:r w:rsidRPr="005503FE">
        <w:rPr>
          <w:rFonts w:cs="Times New Roman"/>
        </w:rPr>
        <w:t xml:space="preserve"> but to compare how speakers balance clarity, mitigation, obligation, and relational work across situations. Audience status, urgency, medium, and the consequences of misunderstanding must all be considered.</w:t>
      </w:r>
    </w:p>
    <w:p w14:paraId="590041C5" w14:textId="77777777" w:rsidR="00A611CC" w:rsidRPr="005503FE" w:rsidRDefault="00A611CC" w:rsidP="005503FE">
      <w:pPr>
        <w:rPr>
          <w:rFonts w:cs="Times New Roman"/>
        </w:rPr>
      </w:pPr>
    </w:p>
    <w:p w14:paraId="79E7F968" w14:textId="0C1A4229" w:rsidR="00A611CC" w:rsidRPr="00506015" w:rsidRDefault="00000000" w:rsidP="005503FE">
      <w:pPr>
        <w:rPr>
          <w:rFonts w:cs="Times New Roman"/>
          <w:b/>
          <w:bCs/>
        </w:rPr>
      </w:pPr>
      <w:r w:rsidRPr="00506015">
        <w:rPr>
          <w:rFonts w:cs="Times New Roman"/>
          <w:b/>
          <w:bCs/>
        </w:rPr>
        <w:t xml:space="preserve">4. Pedagogical </w:t>
      </w:r>
      <w:r w:rsidR="00D55396" w:rsidRPr="00506015">
        <w:rPr>
          <w:rFonts w:cs="Times New Roman"/>
          <w:b/>
          <w:bCs/>
        </w:rPr>
        <w:t>and translation implications</w:t>
      </w:r>
    </w:p>
    <w:p w14:paraId="5357F8A0" w14:textId="4D55C768" w:rsidR="00A611CC" w:rsidRPr="005503FE" w:rsidRDefault="00000000" w:rsidP="005503FE">
      <w:pPr>
        <w:rPr>
          <w:rFonts w:cs="Times New Roman"/>
        </w:rPr>
      </w:pPr>
      <w:r w:rsidRPr="005503FE">
        <w:rPr>
          <w:rFonts w:cs="Times New Roman"/>
        </w:rPr>
        <w:t xml:space="preserve">The first pedagogical implication is to replace broad cultural formulas with genre-sensitive comparison. </w:t>
      </w:r>
      <w:r w:rsidR="005503FE">
        <w:rPr>
          <w:rFonts w:cs="Times New Roman"/>
        </w:rPr>
        <w:t>“</w:t>
      </w:r>
      <w:r w:rsidRPr="005503FE">
        <w:rPr>
          <w:rFonts w:cs="Times New Roman"/>
        </w:rPr>
        <w:t>Chinese is indirect and English is direct</w:t>
      </w:r>
      <w:r w:rsidR="005503FE">
        <w:rPr>
          <w:rFonts w:cs="Times New Roman"/>
        </w:rPr>
        <w:t>”</w:t>
      </w:r>
      <w:r w:rsidRPr="005503FE">
        <w:rPr>
          <w:rFonts w:cs="Times New Roman"/>
        </w:rPr>
        <w:t xml:space="preserve"> is too crude to guide an actual choice in writing. Students gain more from comparing how a journal abstract, business email, classroom exchange, and informal message express responsibility and politeness. The comparison should also leave room for variation across communities and for the effects of bilingual experience.</w:t>
      </w:r>
    </w:p>
    <w:p w14:paraId="70E9F70D" w14:textId="5CF91B6F" w:rsidR="00A611CC" w:rsidRPr="005503FE" w:rsidRDefault="00000000" w:rsidP="00506015">
      <w:pPr>
        <w:ind w:firstLineChars="200" w:firstLine="480"/>
        <w:rPr>
          <w:rFonts w:cs="Times New Roman"/>
        </w:rPr>
      </w:pPr>
      <w:r w:rsidRPr="005503FE">
        <w:rPr>
          <w:rFonts w:cs="Times New Roman"/>
        </w:rPr>
        <w:t>Training is most useful when it connects levels of analysis. Students can compare the semantic range of culture-loaded words, mark omitted agents in a Chinese source text, label the relation between adjacent clauses, and then test several English renderings. They can also reorder paragraphs or rewrite the same abstract for different readers. These tasks make information packaging visible and turn contrastive knowledge into a revisable procedure. Work on translation teaching and Chinese-English prose translation likewise supports attention to perspective, sentence organization, and target-language convention rather than isolated word replacement</w:t>
      </w:r>
      <w:r w:rsidR="00D55396">
        <w:rPr>
          <w:rFonts w:cs="Times New Roman"/>
        </w:rPr>
        <w:t xml:space="preserve"> </w:t>
      </w:r>
      <w:r w:rsidRPr="005503FE">
        <w:rPr>
          <w:rFonts w:cs="Times New Roman"/>
          <w:vertAlign w:val="superscript"/>
        </w:rPr>
        <w:t>[7</w:t>
      </w:r>
      <w:r w:rsidR="00D55396">
        <w:rPr>
          <w:rFonts w:cs="Times New Roman"/>
          <w:vertAlign w:val="superscript"/>
        </w:rPr>
        <w:t>–</w:t>
      </w:r>
      <w:r w:rsidRPr="005503FE">
        <w:rPr>
          <w:rFonts w:cs="Times New Roman"/>
          <w:vertAlign w:val="superscript"/>
        </w:rPr>
        <w:t>8]</w:t>
      </w:r>
      <w:r w:rsidRPr="005503FE">
        <w:rPr>
          <w:rFonts w:cs="Times New Roman"/>
        </w:rPr>
        <w:t>.</w:t>
      </w:r>
    </w:p>
    <w:p w14:paraId="5AB7A143" w14:textId="77777777" w:rsidR="00A611CC" w:rsidRPr="005503FE" w:rsidRDefault="00000000" w:rsidP="00506015">
      <w:pPr>
        <w:ind w:firstLineChars="200" w:firstLine="480"/>
        <w:rPr>
          <w:rFonts w:cs="Times New Roman"/>
        </w:rPr>
      </w:pPr>
      <w:r w:rsidRPr="005503FE">
        <w:rPr>
          <w:rFonts w:cs="Times New Roman"/>
        </w:rPr>
        <w:t>A useful classroom sequence begins with diagnosis rather than correction. Learners first identify the communicative purpose and target readership, then mark elements whose meaning depends heavily on context. They next compare alternative translations and explain how each version changes agency, emphasis, politeness, or cultural imagery. Finally, they revise the whole paragraph to ensure that sentence-level decisions form a coherent discourse. This process makes translation choices discussable and prevents teachers from presenting a single decontextualized answer as universally correct.</w:t>
      </w:r>
    </w:p>
    <w:p w14:paraId="51B264C6" w14:textId="4179E30E" w:rsidR="00A611CC" w:rsidRPr="005503FE" w:rsidRDefault="00000000" w:rsidP="00506015">
      <w:pPr>
        <w:ind w:firstLineChars="200" w:firstLine="480"/>
        <w:rPr>
          <w:rFonts w:cs="Times New Roman"/>
        </w:rPr>
      </w:pPr>
      <w:r w:rsidRPr="005503FE">
        <w:rPr>
          <w:rFonts w:cs="Times New Roman"/>
        </w:rPr>
        <w:t xml:space="preserve">Translation practice adds a functional test. Nida defines dynamic equivalence as </w:t>
      </w:r>
      <w:r w:rsidR="005503FE">
        <w:rPr>
          <w:rFonts w:cs="Times New Roman"/>
        </w:rPr>
        <w:t>“</w:t>
      </w:r>
      <w:r w:rsidRPr="005503FE">
        <w:rPr>
          <w:rFonts w:cs="Times New Roman"/>
        </w:rPr>
        <w:t>the closest natural equivalent to the source-language message</w:t>
      </w:r>
      <w:r w:rsidR="005503FE">
        <w:rPr>
          <w:rFonts w:cs="Times New Roman"/>
        </w:rPr>
        <w:t>”</w:t>
      </w:r>
      <w:r w:rsidR="005D6D0C">
        <w:rPr>
          <w:rFonts w:cs="Times New Roman"/>
        </w:rPr>
        <w:t xml:space="preserve"> </w:t>
      </w:r>
      <w:r w:rsidRPr="005503FE">
        <w:rPr>
          <w:rFonts w:cs="Times New Roman"/>
          <w:vertAlign w:val="superscript"/>
        </w:rPr>
        <w:t>[11]</w:t>
      </w:r>
      <w:r w:rsidRPr="005503FE">
        <w:rPr>
          <w:rFonts w:cs="Times New Roman"/>
        </w:rPr>
        <w:t>. The formulation directs attention to receptor response rather than mechanical preservation of surface form. From a cognitive perspective, translation also involves the translator</w:t>
      </w:r>
      <w:r w:rsidR="005503FE">
        <w:rPr>
          <w:rFonts w:cs="Times New Roman"/>
        </w:rPr>
        <w:t>’</w:t>
      </w:r>
      <w:r w:rsidRPr="005503FE">
        <w:rPr>
          <w:rFonts w:cs="Times New Roman"/>
        </w:rPr>
        <w:t>s experience, construal, and selection among linguistic alternatives</w:t>
      </w:r>
      <w:r w:rsidR="005D6D0C">
        <w:rPr>
          <w:rFonts w:cs="Times New Roman"/>
        </w:rPr>
        <w:t xml:space="preserve"> </w:t>
      </w:r>
      <w:r w:rsidRPr="005503FE">
        <w:rPr>
          <w:rFonts w:cs="Times New Roman"/>
          <w:vertAlign w:val="superscript"/>
        </w:rPr>
        <w:t>[6]</w:t>
      </w:r>
      <w:r w:rsidRPr="005503FE">
        <w:rPr>
          <w:rFonts w:cs="Times New Roman"/>
        </w:rPr>
        <w:t xml:space="preserve">. This means that </w:t>
      </w:r>
      <w:proofErr w:type="spellStart"/>
      <w:r w:rsidRPr="005503FE">
        <w:rPr>
          <w:rFonts w:cs="Times New Roman"/>
        </w:rPr>
        <w:t>taoli</w:t>
      </w:r>
      <w:proofErr w:type="spellEnd"/>
      <w:r w:rsidRPr="005503FE">
        <w:rPr>
          <w:rFonts w:cs="Times New Roman"/>
        </w:rPr>
        <w:t xml:space="preserve"> </w:t>
      </w:r>
      <w:proofErr w:type="spellStart"/>
      <w:r w:rsidRPr="005503FE">
        <w:rPr>
          <w:rFonts w:cs="Times New Roman"/>
        </w:rPr>
        <w:t>mantianxia</w:t>
      </w:r>
      <w:proofErr w:type="spellEnd"/>
      <w:r w:rsidRPr="005503FE">
        <w:rPr>
          <w:rFonts w:cs="Times New Roman"/>
        </w:rPr>
        <w:t xml:space="preserve"> may require an explanatory paraphrase in an academic text but retain its image in a literary translation. The appropriate choice depends on what readers know and what the translation is expected to do.</w:t>
      </w:r>
    </w:p>
    <w:p w14:paraId="43D0ED2D" w14:textId="77777777" w:rsidR="00A611CC" w:rsidRPr="005503FE" w:rsidRDefault="00000000" w:rsidP="00506015">
      <w:pPr>
        <w:ind w:firstLineChars="200" w:firstLine="480"/>
        <w:rPr>
          <w:rFonts w:cs="Times New Roman"/>
        </w:rPr>
      </w:pPr>
      <w:r w:rsidRPr="005503FE">
        <w:rPr>
          <w:rFonts w:cs="Times New Roman"/>
        </w:rPr>
        <w:t>Assessment can reflect this process by separating lexical accuracy, clause linkage, information order, cohesion, and pragmatic force. A student can then locate the level at which communication has failed instead of making unsystematic changes to individual words. Whenever possible, teaching examples should come from comparable bilingual texts, learner writing, institutional emails, or published translations. Source-based examples also help distinguish a recurrent tendency from an intuition that happens to fit one sentence.</w:t>
      </w:r>
    </w:p>
    <w:p w14:paraId="4127AABE" w14:textId="73540151" w:rsidR="00A611CC" w:rsidRPr="005503FE" w:rsidRDefault="00000000" w:rsidP="00506015">
      <w:pPr>
        <w:ind w:firstLineChars="200" w:firstLine="480"/>
        <w:rPr>
          <w:rFonts w:cs="Times New Roman"/>
        </w:rPr>
      </w:pPr>
      <w:r w:rsidRPr="005503FE">
        <w:rPr>
          <w:rFonts w:cs="Times New Roman"/>
        </w:rPr>
        <w:t>The present discussion remains conceptual, so its claims require empirical testing. Future studies should record the source, genre, date, and communicative setting of examples. Learner corpora can reveal recurring transfer problems</w:t>
      </w:r>
      <w:r w:rsidR="005503FE">
        <w:rPr>
          <w:rFonts w:cs="Times New Roman"/>
        </w:rPr>
        <w:t>;</w:t>
      </w:r>
      <w:r w:rsidRPr="005503FE">
        <w:rPr>
          <w:rFonts w:cs="Times New Roman"/>
        </w:rPr>
        <w:t xml:space="preserve"> parallel or comparable corpora can show whether a proposed contrast is frequent or genre-specific</w:t>
      </w:r>
      <w:r w:rsidR="005503FE">
        <w:rPr>
          <w:rFonts w:cs="Times New Roman"/>
        </w:rPr>
        <w:t>;</w:t>
      </w:r>
      <w:r w:rsidRPr="005503FE">
        <w:rPr>
          <w:rFonts w:cs="Times New Roman"/>
        </w:rPr>
        <w:t xml:space="preserve"> interviews can clarify why bilingual writers selected one form over another. Combining textual patterns with writers</w:t>
      </w:r>
      <w:r w:rsidR="005503FE">
        <w:rPr>
          <w:rFonts w:cs="Times New Roman"/>
        </w:rPr>
        <w:t>’</w:t>
      </w:r>
      <w:r w:rsidRPr="005503FE">
        <w:rPr>
          <w:rFonts w:cs="Times New Roman"/>
        </w:rPr>
        <w:t xml:space="preserve"> accounts would provide a stronger basis for explaining how language structure, habitual attention, and communicative choice interact.</w:t>
      </w:r>
    </w:p>
    <w:p w14:paraId="29CE1B3C" w14:textId="77777777" w:rsidR="00A611CC" w:rsidRPr="005503FE" w:rsidRDefault="00A611CC" w:rsidP="005503FE">
      <w:pPr>
        <w:rPr>
          <w:rFonts w:cs="Times New Roman"/>
        </w:rPr>
      </w:pPr>
    </w:p>
    <w:p w14:paraId="62F788F6" w14:textId="77777777" w:rsidR="00A611CC" w:rsidRPr="00506015" w:rsidRDefault="00000000" w:rsidP="005503FE">
      <w:pPr>
        <w:rPr>
          <w:rFonts w:cs="Times New Roman"/>
          <w:b/>
          <w:bCs/>
        </w:rPr>
      </w:pPr>
      <w:r w:rsidRPr="00506015">
        <w:rPr>
          <w:rFonts w:cs="Times New Roman"/>
          <w:b/>
          <w:bCs/>
        </w:rPr>
        <w:t>5. Conclusion</w:t>
      </w:r>
    </w:p>
    <w:p w14:paraId="4D4E4019" w14:textId="77777777" w:rsidR="00A611CC" w:rsidRPr="005503FE" w:rsidRDefault="00000000" w:rsidP="005503FE">
      <w:pPr>
        <w:rPr>
          <w:rFonts w:cs="Times New Roman"/>
        </w:rPr>
      </w:pPr>
      <w:r w:rsidRPr="005503FE">
        <w:rPr>
          <w:rFonts w:cs="Times New Roman"/>
        </w:rPr>
        <w:t xml:space="preserve">English-Chinese differences in expression are best understood as patterned preferences rather than fixed cultural oppositions. The preferences discussed here become visible in semantic boundaries, clause linkage, topic and subject choice, rhetorical sequencing, cohesion, and pragmatic framing. </w:t>
      </w:r>
      <w:r w:rsidRPr="005503FE">
        <w:rPr>
          <w:rFonts w:cs="Times New Roman"/>
        </w:rPr>
        <w:lastRenderedPageBreak/>
        <w:t>Their realization nevertheless changes with genre, community, proficiency, and individual experience.</w:t>
      </w:r>
    </w:p>
    <w:p w14:paraId="4DFDED27" w14:textId="09377541" w:rsidR="00A611CC" w:rsidRDefault="00000000" w:rsidP="005503FE">
      <w:pPr>
        <w:rPr>
          <w:rFonts w:cs="Times New Roman"/>
        </w:rPr>
      </w:pPr>
      <w:r w:rsidRPr="005503FE">
        <w:rPr>
          <w:rFonts w:cs="Times New Roman"/>
        </w:rPr>
        <w:t xml:space="preserve">For teaching and translation, the goal is not to replace one </w:t>
      </w:r>
      <w:r w:rsidR="005503FE">
        <w:rPr>
          <w:rFonts w:cs="Times New Roman"/>
        </w:rPr>
        <w:t>“</w:t>
      </w:r>
      <w:r w:rsidRPr="005503FE">
        <w:rPr>
          <w:rFonts w:cs="Times New Roman"/>
        </w:rPr>
        <w:t>mode of thinking</w:t>
      </w:r>
      <w:r w:rsidR="005503FE">
        <w:rPr>
          <w:rFonts w:cs="Times New Roman"/>
        </w:rPr>
        <w:t>”</w:t>
      </w:r>
      <w:r w:rsidRPr="005503FE">
        <w:rPr>
          <w:rFonts w:cs="Times New Roman"/>
        </w:rPr>
        <w:t xml:space="preserve"> with another. It is to help language users notice where meaning is carried</w:t>
      </w:r>
      <w:r w:rsidR="005503FE">
        <w:rPr>
          <w:rFonts w:cs="Times New Roman"/>
        </w:rPr>
        <w:t>:</w:t>
      </w:r>
      <w:r w:rsidRPr="005503FE">
        <w:rPr>
          <w:rFonts w:cs="Times New Roman"/>
        </w:rPr>
        <w:t xml:space="preserve"> in the word itself, in grammatical form, in discourse order, or in shared inference. Source-informed contrastive training can reduce negative transfer and improve clarity without turning useful generalizations into stereotypes. Because the examples in this paper are illustrative, further corpus-based and genre-specific research is needed before broader claims are made.</w:t>
      </w:r>
    </w:p>
    <w:p w14:paraId="1960D2D4" w14:textId="77777777" w:rsidR="006F7A85" w:rsidRPr="005503FE" w:rsidRDefault="006F7A85" w:rsidP="005503FE">
      <w:pPr>
        <w:rPr>
          <w:rFonts w:cs="Times New Roman"/>
        </w:rPr>
      </w:pPr>
    </w:p>
    <w:p w14:paraId="4199E8B1" w14:textId="77777777" w:rsidR="006F7A85" w:rsidRPr="008E2E2B" w:rsidRDefault="006F7A85" w:rsidP="006F7A85">
      <w:pPr>
        <w:rPr>
          <w:rFonts w:eastAsia="SimSun" w:cs="Times New Roman"/>
          <w:b/>
          <w:bCs/>
        </w:rPr>
      </w:pPr>
      <w:r w:rsidRPr="008E2E2B">
        <w:rPr>
          <w:rFonts w:eastAsia="SimSun" w:cs="Times New Roman"/>
          <w:b/>
          <w:bCs/>
        </w:rPr>
        <w:t>Disclosure statement</w:t>
      </w:r>
    </w:p>
    <w:p w14:paraId="4880AE49" w14:textId="77777777" w:rsidR="006F7A85" w:rsidRDefault="006F7A85" w:rsidP="006F7A85">
      <w:pPr>
        <w:rPr>
          <w:rFonts w:eastAsia="SimSun" w:cs="Times New Roman"/>
        </w:rPr>
      </w:pPr>
      <w:r w:rsidRPr="008E2E2B">
        <w:rPr>
          <w:rFonts w:eastAsia="SimSun" w:cs="Times New Roman"/>
        </w:rPr>
        <w:t>The author</w:t>
      </w:r>
      <w:r>
        <w:rPr>
          <w:rFonts w:eastAsia="SimSun" w:cs="Times New Roman"/>
        </w:rPr>
        <w:t>s</w:t>
      </w:r>
      <w:r w:rsidRPr="008E2E2B">
        <w:rPr>
          <w:rFonts w:eastAsia="SimSun" w:cs="Times New Roman"/>
        </w:rPr>
        <w:t xml:space="preserve"> declare no conflict of interest.</w:t>
      </w:r>
    </w:p>
    <w:p w14:paraId="22B62AEF" w14:textId="77777777" w:rsidR="006F7A85" w:rsidRPr="005503FE" w:rsidRDefault="006F7A85" w:rsidP="005503FE">
      <w:pPr>
        <w:rPr>
          <w:rFonts w:cs="Times New Roman"/>
        </w:rPr>
      </w:pPr>
    </w:p>
    <w:p w14:paraId="2945F789" w14:textId="7C360454" w:rsidR="006F7A85" w:rsidRPr="00506015" w:rsidRDefault="00000000" w:rsidP="005503FE">
      <w:pPr>
        <w:rPr>
          <w:rFonts w:cs="Times New Roman"/>
          <w:b/>
          <w:bCs/>
        </w:rPr>
      </w:pPr>
      <w:r w:rsidRPr="00506015">
        <w:rPr>
          <w:rFonts w:cs="Times New Roman"/>
          <w:b/>
          <w:bCs/>
        </w:rPr>
        <w:t>References</w:t>
      </w:r>
    </w:p>
    <w:p w14:paraId="1FFC8100" w14:textId="5B9E68D5" w:rsidR="00A611CC" w:rsidRPr="005503FE" w:rsidRDefault="00000000" w:rsidP="005503FE">
      <w:pPr>
        <w:rPr>
          <w:rFonts w:cs="Times New Roman"/>
        </w:rPr>
      </w:pPr>
      <w:r w:rsidRPr="005503FE">
        <w:rPr>
          <w:rFonts w:cs="Times New Roman"/>
        </w:rPr>
        <w:t>[1] Sapir E, 1921, Language</w:t>
      </w:r>
      <w:r w:rsidR="005503FE">
        <w:rPr>
          <w:rFonts w:cs="Times New Roman"/>
        </w:rPr>
        <w:t>:</w:t>
      </w:r>
      <w:r w:rsidRPr="005503FE">
        <w:rPr>
          <w:rFonts w:cs="Times New Roman"/>
        </w:rPr>
        <w:t xml:space="preserve"> An Introduction to the Study of Speech</w:t>
      </w:r>
      <w:r w:rsidR="00936043">
        <w:rPr>
          <w:rFonts w:cs="Times New Roman"/>
        </w:rPr>
        <w:t>.</w:t>
      </w:r>
      <w:r w:rsidRPr="005503FE">
        <w:rPr>
          <w:rFonts w:cs="Times New Roman"/>
        </w:rPr>
        <w:t xml:space="preserve"> Harcourt, Brace and Company, New York.</w:t>
      </w:r>
    </w:p>
    <w:p w14:paraId="34EDA83B" w14:textId="6728A8B7" w:rsidR="00A611CC" w:rsidRPr="005503FE" w:rsidRDefault="00000000" w:rsidP="005503FE">
      <w:pPr>
        <w:rPr>
          <w:rFonts w:cs="Times New Roman"/>
        </w:rPr>
      </w:pPr>
      <w:r w:rsidRPr="005503FE">
        <w:rPr>
          <w:rFonts w:cs="Times New Roman"/>
        </w:rPr>
        <w:t>[2] Nisbett RE, 2003, The Geography of Thought</w:t>
      </w:r>
      <w:r w:rsidR="005503FE">
        <w:rPr>
          <w:rFonts w:cs="Times New Roman"/>
        </w:rPr>
        <w:t>:</w:t>
      </w:r>
      <w:r w:rsidRPr="005503FE">
        <w:rPr>
          <w:rFonts w:cs="Times New Roman"/>
        </w:rPr>
        <w:t xml:space="preserve"> How Asians and Westerners Think Differently... and </w:t>
      </w:r>
      <w:proofErr w:type="gramStart"/>
      <w:r w:rsidRPr="005503FE">
        <w:rPr>
          <w:rFonts w:cs="Times New Roman"/>
        </w:rPr>
        <w:t>Why</w:t>
      </w:r>
      <w:proofErr w:type="gramEnd"/>
      <w:r w:rsidR="00936043">
        <w:rPr>
          <w:rFonts w:cs="Times New Roman"/>
        </w:rPr>
        <w:t>.</w:t>
      </w:r>
      <w:r w:rsidRPr="005503FE">
        <w:rPr>
          <w:rFonts w:cs="Times New Roman"/>
        </w:rPr>
        <w:t xml:space="preserve"> Free Press, New York.</w:t>
      </w:r>
    </w:p>
    <w:p w14:paraId="1C5BB800" w14:textId="2445BC84" w:rsidR="00A611CC" w:rsidRPr="005503FE" w:rsidRDefault="00000000" w:rsidP="005503FE">
      <w:pPr>
        <w:rPr>
          <w:rFonts w:cs="Times New Roman"/>
        </w:rPr>
      </w:pPr>
      <w:r w:rsidRPr="005503FE">
        <w:rPr>
          <w:rFonts w:cs="Times New Roman"/>
        </w:rPr>
        <w:t>[3] Li CN, Thompson SA, 1976, Subject and Topic</w:t>
      </w:r>
      <w:r w:rsidR="005503FE">
        <w:rPr>
          <w:rFonts w:cs="Times New Roman"/>
        </w:rPr>
        <w:t>:</w:t>
      </w:r>
      <w:r w:rsidRPr="005503FE">
        <w:rPr>
          <w:rFonts w:cs="Times New Roman"/>
        </w:rPr>
        <w:t xml:space="preserve"> A New Typology of Language</w:t>
      </w:r>
      <w:r w:rsidR="00936043">
        <w:rPr>
          <w:rFonts w:cs="Times New Roman"/>
        </w:rPr>
        <w:t>,</w:t>
      </w:r>
      <w:r w:rsidRPr="005503FE">
        <w:rPr>
          <w:rFonts w:cs="Times New Roman"/>
        </w:rPr>
        <w:t xml:space="preserve"> </w:t>
      </w:r>
      <w:r w:rsidR="00936043">
        <w:rPr>
          <w:rFonts w:cs="Times New Roman"/>
        </w:rPr>
        <w:t>in</w:t>
      </w:r>
      <w:r w:rsidRPr="005503FE">
        <w:rPr>
          <w:rFonts w:cs="Times New Roman"/>
        </w:rPr>
        <w:t xml:space="preserve"> Subject and Topic</w:t>
      </w:r>
      <w:r w:rsidR="00936043">
        <w:rPr>
          <w:rFonts w:cs="Times New Roman"/>
        </w:rPr>
        <w:t>.</w:t>
      </w:r>
      <w:r w:rsidRPr="005503FE">
        <w:rPr>
          <w:rFonts w:cs="Times New Roman"/>
        </w:rPr>
        <w:t xml:space="preserve"> Academic Press, New York, 457–489.</w:t>
      </w:r>
    </w:p>
    <w:p w14:paraId="05AEA64E" w14:textId="53584472" w:rsidR="00A611CC" w:rsidRPr="005503FE" w:rsidRDefault="00000000" w:rsidP="005503FE">
      <w:pPr>
        <w:rPr>
          <w:rFonts w:cs="Times New Roman"/>
        </w:rPr>
      </w:pPr>
      <w:r w:rsidRPr="005503FE">
        <w:rPr>
          <w:rFonts w:cs="Times New Roman"/>
        </w:rPr>
        <w:t>[4] Lian S, 2010, Contrastive Studies of English and Chinese (Revised Edition)</w:t>
      </w:r>
      <w:r w:rsidR="00936043">
        <w:rPr>
          <w:rFonts w:cs="Times New Roman"/>
        </w:rPr>
        <w:t>.</w:t>
      </w:r>
      <w:r w:rsidRPr="005503FE">
        <w:rPr>
          <w:rFonts w:cs="Times New Roman"/>
        </w:rPr>
        <w:t xml:space="preserve"> Higher Education Press, Beijing.</w:t>
      </w:r>
    </w:p>
    <w:p w14:paraId="182EAAB2" w14:textId="7C46AB7F" w:rsidR="00A611CC" w:rsidRPr="005503FE" w:rsidRDefault="00000000" w:rsidP="005503FE">
      <w:pPr>
        <w:rPr>
          <w:rFonts w:cs="Times New Roman"/>
        </w:rPr>
      </w:pPr>
      <w:r w:rsidRPr="005503FE">
        <w:rPr>
          <w:rFonts w:cs="Times New Roman"/>
        </w:rPr>
        <w:t>[5] Shen J, 2020, English-Chinese Differences Concerning Modes of Thinking. Modern Foreign Languages, 43(1)</w:t>
      </w:r>
      <w:r w:rsidR="005503FE">
        <w:rPr>
          <w:rFonts w:cs="Times New Roman"/>
        </w:rPr>
        <w:t>:</w:t>
      </w:r>
      <w:r w:rsidRPr="005503FE">
        <w:rPr>
          <w:rFonts w:cs="Times New Roman"/>
        </w:rPr>
        <w:t xml:space="preserve"> 1–17.</w:t>
      </w:r>
    </w:p>
    <w:p w14:paraId="51573685" w14:textId="3E2E0F10" w:rsidR="00A611CC" w:rsidRPr="005503FE" w:rsidRDefault="00000000" w:rsidP="005503FE">
      <w:pPr>
        <w:rPr>
          <w:rFonts w:cs="Times New Roman"/>
        </w:rPr>
      </w:pPr>
      <w:r w:rsidRPr="005503FE">
        <w:rPr>
          <w:rFonts w:cs="Times New Roman"/>
        </w:rPr>
        <w:t xml:space="preserve">[6] Wang Y, 2023, From Cognitive View of Translation and Cognitive </w:t>
      </w:r>
      <w:proofErr w:type="spellStart"/>
      <w:r w:rsidRPr="005503FE">
        <w:rPr>
          <w:rFonts w:cs="Times New Roman"/>
        </w:rPr>
        <w:t>Translatology</w:t>
      </w:r>
      <w:proofErr w:type="spellEnd"/>
      <w:r w:rsidRPr="005503FE">
        <w:rPr>
          <w:rFonts w:cs="Times New Roman"/>
        </w:rPr>
        <w:t xml:space="preserve"> to Embodied-Cognitive </w:t>
      </w:r>
      <w:proofErr w:type="spellStart"/>
      <w:r w:rsidRPr="005503FE">
        <w:rPr>
          <w:rFonts w:cs="Times New Roman"/>
        </w:rPr>
        <w:t>Translatology</w:t>
      </w:r>
      <w:proofErr w:type="spellEnd"/>
      <w:r w:rsidRPr="005503FE">
        <w:rPr>
          <w:rFonts w:cs="Times New Roman"/>
        </w:rPr>
        <w:t>. Language Education, 11(4)</w:t>
      </w:r>
      <w:r w:rsidR="005503FE">
        <w:rPr>
          <w:rFonts w:cs="Times New Roman"/>
        </w:rPr>
        <w:t>:</w:t>
      </w:r>
      <w:r w:rsidRPr="005503FE">
        <w:rPr>
          <w:rFonts w:cs="Times New Roman"/>
        </w:rPr>
        <w:t xml:space="preserve"> 72–80.</w:t>
      </w:r>
    </w:p>
    <w:p w14:paraId="19D36D93" w14:textId="0C506E3C" w:rsidR="00A611CC" w:rsidRPr="005503FE" w:rsidRDefault="00000000" w:rsidP="005503FE">
      <w:pPr>
        <w:rPr>
          <w:rFonts w:cs="Times New Roman"/>
        </w:rPr>
      </w:pPr>
      <w:r w:rsidRPr="005503FE">
        <w:rPr>
          <w:rFonts w:cs="Times New Roman"/>
        </w:rPr>
        <w:t>[7] Xiang Y, 2024, Differences in Chinese-English Thinking Perspectives and Translation Teaching. Creativity and Innovation (Chinese Version), 8(5)</w:t>
      </w:r>
      <w:r w:rsidR="005503FE">
        <w:rPr>
          <w:rFonts w:cs="Times New Roman"/>
        </w:rPr>
        <w:t>:</w:t>
      </w:r>
      <w:r w:rsidRPr="005503FE">
        <w:rPr>
          <w:rFonts w:cs="Times New Roman"/>
        </w:rPr>
        <w:t xml:space="preserve"> 54–59. </w:t>
      </w:r>
      <w:r w:rsidR="00657B61" w:rsidRPr="00657B61">
        <w:rPr>
          <w:rFonts w:cs="Times New Roman"/>
        </w:rPr>
        <w:t>https://doi.org/</w:t>
      </w:r>
      <w:r w:rsidRPr="005503FE">
        <w:rPr>
          <w:rFonts w:cs="Times New Roman"/>
        </w:rPr>
        <w:t>10.12184/wspcyycx2WSP2516-415508.20240805</w:t>
      </w:r>
    </w:p>
    <w:p w14:paraId="5F1F7166" w14:textId="40702902" w:rsidR="00A611CC" w:rsidRPr="005503FE" w:rsidRDefault="00000000" w:rsidP="005503FE">
      <w:pPr>
        <w:rPr>
          <w:rFonts w:cs="Times New Roman"/>
        </w:rPr>
      </w:pPr>
      <w:r w:rsidRPr="005503FE">
        <w:rPr>
          <w:rFonts w:cs="Times New Roman"/>
        </w:rPr>
        <w:t>[8] Yang G, 2024, Analyzing the Impact of Differences in Chinese and English Thinking Styles on Chinese-to-English Translation—A Case Study of Zhang Peiji</w:t>
      </w:r>
      <w:r w:rsidR="005503FE">
        <w:rPr>
          <w:rFonts w:cs="Times New Roman"/>
        </w:rPr>
        <w:t>’</w:t>
      </w:r>
      <w:r w:rsidRPr="005503FE">
        <w:rPr>
          <w:rFonts w:cs="Times New Roman"/>
        </w:rPr>
        <w:t>s Selected Translations of Modern Chinese Prose into English. Modern Linguistics, 12(8)</w:t>
      </w:r>
      <w:r w:rsidR="005503FE">
        <w:rPr>
          <w:rFonts w:cs="Times New Roman"/>
        </w:rPr>
        <w:t>:</w:t>
      </w:r>
      <w:r w:rsidRPr="005503FE">
        <w:rPr>
          <w:rFonts w:cs="Times New Roman"/>
        </w:rPr>
        <w:t xml:space="preserve"> 338–342. </w:t>
      </w:r>
      <w:r w:rsidR="00657B61" w:rsidRPr="00657B61">
        <w:rPr>
          <w:rFonts w:cs="Times New Roman"/>
        </w:rPr>
        <w:t>https://doi.org/</w:t>
      </w:r>
      <w:r w:rsidRPr="005503FE">
        <w:rPr>
          <w:rFonts w:cs="Times New Roman"/>
        </w:rPr>
        <w:t>10.12677/ml.2024.128695</w:t>
      </w:r>
    </w:p>
    <w:p w14:paraId="544E3D74" w14:textId="65E22370" w:rsidR="00A611CC" w:rsidRPr="005503FE" w:rsidRDefault="00000000" w:rsidP="005503FE">
      <w:pPr>
        <w:rPr>
          <w:rFonts w:cs="Times New Roman"/>
        </w:rPr>
      </w:pPr>
      <w:r w:rsidRPr="005503FE">
        <w:rPr>
          <w:rFonts w:cs="Times New Roman"/>
        </w:rPr>
        <w:t>[9] Kaplan RB, 1966, Cultural Thought Patterns in Inter-Cultural Education. Language Learning, 16(1–2)</w:t>
      </w:r>
      <w:r w:rsidR="005503FE">
        <w:rPr>
          <w:rFonts w:cs="Times New Roman"/>
        </w:rPr>
        <w:t>:</w:t>
      </w:r>
      <w:r w:rsidRPr="005503FE">
        <w:rPr>
          <w:rFonts w:cs="Times New Roman"/>
        </w:rPr>
        <w:t xml:space="preserve"> 1–20.</w:t>
      </w:r>
      <w:r w:rsidR="00657B61">
        <w:rPr>
          <w:rFonts w:cs="Times New Roman"/>
        </w:rPr>
        <w:t xml:space="preserve"> </w:t>
      </w:r>
      <w:r w:rsidR="00657B61" w:rsidRPr="00657B61">
        <w:rPr>
          <w:rFonts w:cs="Times New Roman"/>
        </w:rPr>
        <w:t>https://doi.org/</w:t>
      </w:r>
      <w:r w:rsidRPr="005503FE">
        <w:rPr>
          <w:rFonts w:cs="Times New Roman"/>
        </w:rPr>
        <w:t>10.1111/j.1467-1770.1966.tb00804.x</w:t>
      </w:r>
    </w:p>
    <w:p w14:paraId="58987E74" w14:textId="77777777" w:rsidR="00A611CC" w:rsidRPr="005503FE" w:rsidRDefault="00000000" w:rsidP="005503FE">
      <w:pPr>
        <w:rPr>
          <w:rFonts w:cs="Times New Roman"/>
        </w:rPr>
      </w:pPr>
      <w:r w:rsidRPr="005503FE">
        <w:rPr>
          <w:rFonts w:cs="Times New Roman"/>
        </w:rPr>
        <w:t>[10] Halliday MAK, Hasan R, 1976, Cohesion in English, Longman, London.</w:t>
      </w:r>
    </w:p>
    <w:p w14:paraId="6D3816E2" w14:textId="77777777" w:rsidR="00A611CC" w:rsidRDefault="00000000" w:rsidP="005503FE">
      <w:pPr>
        <w:rPr>
          <w:rFonts w:cs="Times New Roman"/>
        </w:rPr>
      </w:pPr>
      <w:r w:rsidRPr="005503FE">
        <w:rPr>
          <w:rFonts w:cs="Times New Roman"/>
        </w:rPr>
        <w:t>[11] Nida EA, 1964, Toward a Science of Translating, E. J. Brill, Leiden.</w:t>
      </w:r>
    </w:p>
    <w:p w14:paraId="26F1638E" w14:textId="77777777" w:rsidR="006F7A85" w:rsidRDefault="006F7A85" w:rsidP="005503FE">
      <w:pPr>
        <w:rPr>
          <w:rFonts w:cs="Times New Roman"/>
        </w:rPr>
      </w:pPr>
    </w:p>
    <w:p w14:paraId="381CD428" w14:textId="77777777" w:rsidR="006F7A85" w:rsidRPr="00095942" w:rsidRDefault="006F7A85" w:rsidP="006F7A85">
      <w:pPr>
        <w:rPr>
          <w:rFonts w:eastAsia="SimSun" w:cs="Times New Roman"/>
          <w:b/>
          <w:bCs/>
          <w:sz w:val="20"/>
          <w:szCs w:val="20"/>
        </w:rPr>
      </w:pPr>
      <w:r w:rsidRPr="00095942">
        <w:rPr>
          <w:rFonts w:eastAsia="SimSun" w:cs="Times New Roman"/>
          <w:b/>
          <w:bCs/>
          <w:sz w:val="20"/>
          <w:szCs w:val="20"/>
        </w:rPr>
        <w:t>Publisher’s</w:t>
      </w:r>
      <w:r>
        <w:rPr>
          <w:rFonts w:eastAsia="SimSun" w:cs="Times New Roman"/>
          <w:b/>
          <w:bCs/>
          <w:sz w:val="20"/>
          <w:szCs w:val="20"/>
        </w:rPr>
        <w:t xml:space="preserve"> </w:t>
      </w:r>
      <w:r w:rsidRPr="00095942">
        <w:rPr>
          <w:rFonts w:eastAsia="SimSun" w:cs="Times New Roman"/>
          <w:b/>
          <w:bCs/>
          <w:sz w:val="20"/>
          <w:szCs w:val="20"/>
        </w:rPr>
        <w:t>note</w:t>
      </w:r>
    </w:p>
    <w:p w14:paraId="289D5D9B" w14:textId="26C081CA" w:rsidR="006F7A85" w:rsidRPr="006F7A85" w:rsidRDefault="006F7A85" w:rsidP="005503FE">
      <w:pPr>
        <w:rPr>
          <w:rFonts w:eastAsia="SimSun" w:cs="Times New Roman"/>
          <w:sz w:val="20"/>
          <w:szCs w:val="20"/>
        </w:rPr>
      </w:pPr>
      <w:r w:rsidRPr="00095942">
        <w:rPr>
          <w:rFonts w:eastAsia="SimSun" w:cs="Times New Roman"/>
          <w:sz w:val="20"/>
          <w:szCs w:val="20"/>
        </w:rPr>
        <w:t>Bio-Byword</w:t>
      </w:r>
      <w:r>
        <w:rPr>
          <w:rFonts w:eastAsia="SimSun" w:cs="Times New Roman"/>
          <w:sz w:val="20"/>
          <w:szCs w:val="20"/>
        </w:rPr>
        <w:t xml:space="preserve"> </w:t>
      </w:r>
      <w:r w:rsidRPr="00095942">
        <w:rPr>
          <w:rFonts w:eastAsia="SimSun" w:cs="Times New Roman"/>
          <w:sz w:val="20"/>
          <w:szCs w:val="20"/>
        </w:rPr>
        <w:t>Scientific</w:t>
      </w:r>
      <w:r>
        <w:rPr>
          <w:rFonts w:eastAsia="SimSun" w:cs="Times New Roman"/>
          <w:sz w:val="20"/>
          <w:szCs w:val="20"/>
        </w:rPr>
        <w:t xml:space="preserve"> </w:t>
      </w:r>
      <w:r w:rsidRPr="00095942">
        <w:rPr>
          <w:rFonts w:eastAsia="SimSun" w:cs="Times New Roman"/>
          <w:sz w:val="20"/>
          <w:szCs w:val="20"/>
        </w:rPr>
        <w:t>Publishing</w:t>
      </w:r>
      <w:r>
        <w:rPr>
          <w:rFonts w:eastAsia="SimSun" w:cs="Times New Roman"/>
          <w:sz w:val="20"/>
          <w:szCs w:val="20"/>
        </w:rPr>
        <w:t xml:space="preserve"> </w:t>
      </w:r>
      <w:r w:rsidRPr="00095942">
        <w:rPr>
          <w:rFonts w:eastAsia="SimSun" w:cs="Times New Roman"/>
          <w:sz w:val="20"/>
          <w:szCs w:val="20"/>
        </w:rPr>
        <w:t>remains</w:t>
      </w:r>
      <w:r>
        <w:rPr>
          <w:rFonts w:eastAsia="SimSun" w:cs="Times New Roman"/>
          <w:sz w:val="20"/>
          <w:szCs w:val="20"/>
        </w:rPr>
        <w:t xml:space="preserve"> </w:t>
      </w:r>
      <w:r w:rsidRPr="00095942">
        <w:rPr>
          <w:rFonts w:eastAsia="SimSun" w:cs="Times New Roman"/>
          <w:sz w:val="20"/>
          <w:szCs w:val="20"/>
        </w:rPr>
        <w:t>neutral</w:t>
      </w:r>
      <w:r>
        <w:rPr>
          <w:rFonts w:eastAsia="SimSun" w:cs="Times New Roman"/>
          <w:sz w:val="20"/>
          <w:szCs w:val="20"/>
        </w:rPr>
        <w:t xml:space="preserve"> </w:t>
      </w:r>
      <w:r w:rsidRPr="00095942">
        <w:rPr>
          <w:rFonts w:eastAsia="SimSun" w:cs="Times New Roman"/>
          <w:sz w:val="20"/>
          <w:szCs w:val="20"/>
        </w:rPr>
        <w:t>with</w:t>
      </w:r>
      <w:r>
        <w:rPr>
          <w:rFonts w:eastAsia="SimSun" w:cs="Times New Roman"/>
          <w:sz w:val="20"/>
          <w:szCs w:val="20"/>
        </w:rPr>
        <w:t xml:space="preserve"> </w:t>
      </w:r>
      <w:r w:rsidRPr="00095942">
        <w:rPr>
          <w:rFonts w:eastAsia="SimSun" w:cs="Times New Roman"/>
          <w:sz w:val="20"/>
          <w:szCs w:val="20"/>
        </w:rPr>
        <w:t>regard</w:t>
      </w:r>
      <w:r>
        <w:rPr>
          <w:rFonts w:eastAsia="SimSun" w:cs="Times New Roman"/>
          <w:sz w:val="20"/>
          <w:szCs w:val="20"/>
        </w:rPr>
        <w:t xml:space="preserve"> </w:t>
      </w:r>
      <w:r w:rsidRPr="00095942">
        <w:rPr>
          <w:rFonts w:eastAsia="SimSun" w:cs="Times New Roman"/>
          <w:sz w:val="20"/>
          <w:szCs w:val="20"/>
        </w:rPr>
        <w:t>to</w:t>
      </w:r>
      <w:r>
        <w:rPr>
          <w:rFonts w:eastAsia="SimSun" w:cs="Times New Roman"/>
          <w:sz w:val="20"/>
          <w:szCs w:val="20"/>
        </w:rPr>
        <w:t xml:space="preserve"> </w:t>
      </w:r>
      <w:r w:rsidRPr="00095942">
        <w:rPr>
          <w:rFonts w:eastAsia="SimSun" w:cs="Times New Roman"/>
          <w:sz w:val="20"/>
          <w:szCs w:val="20"/>
        </w:rPr>
        <w:t>jurisdictional</w:t>
      </w:r>
      <w:r>
        <w:rPr>
          <w:rFonts w:eastAsia="SimSun" w:cs="Times New Roman"/>
          <w:sz w:val="20"/>
          <w:szCs w:val="20"/>
        </w:rPr>
        <w:t xml:space="preserve"> </w:t>
      </w:r>
      <w:r w:rsidRPr="00095942">
        <w:rPr>
          <w:rFonts w:eastAsia="SimSun" w:cs="Times New Roman"/>
          <w:sz w:val="20"/>
          <w:szCs w:val="20"/>
        </w:rPr>
        <w:t>claims</w:t>
      </w:r>
      <w:r>
        <w:rPr>
          <w:rFonts w:eastAsia="SimSun" w:cs="Times New Roman"/>
          <w:sz w:val="20"/>
          <w:szCs w:val="20"/>
        </w:rPr>
        <w:t xml:space="preserve"> </w:t>
      </w:r>
      <w:r w:rsidRPr="00095942">
        <w:rPr>
          <w:rFonts w:eastAsia="SimSun" w:cs="Times New Roman"/>
          <w:sz w:val="20"/>
          <w:szCs w:val="20"/>
        </w:rPr>
        <w:t>in</w:t>
      </w:r>
      <w:r>
        <w:rPr>
          <w:rFonts w:eastAsia="SimSun" w:cs="Times New Roman"/>
          <w:sz w:val="20"/>
          <w:szCs w:val="20"/>
        </w:rPr>
        <w:t xml:space="preserve"> </w:t>
      </w:r>
      <w:r w:rsidRPr="00095942">
        <w:rPr>
          <w:rFonts w:eastAsia="SimSun" w:cs="Times New Roman"/>
          <w:sz w:val="20"/>
          <w:szCs w:val="20"/>
        </w:rPr>
        <w:t>published</w:t>
      </w:r>
      <w:r>
        <w:rPr>
          <w:rFonts w:eastAsia="SimSun" w:cs="Times New Roman"/>
          <w:sz w:val="20"/>
          <w:szCs w:val="20"/>
        </w:rPr>
        <w:t xml:space="preserve"> </w:t>
      </w:r>
      <w:r w:rsidRPr="00095942">
        <w:rPr>
          <w:rFonts w:eastAsia="SimSun" w:cs="Times New Roman"/>
          <w:sz w:val="20"/>
          <w:szCs w:val="20"/>
        </w:rPr>
        <w:t>maps</w:t>
      </w:r>
      <w:r>
        <w:rPr>
          <w:rFonts w:eastAsia="SimSun" w:cs="Times New Roman"/>
          <w:sz w:val="20"/>
          <w:szCs w:val="20"/>
        </w:rPr>
        <w:t xml:space="preserve"> </w:t>
      </w:r>
      <w:r w:rsidRPr="00095942">
        <w:rPr>
          <w:rFonts w:eastAsia="SimSun" w:cs="Times New Roman"/>
          <w:sz w:val="20"/>
          <w:szCs w:val="20"/>
        </w:rPr>
        <w:t>and</w:t>
      </w:r>
      <w:r>
        <w:rPr>
          <w:rFonts w:eastAsia="SimSun" w:cs="Times New Roman"/>
          <w:sz w:val="20"/>
          <w:szCs w:val="20"/>
        </w:rPr>
        <w:t xml:space="preserve"> </w:t>
      </w:r>
      <w:r w:rsidRPr="00095942">
        <w:rPr>
          <w:rFonts w:eastAsia="SimSun" w:cs="Times New Roman"/>
          <w:sz w:val="20"/>
          <w:szCs w:val="20"/>
        </w:rPr>
        <w:t>institutional</w:t>
      </w:r>
      <w:r>
        <w:rPr>
          <w:rFonts w:eastAsia="SimSun" w:cs="Times New Roman"/>
          <w:sz w:val="20"/>
          <w:szCs w:val="20"/>
        </w:rPr>
        <w:t xml:space="preserve"> </w:t>
      </w:r>
      <w:r w:rsidRPr="00095942">
        <w:rPr>
          <w:rFonts w:eastAsia="SimSun" w:cs="Times New Roman"/>
          <w:sz w:val="20"/>
          <w:szCs w:val="20"/>
        </w:rPr>
        <w:t>affiliations.</w:t>
      </w:r>
    </w:p>
    <w:sectPr w:rsidR="006F7A85" w:rsidRPr="006F7A8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9340C" w14:textId="77777777" w:rsidR="00B80864" w:rsidRDefault="00B80864">
      <w:r>
        <w:separator/>
      </w:r>
    </w:p>
  </w:endnote>
  <w:endnote w:type="continuationSeparator" w:id="0">
    <w:p w14:paraId="72C0E0CA" w14:textId="77777777" w:rsidR="00B80864" w:rsidRDefault="00B8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6E13" w14:textId="77777777" w:rsidR="00B80864" w:rsidRDefault="00B80864">
      <w:r>
        <w:separator/>
      </w:r>
    </w:p>
  </w:footnote>
  <w:footnote w:type="continuationSeparator" w:id="0">
    <w:p w14:paraId="17313EFC" w14:textId="77777777" w:rsidR="00B80864" w:rsidRDefault="00B80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B28"/>
    <w:rsid w:val="000262A9"/>
    <w:rsid w:val="00033F90"/>
    <w:rsid w:val="00043C83"/>
    <w:rsid w:val="00050A7C"/>
    <w:rsid w:val="00065C36"/>
    <w:rsid w:val="000C567A"/>
    <w:rsid w:val="00146AE7"/>
    <w:rsid w:val="00153D61"/>
    <w:rsid w:val="00184216"/>
    <w:rsid w:val="001A5945"/>
    <w:rsid w:val="00205071"/>
    <w:rsid w:val="002703DA"/>
    <w:rsid w:val="002A3AD8"/>
    <w:rsid w:val="002C0DAC"/>
    <w:rsid w:val="002C424E"/>
    <w:rsid w:val="003053E5"/>
    <w:rsid w:val="003117D0"/>
    <w:rsid w:val="003232A9"/>
    <w:rsid w:val="00360D38"/>
    <w:rsid w:val="00376B8E"/>
    <w:rsid w:val="00391016"/>
    <w:rsid w:val="003E0023"/>
    <w:rsid w:val="004238A6"/>
    <w:rsid w:val="00432136"/>
    <w:rsid w:val="00474F33"/>
    <w:rsid w:val="00491821"/>
    <w:rsid w:val="004A5B28"/>
    <w:rsid w:val="004B3AD0"/>
    <w:rsid w:val="00506015"/>
    <w:rsid w:val="00514D8D"/>
    <w:rsid w:val="005170B3"/>
    <w:rsid w:val="00542D65"/>
    <w:rsid w:val="005503FE"/>
    <w:rsid w:val="005674EA"/>
    <w:rsid w:val="005D6D0C"/>
    <w:rsid w:val="00600BF3"/>
    <w:rsid w:val="00606D4E"/>
    <w:rsid w:val="0063069E"/>
    <w:rsid w:val="00637F45"/>
    <w:rsid w:val="00653DA0"/>
    <w:rsid w:val="00657B61"/>
    <w:rsid w:val="006F7A85"/>
    <w:rsid w:val="00724293"/>
    <w:rsid w:val="007721B9"/>
    <w:rsid w:val="00803D7E"/>
    <w:rsid w:val="008B1210"/>
    <w:rsid w:val="008D77F8"/>
    <w:rsid w:val="00936043"/>
    <w:rsid w:val="00976DDE"/>
    <w:rsid w:val="0098595B"/>
    <w:rsid w:val="00A611CC"/>
    <w:rsid w:val="00AB0966"/>
    <w:rsid w:val="00AD2E57"/>
    <w:rsid w:val="00AD40DB"/>
    <w:rsid w:val="00AD7FC5"/>
    <w:rsid w:val="00B11C6B"/>
    <w:rsid w:val="00B80864"/>
    <w:rsid w:val="00B814C4"/>
    <w:rsid w:val="00BB252F"/>
    <w:rsid w:val="00CA5E5D"/>
    <w:rsid w:val="00CE78AB"/>
    <w:rsid w:val="00D53B97"/>
    <w:rsid w:val="00D55396"/>
    <w:rsid w:val="00D57E46"/>
    <w:rsid w:val="00D66B5E"/>
    <w:rsid w:val="00D8201B"/>
    <w:rsid w:val="00D85F97"/>
    <w:rsid w:val="00DB2D83"/>
    <w:rsid w:val="00DB5C4D"/>
    <w:rsid w:val="00DE09F8"/>
    <w:rsid w:val="00DF67FF"/>
    <w:rsid w:val="00E35737"/>
    <w:rsid w:val="00E6534A"/>
    <w:rsid w:val="00E83A08"/>
    <w:rsid w:val="00EB4B24"/>
    <w:rsid w:val="00EB579C"/>
    <w:rsid w:val="00EC2843"/>
    <w:rsid w:val="00EC4C87"/>
    <w:rsid w:val="00F953BE"/>
    <w:rsid w:val="00FE781B"/>
    <w:rsid w:val="56CE56F7"/>
    <w:rsid w:val="794D128C"/>
    <w:rsid w:val="FF2D0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1E9B8"/>
  <w15:docId w15:val="{F0E07630-C827-49BF-875D-6A69A870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djustRightInd w:val="0"/>
      <w:snapToGrid w:val="0"/>
      <w:jc w:val="both"/>
    </w:pPr>
    <w:rPr>
      <w:rFonts w:ascii="Times New Roman" w:hAnsi="Times New Roman"/>
      <w:kern w:val="2"/>
      <w:sz w:val="24"/>
      <w:szCs w:val="24"/>
      <w:lang w:val="en-US"/>
      <w14:ligatures w14:val="standardContextual"/>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sz w:val="20"/>
      <w:szCs w:val="20"/>
    </w:rPr>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NormalWeb">
    <w:name w:val="Normal (Web)"/>
    <w:basedOn w:val="Normal"/>
    <w:uiPriority w:val="99"/>
    <w:semiHidden/>
    <w:unhideWhenUsed/>
    <w:qFormat/>
    <w:rPr>
      <w:rFonts w:cs="Times New Roman"/>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467886" w:themeColor="hyperlink"/>
    </w:rPr>
  </w:style>
  <w:style w:type="character" w:styleId="CommentReference">
    <w:name w:val="annotation reference"/>
    <w:basedOn w:val="DefaultParagraphFont"/>
    <w:uiPriority w:val="99"/>
    <w:semiHidden/>
    <w:unhideWhenUsed/>
    <w:qFormat/>
    <w:rPr>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99"/>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kern w:val="2"/>
      <w:sz w:val="22"/>
      <w:szCs w:val="24"/>
      <w:lang w:val="en-US"/>
      <w14:ligatures w14:val="standardContextual"/>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paragraph" w:styleId="Revision">
    <w:name w:val="Revision"/>
    <w:hidden/>
    <w:uiPriority w:val="99"/>
    <w:unhideWhenUsed/>
    <w:rsid w:val="00803D7E"/>
    <w:rPr>
      <w:rFonts w:ascii="Times New Roman" w:hAnsi="Times New Roman"/>
      <w:kern w:val="2"/>
      <w:sz w:val="24"/>
      <w:szCs w:val="24"/>
      <w:lang w:val="en-US"/>
      <w14:ligatures w14:val="standardContextual"/>
    </w:rPr>
  </w:style>
  <w:style w:type="character" w:styleId="UnresolvedMention">
    <w:name w:val="Unresolved Mention"/>
    <w:basedOn w:val="DefaultParagraphFont"/>
    <w:uiPriority w:val="99"/>
    <w:semiHidden/>
    <w:unhideWhenUsed/>
    <w:rsid w:val="00657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87F145A8-8B51-459B-BE1B-EDC25D64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3611</Words>
  <Characters>20584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聂玉环</dc:creator>
  <cp:lastModifiedBy>Acer NB</cp:lastModifiedBy>
  <cp:revision>2</cp:revision>
  <dcterms:created xsi:type="dcterms:W3CDTF">2026-07-23T07:16:00Z</dcterms:created>
  <dcterms:modified xsi:type="dcterms:W3CDTF">2026-07-23T07:16:00Z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5CAC7AF5DF5CE185D526566A9C9F6AAC_42</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a9177e3d-c276-4c70-a0e1-46fe8c0977d8</vt:lpwstr>
  </property>
</Properties>
</file>