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E7778" w14:textId="10A71F5A" w:rsidR="00B93500" w:rsidRPr="00A51430" w:rsidRDefault="00000000" w:rsidP="00A51430">
      <w:pPr>
        <w:spacing w:after="0"/>
        <w:rPr>
          <w:rFonts w:ascii="Times New Roman" w:hAnsi="Times New Roman" w:cs="Times New Roman"/>
          <w:b/>
          <w:bCs/>
          <w:color w:val="000000" w:themeColor="text1"/>
          <w:sz w:val="44"/>
          <w:szCs w:val="44"/>
        </w:rPr>
      </w:pPr>
      <w:r w:rsidRPr="00A51430">
        <w:rPr>
          <w:rFonts w:ascii="Times New Roman" w:hAnsi="Times New Roman" w:cs="Times New Roman"/>
          <w:b/>
          <w:bCs/>
          <w:color w:val="000000" w:themeColor="text1"/>
          <w:sz w:val="44"/>
          <w:szCs w:val="44"/>
        </w:rPr>
        <w:t>Predicting Campus-Space Suitability with Multi-Source Data and Seven Machine-Learning Models</w:t>
      </w:r>
    </w:p>
    <w:p w14:paraId="618A1E98" w14:textId="6DE2F7D7" w:rsidR="00B93500" w:rsidRPr="007302A9" w:rsidRDefault="00000000" w:rsidP="007F1E7F">
      <w:pPr>
        <w:spacing w:after="0"/>
        <w:jc w:val="both"/>
        <w:rPr>
          <w:rFonts w:ascii="Times New Roman" w:hAnsi="Times New Roman" w:cs="Times New Roman"/>
          <w:b/>
          <w:bCs/>
          <w:color w:val="000000" w:themeColor="text1"/>
          <w:lang w:val="en-MY" w:eastAsia="zh-CN"/>
        </w:rPr>
      </w:pPr>
      <w:r w:rsidRPr="007302A9">
        <w:rPr>
          <w:rFonts w:ascii="Times New Roman" w:hAnsi="Times New Roman" w:cs="Times New Roman"/>
          <w:b/>
          <w:bCs/>
          <w:color w:val="000000" w:themeColor="text1"/>
          <w:lang w:val="en-MY"/>
        </w:rPr>
        <w:t>Haopeng</w:t>
      </w:r>
      <w:r w:rsidRPr="007302A9">
        <w:rPr>
          <w:rFonts w:ascii="Times New Roman" w:hAnsi="Times New Roman" w:cs="Times New Roman"/>
          <w:b/>
          <w:bCs/>
          <w:color w:val="000000" w:themeColor="text1"/>
          <w:lang w:eastAsia="zh-CN"/>
        </w:rPr>
        <w:t xml:space="preserve"> </w:t>
      </w:r>
      <w:r w:rsidRPr="007302A9">
        <w:rPr>
          <w:rFonts w:ascii="Times New Roman" w:hAnsi="Times New Roman" w:cs="Times New Roman"/>
          <w:b/>
          <w:bCs/>
          <w:color w:val="000000" w:themeColor="text1"/>
          <w:lang w:val="en-MY"/>
        </w:rPr>
        <w:t>Li</w:t>
      </w:r>
      <w:r w:rsidRPr="007302A9">
        <w:rPr>
          <w:rFonts w:ascii="Times New Roman" w:hAnsi="Times New Roman" w:cs="Times New Roman"/>
          <w:b/>
          <w:bCs/>
          <w:color w:val="000000" w:themeColor="text1"/>
          <w:vertAlign w:val="superscript"/>
          <w:lang w:val="en-MY" w:eastAsia="zh-CN"/>
        </w:rPr>
        <w:t>1</w:t>
      </w:r>
      <w:r w:rsidRPr="007302A9">
        <w:rPr>
          <w:rFonts w:ascii="Times New Roman" w:hAnsi="Times New Roman" w:cs="Times New Roman"/>
          <w:b/>
          <w:bCs/>
          <w:color w:val="000000" w:themeColor="text1"/>
          <w:lang w:val="en-MY"/>
        </w:rPr>
        <w:t xml:space="preserve">, Mustafa </w:t>
      </w:r>
      <w:proofErr w:type="spellStart"/>
      <w:r w:rsidRPr="007302A9">
        <w:rPr>
          <w:rFonts w:ascii="Times New Roman" w:hAnsi="Times New Roman" w:cs="Times New Roman"/>
          <w:b/>
          <w:bCs/>
          <w:color w:val="000000" w:themeColor="text1"/>
          <w:lang w:val="en-MY"/>
        </w:rPr>
        <w:t>Muwafak</w:t>
      </w:r>
      <w:proofErr w:type="spellEnd"/>
      <w:r w:rsidRPr="007302A9">
        <w:rPr>
          <w:rFonts w:ascii="Times New Roman" w:hAnsi="Times New Roman" w:cs="Times New Roman"/>
          <w:b/>
          <w:bCs/>
          <w:color w:val="000000" w:themeColor="text1"/>
          <w:lang w:val="en-MY"/>
        </w:rPr>
        <w:t xml:space="preserve"> Alobaedy</w:t>
      </w:r>
      <w:r w:rsidRPr="007302A9">
        <w:rPr>
          <w:rFonts w:ascii="Times New Roman" w:hAnsi="Times New Roman" w:cs="Times New Roman"/>
          <w:b/>
          <w:bCs/>
          <w:color w:val="000000" w:themeColor="text1"/>
          <w:vertAlign w:val="superscript"/>
          <w:lang w:val="en-MY" w:eastAsia="zh-CN"/>
        </w:rPr>
        <w:t>1</w:t>
      </w:r>
      <w:r w:rsidRPr="007302A9">
        <w:rPr>
          <w:rFonts w:ascii="Times New Roman" w:hAnsi="Times New Roman" w:cs="Times New Roman"/>
          <w:b/>
          <w:bCs/>
          <w:color w:val="000000" w:themeColor="text1"/>
          <w:lang w:val="en-MY" w:eastAsia="zh-CN"/>
        </w:rPr>
        <w:t>*</w:t>
      </w:r>
      <w:r w:rsidRPr="007302A9">
        <w:rPr>
          <w:rFonts w:ascii="Times New Roman" w:hAnsi="Times New Roman" w:cs="Times New Roman"/>
          <w:b/>
          <w:bCs/>
          <w:color w:val="000000" w:themeColor="text1"/>
          <w:lang w:val="en-MY"/>
        </w:rPr>
        <w:t>, Mohd Nurul Hafiz Bin Ibrahim</w:t>
      </w:r>
      <w:r w:rsidRPr="007302A9">
        <w:rPr>
          <w:rFonts w:ascii="Times New Roman" w:hAnsi="Times New Roman" w:cs="Times New Roman"/>
          <w:b/>
          <w:bCs/>
          <w:color w:val="000000" w:themeColor="text1"/>
          <w:vertAlign w:val="superscript"/>
          <w:lang w:val="en-MY" w:eastAsia="zh-CN"/>
        </w:rPr>
        <w:t>1</w:t>
      </w:r>
      <w:r w:rsidRPr="007302A9">
        <w:rPr>
          <w:rFonts w:ascii="Times New Roman" w:hAnsi="Times New Roman" w:cs="Times New Roman"/>
          <w:b/>
          <w:bCs/>
          <w:color w:val="000000" w:themeColor="text1"/>
          <w:lang w:val="en-MY"/>
        </w:rPr>
        <w:t xml:space="preserve">, </w:t>
      </w:r>
      <w:r w:rsidRPr="007302A9">
        <w:rPr>
          <w:rFonts w:ascii="Times New Roman" w:hAnsi="Times New Roman" w:cs="Times New Roman"/>
          <w:b/>
          <w:bCs/>
          <w:color w:val="000000" w:themeColor="text1"/>
          <w:lang w:val="en-MY" w:eastAsia="zh-CN"/>
        </w:rPr>
        <w:t>Enci</w:t>
      </w:r>
      <w:r w:rsidR="007F1E7F" w:rsidRPr="007302A9">
        <w:rPr>
          <w:rFonts w:ascii="Times New Roman" w:hAnsi="Times New Roman" w:cs="Times New Roman"/>
          <w:b/>
          <w:bCs/>
          <w:color w:val="000000" w:themeColor="text1"/>
          <w:lang w:val="en-MY" w:eastAsia="zh-CN"/>
        </w:rPr>
        <w:t xml:space="preserve"> Chen </w:t>
      </w:r>
      <w:r w:rsidRPr="007302A9">
        <w:rPr>
          <w:rFonts w:ascii="Times New Roman" w:hAnsi="Times New Roman" w:cs="Times New Roman"/>
          <w:b/>
          <w:bCs/>
          <w:color w:val="000000" w:themeColor="text1"/>
          <w:vertAlign w:val="superscript"/>
          <w:lang w:val="en-MY" w:eastAsia="zh-CN"/>
        </w:rPr>
        <w:t>2</w:t>
      </w:r>
    </w:p>
    <w:p w14:paraId="0AC48B8F" w14:textId="2DB8CDD1" w:rsidR="00B93500" w:rsidRPr="007302A9" w:rsidRDefault="00000000" w:rsidP="007F1E7F">
      <w:pPr>
        <w:spacing w:after="0"/>
        <w:jc w:val="both"/>
        <w:rPr>
          <w:rFonts w:ascii="Times New Roman" w:hAnsi="Times New Roman" w:cs="Times New Roman"/>
          <w:color w:val="000000" w:themeColor="text1"/>
        </w:rPr>
      </w:pPr>
      <w:r w:rsidRPr="007302A9">
        <w:rPr>
          <w:rFonts w:ascii="Times New Roman" w:hAnsi="Times New Roman" w:cs="Times New Roman"/>
          <w:color w:val="000000" w:themeColor="text1"/>
          <w:vertAlign w:val="superscript"/>
        </w:rPr>
        <w:t>1</w:t>
      </w:r>
      <w:r w:rsidRPr="007302A9">
        <w:rPr>
          <w:rFonts w:ascii="Times New Roman" w:hAnsi="Times New Roman" w:cs="Times New Roman"/>
          <w:color w:val="000000" w:themeColor="text1"/>
        </w:rPr>
        <w:t>Faculty of Information Technology, City University Malaysia,</w:t>
      </w:r>
      <w:r w:rsidRPr="007302A9">
        <w:rPr>
          <w:rFonts w:ascii="Times New Roman" w:hAnsi="Times New Roman" w:cs="Times New Roman"/>
          <w:color w:val="000000" w:themeColor="text1"/>
          <w:lang w:eastAsia="zh-CN"/>
        </w:rPr>
        <w:t xml:space="preserve"> Petaling Jaya 46100, </w:t>
      </w:r>
      <w:r w:rsidRPr="007302A9">
        <w:rPr>
          <w:rFonts w:ascii="Times New Roman" w:hAnsi="Times New Roman" w:cs="Times New Roman"/>
          <w:color w:val="000000" w:themeColor="text1"/>
        </w:rPr>
        <w:t>Malaysia</w:t>
      </w:r>
    </w:p>
    <w:p w14:paraId="312A945D" w14:textId="242BB01A" w:rsidR="00B93500" w:rsidRPr="007302A9" w:rsidRDefault="00000000" w:rsidP="007F1E7F">
      <w:pPr>
        <w:spacing w:after="0"/>
        <w:jc w:val="both"/>
        <w:rPr>
          <w:rFonts w:ascii="Times New Roman" w:hAnsi="Times New Roman" w:cs="Times New Roman"/>
          <w:color w:val="000000" w:themeColor="text1"/>
        </w:rPr>
      </w:pPr>
      <w:r w:rsidRPr="007302A9">
        <w:rPr>
          <w:rFonts w:ascii="Times New Roman" w:hAnsi="Times New Roman" w:cs="Times New Roman"/>
          <w:color w:val="000000" w:themeColor="text1"/>
          <w:vertAlign w:val="superscript"/>
          <w:lang w:eastAsia="zh-CN"/>
        </w:rPr>
        <w:t>2</w:t>
      </w:r>
      <w:r w:rsidRPr="007302A9">
        <w:rPr>
          <w:rFonts w:ascii="Times New Roman" w:hAnsi="Times New Roman" w:cs="Times New Roman"/>
          <w:color w:val="000000" w:themeColor="text1"/>
        </w:rPr>
        <w:t>Information Center, Wenzhou Kean University, Wenzhou, 325060</w:t>
      </w:r>
      <w:r w:rsidR="007302A9">
        <w:rPr>
          <w:rFonts w:ascii="Times New Roman" w:hAnsi="Times New Roman" w:cs="Times New Roman"/>
          <w:color w:val="000000" w:themeColor="text1"/>
        </w:rPr>
        <w:t>,</w:t>
      </w:r>
      <w:r w:rsidRPr="007302A9">
        <w:rPr>
          <w:rFonts w:ascii="Times New Roman" w:hAnsi="Times New Roman" w:cs="Times New Roman"/>
          <w:color w:val="000000" w:themeColor="text1"/>
          <w:lang w:eastAsia="zh-CN"/>
        </w:rPr>
        <w:t xml:space="preserve"> </w:t>
      </w:r>
      <w:r w:rsidRPr="007302A9">
        <w:rPr>
          <w:rFonts w:ascii="Times New Roman" w:hAnsi="Times New Roman" w:cs="Times New Roman"/>
          <w:color w:val="000000" w:themeColor="text1"/>
        </w:rPr>
        <w:t>China</w:t>
      </w:r>
    </w:p>
    <w:p w14:paraId="04747DB7" w14:textId="77777777" w:rsidR="007302A9" w:rsidRPr="007302A9" w:rsidRDefault="007302A9" w:rsidP="007302A9">
      <w:pPr>
        <w:spacing w:after="0"/>
        <w:rPr>
          <w:rFonts w:ascii="Times New Roman" w:hAnsi="Times New Roman" w:cs="Times New Roman"/>
          <w:b/>
          <w:bCs/>
          <w:i/>
          <w:iCs/>
          <w:color w:val="000000" w:themeColor="text1"/>
        </w:rPr>
      </w:pPr>
      <w:r w:rsidRPr="007302A9">
        <w:rPr>
          <w:rFonts w:ascii="Times New Roman" w:hAnsi="Times New Roman" w:cs="Times New Roman"/>
          <w:b/>
          <w:bCs/>
          <w:i/>
          <w:iCs/>
          <w:color w:val="000000" w:themeColor="text1"/>
        </w:rPr>
        <w:t>*Author to whom correspondence should be addressed.</w:t>
      </w:r>
    </w:p>
    <w:p w14:paraId="04078789" w14:textId="77777777" w:rsidR="007302A9" w:rsidRPr="007302A9" w:rsidRDefault="007302A9" w:rsidP="007302A9">
      <w:pPr>
        <w:spacing w:after="0"/>
        <w:jc w:val="both"/>
        <w:rPr>
          <w:rFonts w:ascii="Times New Roman" w:eastAsia="SimSun" w:hAnsi="Times New Roman" w:cs="Times New Roman"/>
          <w:color w:val="000000" w:themeColor="text1"/>
          <w:lang w:eastAsia="zh-CN"/>
        </w:rPr>
      </w:pPr>
    </w:p>
    <w:p w14:paraId="498A7C17" w14:textId="4B9E906C" w:rsidR="00B93500" w:rsidRPr="007302A9" w:rsidRDefault="007302A9" w:rsidP="007302A9">
      <w:pPr>
        <w:spacing w:after="0"/>
        <w:rPr>
          <w:rFonts w:ascii="Times New Roman" w:hAnsi="Times New Roman" w:cs="Times New Roman"/>
          <w:color w:val="000000" w:themeColor="text1"/>
          <w:sz w:val="20"/>
        </w:rPr>
      </w:pPr>
      <w:r w:rsidRPr="007302A9">
        <w:rPr>
          <w:rFonts w:ascii="Times New Roman" w:hAnsi="Times New Roman" w:cs="Times New Roman"/>
          <w:b/>
          <w:color w:val="000000" w:themeColor="text1"/>
          <w:sz w:val="20"/>
        </w:rPr>
        <w:t>Copyright:</w:t>
      </w:r>
      <w:r w:rsidRPr="007302A9">
        <w:rPr>
          <w:rFonts w:ascii="Times New Roman" w:hAnsi="Times New Roman" w:cs="Times New Roman"/>
          <w:color w:val="000000" w:themeColor="text1"/>
          <w:sz w:val="20"/>
        </w:rPr>
        <w:t xml:space="preserve"> © 2026 Author(s). This is an open-access article distributed under the terms of the Creative Commons Attribution License (CC BY 4.0), permitting distribution and reproduction in any medium, provided the original work is cited.</w:t>
      </w:r>
    </w:p>
    <w:p w14:paraId="439BC27F" w14:textId="77777777" w:rsidR="007F1E7F" w:rsidRPr="007302A9" w:rsidRDefault="007F1E7F" w:rsidP="007F1E7F">
      <w:pPr>
        <w:spacing w:after="0"/>
        <w:jc w:val="both"/>
        <w:rPr>
          <w:rFonts w:ascii="Times New Roman" w:hAnsi="Times New Roman" w:cs="Times New Roman"/>
          <w:color w:val="000000" w:themeColor="text1"/>
        </w:rPr>
      </w:pPr>
    </w:p>
    <w:p w14:paraId="60C7630F" w14:textId="25BC8A34" w:rsidR="00B93500" w:rsidRPr="007302A9" w:rsidRDefault="00000000" w:rsidP="007F1E7F">
      <w:pPr>
        <w:spacing w:after="0"/>
        <w:jc w:val="both"/>
        <w:rPr>
          <w:rFonts w:ascii="Times New Roman" w:hAnsi="Times New Roman" w:cs="Times New Roman"/>
          <w:color w:val="000000" w:themeColor="text1"/>
        </w:rPr>
      </w:pPr>
      <w:r w:rsidRPr="007302A9">
        <w:rPr>
          <w:rFonts w:ascii="Times New Roman" w:hAnsi="Times New Roman" w:cs="Times New Roman"/>
          <w:b/>
          <w:bCs/>
          <w:color w:val="000000" w:themeColor="text1"/>
        </w:rPr>
        <w:t>Abstract</w:t>
      </w:r>
      <w:r w:rsidR="007F1E7F" w:rsidRPr="007302A9">
        <w:rPr>
          <w:rFonts w:ascii="Times New Roman" w:hAnsi="Times New Roman" w:cs="Times New Roman"/>
          <w:b/>
          <w:bCs/>
          <w:color w:val="000000" w:themeColor="text1"/>
        </w:rPr>
        <w:t>:</w:t>
      </w:r>
      <w:r w:rsidR="007F1E7F" w:rsidRPr="007302A9">
        <w:rPr>
          <w:rFonts w:ascii="Times New Roman" w:hAnsi="Times New Roman" w:cs="Times New Roman"/>
          <w:color w:val="000000" w:themeColor="text1"/>
        </w:rPr>
        <w:t xml:space="preserve"> </w:t>
      </w:r>
      <w:r w:rsidRPr="007302A9">
        <w:rPr>
          <w:rFonts w:ascii="Times New Roman" w:hAnsi="Times New Roman" w:cs="Times New Roman"/>
          <w:color w:val="000000" w:themeColor="text1"/>
        </w:rPr>
        <w:t xml:space="preserve">Campus planners still rely on surveys and static indicators that miss high-frequency behavioral change. </w:t>
      </w:r>
      <w:r w:rsidR="007302A9">
        <w:rPr>
          <w:rFonts w:ascii="Times New Roman" w:hAnsi="Times New Roman" w:cs="Times New Roman"/>
          <w:color w:val="000000" w:themeColor="text1"/>
        </w:rPr>
        <w:t>The study</w:t>
      </w:r>
      <w:r w:rsidRPr="007302A9">
        <w:rPr>
          <w:rFonts w:ascii="Times New Roman" w:hAnsi="Times New Roman" w:cs="Times New Roman"/>
          <w:color w:val="000000" w:themeColor="text1"/>
        </w:rPr>
        <w:t xml:space="preserve"> developed a Space–Behavior–Decision framework for Wenzhou-Kean University using 243,062 anonymized half-hourly Wi-Fi records (July 2023–March 2025), road-integration for 30 buildings, and functional labels for 35 access points. Seven regression models were compared. Random forest achieved the highest accuracy (R² = 0.9998, RMSE = 0.0025, MAPE = 0.38 %). The decision tree remained nearly as accurate (R² = 0.9986, MAPE = 0.47 %) while offering transparency and easy GIS integration, making it preferable for routine planning. Feature importance gave weights of 0.48 (density), 0.32 (integration)</w:t>
      </w:r>
      <w:r w:rsidR="007302A9">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and 0.20 (function). The high fit mainly shows the composite index is learnable. Quarterly updating and post-occupancy checks are required before operational use.</w:t>
      </w:r>
    </w:p>
    <w:p w14:paraId="5C301515" w14:textId="3C66E8F4" w:rsidR="00B93500" w:rsidRPr="007302A9" w:rsidRDefault="00000000" w:rsidP="007F1E7F">
      <w:pPr>
        <w:spacing w:after="0"/>
        <w:jc w:val="both"/>
        <w:rPr>
          <w:rFonts w:ascii="Times New Roman" w:hAnsi="Times New Roman" w:cs="Times New Roman"/>
          <w:color w:val="000000" w:themeColor="text1"/>
        </w:rPr>
      </w:pPr>
      <w:r w:rsidRPr="007302A9">
        <w:rPr>
          <w:rFonts w:ascii="Times New Roman" w:hAnsi="Times New Roman" w:cs="Times New Roman"/>
          <w:b/>
          <w:bCs/>
          <w:color w:val="000000" w:themeColor="text1"/>
        </w:rPr>
        <w:t>Keywords:</w:t>
      </w:r>
      <w:r w:rsidRPr="007302A9">
        <w:rPr>
          <w:rFonts w:ascii="Times New Roman" w:hAnsi="Times New Roman" w:cs="Times New Roman"/>
          <w:color w:val="000000" w:themeColor="text1"/>
        </w:rPr>
        <w:t xml:space="preserve"> </w:t>
      </w:r>
      <w:r w:rsidR="007302A9" w:rsidRPr="007302A9">
        <w:rPr>
          <w:rFonts w:ascii="Times New Roman" w:hAnsi="Times New Roman" w:cs="Times New Roman"/>
          <w:color w:val="000000" w:themeColor="text1"/>
        </w:rPr>
        <w:t>Camp</w:t>
      </w:r>
      <w:r w:rsidRPr="007302A9">
        <w:rPr>
          <w:rFonts w:ascii="Times New Roman" w:hAnsi="Times New Roman" w:cs="Times New Roman"/>
          <w:color w:val="000000" w:themeColor="text1"/>
        </w:rPr>
        <w:t xml:space="preserve">us public space; </w:t>
      </w:r>
      <w:r w:rsidR="007302A9" w:rsidRPr="007302A9">
        <w:rPr>
          <w:rFonts w:ascii="Times New Roman" w:hAnsi="Times New Roman" w:cs="Times New Roman"/>
          <w:color w:val="000000" w:themeColor="text1"/>
        </w:rPr>
        <w:t>Spati</w:t>
      </w:r>
      <w:r w:rsidRPr="007302A9">
        <w:rPr>
          <w:rFonts w:ascii="Times New Roman" w:hAnsi="Times New Roman" w:cs="Times New Roman"/>
          <w:color w:val="000000" w:themeColor="text1"/>
        </w:rPr>
        <w:t xml:space="preserve">al suitability; Wi-Fi sensing; </w:t>
      </w:r>
      <w:r w:rsidR="007302A9" w:rsidRPr="007302A9">
        <w:rPr>
          <w:rFonts w:ascii="Times New Roman" w:hAnsi="Times New Roman" w:cs="Times New Roman"/>
          <w:color w:val="000000" w:themeColor="text1"/>
        </w:rPr>
        <w:t>Mach</w:t>
      </w:r>
      <w:r w:rsidRPr="007302A9">
        <w:rPr>
          <w:rFonts w:ascii="Times New Roman" w:hAnsi="Times New Roman" w:cs="Times New Roman"/>
          <w:color w:val="000000" w:themeColor="text1"/>
        </w:rPr>
        <w:t xml:space="preserve">ine learning; </w:t>
      </w:r>
      <w:proofErr w:type="gramStart"/>
      <w:r w:rsidR="007302A9" w:rsidRPr="007302A9">
        <w:rPr>
          <w:rFonts w:ascii="Times New Roman" w:hAnsi="Times New Roman" w:cs="Times New Roman"/>
          <w:color w:val="000000" w:themeColor="text1"/>
        </w:rPr>
        <w:t>Rand</w:t>
      </w:r>
      <w:r w:rsidRPr="007302A9">
        <w:rPr>
          <w:rFonts w:ascii="Times New Roman" w:hAnsi="Times New Roman" w:cs="Times New Roman"/>
          <w:color w:val="000000" w:themeColor="text1"/>
        </w:rPr>
        <w:t>om forest</w:t>
      </w:r>
      <w:proofErr w:type="gramEnd"/>
      <w:r w:rsidRPr="007302A9">
        <w:rPr>
          <w:rFonts w:ascii="Times New Roman" w:hAnsi="Times New Roman" w:cs="Times New Roman"/>
          <w:color w:val="000000" w:themeColor="text1"/>
        </w:rPr>
        <w:t xml:space="preserve">; </w:t>
      </w:r>
      <w:r w:rsidR="007302A9" w:rsidRPr="007302A9">
        <w:rPr>
          <w:rFonts w:ascii="Times New Roman" w:hAnsi="Times New Roman" w:cs="Times New Roman"/>
          <w:color w:val="000000" w:themeColor="text1"/>
        </w:rPr>
        <w:t>Dec</w:t>
      </w:r>
      <w:r w:rsidRPr="007302A9">
        <w:rPr>
          <w:rFonts w:ascii="Times New Roman" w:hAnsi="Times New Roman" w:cs="Times New Roman"/>
          <w:color w:val="000000" w:themeColor="text1"/>
        </w:rPr>
        <w:t xml:space="preserve">ision tree; </w:t>
      </w:r>
      <w:r w:rsidR="007302A9" w:rsidRPr="007302A9">
        <w:rPr>
          <w:rFonts w:ascii="Times New Roman" w:hAnsi="Times New Roman" w:cs="Times New Roman"/>
          <w:color w:val="000000" w:themeColor="text1"/>
        </w:rPr>
        <w:t>Exp</w:t>
      </w:r>
      <w:r w:rsidRPr="007302A9">
        <w:rPr>
          <w:rFonts w:ascii="Times New Roman" w:hAnsi="Times New Roman" w:cs="Times New Roman"/>
          <w:color w:val="000000" w:themeColor="text1"/>
        </w:rPr>
        <w:t>lainable AI</w:t>
      </w:r>
    </w:p>
    <w:p w14:paraId="51FED119" w14:textId="57E9F79C" w:rsidR="007302A9" w:rsidRPr="007302A9" w:rsidRDefault="007302A9" w:rsidP="007F1E7F">
      <w:pPr>
        <w:spacing w:after="0"/>
        <w:jc w:val="both"/>
        <w:rPr>
          <w:rFonts w:ascii="Times New Roman" w:hAnsi="Times New Roman" w:cs="Times New Roman"/>
          <w:color w:val="000000" w:themeColor="text1"/>
        </w:rPr>
      </w:pPr>
    </w:p>
    <w:p w14:paraId="66E186FF" w14:textId="711CDF2C" w:rsidR="007302A9" w:rsidRPr="007302A9" w:rsidRDefault="007302A9" w:rsidP="007302A9">
      <w:pPr>
        <w:spacing w:after="0"/>
        <w:rPr>
          <w:rFonts w:ascii="Times New Roman" w:hAnsi="Times New Roman" w:cs="Times New Roman"/>
          <w:b/>
          <w:bCs/>
          <w:color w:val="000000" w:themeColor="text1"/>
          <w:sz w:val="20"/>
          <w:szCs w:val="20"/>
        </w:rPr>
      </w:pPr>
      <w:r w:rsidRPr="007302A9">
        <w:rPr>
          <w:rFonts w:ascii="Times New Roman" w:hAnsi="Times New Roman" w:cs="Times New Roman"/>
          <w:b/>
          <w:bCs/>
          <w:color w:val="000000" w:themeColor="text1"/>
          <w:sz w:val="20"/>
          <w:szCs w:val="20"/>
        </w:rPr>
        <w:t>Online publication:</w:t>
      </w:r>
    </w:p>
    <w:p w14:paraId="544B0620" w14:textId="77777777" w:rsidR="007302A9" w:rsidRPr="007302A9" w:rsidRDefault="007302A9" w:rsidP="007F1E7F">
      <w:pPr>
        <w:spacing w:after="0"/>
        <w:jc w:val="both"/>
        <w:rPr>
          <w:rFonts w:ascii="Times New Roman" w:hAnsi="Times New Roman" w:cs="Times New Roman"/>
          <w:color w:val="000000" w:themeColor="text1"/>
        </w:rPr>
      </w:pPr>
    </w:p>
    <w:p w14:paraId="3BA5B047" w14:textId="3A877FD4" w:rsidR="00B93500" w:rsidRPr="007302A9" w:rsidRDefault="00000000" w:rsidP="007F1E7F">
      <w:pPr>
        <w:spacing w:after="0"/>
        <w:jc w:val="both"/>
        <w:rPr>
          <w:rFonts w:ascii="Times New Roman" w:hAnsi="Times New Roman" w:cs="Times New Roman"/>
          <w:color w:val="000000" w:themeColor="text1"/>
        </w:rPr>
      </w:pPr>
      <w:r w:rsidRPr="007302A9">
        <w:rPr>
          <w:rFonts w:ascii="Times New Roman" w:hAnsi="Times New Roman" w:cs="Times New Roman"/>
          <w:b/>
          <w:bCs/>
          <w:color w:val="000000" w:themeColor="text1"/>
        </w:rPr>
        <w:t>1. Introduction</w:t>
      </w:r>
      <w:r w:rsidRPr="007302A9">
        <w:rPr>
          <w:rFonts w:ascii="Times New Roman" w:hAnsi="Times New Roman" w:cs="Times New Roman"/>
          <w:color w:val="000000" w:themeColor="text1"/>
        </w:rPr>
        <w:br/>
        <w:t>A campus is more than classrooms. Actual use shifts with timetable, weather</w:t>
      </w:r>
      <w:r w:rsidR="00C706CB">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and student habits, yet planning still leans on functional zoning and surveys. Existing Wi-Fi networks already generate continuous occupancy signals. The difficulty is combining those signals with network accessibility and building function into one usable suitability score. This paper examines whether multi-source indicators can reproduce a composite suitability function, how seven regressors compare on accuracy and deployment cost, and how machine-learning weights can revise expert weights, using 243,062 records from Wenzhou-Kean University.</w:t>
      </w:r>
    </w:p>
    <w:p w14:paraId="5E6871FA" w14:textId="4A50FC86" w:rsidR="00B93500" w:rsidRDefault="00000000" w:rsidP="00A51430">
      <w:pPr>
        <w:spacing w:after="0"/>
        <w:ind w:firstLineChars="200" w:firstLine="480"/>
        <w:jc w:val="both"/>
        <w:rPr>
          <w:rFonts w:ascii="Times New Roman" w:hAnsi="Times New Roman" w:cs="Times New Roman"/>
          <w:color w:val="000000" w:themeColor="text1"/>
        </w:rPr>
      </w:pPr>
      <w:r w:rsidRPr="007302A9">
        <w:rPr>
          <w:rFonts w:ascii="Times New Roman" w:hAnsi="Times New Roman" w:cs="Times New Roman"/>
          <w:color w:val="000000" w:themeColor="text1"/>
        </w:rPr>
        <w:t>Previous smart-campus studies have demonstrated that Wi-Fi connection logs can reveal fine-grained spatial occupancy patterns without requiring intrusive sensing</w:t>
      </w:r>
      <w:r w:rsidR="00C706CB">
        <w:rPr>
          <w:rFonts w:ascii="Times New Roman" w:hAnsi="Times New Roman" w:cs="Times New Roman"/>
          <w:color w:val="000000" w:themeColor="text1"/>
        </w:rPr>
        <w:t xml:space="preserve"> </w:t>
      </w:r>
      <w:r w:rsidRPr="00A51430">
        <w:rPr>
          <w:rFonts w:ascii="Times New Roman" w:hAnsi="Times New Roman" w:cs="Times New Roman"/>
          <w:color w:val="000000" w:themeColor="text1"/>
          <w:vertAlign w:val="superscript"/>
        </w:rPr>
        <w:t>[1]</w:t>
      </w:r>
      <w:r w:rsidRPr="007302A9">
        <w:rPr>
          <w:rFonts w:ascii="Times New Roman" w:hAnsi="Times New Roman" w:cs="Times New Roman"/>
          <w:color w:val="000000" w:themeColor="text1"/>
        </w:rPr>
        <w:t>. Campus-scale Wi-Fi traces have also been used to construct activity-based occupant models for energy and urban applications</w:t>
      </w:r>
      <w:r w:rsidR="00C706CB">
        <w:rPr>
          <w:rFonts w:ascii="Times New Roman" w:hAnsi="Times New Roman" w:cs="Times New Roman"/>
          <w:color w:val="000000" w:themeColor="text1"/>
        </w:rPr>
        <w:t xml:space="preserve"> </w:t>
      </w:r>
      <w:r w:rsidRPr="00A51430">
        <w:rPr>
          <w:rFonts w:ascii="Times New Roman" w:hAnsi="Times New Roman" w:cs="Times New Roman"/>
          <w:color w:val="000000" w:themeColor="text1"/>
          <w:vertAlign w:val="superscript"/>
        </w:rPr>
        <w:t>[2]</w:t>
      </w:r>
      <w:r w:rsidRPr="007302A9">
        <w:rPr>
          <w:rFonts w:ascii="Times New Roman" w:hAnsi="Times New Roman" w:cs="Times New Roman"/>
          <w:color w:val="000000" w:themeColor="text1"/>
        </w:rPr>
        <w:t>. The correspondence between Wi-Fi connection counts and camera-based occupancy measurements provides further evidence that network data can serve as a practical proxy for space use</w:t>
      </w:r>
      <w:r w:rsidR="005C10A6">
        <w:rPr>
          <w:rFonts w:ascii="Times New Roman" w:hAnsi="Times New Roman" w:cs="Times New Roman"/>
          <w:color w:val="000000" w:themeColor="text1"/>
        </w:rPr>
        <w:t xml:space="preserve"> </w:t>
      </w:r>
      <w:r w:rsidRPr="00A51430">
        <w:rPr>
          <w:rFonts w:ascii="Times New Roman" w:hAnsi="Times New Roman" w:cs="Times New Roman"/>
          <w:color w:val="000000" w:themeColor="text1"/>
          <w:vertAlign w:val="superscript"/>
        </w:rPr>
        <w:t>[3]</w:t>
      </w:r>
      <w:r w:rsidRPr="007302A9">
        <w:rPr>
          <w:rFonts w:ascii="Times New Roman" w:hAnsi="Times New Roman" w:cs="Times New Roman"/>
          <w:color w:val="000000" w:themeColor="text1"/>
        </w:rPr>
        <w:t xml:space="preserve">. Recent reviews </w:t>
      </w:r>
      <w:r w:rsidRPr="007302A9">
        <w:rPr>
          <w:rFonts w:ascii="Times New Roman" w:hAnsi="Times New Roman" w:cs="Times New Roman"/>
          <w:color w:val="000000" w:themeColor="text1"/>
        </w:rPr>
        <w:lastRenderedPageBreak/>
        <w:t>nevertheless emphasize that occupancy-prediction performance depends on sensing resolution, preprocessing, validation design</w:t>
      </w:r>
      <w:r w:rsidR="004110D4">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and transferability across buildings</w:t>
      </w:r>
      <w:r w:rsidR="004110D4">
        <w:rPr>
          <w:rFonts w:ascii="Times New Roman" w:hAnsi="Times New Roman" w:cs="Times New Roman"/>
          <w:color w:val="000000" w:themeColor="text1"/>
        </w:rPr>
        <w:t xml:space="preserve"> </w:t>
      </w:r>
      <w:r w:rsidRPr="00A51430">
        <w:rPr>
          <w:rFonts w:ascii="Times New Roman" w:hAnsi="Times New Roman" w:cs="Times New Roman"/>
          <w:color w:val="000000" w:themeColor="text1"/>
          <w:vertAlign w:val="superscript"/>
        </w:rPr>
        <w:t>[4]</w:t>
      </w:r>
      <w:r w:rsidRPr="007302A9">
        <w:rPr>
          <w:rFonts w:ascii="Times New Roman" w:hAnsi="Times New Roman" w:cs="Times New Roman"/>
          <w:color w:val="000000" w:themeColor="text1"/>
        </w:rPr>
        <w:t>. Edge-based transfer learning has been explored for classroom occupancy detection, while IoT-enabled smart-building research has highlighted the need to combine sensing, learning</w:t>
      </w:r>
      <w:r w:rsidR="004110D4">
        <w:rPr>
          <w:rFonts w:ascii="Times New Roman" w:hAnsi="Times New Roman" w:cs="Times New Roman"/>
          <w:color w:val="000000" w:themeColor="text1"/>
        </w:rPr>
        <w:t xml:space="preserve">, and operational decision-making </w:t>
      </w:r>
      <w:r w:rsidRPr="00A51430">
        <w:rPr>
          <w:rFonts w:ascii="Times New Roman" w:hAnsi="Times New Roman" w:cs="Times New Roman"/>
          <w:color w:val="000000" w:themeColor="text1"/>
          <w:vertAlign w:val="superscript"/>
        </w:rPr>
        <w:t>[</w:t>
      </w:r>
      <w:r w:rsidR="004110D4" w:rsidRPr="00A51430">
        <w:rPr>
          <w:rFonts w:ascii="Times New Roman" w:hAnsi="Times New Roman" w:cs="Times New Roman"/>
          <w:color w:val="000000" w:themeColor="text1"/>
          <w:vertAlign w:val="superscript"/>
        </w:rPr>
        <w:t>5–</w:t>
      </w:r>
      <w:r w:rsidRPr="00A51430">
        <w:rPr>
          <w:rFonts w:ascii="Times New Roman" w:hAnsi="Times New Roman" w:cs="Times New Roman"/>
          <w:color w:val="000000" w:themeColor="text1"/>
          <w:vertAlign w:val="superscript"/>
        </w:rPr>
        <w:t>6]</w:t>
      </w:r>
      <w:r w:rsidRPr="007302A9">
        <w:rPr>
          <w:rFonts w:ascii="Times New Roman" w:hAnsi="Times New Roman" w:cs="Times New Roman"/>
          <w:color w:val="000000" w:themeColor="text1"/>
        </w:rPr>
        <w:t>. Anonymous Wi-Fi records have also supported person-count estimation in university-library settings</w:t>
      </w:r>
      <w:r w:rsidR="004110D4">
        <w:rPr>
          <w:rFonts w:ascii="Times New Roman" w:hAnsi="Times New Roman" w:cs="Times New Roman"/>
          <w:color w:val="000000" w:themeColor="text1"/>
        </w:rPr>
        <w:t xml:space="preserve"> </w:t>
      </w:r>
      <w:r w:rsidRPr="00A51430">
        <w:rPr>
          <w:rFonts w:ascii="Times New Roman" w:hAnsi="Times New Roman" w:cs="Times New Roman"/>
          <w:color w:val="000000" w:themeColor="text1"/>
          <w:vertAlign w:val="superscript"/>
        </w:rPr>
        <w:t>[7]</w:t>
      </w:r>
      <w:r w:rsidRPr="007302A9">
        <w:rPr>
          <w:rFonts w:ascii="Times New Roman" w:hAnsi="Times New Roman" w:cs="Times New Roman"/>
          <w:color w:val="000000" w:themeColor="text1"/>
        </w:rPr>
        <w:t>. These studies motivate the present integration of behavioral intensity, spatial accessibility</w:t>
      </w:r>
      <w:r w:rsidR="009051F5">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and functional attributes within one campus-space suitability framework.</w:t>
      </w:r>
    </w:p>
    <w:p w14:paraId="1773190C" w14:textId="77777777" w:rsidR="00445D8E" w:rsidRPr="007302A9" w:rsidRDefault="00445D8E" w:rsidP="007F1E7F">
      <w:pPr>
        <w:spacing w:after="0"/>
        <w:jc w:val="both"/>
        <w:rPr>
          <w:rFonts w:ascii="Times New Roman" w:hAnsi="Times New Roman" w:cs="Times New Roman"/>
          <w:color w:val="000000" w:themeColor="text1"/>
        </w:rPr>
      </w:pPr>
    </w:p>
    <w:p w14:paraId="67E96A05" w14:textId="669AC88A" w:rsidR="00B93500" w:rsidRDefault="00000000" w:rsidP="007F1E7F">
      <w:pPr>
        <w:spacing w:after="0"/>
        <w:jc w:val="both"/>
        <w:rPr>
          <w:rFonts w:ascii="Times New Roman" w:hAnsi="Times New Roman" w:cs="Times New Roman"/>
          <w:color w:val="000000" w:themeColor="text1"/>
        </w:rPr>
      </w:pPr>
      <w:r w:rsidRPr="007302A9">
        <w:rPr>
          <w:rFonts w:ascii="Times New Roman" w:hAnsi="Times New Roman" w:cs="Times New Roman"/>
          <w:b/>
          <w:bCs/>
          <w:color w:val="000000" w:themeColor="text1"/>
        </w:rPr>
        <w:t xml:space="preserve">2. Data and </w:t>
      </w:r>
      <w:r w:rsidR="00445D8E" w:rsidRPr="007302A9">
        <w:rPr>
          <w:rFonts w:ascii="Times New Roman" w:hAnsi="Times New Roman" w:cs="Times New Roman"/>
          <w:b/>
          <w:bCs/>
          <w:color w:val="000000" w:themeColor="text1"/>
        </w:rPr>
        <w:t>metho</w:t>
      </w:r>
      <w:r w:rsidRPr="007302A9">
        <w:rPr>
          <w:rFonts w:ascii="Times New Roman" w:hAnsi="Times New Roman" w:cs="Times New Roman"/>
          <w:b/>
          <w:bCs/>
          <w:color w:val="000000" w:themeColor="text1"/>
        </w:rPr>
        <w:t>ds</w:t>
      </w:r>
      <w:r w:rsidRPr="007302A9">
        <w:rPr>
          <w:rFonts w:ascii="Times New Roman" w:hAnsi="Times New Roman" w:cs="Times New Roman"/>
          <w:color w:val="000000" w:themeColor="text1"/>
        </w:rPr>
        <w:br/>
        <w:t xml:space="preserve">The study covers July 2023–March 2025. Each of the 243,062 records counts unique MAC addresses at one access point in a 30-minute window. Only aggregated counts are used. As shown in </w:t>
      </w:r>
      <w:r w:rsidRPr="00A51430">
        <w:rPr>
          <w:rFonts w:ascii="Times New Roman" w:hAnsi="Times New Roman" w:cs="Times New Roman"/>
          <w:b/>
          <w:bCs/>
          <w:color w:val="000000" w:themeColor="text1"/>
        </w:rPr>
        <w:t>Table 1</w:t>
      </w:r>
      <w:r w:rsidRPr="007302A9">
        <w:rPr>
          <w:rFonts w:ascii="Times New Roman" w:hAnsi="Times New Roman" w:cs="Times New Roman"/>
          <w:color w:val="000000" w:themeColor="text1"/>
        </w:rPr>
        <w:t>, the analytical dataset is organized into four mutually linked layers rather than treated as a single undifferentiated data stream. The Wi-Fi layer contains 243,062 access-point-by-30-minute observations and provides the dynamic occupancy-density variable D. The spatial-network layer covers 30 buildings and supplies the road-integration variable I, whereas the functional layer maps 35 access-point locations to function-matching scores F. The target layer then assigns one composite suitability value S to every record, enabling the three predictors to be aligned at the same analytical unit.</w:t>
      </w:r>
    </w:p>
    <w:p w14:paraId="3347CA1A" w14:textId="77777777" w:rsidR="00445D8E" w:rsidRPr="007302A9" w:rsidRDefault="00445D8E" w:rsidP="007F1E7F">
      <w:pPr>
        <w:spacing w:after="0"/>
        <w:jc w:val="both"/>
        <w:rPr>
          <w:rFonts w:ascii="Times New Roman" w:hAnsi="Times New Roman" w:cs="Times New Roman"/>
          <w:color w:val="000000" w:themeColor="text1"/>
        </w:rPr>
      </w:pPr>
    </w:p>
    <w:p w14:paraId="009538BB" w14:textId="77777777" w:rsidR="00B93500" w:rsidRDefault="00000000" w:rsidP="007F1E7F">
      <w:pPr>
        <w:spacing w:after="0"/>
        <w:jc w:val="both"/>
        <w:rPr>
          <w:rFonts w:ascii="Times New Roman" w:hAnsi="Times New Roman" w:cs="Times New Roman"/>
          <w:color w:val="000000" w:themeColor="text1"/>
        </w:rPr>
      </w:pPr>
      <w:r w:rsidRPr="007302A9">
        <w:rPr>
          <w:rFonts w:ascii="Times New Roman" w:hAnsi="Times New Roman" w:cs="Times New Roman"/>
          <w:b/>
          <w:bCs/>
          <w:color w:val="000000" w:themeColor="text1"/>
        </w:rPr>
        <w:t>Table 1</w:t>
      </w:r>
      <w:r w:rsidRPr="00A51430">
        <w:rPr>
          <w:rFonts w:ascii="Times New Roman" w:hAnsi="Times New Roman" w:cs="Times New Roman"/>
          <w:color w:val="000000" w:themeColor="text1"/>
        </w:rPr>
        <w:t>. Data layers</w:t>
      </w:r>
    </w:p>
    <w:p w14:paraId="58BD0F73" w14:textId="77777777" w:rsidR="00445D8E" w:rsidRPr="007302A9" w:rsidRDefault="00445D8E" w:rsidP="007F1E7F">
      <w:pPr>
        <w:spacing w:after="0"/>
        <w:jc w:val="both"/>
        <w:rPr>
          <w:rFonts w:ascii="Times New Roman" w:hAnsi="Times New Roman" w:cs="Times New Roman"/>
          <w:color w:val="000000" w:themeColor="text1"/>
        </w:rPr>
      </w:pPr>
    </w:p>
    <w:tbl>
      <w:tblPr>
        <w:tblStyle w:val="Table"/>
        <w:tblW w:w="5000" w:type="pct"/>
        <w:tblInd w:w="0" w:type="dxa"/>
        <w:tblBorders>
          <w:top w:val="single" w:sz="4" w:space="0" w:color="auto"/>
          <w:bottom w:val="single" w:sz="4" w:space="0" w:color="auto"/>
        </w:tblBorders>
        <w:tblLook w:val="04A0" w:firstRow="1" w:lastRow="0" w:firstColumn="1" w:lastColumn="0" w:noHBand="0" w:noVBand="1"/>
      </w:tblPr>
      <w:tblGrid>
        <w:gridCol w:w="1998"/>
        <w:gridCol w:w="2366"/>
        <w:gridCol w:w="2201"/>
        <w:gridCol w:w="2075"/>
      </w:tblGrid>
      <w:tr w:rsidR="00B93500" w:rsidRPr="00A51430" w14:paraId="5B885429" w14:textId="77777777" w:rsidTr="00A51430">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4" w:space="0" w:color="auto"/>
              <w:bottom w:val="single" w:sz="4" w:space="0" w:color="auto"/>
            </w:tcBorders>
          </w:tcPr>
          <w:p w14:paraId="77AE1B86" w14:textId="77777777" w:rsidR="00B93500" w:rsidRPr="00A51430" w:rsidRDefault="00000000" w:rsidP="007F1E7F">
            <w:pPr>
              <w:spacing w:after="0"/>
              <w:jc w:val="both"/>
              <w:rPr>
                <w:rFonts w:ascii="Times New Roman" w:hAnsi="Times New Roman" w:cs="Times New Roman"/>
                <w:b/>
                <w:bCs/>
                <w:color w:val="000000" w:themeColor="text1"/>
                <w:sz w:val="20"/>
                <w:szCs w:val="20"/>
              </w:rPr>
            </w:pPr>
            <w:r w:rsidRPr="00A51430">
              <w:rPr>
                <w:rFonts w:ascii="Times New Roman" w:hAnsi="Times New Roman" w:cs="Times New Roman"/>
                <w:b/>
                <w:bCs/>
                <w:color w:val="000000" w:themeColor="text1"/>
                <w:sz w:val="20"/>
                <w:szCs w:val="20"/>
              </w:rPr>
              <w:t>Data layer</w:t>
            </w:r>
          </w:p>
        </w:tc>
        <w:tc>
          <w:tcPr>
            <w:tcW w:w="1369" w:type="pct"/>
            <w:tcBorders>
              <w:top w:val="single" w:sz="4" w:space="0" w:color="auto"/>
              <w:bottom w:val="single" w:sz="4" w:space="0" w:color="auto"/>
            </w:tcBorders>
          </w:tcPr>
          <w:p w14:paraId="6D62C95B" w14:textId="77777777" w:rsidR="00B93500" w:rsidRPr="00A51430" w:rsidRDefault="00000000" w:rsidP="007F1E7F">
            <w:pPr>
              <w:spacing w:after="0"/>
              <w:jc w:val="both"/>
              <w:rPr>
                <w:rFonts w:ascii="Times New Roman" w:hAnsi="Times New Roman" w:cs="Times New Roman"/>
                <w:b/>
                <w:bCs/>
                <w:color w:val="000000" w:themeColor="text1"/>
                <w:sz w:val="20"/>
                <w:szCs w:val="20"/>
              </w:rPr>
            </w:pPr>
            <w:r w:rsidRPr="00A51430">
              <w:rPr>
                <w:rFonts w:ascii="Times New Roman" w:hAnsi="Times New Roman" w:cs="Times New Roman"/>
                <w:b/>
                <w:bCs/>
                <w:color w:val="000000" w:themeColor="text1"/>
                <w:sz w:val="20"/>
                <w:szCs w:val="20"/>
              </w:rPr>
              <w:t>Scale</w:t>
            </w:r>
          </w:p>
        </w:tc>
        <w:tc>
          <w:tcPr>
            <w:tcW w:w="1274" w:type="pct"/>
            <w:tcBorders>
              <w:top w:val="single" w:sz="4" w:space="0" w:color="auto"/>
              <w:bottom w:val="single" w:sz="4" w:space="0" w:color="auto"/>
            </w:tcBorders>
          </w:tcPr>
          <w:p w14:paraId="01D3A02C" w14:textId="77777777" w:rsidR="00B93500" w:rsidRPr="00A51430" w:rsidRDefault="00000000" w:rsidP="007F1E7F">
            <w:pPr>
              <w:spacing w:after="0"/>
              <w:jc w:val="both"/>
              <w:rPr>
                <w:rFonts w:ascii="Times New Roman" w:hAnsi="Times New Roman" w:cs="Times New Roman"/>
                <w:b/>
                <w:bCs/>
                <w:color w:val="000000" w:themeColor="text1"/>
                <w:sz w:val="20"/>
                <w:szCs w:val="20"/>
              </w:rPr>
            </w:pPr>
            <w:r w:rsidRPr="00A51430">
              <w:rPr>
                <w:rFonts w:ascii="Times New Roman" w:hAnsi="Times New Roman" w:cs="Times New Roman"/>
                <w:b/>
                <w:bCs/>
                <w:color w:val="000000" w:themeColor="text1"/>
                <w:sz w:val="20"/>
                <w:szCs w:val="20"/>
              </w:rPr>
              <w:t>Core fields</w:t>
            </w:r>
          </w:p>
        </w:tc>
        <w:tc>
          <w:tcPr>
            <w:tcW w:w="0" w:type="auto"/>
            <w:tcBorders>
              <w:top w:val="single" w:sz="4" w:space="0" w:color="auto"/>
              <w:bottom w:val="single" w:sz="4" w:space="0" w:color="auto"/>
            </w:tcBorders>
          </w:tcPr>
          <w:p w14:paraId="2EB4720E" w14:textId="77777777" w:rsidR="00B93500" w:rsidRPr="00A51430" w:rsidRDefault="00000000" w:rsidP="007F1E7F">
            <w:pPr>
              <w:spacing w:after="0"/>
              <w:jc w:val="both"/>
              <w:rPr>
                <w:rFonts w:ascii="Times New Roman" w:hAnsi="Times New Roman" w:cs="Times New Roman"/>
                <w:b/>
                <w:bCs/>
                <w:color w:val="000000" w:themeColor="text1"/>
                <w:sz w:val="20"/>
                <w:szCs w:val="20"/>
              </w:rPr>
            </w:pPr>
            <w:r w:rsidRPr="00A51430">
              <w:rPr>
                <w:rFonts w:ascii="Times New Roman" w:hAnsi="Times New Roman" w:cs="Times New Roman"/>
                <w:b/>
                <w:bCs/>
                <w:color w:val="000000" w:themeColor="text1"/>
                <w:sz w:val="20"/>
                <w:szCs w:val="20"/>
              </w:rPr>
              <w:t>Role</w:t>
            </w:r>
          </w:p>
        </w:tc>
      </w:tr>
      <w:tr w:rsidR="00B93500" w:rsidRPr="00A51430" w14:paraId="71197A62" w14:textId="77777777" w:rsidTr="00A51430">
        <w:tc>
          <w:tcPr>
            <w:tcW w:w="0" w:type="auto"/>
            <w:tcBorders>
              <w:top w:val="single" w:sz="4" w:space="0" w:color="auto"/>
            </w:tcBorders>
          </w:tcPr>
          <w:p w14:paraId="181187E8"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Wi-Fi records</w:t>
            </w:r>
          </w:p>
        </w:tc>
        <w:tc>
          <w:tcPr>
            <w:tcW w:w="1369" w:type="pct"/>
            <w:tcBorders>
              <w:top w:val="single" w:sz="4" w:space="0" w:color="auto"/>
            </w:tcBorders>
          </w:tcPr>
          <w:p w14:paraId="73978F0B"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AP × 30 min; 243,062 obs.</w:t>
            </w:r>
          </w:p>
        </w:tc>
        <w:tc>
          <w:tcPr>
            <w:tcW w:w="1274" w:type="pct"/>
            <w:tcBorders>
              <w:top w:val="single" w:sz="4" w:space="0" w:color="auto"/>
            </w:tcBorders>
          </w:tcPr>
          <w:p w14:paraId="185788F1"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Unique MAC count</w:t>
            </w:r>
          </w:p>
        </w:tc>
        <w:tc>
          <w:tcPr>
            <w:tcW w:w="0" w:type="auto"/>
            <w:tcBorders>
              <w:top w:val="single" w:sz="4" w:space="0" w:color="auto"/>
            </w:tcBorders>
          </w:tcPr>
          <w:p w14:paraId="712D4769"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Occupancy density D</w:t>
            </w:r>
          </w:p>
        </w:tc>
      </w:tr>
      <w:tr w:rsidR="00B93500" w:rsidRPr="00A51430" w14:paraId="7A9AD06A" w14:textId="77777777" w:rsidTr="00A51430">
        <w:tc>
          <w:tcPr>
            <w:tcW w:w="0" w:type="auto"/>
          </w:tcPr>
          <w:p w14:paraId="7978E986"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Spatial network</w:t>
            </w:r>
          </w:p>
        </w:tc>
        <w:tc>
          <w:tcPr>
            <w:tcW w:w="1369" w:type="pct"/>
          </w:tcPr>
          <w:p w14:paraId="2EA3B77C"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30 buildings</w:t>
            </w:r>
          </w:p>
        </w:tc>
        <w:tc>
          <w:tcPr>
            <w:tcW w:w="1274" w:type="pct"/>
          </w:tcPr>
          <w:p w14:paraId="59C2E8FC"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Road-integration index</w:t>
            </w:r>
          </w:p>
        </w:tc>
        <w:tc>
          <w:tcPr>
            <w:tcW w:w="0" w:type="auto"/>
          </w:tcPr>
          <w:p w14:paraId="2570FCB1"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Integration I</w:t>
            </w:r>
          </w:p>
        </w:tc>
      </w:tr>
      <w:tr w:rsidR="00B93500" w:rsidRPr="00A51430" w14:paraId="24E40EB1" w14:textId="77777777" w:rsidTr="00A51430">
        <w:tc>
          <w:tcPr>
            <w:tcW w:w="0" w:type="auto"/>
          </w:tcPr>
          <w:p w14:paraId="203A629A"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Functional attributes</w:t>
            </w:r>
          </w:p>
        </w:tc>
        <w:tc>
          <w:tcPr>
            <w:tcW w:w="1369" w:type="pct"/>
          </w:tcPr>
          <w:p w14:paraId="7AE57D97"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35 AP locations</w:t>
            </w:r>
          </w:p>
        </w:tc>
        <w:tc>
          <w:tcPr>
            <w:tcW w:w="1274" w:type="pct"/>
          </w:tcPr>
          <w:p w14:paraId="51100D47"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Core functions + public</w:t>
            </w:r>
          </w:p>
        </w:tc>
        <w:tc>
          <w:tcPr>
            <w:tcW w:w="0" w:type="auto"/>
          </w:tcPr>
          <w:p w14:paraId="6FDA4DB5"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Function matching F</w:t>
            </w:r>
          </w:p>
        </w:tc>
      </w:tr>
      <w:tr w:rsidR="00B93500" w:rsidRPr="00A51430" w14:paraId="00E8DC61" w14:textId="77777777" w:rsidTr="00A51430">
        <w:tc>
          <w:tcPr>
            <w:tcW w:w="0" w:type="auto"/>
          </w:tcPr>
          <w:p w14:paraId="5C14728B"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Target</w:t>
            </w:r>
          </w:p>
        </w:tc>
        <w:tc>
          <w:tcPr>
            <w:tcW w:w="1369" w:type="pct"/>
          </w:tcPr>
          <w:p w14:paraId="177B1AF6"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One value per record</w:t>
            </w:r>
          </w:p>
        </w:tc>
        <w:tc>
          <w:tcPr>
            <w:tcW w:w="1274" w:type="pct"/>
          </w:tcPr>
          <w:p w14:paraId="68C60863"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Composite suitability S</w:t>
            </w:r>
          </w:p>
        </w:tc>
        <w:tc>
          <w:tcPr>
            <w:tcW w:w="0" w:type="auto"/>
          </w:tcPr>
          <w:p w14:paraId="103CA093"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Response variable</w:t>
            </w:r>
          </w:p>
        </w:tc>
      </w:tr>
    </w:tbl>
    <w:p w14:paraId="6F4E4C7D" w14:textId="77777777" w:rsidR="00445D8E" w:rsidRDefault="00445D8E" w:rsidP="007F1E7F">
      <w:pPr>
        <w:spacing w:after="0"/>
        <w:jc w:val="both"/>
        <w:rPr>
          <w:rFonts w:ascii="Times New Roman" w:hAnsi="Times New Roman" w:cs="Times New Roman"/>
          <w:color w:val="000000" w:themeColor="text1"/>
        </w:rPr>
      </w:pPr>
    </w:p>
    <w:p w14:paraId="005B38D4" w14:textId="1FF48396" w:rsidR="00B93500" w:rsidRPr="007302A9" w:rsidRDefault="00000000" w:rsidP="00A51430">
      <w:pPr>
        <w:spacing w:after="0"/>
        <w:ind w:firstLineChars="200" w:firstLine="480"/>
        <w:jc w:val="both"/>
        <w:rPr>
          <w:rFonts w:ascii="Times New Roman" w:hAnsi="Times New Roman" w:cs="Times New Roman"/>
          <w:color w:val="000000" w:themeColor="text1"/>
        </w:rPr>
      </w:pPr>
      <w:r w:rsidRPr="007302A9">
        <w:rPr>
          <w:rFonts w:ascii="Times New Roman" w:hAnsi="Times New Roman" w:cs="Times New Roman"/>
          <w:color w:val="000000" w:themeColor="text1"/>
        </w:rPr>
        <w:t>Road integration (I) and occupancy density (D) were min–max normalized. Function matching (F) was assigned from location–function relation. Original AHP weights (0.30/0.45/0.25) were re-estimated by random-forest importance as 0.32/0.48/0.20. The formula is S = 0.32I + 0.48D + 0.20F. Because S is built from its predictors, the experiment tests approximation of a known rule rather than external prediction. The sample was split 70/15/15. Seven models were trained and ranked by R², RMSE, MAE</w:t>
      </w:r>
      <w:r w:rsidR="00D2217F">
        <w:rPr>
          <w:rFonts w:ascii="Times New Roman" w:hAnsi="Times New Roman" w:cs="Times New Roman"/>
          <w:color w:val="000000" w:themeColor="text1"/>
        </w:rPr>
        <w:t>, and MAPE under two criteria: pure accuracy and a joint assessment of accuracy, interpretability,</w:t>
      </w:r>
      <w:r w:rsidRPr="007302A9">
        <w:rPr>
          <w:rFonts w:ascii="Times New Roman" w:hAnsi="Times New Roman" w:cs="Times New Roman"/>
          <w:color w:val="000000" w:themeColor="text1"/>
        </w:rPr>
        <w:t xml:space="preserve"> and GIS deployment cost. </w:t>
      </w:r>
      <w:r w:rsidRPr="00A51430">
        <w:rPr>
          <w:rFonts w:ascii="Times New Roman" w:hAnsi="Times New Roman" w:cs="Times New Roman"/>
          <w:b/>
          <w:bCs/>
          <w:color w:val="000000" w:themeColor="text1"/>
        </w:rPr>
        <w:t xml:space="preserve">Table 1 </w:t>
      </w:r>
      <w:r w:rsidRPr="007302A9">
        <w:rPr>
          <w:rFonts w:ascii="Times New Roman" w:hAnsi="Times New Roman" w:cs="Times New Roman"/>
          <w:color w:val="000000" w:themeColor="text1"/>
        </w:rPr>
        <w:t>also clarifies the different spatial and temporal scales represented by the predictors. Density varies at half-hour intervals, while integration is relatively stable at the building-network level and function matching changes mainly when space use or access-point classification is revised. Combining these layers allows the model to distinguish a frequently occupied but poorly connected location from a well-connected space that is underused or functionally mismatched. At the same time, because S is constructed from I, D and F, the table makes explicit that the present experiment evaluates the reproducibility of a composite decision rule rather than prediction of an independent external outcome.</w:t>
      </w:r>
    </w:p>
    <w:p w14:paraId="469FCA59" w14:textId="0268E258" w:rsidR="00B93500" w:rsidRDefault="00000000" w:rsidP="00A51430">
      <w:pPr>
        <w:spacing w:after="0"/>
        <w:ind w:firstLineChars="200" w:firstLine="480"/>
        <w:jc w:val="both"/>
        <w:rPr>
          <w:rFonts w:ascii="Times New Roman" w:hAnsi="Times New Roman" w:cs="Times New Roman"/>
          <w:color w:val="000000" w:themeColor="text1"/>
        </w:rPr>
      </w:pPr>
      <w:r w:rsidRPr="007302A9">
        <w:rPr>
          <w:rFonts w:ascii="Times New Roman" w:hAnsi="Times New Roman" w:cs="Times New Roman"/>
          <w:color w:val="000000" w:themeColor="text1"/>
        </w:rPr>
        <w:t>The emphasis on transparent spatial decision support is consistent with explainable machine-learning applications in BIM-supported building-performance analysis</w:t>
      </w:r>
      <w:r w:rsidR="00D2217F">
        <w:rPr>
          <w:rFonts w:ascii="Times New Roman" w:hAnsi="Times New Roman" w:cs="Times New Roman"/>
          <w:color w:val="000000" w:themeColor="text1"/>
        </w:rPr>
        <w:t xml:space="preserve"> </w:t>
      </w:r>
      <w:r w:rsidRPr="007302A9">
        <w:rPr>
          <w:rFonts w:ascii="Times New Roman" w:hAnsi="Times New Roman" w:cs="Times New Roman"/>
          <w:color w:val="000000" w:themeColor="text1"/>
        </w:rPr>
        <w:t xml:space="preserve">and </w:t>
      </w:r>
      <w:r w:rsidRPr="007302A9">
        <w:rPr>
          <w:rFonts w:ascii="Times New Roman" w:hAnsi="Times New Roman" w:cs="Times New Roman"/>
          <w:color w:val="000000" w:themeColor="text1"/>
        </w:rPr>
        <w:lastRenderedPageBreak/>
        <w:t>interpretable prediction of building performance</w:t>
      </w:r>
      <w:r w:rsidR="00D2217F">
        <w:rPr>
          <w:rFonts w:ascii="Times New Roman" w:hAnsi="Times New Roman" w:cs="Times New Roman"/>
          <w:color w:val="000000" w:themeColor="text1"/>
        </w:rPr>
        <w:t xml:space="preserve"> </w:t>
      </w:r>
      <w:r w:rsidRPr="00A51430">
        <w:rPr>
          <w:rFonts w:ascii="Times New Roman" w:hAnsi="Times New Roman" w:cs="Times New Roman"/>
          <w:color w:val="000000" w:themeColor="text1"/>
          <w:vertAlign w:val="superscript"/>
        </w:rPr>
        <w:t>[</w:t>
      </w:r>
      <w:r w:rsidR="00D2217F" w:rsidRPr="00A51430">
        <w:rPr>
          <w:rFonts w:ascii="Times New Roman" w:hAnsi="Times New Roman" w:cs="Times New Roman"/>
          <w:color w:val="000000" w:themeColor="text1"/>
          <w:vertAlign w:val="superscript"/>
        </w:rPr>
        <w:t>8–</w:t>
      </w:r>
      <w:r w:rsidRPr="00A51430">
        <w:rPr>
          <w:rFonts w:ascii="Times New Roman" w:hAnsi="Times New Roman" w:cs="Times New Roman"/>
          <w:color w:val="000000" w:themeColor="text1"/>
          <w:vertAlign w:val="superscript"/>
        </w:rPr>
        <w:t>9]</w:t>
      </w:r>
      <w:r w:rsidRPr="007302A9">
        <w:rPr>
          <w:rFonts w:ascii="Times New Roman" w:hAnsi="Times New Roman" w:cs="Times New Roman"/>
          <w:color w:val="000000" w:themeColor="text1"/>
        </w:rPr>
        <w:t>. In addition, the use of road integration is grounded in space-syntax research showing that spatial configuration affects accessibility, encounter opportunities and the sociability of public spaces</w:t>
      </w:r>
      <w:r w:rsidR="00D2217F">
        <w:rPr>
          <w:rFonts w:ascii="Times New Roman" w:hAnsi="Times New Roman" w:cs="Times New Roman"/>
          <w:color w:val="000000" w:themeColor="text1"/>
        </w:rPr>
        <w:t xml:space="preserve"> </w:t>
      </w:r>
      <w:r w:rsidRPr="00A51430">
        <w:rPr>
          <w:rFonts w:ascii="Times New Roman" w:hAnsi="Times New Roman" w:cs="Times New Roman"/>
          <w:color w:val="000000" w:themeColor="text1"/>
          <w:vertAlign w:val="superscript"/>
        </w:rPr>
        <w:t>[10]</w:t>
      </w:r>
      <w:r w:rsidRPr="007302A9">
        <w:rPr>
          <w:rFonts w:ascii="Times New Roman" w:hAnsi="Times New Roman" w:cs="Times New Roman"/>
          <w:color w:val="000000" w:themeColor="text1"/>
        </w:rPr>
        <w:t>. These methodological precedents support the joint evaluation of predictive accuracy, interpretability and GIS deployment cost adopted in this study.</w:t>
      </w:r>
    </w:p>
    <w:p w14:paraId="630D89B7" w14:textId="77777777" w:rsidR="00D2217F" w:rsidRPr="007302A9" w:rsidRDefault="00D2217F" w:rsidP="007F1E7F">
      <w:pPr>
        <w:spacing w:after="0"/>
        <w:jc w:val="both"/>
        <w:rPr>
          <w:rFonts w:ascii="Times New Roman" w:hAnsi="Times New Roman" w:cs="Times New Roman"/>
          <w:color w:val="000000" w:themeColor="text1"/>
        </w:rPr>
      </w:pPr>
    </w:p>
    <w:p w14:paraId="7B22998C" w14:textId="77777777" w:rsidR="00B93500" w:rsidRPr="007302A9" w:rsidRDefault="00000000" w:rsidP="007F1E7F">
      <w:pPr>
        <w:spacing w:after="0"/>
        <w:jc w:val="both"/>
        <w:rPr>
          <w:rFonts w:ascii="Times New Roman" w:hAnsi="Times New Roman" w:cs="Times New Roman"/>
          <w:color w:val="000000" w:themeColor="text1"/>
        </w:rPr>
      </w:pPr>
      <w:r w:rsidRPr="007302A9">
        <w:rPr>
          <w:rFonts w:ascii="Times New Roman" w:hAnsi="Times New Roman" w:cs="Times New Roman"/>
          <w:b/>
          <w:bCs/>
          <w:color w:val="000000" w:themeColor="text1"/>
        </w:rPr>
        <w:t>3. Results</w:t>
      </w:r>
    </w:p>
    <w:p w14:paraId="796982CC" w14:textId="4313AC0F" w:rsidR="00B93500" w:rsidRDefault="00000000" w:rsidP="007F1E7F">
      <w:pPr>
        <w:spacing w:after="0"/>
        <w:jc w:val="both"/>
        <w:rPr>
          <w:rFonts w:ascii="Times New Roman" w:hAnsi="Times New Roman" w:cs="Times New Roman"/>
          <w:color w:val="000000" w:themeColor="text1"/>
        </w:rPr>
      </w:pPr>
      <w:r w:rsidRPr="007302A9">
        <w:rPr>
          <w:rFonts w:ascii="Times New Roman" w:hAnsi="Times New Roman" w:cs="Times New Roman"/>
          <w:color w:val="000000" w:themeColor="text1"/>
        </w:rPr>
        <w:t xml:space="preserve">As shown in </w:t>
      </w:r>
      <w:r w:rsidRPr="00A51430">
        <w:rPr>
          <w:rFonts w:ascii="Times New Roman" w:hAnsi="Times New Roman" w:cs="Times New Roman"/>
          <w:b/>
          <w:bCs/>
          <w:color w:val="000000" w:themeColor="text1"/>
        </w:rPr>
        <w:t>Table 2</w:t>
      </w:r>
      <w:r w:rsidRPr="007302A9">
        <w:rPr>
          <w:rFonts w:ascii="Times New Roman" w:hAnsi="Times New Roman" w:cs="Times New Roman"/>
          <w:color w:val="000000" w:themeColor="text1"/>
        </w:rPr>
        <w:t>, the seven models form a clear performance hierarchy on the held-out test set. Random forest achieves the highest R² (0.9998) and the lowest RMSE (0.0025), MAE (0.0017)</w:t>
      </w:r>
      <w:r w:rsidR="00247F5C">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and MAPE (0.38%), producing a mean rank of 1.00. AdaBoost records the second-best R², RMSE</w:t>
      </w:r>
      <w:r w:rsidR="009051F5">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and MAE, but its MAPE of 0.71% is higher than that of the decision tree. The decision tree therefore ranks third overall while retaining the second-lowest percentage error, an important result for applications in which relative error and rule transparency are both relevant.</w:t>
      </w:r>
    </w:p>
    <w:p w14:paraId="04B58C2C" w14:textId="77777777" w:rsidR="00247F5C" w:rsidRPr="007302A9" w:rsidRDefault="00247F5C" w:rsidP="007F1E7F">
      <w:pPr>
        <w:spacing w:after="0"/>
        <w:jc w:val="both"/>
        <w:rPr>
          <w:rFonts w:ascii="Times New Roman" w:hAnsi="Times New Roman" w:cs="Times New Roman"/>
          <w:color w:val="000000" w:themeColor="text1"/>
        </w:rPr>
      </w:pPr>
    </w:p>
    <w:p w14:paraId="5FCBBE86" w14:textId="77777777" w:rsidR="00B93500" w:rsidRPr="00A51430" w:rsidRDefault="00000000" w:rsidP="007F1E7F">
      <w:pPr>
        <w:spacing w:after="0"/>
        <w:jc w:val="both"/>
        <w:rPr>
          <w:rFonts w:ascii="Times New Roman" w:hAnsi="Times New Roman" w:cs="Times New Roman"/>
          <w:color w:val="000000" w:themeColor="text1"/>
        </w:rPr>
      </w:pPr>
      <w:r w:rsidRPr="007302A9">
        <w:rPr>
          <w:rFonts w:ascii="Times New Roman" w:hAnsi="Times New Roman" w:cs="Times New Roman"/>
          <w:b/>
          <w:bCs/>
          <w:color w:val="000000" w:themeColor="text1"/>
        </w:rPr>
        <w:t>Table 2</w:t>
      </w:r>
      <w:r w:rsidRPr="00A51430">
        <w:rPr>
          <w:rFonts w:ascii="Times New Roman" w:hAnsi="Times New Roman" w:cs="Times New Roman"/>
          <w:color w:val="000000" w:themeColor="text1"/>
        </w:rPr>
        <w:t>. Test-set performance of the seven models</w:t>
      </w:r>
    </w:p>
    <w:p w14:paraId="5B952B43" w14:textId="77777777" w:rsidR="00247F5C" w:rsidRPr="00247F5C" w:rsidRDefault="00247F5C" w:rsidP="007F1E7F">
      <w:pPr>
        <w:spacing w:after="0"/>
        <w:jc w:val="both"/>
        <w:rPr>
          <w:rFonts w:ascii="Times New Roman" w:hAnsi="Times New Roman" w:cs="Times New Roman"/>
          <w:color w:val="000000" w:themeColor="text1"/>
        </w:rPr>
      </w:pPr>
    </w:p>
    <w:tbl>
      <w:tblPr>
        <w:tblStyle w:val="Table"/>
        <w:tblW w:w="0" w:type="auto"/>
        <w:tblInd w:w="0" w:type="dxa"/>
        <w:tblBorders>
          <w:top w:val="single" w:sz="4" w:space="0" w:color="auto"/>
          <w:bottom w:val="single" w:sz="4" w:space="0" w:color="auto"/>
        </w:tblBorders>
        <w:tblLook w:val="04A0" w:firstRow="1" w:lastRow="0" w:firstColumn="1" w:lastColumn="0" w:noHBand="0" w:noVBand="1"/>
      </w:tblPr>
      <w:tblGrid>
        <w:gridCol w:w="683"/>
        <w:gridCol w:w="1400"/>
        <w:gridCol w:w="837"/>
        <w:gridCol w:w="794"/>
        <w:gridCol w:w="766"/>
        <w:gridCol w:w="1188"/>
        <w:gridCol w:w="1166"/>
      </w:tblGrid>
      <w:tr w:rsidR="00B93500" w:rsidRPr="00A51430" w14:paraId="21B444DD" w14:textId="77777777" w:rsidTr="00A51430">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4" w:space="0" w:color="auto"/>
              <w:bottom w:val="single" w:sz="4" w:space="0" w:color="auto"/>
            </w:tcBorders>
          </w:tcPr>
          <w:p w14:paraId="2659029B" w14:textId="77777777" w:rsidR="00B93500" w:rsidRPr="00A51430" w:rsidRDefault="00000000" w:rsidP="007F1E7F">
            <w:pPr>
              <w:spacing w:after="0"/>
              <w:jc w:val="both"/>
              <w:rPr>
                <w:rFonts w:ascii="Times New Roman" w:hAnsi="Times New Roman" w:cs="Times New Roman"/>
                <w:b/>
                <w:bCs/>
                <w:color w:val="000000" w:themeColor="text1"/>
                <w:sz w:val="20"/>
                <w:szCs w:val="20"/>
              </w:rPr>
            </w:pPr>
            <w:r w:rsidRPr="00A51430">
              <w:rPr>
                <w:rFonts w:ascii="Times New Roman" w:hAnsi="Times New Roman" w:cs="Times New Roman"/>
                <w:b/>
                <w:bCs/>
                <w:color w:val="000000" w:themeColor="text1"/>
                <w:sz w:val="20"/>
                <w:szCs w:val="20"/>
              </w:rPr>
              <w:t>Rank</w:t>
            </w:r>
          </w:p>
        </w:tc>
        <w:tc>
          <w:tcPr>
            <w:tcW w:w="0" w:type="auto"/>
            <w:tcBorders>
              <w:top w:val="single" w:sz="4" w:space="0" w:color="auto"/>
              <w:bottom w:val="single" w:sz="4" w:space="0" w:color="auto"/>
            </w:tcBorders>
          </w:tcPr>
          <w:p w14:paraId="3FC5CBAD" w14:textId="77777777" w:rsidR="00B93500" w:rsidRPr="00A51430" w:rsidRDefault="00000000" w:rsidP="007F1E7F">
            <w:pPr>
              <w:spacing w:after="0"/>
              <w:jc w:val="both"/>
              <w:rPr>
                <w:rFonts w:ascii="Times New Roman" w:hAnsi="Times New Roman" w:cs="Times New Roman"/>
                <w:b/>
                <w:bCs/>
                <w:color w:val="000000" w:themeColor="text1"/>
                <w:sz w:val="20"/>
                <w:szCs w:val="20"/>
              </w:rPr>
            </w:pPr>
            <w:r w:rsidRPr="00A51430">
              <w:rPr>
                <w:rFonts w:ascii="Times New Roman" w:hAnsi="Times New Roman" w:cs="Times New Roman"/>
                <w:b/>
                <w:bCs/>
                <w:color w:val="000000" w:themeColor="text1"/>
                <w:sz w:val="20"/>
                <w:szCs w:val="20"/>
              </w:rPr>
              <w:t>Model</w:t>
            </w:r>
          </w:p>
        </w:tc>
        <w:tc>
          <w:tcPr>
            <w:tcW w:w="0" w:type="auto"/>
            <w:tcBorders>
              <w:top w:val="single" w:sz="4" w:space="0" w:color="auto"/>
              <w:bottom w:val="single" w:sz="4" w:space="0" w:color="auto"/>
            </w:tcBorders>
          </w:tcPr>
          <w:p w14:paraId="22237DBF" w14:textId="77777777" w:rsidR="00B93500" w:rsidRPr="00A51430" w:rsidRDefault="00000000" w:rsidP="007F1E7F">
            <w:pPr>
              <w:spacing w:after="0"/>
              <w:jc w:val="both"/>
              <w:rPr>
                <w:rFonts w:ascii="Times New Roman" w:hAnsi="Times New Roman" w:cs="Times New Roman"/>
                <w:b/>
                <w:bCs/>
                <w:color w:val="000000" w:themeColor="text1"/>
                <w:sz w:val="20"/>
                <w:szCs w:val="20"/>
              </w:rPr>
            </w:pPr>
            <w:r w:rsidRPr="00A51430">
              <w:rPr>
                <w:rFonts w:ascii="Times New Roman" w:hAnsi="Times New Roman" w:cs="Times New Roman"/>
                <w:b/>
                <w:bCs/>
                <w:color w:val="000000" w:themeColor="text1"/>
                <w:sz w:val="20"/>
                <w:szCs w:val="20"/>
              </w:rPr>
              <w:t>Test R²</w:t>
            </w:r>
          </w:p>
        </w:tc>
        <w:tc>
          <w:tcPr>
            <w:tcW w:w="0" w:type="auto"/>
            <w:tcBorders>
              <w:top w:val="single" w:sz="4" w:space="0" w:color="auto"/>
              <w:bottom w:val="single" w:sz="4" w:space="0" w:color="auto"/>
            </w:tcBorders>
          </w:tcPr>
          <w:p w14:paraId="469BD051" w14:textId="77777777" w:rsidR="00B93500" w:rsidRPr="00A51430" w:rsidRDefault="00000000" w:rsidP="007F1E7F">
            <w:pPr>
              <w:spacing w:after="0"/>
              <w:jc w:val="both"/>
              <w:rPr>
                <w:rFonts w:ascii="Times New Roman" w:hAnsi="Times New Roman" w:cs="Times New Roman"/>
                <w:b/>
                <w:bCs/>
                <w:color w:val="000000" w:themeColor="text1"/>
                <w:sz w:val="20"/>
                <w:szCs w:val="20"/>
              </w:rPr>
            </w:pPr>
            <w:r w:rsidRPr="00A51430">
              <w:rPr>
                <w:rFonts w:ascii="Times New Roman" w:hAnsi="Times New Roman" w:cs="Times New Roman"/>
                <w:b/>
                <w:bCs/>
                <w:color w:val="000000" w:themeColor="text1"/>
                <w:sz w:val="20"/>
                <w:szCs w:val="20"/>
              </w:rPr>
              <w:t>RMSE</w:t>
            </w:r>
          </w:p>
        </w:tc>
        <w:tc>
          <w:tcPr>
            <w:tcW w:w="0" w:type="auto"/>
            <w:tcBorders>
              <w:top w:val="single" w:sz="4" w:space="0" w:color="auto"/>
              <w:bottom w:val="single" w:sz="4" w:space="0" w:color="auto"/>
            </w:tcBorders>
          </w:tcPr>
          <w:p w14:paraId="62939BA6" w14:textId="77777777" w:rsidR="00B93500" w:rsidRPr="00A51430" w:rsidRDefault="00000000" w:rsidP="007F1E7F">
            <w:pPr>
              <w:spacing w:after="0"/>
              <w:jc w:val="both"/>
              <w:rPr>
                <w:rFonts w:ascii="Times New Roman" w:hAnsi="Times New Roman" w:cs="Times New Roman"/>
                <w:b/>
                <w:bCs/>
                <w:color w:val="000000" w:themeColor="text1"/>
                <w:sz w:val="20"/>
                <w:szCs w:val="20"/>
              </w:rPr>
            </w:pPr>
            <w:r w:rsidRPr="00A51430">
              <w:rPr>
                <w:rFonts w:ascii="Times New Roman" w:hAnsi="Times New Roman" w:cs="Times New Roman"/>
                <w:b/>
                <w:bCs/>
                <w:color w:val="000000" w:themeColor="text1"/>
                <w:sz w:val="20"/>
                <w:szCs w:val="20"/>
              </w:rPr>
              <w:t>MAE</w:t>
            </w:r>
          </w:p>
        </w:tc>
        <w:tc>
          <w:tcPr>
            <w:tcW w:w="0" w:type="auto"/>
            <w:tcBorders>
              <w:top w:val="single" w:sz="4" w:space="0" w:color="auto"/>
              <w:bottom w:val="single" w:sz="4" w:space="0" w:color="auto"/>
            </w:tcBorders>
          </w:tcPr>
          <w:p w14:paraId="53C7228B" w14:textId="77777777" w:rsidR="00B93500" w:rsidRPr="00A51430" w:rsidRDefault="00000000" w:rsidP="007F1E7F">
            <w:pPr>
              <w:spacing w:after="0"/>
              <w:jc w:val="both"/>
              <w:rPr>
                <w:rFonts w:ascii="Times New Roman" w:hAnsi="Times New Roman" w:cs="Times New Roman"/>
                <w:b/>
                <w:bCs/>
                <w:color w:val="000000" w:themeColor="text1"/>
                <w:sz w:val="20"/>
                <w:szCs w:val="20"/>
              </w:rPr>
            </w:pPr>
            <w:r w:rsidRPr="00A51430">
              <w:rPr>
                <w:rFonts w:ascii="Times New Roman" w:hAnsi="Times New Roman" w:cs="Times New Roman"/>
                <w:b/>
                <w:bCs/>
                <w:color w:val="000000" w:themeColor="text1"/>
                <w:sz w:val="20"/>
                <w:szCs w:val="20"/>
              </w:rPr>
              <w:t>MAPE (%)</w:t>
            </w:r>
          </w:p>
        </w:tc>
        <w:tc>
          <w:tcPr>
            <w:tcW w:w="0" w:type="auto"/>
            <w:tcBorders>
              <w:top w:val="single" w:sz="4" w:space="0" w:color="auto"/>
              <w:bottom w:val="single" w:sz="4" w:space="0" w:color="auto"/>
            </w:tcBorders>
          </w:tcPr>
          <w:p w14:paraId="19851646" w14:textId="77777777" w:rsidR="00B93500" w:rsidRPr="00A51430" w:rsidRDefault="00000000" w:rsidP="007F1E7F">
            <w:pPr>
              <w:spacing w:after="0"/>
              <w:jc w:val="both"/>
              <w:rPr>
                <w:rFonts w:ascii="Times New Roman" w:hAnsi="Times New Roman" w:cs="Times New Roman"/>
                <w:b/>
                <w:bCs/>
                <w:color w:val="000000" w:themeColor="text1"/>
                <w:sz w:val="20"/>
                <w:szCs w:val="20"/>
              </w:rPr>
            </w:pPr>
            <w:r w:rsidRPr="00A51430">
              <w:rPr>
                <w:rFonts w:ascii="Times New Roman" w:hAnsi="Times New Roman" w:cs="Times New Roman"/>
                <w:b/>
                <w:bCs/>
                <w:color w:val="000000" w:themeColor="text1"/>
                <w:sz w:val="20"/>
                <w:szCs w:val="20"/>
              </w:rPr>
              <w:t>Mean rank</w:t>
            </w:r>
          </w:p>
        </w:tc>
      </w:tr>
      <w:tr w:rsidR="00B93500" w:rsidRPr="00A51430" w14:paraId="70EB072B" w14:textId="77777777" w:rsidTr="00A51430">
        <w:tc>
          <w:tcPr>
            <w:tcW w:w="0" w:type="auto"/>
            <w:tcBorders>
              <w:top w:val="single" w:sz="4" w:space="0" w:color="auto"/>
            </w:tcBorders>
          </w:tcPr>
          <w:p w14:paraId="1BC28610"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1</w:t>
            </w:r>
          </w:p>
        </w:tc>
        <w:tc>
          <w:tcPr>
            <w:tcW w:w="0" w:type="auto"/>
            <w:tcBorders>
              <w:top w:val="single" w:sz="4" w:space="0" w:color="auto"/>
            </w:tcBorders>
          </w:tcPr>
          <w:p w14:paraId="109DDAFF"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Random forest</w:t>
            </w:r>
          </w:p>
        </w:tc>
        <w:tc>
          <w:tcPr>
            <w:tcW w:w="0" w:type="auto"/>
            <w:tcBorders>
              <w:top w:val="single" w:sz="4" w:space="0" w:color="auto"/>
            </w:tcBorders>
          </w:tcPr>
          <w:p w14:paraId="12E7318C"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0.9998</w:t>
            </w:r>
          </w:p>
        </w:tc>
        <w:tc>
          <w:tcPr>
            <w:tcW w:w="0" w:type="auto"/>
            <w:tcBorders>
              <w:top w:val="single" w:sz="4" w:space="0" w:color="auto"/>
            </w:tcBorders>
          </w:tcPr>
          <w:p w14:paraId="4A647138"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0.0025</w:t>
            </w:r>
          </w:p>
        </w:tc>
        <w:tc>
          <w:tcPr>
            <w:tcW w:w="0" w:type="auto"/>
            <w:tcBorders>
              <w:top w:val="single" w:sz="4" w:space="0" w:color="auto"/>
            </w:tcBorders>
          </w:tcPr>
          <w:p w14:paraId="0A585560"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0.0017</w:t>
            </w:r>
          </w:p>
        </w:tc>
        <w:tc>
          <w:tcPr>
            <w:tcW w:w="0" w:type="auto"/>
            <w:tcBorders>
              <w:top w:val="single" w:sz="4" w:space="0" w:color="auto"/>
            </w:tcBorders>
          </w:tcPr>
          <w:p w14:paraId="79D00A28"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0.38</w:t>
            </w:r>
          </w:p>
        </w:tc>
        <w:tc>
          <w:tcPr>
            <w:tcW w:w="0" w:type="auto"/>
            <w:tcBorders>
              <w:top w:val="single" w:sz="4" w:space="0" w:color="auto"/>
            </w:tcBorders>
          </w:tcPr>
          <w:p w14:paraId="3D2288E8"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1.00</w:t>
            </w:r>
          </w:p>
        </w:tc>
      </w:tr>
      <w:tr w:rsidR="00B93500" w:rsidRPr="00A51430" w14:paraId="75E236F5" w14:textId="77777777" w:rsidTr="00A51430">
        <w:tc>
          <w:tcPr>
            <w:tcW w:w="0" w:type="auto"/>
          </w:tcPr>
          <w:p w14:paraId="037EE321"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2</w:t>
            </w:r>
          </w:p>
        </w:tc>
        <w:tc>
          <w:tcPr>
            <w:tcW w:w="0" w:type="auto"/>
          </w:tcPr>
          <w:p w14:paraId="35DC08AF"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AdaBoost</w:t>
            </w:r>
          </w:p>
        </w:tc>
        <w:tc>
          <w:tcPr>
            <w:tcW w:w="0" w:type="auto"/>
          </w:tcPr>
          <w:p w14:paraId="5545F50B"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0.9995</w:t>
            </w:r>
          </w:p>
        </w:tc>
        <w:tc>
          <w:tcPr>
            <w:tcW w:w="0" w:type="auto"/>
          </w:tcPr>
          <w:p w14:paraId="77D68E2B"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0.0038</w:t>
            </w:r>
          </w:p>
        </w:tc>
        <w:tc>
          <w:tcPr>
            <w:tcW w:w="0" w:type="auto"/>
          </w:tcPr>
          <w:p w14:paraId="7D190C64"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0.0028</w:t>
            </w:r>
          </w:p>
        </w:tc>
        <w:tc>
          <w:tcPr>
            <w:tcW w:w="0" w:type="auto"/>
          </w:tcPr>
          <w:p w14:paraId="44FD536F"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0.71</w:t>
            </w:r>
          </w:p>
        </w:tc>
        <w:tc>
          <w:tcPr>
            <w:tcW w:w="0" w:type="auto"/>
          </w:tcPr>
          <w:p w14:paraId="4576B3F2"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2.50</w:t>
            </w:r>
          </w:p>
        </w:tc>
      </w:tr>
      <w:tr w:rsidR="00B93500" w:rsidRPr="00A51430" w14:paraId="1484E131" w14:textId="77777777" w:rsidTr="00A51430">
        <w:tc>
          <w:tcPr>
            <w:tcW w:w="0" w:type="auto"/>
          </w:tcPr>
          <w:p w14:paraId="0263525D"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3</w:t>
            </w:r>
          </w:p>
        </w:tc>
        <w:tc>
          <w:tcPr>
            <w:tcW w:w="0" w:type="auto"/>
          </w:tcPr>
          <w:p w14:paraId="375B68EA"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Decision tree</w:t>
            </w:r>
          </w:p>
        </w:tc>
        <w:tc>
          <w:tcPr>
            <w:tcW w:w="0" w:type="auto"/>
          </w:tcPr>
          <w:p w14:paraId="48D4BC84"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0.9986</w:t>
            </w:r>
          </w:p>
        </w:tc>
        <w:tc>
          <w:tcPr>
            <w:tcW w:w="0" w:type="auto"/>
          </w:tcPr>
          <w:p w14:paraId="2450E6D3"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0.0062</w:t>
            </w:r>
          </w:p>
        </w:tc>
        <w:tc>
          <w:tcPr>
            <w:tcW w:w="0" w:type="auto"/>
          </w:tcPr>
          <w:p w14:paraId="4EB40272"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0.0031</w:t>
            </w:r>
          </w:p>
        </w:tc>
        <w:tc>
          <w:tcPr>
            <w:tcW w:w="0" w:type="auto"/>
          </w:tcPr>
          <w:p w14:paraId="6ACEA86D"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0.47</w:t>
            </w:r>
          </w:p>
        </w:tc>
        <w:tc>
          <w:tcPr>
            <w:tcW w:w="0" w:type="auto"/>
          </w:tcPr>
          <w:p w14:paraId="152055B6"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2.75</w:t>
            </w:r>
          </w:p>
        </w:tc>
      </w:tr>
      <w:tr w:rsidR="00B93500" w:rsidRPr="00A51430" w14:paraId="26651631" w14:textId="77777777" w:rsidTr="00A51430">
        <w:tc>
          <w:tcPr>
            <w:tcW w:w="0" w:type="auto"/>
          </w:tcPr>
          <w:p w14:paraId="48BFBF82"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4</w:t>
            </w:r>
          </w:p>
        </w:tc>
        <w:tc>
          <w:tcPr>
            <w:tcW w:w="0" w:type="auto"/>
          </w:tcPr>
          <w:p w14:paraId="7F22CC98" w14:textId="77777777" w:rsidR="00B93500" w:rsidRPr="00A51430" w:rsidRDefault="00000000" w:rsidP="007F1E7F">
            <w:pPr>
              <w:spacing w:after="0"/>
              <w:jc w:val="both"/>
              <w:rPr>
                <w:rFonts w:ascii="Times New Roman" w:hAnsi="Times New Roman" w:cs="Times New Roman"/>
                <w:color w:val="000000" w:themeColor="text1"/>
                <w:sz w:val="20"/>
                <w:szCs w:val="20"/>
              </w:rPr>
            </w:pPr>
            <w:proofErr w:type="spellStart"/>
            <w:r w:rsidRPr="00A51430">
              <w:rPr>
                <w:rFonts w:ascii="Times New Roman" w:hAnsi="Times New Roman" w:cs="Times New Roman"/>
                <w:color w:val="000000" w:themeColor="text1"/>
                <w:sz w:val="20"/>
                <w:szCs w:val="20"/>
              </w:rPr>
              <w:t>XGBoost</w:t>
            </w:r>
            <w:proofErr w:type="spellEnd"/>
          </w:p>
        </w:tc>
        <w:tc>
          <w:tcPr>
            <w:tcW w:w="0" w:type="auto"/>
          </w:tcPr>
          <w:p w14:paraId="750FD269"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0.9979</w:t>
            </w:r>
          </w:p>
        </w:tc>
        <w:tc>
          <w:tcPr>
            <w:tcW w:w="0" w:type="auto"/>
          </w:tcPr>
          <w:p w14:paraId="7B07F543"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0.0078</w:t>
            </w:r>
          </w:p>
        </w:tc>
        <w:tc>
          <w:tcPr>
            <w:tcW w:w="0" w:type="auto"/>
          </w:tcPr>
          <w:p w14:paraId="7B58F390"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0.0042</w:t>
            </w:r>
          </w:p>
        </w:tc>
        <w:tc>
          <w:tcPr>
            <w:tcW w:w="0" w:type="auto"/>
          </w:tcPr>
          <w:p w14:paraId="1E84CEA1"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0.63</w:t>
            </w:r>
          </w:p>
        </w:tc>
        <w:tc>
          <w:tcPr>
            <w:tcW w:w="0" w:type="auto"/>
          </w:tcPr>
          <w:p w14:paraId="67F7BEF1"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3.75</w:t>
            </w:r>
          </w:p>
        </w:tc>
      </w:tr>
      <w:tr w:rsidR="00B93500" w:rsidRPr="00A51430" w14:paraId="6B820949" w14:textId="77777777" w:rsidTr="00A51430">
        <w:tc>
          <w:tcPr>
            <w:tcW w:w="0" w:type="auto"/>
          </w:tcPr>
          <w:p w14:paraId="0F112C32"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5</w:t>
            </w:r>
          </w:p>
        </w:tc>
        <w:tc>
          <w:tcPr>
            <w:tcW w:w="0" w:type="auto"/>
          </w:tcPr>
          <w:p w14:paraId="20D93E34"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ANN</w:t>
            </w:r>
          </w:p>
        </w:tc>
        <w:tc>
          <w:tcPr>
            <w:tcW w:w="0" w:type="auto"/>
          </w:tcPr>
          <w:p w14:paraId="493401AB"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0.9876</w:t>
            </w:r>
          </w:p>
        </w:tc>
        <w:tc>
          <w:tcPr>
            <w:tcW w:w="0" w:type="auto"/>
          </w:tcPr>
          <w:p w14:paraId="6B30E079"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0.0189</w:t>
            </w:r>
          </w:p>
        </w:tc>
        <w:tc>
          <w:tcPr>
            <w:tcW w:w="0" w:type="auto"/>
          </w:tcPr>
          <w:p w14:paraId="4D207C9D"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0.0147</w:t>
            </w:r>
          </w:p>
        </w:tc>
        <w:tc>
          <w:tcPr>
            <w:tcW w:w="0" w:type="auto"/>
          </w:tcPr>
          <w:p w14:paraId="72597A35"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2.78</w:t>
            </w:r>
          </w:p>
        </w:tc>
        <w:tc>
          <w:tcPr>
            <w:tcW w:w="0" w:type="auto"/>
          </w:tcPr>
          <w:p w14:paraId="6DB24806"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5.00</w:t>
            </w:r>
          </w:p>
        </w:tc>
      </w:tr>
      <w:tr w:rsidR="00B93500" w:rsidRPr="00A51430" w14:paraId="3AE825CA" w14:textId="77777777" w:rsidTr="00A51430">
        <w:tc>
          <w:tcPr>
            <w:tcW w:w="0" w:type="auto"/>
          </w:tcPr>
          <w:p w14:paraId="76AB2024"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6</w:t>
            </w:r>
          </w:p>
        </w:tc>
        <w:tc>
          <w:tcPr>
            <w:tcW w:w="0" w:type="auto"/>
          </w:tcPr>
          <w:p w14:paraId="1DFCF134"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LSTM</w:t>
            </w:r>
          </w:p>
        </w:tc>
        <w:tc>
          <w:tcPr>
            <w:tcW w:w="0" w:type="auto"/>
          </w:tcPr>
          <w:p w14:paraId="0BBE0F91"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0.9449</w:t>
            </w:r>
          </w:p>
        </w:tc>
        <w:tc>
          <w:tcPr>
            <w:tcW w:w="0" w:type="auto"/>
          </w:tcPr>
          <w:p w14:paraId="1567DF95"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0.0531</w:t>
            </w:r>
          </w:p>
        </w:tc>
        <w:tc>
          <w:tcPr>
            <w:tcW w:w="0" w:type="auto"/>
          </w:tcPr>
          <w:p w14:paraId="4CF9098E"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0.0361</w:t>
            </w:r>
          </w:p>
        </w:tc>
        <w:tc>
          <w:tcPr>
            <w:tcW w:w="0" w:type="auto"/>
          </w:tcPr>
          <w:p w14:paraId="08F06FCB"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8.36</w:t>
            </w:r>
          </w:p>
        </w:tc>
        <w:tc>
          <w:tcPr>
            <w:tcW w:w="0" w:type="auto"/>
          </w:tcPr>
          <w:p w14:paraId="0AFD851B"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6.00</w:t>
            </w:r>
          </w:p>
        </w:tc>
      </w:tr>
      <w:tr w:rsidR="00B93500" w:rsidRPr="00A51430" w14:paraId="18413A50" w14:textId="77777777" w:rsidTr="00A51430">
        <w:tc>
          <w:tcPr>
            <w:tcW w:w="0" w:type="auto"/>
          </w:tcPr>
          <w:p w14:paraId="76FE8D12"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7</w:t>
            </w:r>
          </w:p>
        </w:tc>
        <w:tc>
          <w:tcPr>
            <w:tcW w:w="0" w:type="auto"/>
          </w:tcPr>
          <w:p w14:paraId="1E76F1D0" w14:textId="77777777" w:rsidR="00B93500" w:rsidRPr="00A51430" w:rsidRDefault="00000000" w:rsidP="007F1E7F">
            <w:pPr>
              <w:spacing w:after="0"/>
              <w:jc w:val="both"/>
              <w:rPr>
                <w:rFonts w:ascii="Times New Roman" w:hAnsi="Times New Roman" w:cs="Times New Roman"/>
                <w:color w:val="000000" w:themeColor="text1"/>
                <w:sz w:val="20"/>
                <w:szCs w:val="20"/>
              </w:rPr>
            </w:pPr>
            <w:proofErr w:type="spellStart"/>
            <w:r w:rsidRPr="00A51430">
              <w:rPr>
                <w:rFonts w:ascii="Times New Roman" w:hAnsi="Times New Roman" w:cs="Times New Roman"/>
                <w:color w:val="000000" w:themeColor="text1"/>
                <w:sz w:val="20"/>
                <w:szCs w:val="20"/>
              </w:rPr>
              <w:t>LinearSVR</w:t>
            </w:r>
            <w:proofErr w:type="spellEnd"/>
          </w:p>
        </w:tc>
        <w:tc>
          <w:tcPr>
            <w:tcW w:w="0" w:type="auto"/>
          </w:tcPr>
          <w:p w14:paraId="54277F38"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0.8607</w:t>
            </w:r>
          </w:p>
        </w:tc>
        <w:tc>
          <w:tcPr>
            <w:tcW w:w="0" w:type="auto"/>
          </w:tcPr>
          <w:p w14:paraId="0A486C33"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0.0635</w:t>
            </w:r>
          </w:p>
        </w:tc>
        <w:tc>
          <w:tcPr>
            <w:tcW w:w="0" w:type="auto"/>
          </w:tcPr>
          <w:p w14:paraId="176BA6BD"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0.0469</w:t>
            </w:r>
          </w:p>
        </w:tc>
        <w:tc>
          <w:tcPr>
            <w:tcW w:w="0" w:type="auto"/>
          </w:tcPr>
          <w:p w14:paraId="17E85BB5"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11.56</w:t>
            </w:r>
          </w:p>
        </w:tc>
        <w:tc>
          <w:tcPr>
            <w:tcW w:w="0" w:type="auto"/>
          </w:tcPr>
          <w:p w14:paraId="4812E753"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7.00</w:t>
            </w:r>
          </w:p>
        </w:tc>
      </w:tr>
    </w:tbl>
    <w:p w14:paraId="3D93F13A" w14:textId="77777777" w:rsidR="00247F5C" w:rsidRDefault="00247F5C" w:rsidP="007F1E7F">
      <w:pPr>
        <w:spacing w:after="0"/>
        <w:jc w:val="both"/>
        <w:rPr>
          <w:rFonts w:ascii="Times New Roman" w:hAnsi="Times New Roman" w:cs="Times New Roman"/>
          <w:color w:val="000000" w:themeColor="text1"/>
        </w:rPr>
      </w:pPr>
    </w:p>
    <w:p w14:paraId="1966DCC4" w14:textId="3D10B521" w:rsidR="00B93500" w:rsidRDefault="00000000" w:rsidP="00A51430">
      <w:pPr>
        <w:spacing w:after="0"/>
        <w:ind w:firstLineChars="200" w:firstLine="482"/>
        <w:jc w:val="both"/>
        <w:rPr>
          <w:rFonts w:ascii="Times New Roman" w:hAnsi="Times New Roman" w:cs="Times New Roman"/>
          <w:color w:val="000000" w:themeColor="text1"/>
        </w:rPr>
      </w:pPr>
      <w:r w:rsidRPr="00A51430">
        <w:rPr>
          <w:rFonts w:ascii="Times New Roman" w:hAnsi="Times New Roman" w:cs="Times New Roman"/>
          <w:b/>
          <w:bCs/>
          <w:color w:val="000000" w:themeColor="text1"/>
        </w:rPr>
        <w:t>Table 2</w:t>
      </w:r>
      <w:r w:rsidRPr="007302A9">
        <w:rPr>
          <w:rFonts w:ascii="Times New Roman" w:hAnsi="Times New Roman" w:cs="Times New Roman"/>
          <w:color w:val="000000" w:themeColor="text1"/>
        </w:rPr>
        <w:t xml:space="preserve"> further shows that </w:t>
      </w:r>
      <w:proofErr w:type="spellStart"/>
      <w:r w:rsidRPr="007302A9">
        <w:rPr>
          <w:rFonts w:ascii="Times New Roman" w:hAnsi="Times New Roman" w:cs="Times New Roman"/>
          <w:color w:val="000000" w:themeColor="text1"/>
        </w:rPr>
        <w:t>XGBoost</w:t>
      </w:r>
      <w:proofErr w:type="spellEnd"/>
      <w:r w:rsidRPr="007302A9">
        <w:rPr>
          <w:rFonts w:ascii="Times New Roman" w:hAnsi="Times New Roman" w:cs="Times New Roman"/>
          <w:color w:val="000000" w:themeColor="text1"/>
        </w:rPr>
        <w:t xml:space="preserve"> remains highly accurate (R² = 0.9979), although its error values are consistently higher than those of the three leading tree-based models. The ANN maintains an R² of 0.9876</w:t>
      </w:r>
      <w:r w:rsidR="006F1273">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but its RMSE and MAPE rise to 0.0189 and 2.78%, respectively. The larger deterioration for LSTM and </w:t>
      </w:r>
      <w:proofErr w:type="spellStart"/>
      <w:r w:rsidRPr="007302A9">
        <w:rPr>
          <w:rFonts w:ascii="Times New Roman" w:hAnsi="Times New Roman" w:cs="Times New Roman"/>
          <w:color w:val="000000" w:themeColor="text1"/>
        </w:rPr>
        <w:t>LinearSVR</w:t>
      </w:r>
      <w:proofErr w:type="spellEnd"/>
      <w:r w:rsidRPr="007302A9">
        <w:rPr>
          <w:rFonts w:ascii="Times New Roman" w:hAnsi="Times New Roman" w:cs="Times New Roman"/>
          <w:color w:val="000000" w:themeColor="text1"/>
        </w:rPr>
        <w:t xml:space="preserve"> indicates that additional sequence complexity or a predominantly linear decision boundary does not provide an advantage for this three-variable composite target. Overall, the table supports two distinct conclusions: random forest is the strongest model for numerical fidelity, whereas the decision tree offers a more favorable balance between accuracy, interpretability</w:t>
      </w:r>
      <w:r w:rsidR="004F33FD">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and implementation effort. </w:t>
      </w:r>
      <w:r w:rsidRPr="00A51430">
        <w:rPr>
          <w:rFonts w:ascii="Times New Roman" w:hAnsi="Times New Roman" w:cs="Times New Roman"/>
          <w:b/>
          <w:bCs/>
          <w:color w:val="000000" w:themeColor="text1"/>
        </w:rPr>
        <w:t>Figure 1</w:t>
      </w:r>
      <w:r w:rsidRPr="007302A9">
        <w:rPr>
          <w:rFonts w:ascii="Times New Roman" w:hAnsi="Times New Roman" w:cs="Times New Roman"/>
          <w:color w:val="000000" w:themeColor="text1"/>
        </w:rPr>
        <w:t xml:space="preserve"> presents the same comparison graphically and makes the scale of the performance gaps easier to inspect.</w:t>
      </w:r>
    </w:p>
    <w:p w14:paraId="3F949E3D" w14:textId="77777777" w:rsidR="004F33FD" w:rsidRPr="007302A9" w:rsidRDefault="004F33FD" w:rsidP="007F1E7F">
      <w:pPr>
        <w:spacing w:after="0"/>
        <w:jc w:val="both"/>
        <w:rPr>
          <w:rFonts w:ascii="Times New Roman" w:hAnsi="Times New Roman" w:cs="Times New Roman"/>
          <w:color w:val="000000" w:themeColor="text1"/>
        </w:rPr>
      </w:pPr>
    </w:p>
    <w:p w14:paraId="1A300C8B" w14:textId="77777777" w:rsidR="00B93500" w:rsidRPr="007302A9" w:rsidRDefault="00000000" w:rsidP="00A51430">
      <w:pPr>
        <w:spacing w:after="0"/>
        <w:jc w:val="center"/>
        <w:rPr>
          <w:rFonts w:ascii="Times New Roman" w:hAnsi="Times New Roman" w:cs="Times New Roman"/>
          <w:color w:val="000000" w:themeColor="text1"/>
        </w:rPr>
      </w:pPr>
      <w:r w:rsidRPr="007302A9">
        <w:rPr>
          <w:rFonts w:ascii="Times New Roman" w:hAnsi="Times New Roman" w:cs="Times New Roman"/>
          <w:noProof/>
          <w:color w:val="000000" w:themeColor="text1"/>
        </w:rPr>
        <w:lastRenderedPageBreak/>
        <w:drawing>
          <wp:inline distT="0" distB="0" distL="0" distR="0" wp14:anchorId="218B66EC" wp14:editId="7BF83709">
            <wp:extent cx="5334000" cy="3735705"/>
            <wp:effectExtent l="0" t="0" r="0" b="0"/>
            <wp:docPr id="21" name="Picture" descr="Figure 1. Test-set performance of the seven mod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descr="Figure 1. Test-set performance of the seven models"/>
                    <pic:cNvPicPr>
                      <a:picLocks noChangeAspect="1" noChangeArrowheads="1"/>
                    </pic:cNvPicPr>
                  </pic:nvPicPr>
                  <pic:blipFill>
                    <a:blip r:embed="rId6"/>
                    <a:stretch>
                      <a:fillRect/>
                    </a:stretch>
                  </pic:blipFill>
                  <pic:spPr>
                    <a:xfrm>
                      <a:off x="0" y="0"/>
                      <a:ext cx="5334000" cy="3735919"/>
                    </a:xfrm>
                    <a:prstGeom prst="rect">
                      <a:avLst/>
                    </a:prstGeom>
                    <a:noFill/>
                    <a:ln w="9525">
                      <a:noFill/>
                    </a:ln>
                  </pic:spPr>
                </pic:pic>
              </a:graphicData>
            </a:graphic>
          </wp:inline>
        </w:drawing>
      </w:r>
    </w:p>
    <w:p w14:paraId="405DF2F5" w14:textId="77777777" w:rsidR="00B93500" w:rsidRPr="00A51430" w:rsidRDefault="00000000" w:rsidP="00A51430">
      <w:pPr>
        <w:spacing w:after="0"/>
        <w:jc w:val="center"/>
        <w:rPr>
          <w:rFonts w:ascii="Times New Roman" w:hAnsi="Times New Roman" w:cs="Times New Roman"/>
          <w:color w:val="000000" w:themeColor="text1"/>
          <w:sz w:val="20"/>
          <w:szCs w:val="20"/>
        </w:rPr>
      </w:pPr>
      <w:r w:rsidRPr="00A51430">
        <w:rPr>
          <w:rFonts w:ascii="Times New Roman" w:hAnsi="Times New Roman" w:cs="Times New Roman"/>
          <w:b/>
          <w:bCs/>
          <w:color w:val="000000" w:themeColor="text1"/>
          <w:sz w:val="20"/>
          <w:szCs w:val="20"/>
        </w:rPr>
        <w:t>Figure 1</w:t>
      </w:r>
      <w:r w:rsidRPr="00A51430">
        <w:rPr>
          <w:rFonts w:ascii="Times New Roman" w:hAnsi="Times New Roman" w:cs="Times New Roman"/>
          <w:color w:val="000000" w:themeColor="text1"/>
          <w:sz w:val="20"/>
          <w:szCs w:val="20"/>
        </w:rPr>
        <w:t>. Test-set performance of the seven models</w:t>
      </w:r>
    </w:p>
    <w:p w14:paraId="2FCAA9D7" w14:textId="77777777" w:rsidR="004F33FD" w:rsidRDefault="004F33FD" w:rsidP="007F1E7F">
      <w:pPr>
        <w:spacing w:after="0"/>
        <w:jc w:val="both"/>
        <w:rPr>
          <w:rFonts w:ascii="Times New Roman" w:hAnsi="Times New Roman" w:cs="Times New Roman"/>
          <w:color w:val="000000" w:themeColor="text1"/>
        </w:rPr>
      </w:pPr>
    </w:p>
    <w:p w14:paraId="6F3E7F43" w14:textId="0D166919" w:rsidR="00B93500" w:rsidRDefault="00000000" w:rsidP="00A51430">
      <w:pPr>
        <w:spacing w:after="0"/>
        <w:ind w:firstLineChars="200" w:firstLine="480"/>
        <w:jc w:val="both"/>
        <w:rPr>
          <w:rFonts w:ascii="Times New Roman" w:hAnsi="Times New Roman" w:cs="Times New Roman"/>
          <w:color w:val="000000" w:themeColor="text1"/>
        </w:rPr>
      </w:pPr>
      <w:r w:rsidRPr="007302A9">
        <w:rPr>
          <w:rFonts w:ascii="Times New Roman" w:hAnsi="Times New Roman" w:cs="Times New Roman"/>
          <w:color w:val="000000" w:themeColor="text1"/>
        </w:rPr>
        <w:t xml:space="preserve">Random forest ranked first on every metric. The decision tree’s R² was only 0.0012 lower and its MAPE only 0.09 points higher, yet it supplies readable thresholds and runs quickly inside GIS. As shown in </w:t>
      </w:r>
      <w:r w:rsidRPr="00A51430">
        <w:rPr>
          <w:rFonts w:ascii="Times New Roman" w:hAnsi="Times New Roman" w:cs="Times New Roman"/>
          <w:b/>
          <w:bCs/>
          <w:color w:val="000000" w:themeColor="text1"/>
        </w:rPr>
        <w:t>Figure 1</w:t>
      </w:r>
      <w:r w:rsidRPr="007302A9">
        <w:rPr>
          <w:rFonts w:ascii="Times New Roman" w:hAnsi="Times New Roman" w:cs="Times New Roman"/>
          <w:color w:val="000000" w:themeColor="text1"/>
        </w:rPr>
        <w:t xml:space="preserve">, the four panels reveal that the leading models are tightly clustered in R² but become more clearly separated when error metrics are examined. Random forest has the shortest bars in all three error panels, confirming that its advantage is consistent rather than dependent on a single indicator. The figure also highlights a useful distinction between AdaBoost and the decision tree: AdaBoost performs better on RMSE and MAE, whereas the decision tree produces a lower MAPE. By contrast, LSTM and </w:t>
      </w:r>
      <w:proofErr w:type="spellStart"/>
      <w:r w:rsidRPr="007302A9">
        <w:rPr>
          <w:rFonts w:ascii="Times New Roman" w:hAnsi="Times New Roman" w:cs="Times New Roman"/>
          <w:color w:val="000000" w:themeColor="text1"/>
        </w:rPr>
        <w:t>LinearSVR</w:t>
      </w:r>
      <w:proofErr w:type="spellEnd"/>
      <w:r w:rsidRPr="007302A9">
        <w:rPr>
          <w:rFonts w:ascii="Times New Roman" w:hAnsi="Times New Roman" w:cs="Times New Roman"/>
          <w:color w:val="000000" w:themeColor="text1"/>
        </w:rPr>
        <w:t xml:space="preserve"> show visibly larger errors across the lower panels, confirming that their weaker R² values are accompanied by practically meaningful prediction deviations. This visual evidence motivates the metric-specific ranking analysis reported in </w:t>
      </w:r>
      <w:r w:rsidRPr="00A51430">
        <w:rPr>
          <w:rFonts w:ascii="Times New Roman" w:hAnsi="Times New Roman" w:cs="Times New Roman"/>
          <w:b/>
          <w:bCs/>
          <w:color w:val="000000" w:themeColor="text1"/>
        </w:rPr>
        <w:t>Figure 2</w:t>
      </w:r>
      <w:r w:rsidRPr="007302A9">
        <w:rPr>
          <w:rFonts w:ascii="Times New Roman" w:hAnsi="Times New Roman" w:cs="Times New Roman"/>
          <w:color w:val="000000" w:themeColor="text1"/>
        </w:rPr>
        <w:t>.</w:t>
      </w:r>
    </w:p>
    <w:p w14:paraId="286284C0" w14:textId="77777777" w:rsidR="004F33FD" w:rsidRPr="007302A9" w:rsidRDefault="004F33FD" w:rsidP="007F1E7F">
      <w:pPr>
        <w:spacing w:after="0"/>
        <w:jc w:val="both"/>
        <w:rPr>
          <w:rFonts w:ascii="Times New Roman" w:hAnsi="Times New Roman" w:cs="Times New Roman"/>
          <w:color w:val="000000" w:themeColor="text1"/>
        </w:rPr>
      </w:pPr>
    </w:p>
    <w:p w14:paraId="4BA51A83" w14:textId="77777777" w:rsidR="00B93500" w:rsidRPr="007302A9" w:rsidRDefault="00000000" w:rsidP="00A51430">
      <w:pPr>
        <w:spacing w:after="0"/>
        <w:jc w:val="center"/>
        <w:rPr>
          <w:rFonts w:ascii="Times New Roman" w:hAnsi="Times New Roman" w:cs="Times New Roman"/>
          <w:color w:val="000000" w:themeColor="text1"/>
        </w:rPr>
      </w:pPr>
      <w:r w:rsidRPr="007302A9">
        <w:rPr>
          <w:rFonts w:ascii="Times New Roman" w:hAnsi="Times New Roman" w:cs="Times New Roman"/>
          <w:noProof/>
          <w:color w:val="000000" w:themeColor="text1"/>
        </w:rPr>
        <w:lastRenderedPageBreak/>
        <w:drawing>
          <wp:inline distT="0" distB="0" distL="0" distR="0" wp14:anchorId="7C644329" wp14:editId="2D717581">
            <wp:extent cx="5334000" cy="3353435"/>
            <wp:effectExtent l="0" t="0" r="0" b="0"/>
            <wp:docPr id="24" name="Picture" descr="Figure 2. Rank heat map based on R², RMSE, MAE and M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descr="Figure 2. Rank heat map based on R², RMSE, MAE and MAPE"/>
                    <pic:cNvPicPr>
                      <a:picLocks noChangeAspect="1" noChangeArrowheads="1"/>
                    </pic:cNvPicPr>
                  </pic:nvPicPr>
                  <pic:blipFill>
                    <a:blip r:embed="rId7"/>
                    <a:stretch>
                      <a:fillRect/>
                    </a:stretch>
                  </pic:blipFill>
                  <pic:spPr>
                    <a:xfrm>
                      <a:off x="0" y="0"/>
                      <a:ext cx="5334000" cy="3353613"/>
                    </a:xfrm>
                    <a:prstGeom prst="rect">
                      <a:avLst/>
                    </a:prstGeom>
                    <a:noFill/>
                    <a:ln w="9525">
                      <a:noFill/>
                    </a:ln>
                  </pic:spPr>
                </pic:pic>
              </a:graphicData>
            </a:graphic>
          </wp:inline>
        </w:drawing>
      </w:r>
    </w:p>
    <w:p w14:paraId="17F6E018" w14:textId="1ACAF0EC" w:rsidR="00B93500" w:rsidRPr="00A51430" w:rsidRDefault="00000000" w:rsidP="00A51430">
      <w:pPr>
        <w:spacing w:after="0"/>
        <w:jc w:val="center"/>
        <w:rPr>
          <w:rFonts w:ascii="Times New Roman" w:hAnsi="Times New Roman" w:cs="Times New Roman"/>
          <w:color w:val="000000" w:themeColor="text1"/>
          <w:sz w:val="20"/>
          <w:szCs w:val="20"/>
        </w:rPr>
      </w:pPr>
      <w:r w:rsidRPr="00A51430">
        <w:rPr>
          <w:rFonts w:ascii="Times New Roman" w:hAnsi="Times New Roman" w:cs="Times New Roman"/>
          <w:b/>
          <w:bCs/>
          <w:color w:val="000000" w:themeColor="text1"/>
          <w:sz w:val="20"/>
          <w:szCs w:val="20"/>
        </w:rPr>
        <w:t>Figure 2</w:t>
      </w:r>
      <w:r w:rsidRPr="00A51430">
        <w:rPr>
          <w:rFonts w:ascii="Times New Roman" w:hAnsi="Times New Roman" w:cs="Times New Roman"/>
          <w:color w:val="000000" w:themeColor="text1"/>
          <w:sz w:val="20"/>
          <w:szCs w:val="20"/>
        </w:rPr>
        <w:t>. Rank heat map based on R², RMSE, MAE</w:t>
      </w:r>
      <w:r w:rsidR="00D22905">
        <w:rPr>
          <w:rFonts w:ascii="Times New Roman" w:hAnsi="Times New Roman" w:cs="Times New Roman"/>
          <w:color w:val="000000" w:themeColor="text1"/>
          <w:sz w:val="20"/>
          <w:szCs w:val="20"/>
        </w:rPr>
        <w:t>,</w:t>
      </w:r>
      <w:r w:rsidRPr="00A51430">
        <w:rPr>
          <w:rFonts w:ascii="Times New Roman" w:hAnsi="Times New Roman" w:cs="Times New Roman"/>
          <w:color w:val="000000" w:themeColor="text1"/>
          <w:sz w:val="20"/>
          <w:szCs w:val="20"/>
        </w:rPr>
        <w:t xml:space="preserve"> and MAPE</w:t>
      </w:r>
    </w:p>
    <w:p w14:paraId="3446FA0E" w14:textId="77777777" w:rsidR="004F33FD" w:rsidRDefault="004F33FD" w:rsidP="007F1E7F">
      <w:pPr>
        <w:spacing w:after="0"/>
        <w:jc w:val="both"/>
        <w:rPr>
          <w:rFonts w:ascii="Times New Roman" w:hAnsi="Times New Roman" w:cs="Times New Roman"/>
          <w:color w:val="000000" w:themeColor="text1"/>
        </w:rPr>
      </w:pPr>
    </w:p>
    <w:p w14:paraId="74FFBDA6" w14:textId="0E4D1148" w:rsidR="00B93500" w:rsidRPr="007302A9" w:rsidRDefault="00000000" w:rsidP="00A51430">
      <w:pPr>
        <w:spacing w:after="0"/>
        <w:ind w:firstLineChars="200" w:firstLine="480"/>
        <w:jc w:val="both"/>
        <w:rPr>
          <w:rFonts w:ascii="Times New Roman" w:hAnsi="Times New Roman" w:cs="Times New Roman"/>
          <w:color w:val="000000" w:themeColor="text1"/>
        </w:rPr>
      </w:pPr>
      <w:r w:rsidRPr="007302A9">
        <w:rPr>
          <w:rFonts w:ascii="Times New Roman" w:hAnsi="Times New Roman" w:cs="Times New Roman"/>
          <w:color w:val="000000" w:themeColor="text1"/>
        </w:rPr>
        <w:t xml:space="preserve">As shown in </w:t>
      </w:r>
      <w:r w:rsidRPr="00A51430">
        <w:rPr>
          <w:rFonts w:ascii="Times New Roman" w:hAnsi="Times New Roman" w:cs="Times New Roman"/>
          <w:b/>
          <w:bCs/>
          <w:color w:val="000000" w:themeColor="text1"/>
        </w:rPr>
        <w:t>Figure 2</w:t>
      </w:r>
      <w:r w:rsidRPr="007302A9">
        <w:rPr>
          <w:rFonts w:ascii="Times New Roman" w:hAnsi="Times New Roman" w:cs="Times New Roman"/>
          <w:color w:val="000000" w:themeColor="text1"/>
        </w:rPr>
        <w:t>, random forest occupies rank 1 for R², RMSE, MAE</w:t>
      </w:r>
      <w:r w:rsidR="004F33FD">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and MAPE, demonstrating complete consistency across the evaluation criteria. AdaBoost ranks second on R², RMSE</w:t>
      </w:r>
      <w:r w:rsidR="00D22905">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and MAE but falls to fourth on MAPE, while the decision tree ranks third on the first three metrics and rises to second on MAPE. </w:t>
      </w:r>
      <w:proofErr w:type="spellStart"/>
      <w:r w:rsidRPr="007302A9">
        <w:rPr>
          <w:rFonts w:ascii="Times New Roman" w:hAnsi="Times New Roman" w:cs="Times New Roman"/>
          <w:color w:val="000000" w:themeColor="text1"/>
        </w:rPr>
        <w:t>XGBoost</w:t>
      </w:r>
      <w:proofErr w:type="spellEnd"/>
      <w:r w:rsidRPr="007302A9">
        <w:rPr>
          <w:rFonts w:ascii="Times New Roman" w:hAnsi="Times New Roman" w:cs="Times New Roman"/>
          <w:color w:val="000000" w:themeColor="text1"/>
        </w:rPr>
        <w:t xml:space="preserve"> remains fourth on the absolute-error and fit metrics and third on MAPE. The heat map therefore prevents the overall mean rank from obscuring metric-specific strengths and shows why model selection should not rely on R² alone. The stable lower positions of ANN, LSTM</w:t>
      </w:r>
      <w:r w:rsidR="00D22905">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and </w:t>
      </w:r>
      <w:proofErr w:type="spellStart"/>
      <w:r w:rsidRPr="007302A9">
        <w:rPr>
          <w:rFonts w:ascii="Times New Roman" w:hAnsi="Times New Roman" w:cs="Times New Roman"/>
          <w:color w:val="000000" w:themeColor="text1"/>
        </w:rPr>
        <w:t>LinearSVR</w:t>
      </w:r>
      <w:proofErr w:type="spellEnd"/>
      <w:r w:rsidRPr="007302A9">
        <w:rPr>
          <w:rFonts w:ascii="Times New Roman" w:hAnsi="Times New Roman" w:cs="Times New Roman"/>
          <w:color w:val="000000" w:themeColor="text1"/>
        </w:rPr>
        <w:t xml:space="preserve"> also confirm that the ranking pattern is not caused by one anomalous metric. After establishing the model hierarchy, </w:t>
      </w:r>
      <w:r w:rsidRPr="00A51430">
        <w:rPr>
          <w:rFonts w:ascii="Times New Roman" w:hAnsi="Times New Roman" w:cs="Times New Roman"/>
          <w:b/>
          <w:bCs/>
          <w:color w:val="000000" w:themeColor="text1"/>
        </w:rPr>
        <w:t>Table 3</w:t>
      </w:r>
      <w:r w:rsidRPr="007302A9">
        <w:rPr>
          <w:rFonts w:ascii="Times New Roman" w:hAnsi="Times New Roman" w:cs="Times New Roman"/>
          <w:color w:val="000000" w:themeColor="text1"/>
        </w:rPr>
        <w:t xml:space="preserve"> examines how the best-performing random forest redistributes importance among the three suitability indicators.</w:t>
      </w:r>
    </w:p>
    <w:p w14:paraId="121B8DB5" w14:textId="77777777" w:rsidR="00B93500" w:rsidRDefault="00000000" w:rsidP="007F1E7F">
      <w:pPr>
        <w:spacing w:after="0"/>
        <w:jc w:val="both"/>
        <w:rPr>
          <w:rFonts w:ascii="Times New Roman" w:hAnsi="Times New Roman" w:cs="Times New Roman"/>
          <w:color w:val="000000" w:themeColor="text1"/>
        </w:rPr>
      </w:pPr>
      <w:r w:rsidRPr="00A51430">
        <w:rPr>
          <w:rFonts w:ascii="Times New Roman" w:hAnsi="Times New Roman" w:cs="Times New Roman"/>
          <w:b/>
          <w:bCs/>
          <w:color w:val="000000" w:themeColor="text1"/>
        </w:rPr>
        <w:t>Table 3</w:t>
      </w:r>
      <w:r w:rsidRPr="007302A9">
        <w:rPr>
          <w:rFonts w:ascii="Times New Roman" w:hAnsi="Times New Roman" w:cs="Times New Roman"/>
          <w:color w:val="000000" w:themeColor="text1"/>
        </w:rPr>
        <w:t xml:space="preserve"> compares the original analytic-hierarchy-process weights with the data-derived random-forest importance values. This comparison is used not to replace planning judgment automatically, but to identify where observed behavioral and spatial patterns support or challenge the initial expert weighting scheme.</w:t>
      </w:r>
    </w:p>
    <w:p w14:paraId="440B6878" w14:textId="77777777" w:rsidR="00D22905" w:rsidRPr="007302A9" w:rsidRDefault="00D22905" w:rsidP="007F1E7F">
      <w:pPr>
        <w:spacing w:after="0"/>
        <w:jc w:val="both"/>
        <w:rPr>
          <w:rFonts w:ascii="Times New Roman" w:hAnsi="Times New Roman" w:cs="Times New Roman"/>
          <w:color w:val="000000" w:themeColor="text1"/>
        </w:rPr>
      </w:pPr>
    </w:p>
    <w:p w14:paraId="46180ABB" w14:textId="77777777" w:rsidR="00B93500" w:rsidRDefault="00000000" w:rsidP="007F1E7F">
      <w:pPr>
        <w:spacing w:after="0"/>
        <w:jc w:val="both"/>
        <w:rPr>
          <w:rFonts w:ascii="Times New Roman" w:hAnsi="Times New Roman" w:cs="Times New Roman"/>
          <w:b/>
          <w:bCs/>
          <w:color w:val="000000" w:themeColor="text1"/>
        </w:rPr>
      </w:pPr>
      <w:r w:rsidRPr="007302A9">
        <w:rPr>
          <w:rFonts w:ascii="Times New Roman" w:hAnsi="Times New Roman" w:cs="Times New Roman"/>
          <w:b/>
          <w:bCs/>
          <w:color w:val="000000" w:themeColor="text1"/>
        </w:rPr>
        <w:t>Table 3</w:t>
      </w:r>
      <w:r w:rsidRPr="00A51430">
        <w:rPr>
          <w:rFonts w:ascii="Times New Roman" w:hAnsi="Times New Roman" w:cs="Times New Roman"/>
          <w:color w:val="000000" w:themeColor="text1"/>
        </w:rPr>
        <w:t>. Objective weights from random-forest importance</w:t>
      </w:r>
    </w:p>
    <w:p w14:paraId="4EBAE8A7" w14:textId="77777777" w:rsidR="00D22905" w:rsidRPr="00D22905" w:rsidRDefault="00D22905" w:rsidP="007F1E7F">
      <w:pPr>
        <w:spacing w:after="0"/>
        <w:jc w:val="both"/>
        <w:rPr>
          <w:rFonts w:ascii="Times New Roman" w:hAnsi="Times New Roman" w:cs="Times New Roman"/>
          <w:color w:val="000000" w:themeColor="text1"/>
        </w:rPr>
      </w:pPr>
    </w:p>
    <w:tbl>
      <w:tblPr>
        <w:tblStyle w:val="Table"/>
        <w:tblW w:w="0" w:type="auto"/>
        <w:tblInd w:w="0" w:type="dxa"/>
        <w:tblBorders>
          <w:top w:val="single" w:sz="4" w:space="0" w:color="auto"/>
          <w:bottom w:val="single" w:sz="4" w:space="0" w:color="auto"/>
        </w:tblBorders>
        <w:tblLook w:val="04A0" w:firstRow="1" w:lastRow="0" w:firstColumn="1" w:lastColumn="0" w:noHBand="0" w:noVBand="1"/>
      </w:tblPr>
      <w:tblGrid>
        <w:gridCol w:w="1744"/>
        <w:gridCol w:w="1411"/>
        <w:gridCol w:w="1511"/>
        <w:gridCol w:w="1611"/>
      </w:tblGrid>
      <w:tr w:rsidR="00B93500" w:rsidRPr="00A51430" w14:paraId="0DB76180" w14:textId="77777777" w:rsidTr="00A51430">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4" w:space="0" w:color="auto"/>
              <w:bottom w:val="single" w:sz="4" w:space="0" w:color="auto"/>
            </w:tcBorders>
          </w:tcPr>
          <w:p w14:paraId="236087B2" w14:textId="77777777" w:rsidR="00B93500" w:rsidRPr="00A51430" w:rsidRDefault="00000000" w:rsidP="007F1E7F">
            <w:pPr>
              <w:spacing w:after="0"/>
              <w:jc w:val="both"/>
              <w:rPr>
                <w:rFonts w:ascii="Times New Roman" w:hAnsi="Times New Roman" w:cs="Times New Roman"/>
                <w:b/>
                <w:bCs/>
                <w:color w:val="000000" w:themeColor="text1"/>
                <w:sz w:val="20"/>
                <w:szCs w:val="20"/>
              </w:rPr>
            </w:pPr>
            <w:r w:rsidRPr="00A51430">
              <w:rPr>
                <w:rFonts w:ascii="Times New Roman" w:hAnsi="Times New Roman" w:cs="Times New Roman"/>
                <w:b/>
                <w:bCs/>
                <w:color w:val="000000" w:themeColor="text1"/>
                <w:sz w:val="20"/>
                <w:szCs w:val="20"/>
              </w:rPr>
              <w:t>Indicator</w:t>
            </w:r>
          </w:p>
        </w:tc>
        <w:tc>
          <w:tcPr>
            <w:tcW w:w="0" w:type="auto"/>
            <w:tcBorders>
              <w:top w:val="single" w:sz="4" w:space="0" w:color="auto"/>
              <w:bottom w:val="single" w:sz="4" w:space="0" w:color="auto"/>
            </w:tcBorders>
          </w:tcPr>
          <w:p w14:paraId="49427062" w14:textId="77777777" w:rsidR="00B93500" w:rsidRPr="00A51430" w:rsidRDefault="00000000" w:rsidP="007F1E7F">
            <w:pPr>
              <w:spacing w:after="0"/>
              <w:jc w:val="both"/>
              <w:rPr>
                <w:rFonts w:ascii="Times New Roman" w:hAnsi="Times New Roman" w:cs="Times New Roman"/>
                <w:b/>
                <w:bCs/>
                <w:color w:val="000000" w:themeColor="text1"/>
                <w:sz w:val="20"/>
                <w:szCs w:val="20"/>
              </w:rPr>
            </w:pPr>
            <w:r w:rsidRPr="00A51430">
              <w:rPr>
                <w:rFonts w:ascii="Times New Roman" w:hAnsi="Times New Roman" w:cs="Times New Roman"/>
                <w:b/>
                <w:bCs/>
                <w:color w:val="000000" w:themeColor="text1"/>
                <w:sz w:val="20"/>
                <w:szCs w:val="20"/>
              </w:rPr>
              <w:t>Original AHP</w:t>
            </w:r>
          </w:p>
        </w:tc>
        <w:tc>
          <w:tcPr>
            <w:tcW w:w="0" w:type="auto"/>
            <w:tcBorders>
              <w:top w:val="single" w:sz="4" w:space="0" w:color="auto"/>
              <w:bottom w:val="single" w:sz="4" w:space="0" w:color="auto"/>
            </w:tcBorders>
          </w:tcPr>
          <w:p w14:paraId="14DE4CB3" w14:textId="77777777" w:rsidR="00B93500" w:rsidRPr="00A51430" w:rsidRDefault="00000000" w:rsidP="007F1E7F">
            <w:pPr>
              <w:spacing w:after="0"/>
              <w:jc w:val="both"/>
              <w:rPr>
                <w:rFonts w:ascii="Times New Roman" w:hAnsi="Times New Roman" w:cs="Times New Roman"/>
                <w:b/>
                <w:bCs/>
                <w:color w:val="000000" w:themeColor="text1"/>
                <w:sz w:val="20"/>
                <w:szCs w:val="20"/>
              </w:rPr>
            </w:pPr>
            <w:r w:rsidRPr="00A51430">
              <w:rPr>
                <w:rFonts w:ascii="Times New Roman" w:hAnsi="Times New Roman" w:cs="Times New Roman"/>
                <w:b/>
                <w:bCs/>
                <w:color w:val="000000" w:themeColor="text1"/>
                <w:sz w:val="20"/>
                <w:szCs w:val="20"/>
              </w:rPr>
              <w:t>RF importance</w:t>
            </w:r>
          </w:p>
        </w:tc>
        <w:tc>
          <w:tcPr>
            <w:tcW w:w="0" w:type="auto"/>
            <w:tcBorders>
              <w:top w:val="single" w:sz="4" w:space="0" w:color="auto"/>
              <w:bottom w:val="single" w:sz="4" w:space="0" w:color="auto"/>
            </w:tcBorders>
          </w:tcPr>
          <w:p w14:paraId="2F31347D" w14:textId="77777777" w:rsidR="00B93500" w:rsidRPr="00A51430" w:rsidRDefault="00000000" w:rsidP="007F1E7F">
            <w:pPr>
              <w:spacing w:after="0"/>
              <w:jc w:val="both"/>
              <w:rPr>
                <w:rFonts w:ascii="Times New Roman" w:hAnsi="Times New Roman" w:cs="Times New Roman"/>
                <w:b/>
                <w:bCs/>
                <w:color w:val="000000" w:themeColor="text1"/>
                <w:sz w:val="20"/>
                <w:szCs w:val="20"/>
              </w:rPr>
            </w:pPr>
            <w:r w:rsidRPr="00A51430">
              <w:rPr>
                <w:rFonts w:ascii="Times New Roman" w:hAnsi="Times New Roman" w:cs="Times New Roman"/>
                <w:b/>
                <w:bCs/>
                <w:color w:val="000000" w:themeColor="text1"/>
                <w:sz w:val="20"/>
                <w:szCs w:val="20"/>
              </w:rPr>
              <w:t>Rounded weight</w:t>
            </w:r>
          </w:p>
        </w:tc>
      </w:tr>
      <w:tr w:rsidR="00B93500" w:rsidRPr="00A51430" w14:paraId="50215BEA" w14:textId="77777777" w:rsidTr="00A51430">
        <w:tc>
          <w:tcPr>
            <w:tcW w:w="0" w:type="auto"/>
            <w:tcBorders>
              <w:top w:val="single" w:sz="4" w:space="0" w:color="auto"/>
            </w:tcBorders>
          </w:tcPr>
          <w:p w14:paraId="4F2426EB"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Occupancy density</w:t>
            </w:r>
          </w:p>
        </w:tc>
        <w:tc>
          <w:tcPr>
            <w:tcW w:w="0" w:type="auto"/>
            <w:tcBorders>
              <w:top w:val="single" w:sz="4" w:space="0" w:color="auto"/>
            </w:tcBorders>
          </w:tcPr>
          <w:p w14:paraId="38F5E0C9"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0.45</w:t>
            </w:r>
          </w:p>
        </w:tc>
        <w:tc>
          <w:tcPr>
            <w:tcW w:w="0" w:type="auto"/>
            <w:tcBorders>
              <w:top w:val="single" w:sz="4" w:space="0" w:color="auto"/>
            </w:tcBorders>
          </w:tcPr>
          <w:p w14:paraId="4BBD4993"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0.4801</w:t>
            </w:r>
          </w:p>
        </w:tc>
        <w:tc>
          <w:tcPr>
            <w:tcW w:w="0" w:type="auto"/>
            <w:tcBorders>
              <w:top w:val="single" w:sz="4" w:space="0" w:color="auto"/>
            </w:tcBorders>
          </w:tcPr>
          <w:p w14:paraId="37BC5BFA"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0.48</w:t>
            </w:r>
          </w:p>
        </w:tc>
      </w:tr>
      <w:tr w:rsidR="00B93500" w:rsidRPr="00A51430" w14:paraId="58668F23" w14:textId="77777777" w:rsidTr="00A51430">
        <w:tc>
          <w:tcPr>
            <w:tcW w:w="0" w:type="auto"/>
          </w:tcPr>
          <w:p w14:paraId="2ACFEE89"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Road integration</w:t>
            </w:r>
          </w:p>
        </w:tc>
        <w:tc>
          <w:tcPr>
            <w:tcW w:w="0" w:type="auto"/>
          </w:tcPr>
          <w:p w14:paraId="05FEBF09"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0.30</w:t>
            </w:r>
          </w:p>
        </w:tc>
        <w:tc>
          <w:tcPr>
            <w:tcW w:w="0" w:type="auto"/>
          </w:tcPr>
          <w:p w14:paraId="18F377C4"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0.3219</w:t>
            </w:r>
          </w:p>
        </w:tc>
        <w:tc>
          <w:tcPr>
            <w:tcW w:w="0" w:type="auto"/>
          </w:tcPr>
          <w:p w14:paraId="4F465638"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0.32</w:t>
            </w:r>
          </w:p>
        </w:tc>
      </w:tr>
      <w:tr w:rsidR="00B93500" w:rsidRPr="00A51430" w14:paraId="38014393" w14:textId="77777777" w:rsidTr="00A51430">
        <w:tc>
          <w:tcPr>
            <w:tcW w:w="0" w:type="auto"/>
          </w:tcPr>
          <w:p w14:paraId="718E2806"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Function matching</w:t>
            </w:r>
          </w:p>
        </w:tc>
        <w:tc>
          <w:tcPr>
            <w:tcW w:w="0" w:type="auto"/>
          </w:tcPr>
          <w:p w14:paraId="75A2671C"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0.25</w:t>
            </w:r>
          </w:p>
        </w:tc>
        <w:tc>
          <w:tcPr>
            <w:tcW w:w="0" w:type="auto"/>
          </w:tcPr>
          <w:p w14:paraId="725AA3F7"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0.1980</w:t>
            </w:r>
          </w:p>
        </w:tc>
        <w:tc>
          <w:tcPr>
            <w:tcW w:w="0" w:type="auto"/>
          </w:tcPr>
          <w:p w14:paraId="1A51323E"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0.20</w:t>
            </w:r>
          </w:p>
        </w:tc>
      </w:tr>
    </w:tbl>
    <w:p w14:paraId="3D9F8184" w14:textId="77777777" w:rsidR="00D22905" w:rsidRDefault="00D22905" w:rsidP="007F1E7F">
      <w:pPr>
        <w:spacing w:after="0"/>
        <w:jc w:val="both"/>
        <w:rPr>
          <w:rFonts w:ascii="Times New Roman" w:hAnsi="Times New Roman" w:cs="Times New Roman"/>
          <w:color w:val="000000" w:themeColor="text1"/>
        </w:rPr>
      </w:pPr>
    </w:p>
    <w:p w14:paraId="238A2A15" w14:textId="6E2C041F" w:rsidR="00B93500" w:rsidRDefault="00000000" w:rsidP="00A51430">
      <w:pPr>
        <w:spacing w:after="0"/>
        <w:ind w:firstLineChars="200" w:firstLine="480"/>
        <w:jc w:val="both"/>
        <w:rPr>
          <w:rFonts w:ascii="Times New Roman" w:hAnsi="Times New Roman" w:cs="Times New Roman"/>
          <w:color w:val="000000" w:themeColor="text1"/>
        </w:rPr>
      </w:pPr>
      <w:r w:rsidRPr="007302A9">
        <w:rPr>
          <w:rFonts w:ascii="Times New Roman" w:hAnsi="Times New Roman" w:cs="Times New Roman"/>
          <w:color w:val="000000" w:themeColor="text1"/>
        </w:rPr>
        <w:t xml:space="preserve">As shown in </w:t>
      </w:r>
      <w:r w:rsidRPr="00A51430">
        <w:rPr>
          <w:rFonts w:ascii="Times New Roman" w:hAnsi="Times New Roman" w:cs="Times New Roman"/>
          <w:b/>
          <w:bCs/>
          <w:color w:val="000000" w:themeColor="text1"/>
        </w:rPr>
        <w:t>Table 3</w:t>
      </w:r>
      <w:r w:rsidRPr="007302A9">
        <w:rPr>
          <w:rFonts w:ascii="Times New Roman" w:hAnsi="Times New Roman" w:cs="Times New Roman"/>
          <w:color w:val="000000" w:themeColor="text1"/>
        </w:rPr>
        <w:t>, occupancy density increases from an original weight of 0.45 to an importance value of 0.4801, a gain of 0.0301. Road integration increases from 0.30 to 0.3219, whereas function matching decreases from 0.25 to 0.1980. After rounding, the revised weights remain normalized at 0.48, 0.32</w:t>
      </w:r>
      <w:r w:rsidR="00D22905">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and 0.20. These shifts indicate that </w:t>
      </w:r>
      <w:r w:rsidRPr="007302A9">
        <w:rPr>
          <w:rFonts w:ascii="Times New Roman" w:hAnsi="Times New Roman" w:cs="Times New Roman"/>
          <w:color w:val="000000" w:themeColor="text1"/>
        </w:rPr>
        <w:lastRenderedPageBreak/>
        <w:t xml:space="preserve">actual behavioral intensity contributes more to the learned suitability rule than initially assumed, while fixed functional labels provide less discrimination once density and accessibility are included. The result does not imply that function is unimportant; rather, it suggests that function matching should operate as a contextual constraint instead of the dominant driver of short-term suitability variation. </w:t>
      </w:r>
      <w:r w:rsidRPr="00A51430">
        <w:rPr>
          <w:rFonts w:ascii="Times New Roman" w:hAnsi="Times New Roman" w:cs="Times New Roman"/>
          <w:b/>
          <w:bCs/>
          <w:color w:val="000000" w:themeColor="text1"/>
        </w:rPr>
        <w:t>Figure 3</w:t>
      </w:r>
      <w:r w:rsidRPr="007302A9">
        <w:rPr>
          <w:rFonts w:ascii="Times New Roman" w:hAnsi="Times New Roman" w:cs="Times New Roman"/>
          <w:color w:val="000000" w:themeColor="text1"/>
        </w:rPr>
        <w:t xml:space="preserve"> then evaluates whether the relative model performance remains stable from the validation set to the test set.</w:t>
      </w:r>
    </w:p>
    <w:p w14:paraId="289AF547" w14:textId="77777777" w:rsidR="00D22905" w:rsidRPr="007302A9" w:rsidRDefault="00D22905" w:rsidP="007F1E7F">
      <w:pPr>
        <w:spacing w:after="0"/>
        <w:jc w:val="both"/>
        <w:rPr>
          <w:rFonts w:ascii="Times New Roman" w:hAnsi="Times New Roman" w:cs="Times New Roman"/>
          <w:color w:val="000000" w:themeColor="text1"/>
        </w:rPr>
      </w:pPr>
    </w:p>
    <w:p w14:paraId="067D2CA4" w14:textId="77777777" w:rsidR="00B93500" w:rsidRPr="007302A9" w:rsidRDefault="00000000" w:rsidP="00A51430">
      <w:pPr>
        <w:spacing w:after="0"/>
        <w:jc w:val="center"/>
        <w:rPr>
          <w:rFonts w:ascii="Times New Roman" w:hAnsi="Times New Roman" w:cs="Times New Roman"/>
          <w:color w:val="000000" w:themeColor="text1"/>
        </w:rPr>
      </w:pPr>
      <w:r w:rsidRPr="007302A9">
        <w:rPr>
          <w:rFonts w:ascii="Times New Roman" w:hAnsi="Times New Roman" w:cs="Times New Roman"/>
          <w:noProof/>
          <w:color w:val="000000" w:themeColor="text1"/>
        </w:rPr>
        <w:drawing>
          <wp:inline distT="0" distB="0" distL="0" distR="0" wp14:anchorId="74B5A835" wp14:editId="7802EAFE">
            <wp:extent cx="5334000" cy="3185160"/>
            <wp:effectExtent l="0" t="0" r="0" b="0"/>
            <wp:docPr id="27" name="Picture" descr="Figure 3. Validation-to-test stability of the seven mod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descr="Figure 3. Validation-to-test stability of the seven models"/>
                    <pic:cNvPicPr>
                      <a:picLocks noChangeAspect="1" noChangeArrowheads="1"/>
                    </pic:cNvPicPr>
                  </pic:nvPicPr>
                  <pic:blipFill>
                    <a:blip r:embed="rId8"/>
                    <a:stretch>
                      <a:fillRect/>
                    </a:stretch>
                  </pic:blipFill>
                  <pic:spPr>
                    <a:xfrm>
                      <a:off x="0" y="0"/>
                      <a:ext cx="5334000" cy="3185552"/>
                    </a:xfrm>
                    <a:prstGeom prst="rect">
                      <a:avLst/>
                    </a:prstGeom>
                    <a:noFill/>
                    <a:ln w="9525">
                      <a:noFill/>
                    </a:ln>
                  </pic:spPr>
                </pic:pic>
              </a:graphicData>
            </a:graphic>
          </wp:inline>
        </w:drawing>
      </w:r>
    </w:p>
    <w:p w14:paraId="0B264E39" w14:textId="77777777" w:rsidR="00B93500" w:rsidRPr="00A51430" w:rsidRDefault="00000000" w:rsidP="00A51430">
      <w:pPr>
        <w:spacing w:after="0"/>
        <w:jc w:val="center"/>
        <w:rPr>
          <w:rFonts w:ascii="Times New Roman" w:hAnsi="Times New Roman" w:cs="Times New Roman"/>
          <w:color w:val="000000" w:themeColor="text1"/>
          <w:sz w:val="20"/>
          <w:szCs w:val="20"/>
        </w:rPr>
      </w:pPr>
      <w:r w:rsidRPr="00A51430">
        <w:rPr>
          <w:rFonts w:ascii="Times New Roman" w:hAnsi="Times New Roman" w:cs="Times New Roman"/>
          <w:b/>
          <w:bCs/>
          <w:color w:val="000000" w:themeColor="text1"/>
          <w:sz w:val="20"/>
          <w:szCs w:val="20"/>
        </w:rPr>
        <w:t>Figure 3</w:t>
      </w:r>
      <w:r w:rsidRPr="00A51430">
        <w:rPr>
          <w:rFonts w:ascii="Times New Roman" w:hAnsi="Times New Roman" w:cs="Times New Roman"/>
          <w:color w:val="000000" w:themeColor="text1"/>
          <w:sz w:val="20"/>
          <w:szCs w:val="20"/>
        </w:rPr>
        <w:t>. Validation-to-test stability of the seven models</w:t>
      </w:r>
    </w:p>
    <w:p w14:paraId="75B441AC" w14:textId="77777777" w:rsidR="00D22905" w:rsidRDefault="00D22905" w:rsidP="007F1E7F">
      <w:pPr>
        <w:spacing w:after="0"/>
        <w:jc w:val="both"/>
        <w:rPr>
          <w:rFonts w:ascii="Times New Roman" w:hAnsi="Times New Roman" w:cs="Times New Roman"/>
          <w:color w:val="000000" w:themeColor="text1"/>
        </w:rPr>
      </w:pPr>
    </w:p>
    <w:p w14:paraId="57938E7D" w14:textId="322CA49F" w:rsidR="00B93500" w:rsidRDefault="00000000" w:rsidP="00A51430">
      <w:pPr>
        <w:spacing w:after="0"/>
        <w:ind w:firstLineChars="200" w:firstLine="480"/>
        <w:jc w:val="both"/>
        <w:rPr>
          <w:rFonts w:ascii="Times New Roman" w:hAnsi="Times New Roman" w:cs="Times New Roman"/>
          <w:color w:val="000000" w:themeColor="text1"/>
        </w:rPr>
      </w:pPr>
      <w:r w:rsidRPr="007302A9">
        <w:rPr>
          <w:rFonts w:ascii="Times New Roman" w:hAnsi="Times New Roman" w:cs="Times New Roman"/>
          <w:color w:val="000000" w:themeColor="text1"/>
        </w:rPr>
        <w:t xml:space="preserve">As shown in </w:t>
      </w:r>
      <w:r w:rsidRPr="00A51430">
        <w:rPr>
          <w:rFonts w:ascii="Times New Roman" w:hAnsi="Times New Roman" w:cs="Times New Roman"/>
          <w:b/>
          <w:bCs/>
          <w:color w:val="000000" w:themeColor="text1"/>
        </w:rPr>
        <w:t>Figure 3</w:t>
      </w:r>
      <w:r w:rsidRPr="007302A9">
        <w:rPr>
          <w:rFonts w:ascii="Times New Roman" w:hAnsi="Times New Roman" w:cs="Times New Roman"/>
          <w:color w:val="000000" w:themeColor="text1"/>
        </w:rPr>
        <w:t xml:space="preserve">, the validation and test R² markers are nearly coincident for the four strongest tree-based models, which cluster close to 1.00. ANN also shows a relatively small validation-to-test displacement, although its overall fit is lower. LSTM and </w:t>
      </w:r>
      <w:proofErr w:type="spellStart"/>
      <w:r w:rsidRPr="007302A9">
        <w:rPr>
          <w:rFonts w:ascii="Times New Roman" w:hAnsi="Times New Roman" w:cs="Times New Roman"/>
          <w:color w:val="000000" w:themeColor="text1"/>
        </w:rPr>
        <w:t>LinearSVR</w:t>
      </w:r>
      <w:proofErr w:type="spellEnd"/>
      <w:r w:rsidRPr="007302A9">
        <w:rPr>
          <w:rFonts w:ascii="Times New Roman" w:hAnsi="Times New Roman" w:cs="Times New Roman"/>
          <w:color w:val="000000" w:themeColor="text1"/>
        </w:rPr>
        <w:t xml:space="preserve"> remain substantially behind the leading models in both partitions, indicating that their weak test performance is not an isolated split-specific event. The close validation-test agreement supports internal stability under the current random split; however, it should not be interpreted as evidence of temporal transferability because nearby half-hourly records may appear in different subsets. </w:t>
      </w:r>
      <w:r w:rsidRPr="00A51430">
        <w:rPr>
          <w:rFonts w:ascii="Times New Roman" w:hAnsi="Times New Roman" w:cs="Times New Roman"/>
          <w:b/>
          <w:bCs/>
          <w:color w:val="000000" w:themeColor="text1"/>
        </w:rPr>
        <w:t>Figure 4</w:t>
      </w:r>
      <w:r w:rsidRPr="007302A9">
        <w:rPr>
          <w:rFonts w:ascii="Times New Roman" w:hAnsi="Times New Roman" w:cs="Times New Roman"/>
          <w:color w:val="000000" w:themeColor="text1"/>
        </w:rPr>
        <w:t xml:space="preserve"> complements this stability analysis by showing the magnitude and ordering of the final feature weights.</w:t>
      </w:r>
    </w:p>
    <w:p w14:paraId="665BBBD9" w14:textId="77777777" w:rsidR="00D22905" w:rsidRPr="007302A9" w:rsidRDefault="00D22905" w:rsidP="007F1E7F">
      <w:pPr>
        <w:spacing w:after="0"/>
        <w:jc w:val="both"/>
        <w:rPr>
          <w:rFonts w:ascii="Times New Roman" w:hAnsi="Times New Roman" w:cs="Times New Roman"/>
          <w:color w:val="000000" w:themeColor="text1"/>
        </w:rPr>
      </w:pPr>
    </w:p>
    <w:p w14:paraId="52CE2A93" w14:textId="77777777" w:rsidR="00B93500" w:rsidRPr="007302A9" w:rsidRDefault="00000000" w:rsidP="00A51430">
      <w:pPr>
        <w:spacing w:after="0"/>
        <w:jc w:val="center"/>
        <w:rPr>
          <w:rFonts w:ascii="Times New Roman" w:hAnsi="Times New Roman" w:cs="Times New Roman"/>
          <w:color w:val="000000" w:themeColor="text1"/>
        </w:rPr>
      </w:pPr>
      <w:r w:rsidRPr="007302A9">
        <w:rPr>
          <w:rFonts w:ascii="Times New Roman" w:hAnsi="Times New Roman" w:cs="Times New Roman"/>
          <w:noProof/>
          <w:color w:val="000000" w:themeColor="text1"/>
        </w:rPr>
        <w:lastRenderedPageBreak/>
        <w:drawing>
          <wp:inline distT="0" distB="0" distL="0" distR="0" wp14:anchorId="22FE084A" wp14:editId="0690B5A9">
            <wp:extent cx="5334000" cy="3183255"/>
            <wp:effectExtent l="0" t="0" r="0" b="0"/>
            <wp:docPr id="30" name="Picture" descr="Figure 4. Objective weights derived from random-forest feature impor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descr="Figure 4. Objective weights derived from random-forest feature importance"/>
                    <pic:cNvPicPr>
                      <a:picLocks noChangeAspect="1" noChangeArrowheads="1"/>
                    </pic:cNvPicPr>
                  </pic:nvPicPr>
                  <pic:blipFill>
                    <a:blip r:embed="rId9"/>
                    <a:stretch>
                      <a:fillRect/>
                    </a:stretch>
                  </pic:blipFill>
                  <pic:spPr>
                    <a:xfrm>
                      <a:off x="0" y="0"/>
                      <a:ext cx="5334000" cy="3183401"/>
                    </a:xfrm>
                    <a:prstGeom prst="rect">
                      <a:avLst/>
                    </a:prstGeom>
                    <a:noFill/>
                    <a:ln w="9525">
                      <a:noFill/>
                    </a:ln>
                  </pic:spPr>
                </pic:pic>
              </a:graphicData>
            </a:graphic>
          </wp:inline>
        </w:drawing>
      </w:r>
    </w:p>
    <w:p w14:paraId="4A442916" w14:textId="77777777" w:rsidR="00B93500" w:rsidRPr="00A51430" w:rsidRDefault="00000000" w:rsidP="00A51430">
      <w:pPr>
        <w:spacing w:after="0"/>
        <w:jc w:val="center"/>
        <w:rPr>
          <w:rFonts w:ascii="Times New Roman" w:hAnsi="Times New Roman" w:cs="Times New Roman"/>
          <w:color w:val="000000" w:themeColor="text1"/>
          <w:sz w:val="20"/>
          <w:szCs w:val="20"/>
        </w:rPr>
      </w:pPr>
      <w:r w:rsidRPr="00A51430">
        <w:rPr>
          <w:rFonts w:ascii="Times New Roman" w:hAnsi="Times New Roman" w:cs="Times New Roman"/>
          <w:b/>
          <w:bCs/>
          <w:color w:val="000000" w:themeColor="text1"/>
          <w:sz w:val="20"/>
          <w:szCs w:val="20"/>
        </w:rPr>
        <w:t>Figure 4</w:t>
      </w:r>
      <w:r w:rsidRPr="00A51430">
        <w:rPr>
          <w:rFonts w:ascii="Times New Roman" w:hAnsi="Times New Roman" w:cs="Times New Roman"/>
          <w:color w:val="000000" w:themeColor="text1"/>
          <w:sz w:val="20"/>
          <w:szCs w:val="20"/>
        </w:rPr>
        <w:t>. Objective weights derived from random-forest feature importance</w:t>
      </w:r>
    </w:p>
    <w:p w14:paraId="75759F6D" w14:textId="77777777" w:rsidR="00D22905" w:rsidRDefault="00D22905" w:rsidP="007F1E7F">
      <w:pPr>
        <w:spacing w:after="0"/>
        <w:jc w:val="both"/>
        <w:rPr>
          <w:rFonts w:ascii="Times New Roman" w:hAnsi="Times New Roman" w:cs="Times New Roman"/>
          <w:color w:val="000000" w:themeColor="text1"/>
        </w:rPr>
      </w:pPr>
    </w:p>
    <w:p w14:paraId="33E9091C" w14:textId="2C9F470E" w:rsidR="00B93500" w:rsidRDefault="00000000" w:rsidP="00A51430">
      <w:pPr>
        <w:spacing w:after="0"/>
        <w:ind w:firstLineChars="200" w:firstLine="480"/>
        <w:jc w:val="both"/>
        <w:rPr>
          <w:rFonts w:ascii="Times New Roman" w:hAnsi="Times New Roman" w:cs="Times New Roman"/>
          <w:color w:val="000000" w:themeColor="text1"/>
        </w:rPr>
      </w:pPr>
      <w:r w:rsidRPr="007302A9">
        <w:rPr>
          <w:rFonts w:ascii="Times New Roman" w:hAnsi="Times New Roman" w:cs="Times New Roman"/>
          <w:color w:val="000000" w:themeColor="text1"/>
        </w:rPr>
        <w:t xml:space="preserve">Behavioral intensity and network accessibility together account for about 80 % of the learned importance. As shown in </w:t>
      </w:r>
      <w:r w:rsidRPr="00A51430">
        <w:rPr>
          <w:rFonts w:ascii="Times New Roman" w:hAnsi="Times New Roman" w:cs="Times New Roman"/>
          <w:b/>
          <w:bCs/>
          <w:color w:val="000000" w:themeColor="text1"/>
        </w:rPr>
        <w:t>Figure 4</w:t>
      </w:r>
      <w:r w:rsidRPr="007302A9">
        <w:rPr>
          <w:rFonts w:ascii="Times New Roman" w:hAnsi="Times New Roman" w:cs="Times New Roman"/>
          <w:color w:val="000000" w:themeColor="text1"/>
        </w:rPr>
        <w:t xml:space="preserve">, occupancy density contributes 48.01% of total importance, road integration contributes 32.19%, and function matching contributes 19.80%. Occupancy density is therefore about 1.5 times as influential as road integration and approximately 2.4 times as influential as function matching. Density and integration together account for 80.20% of the model-derived weight, indicating that observed use and network accessibility jointly dominate the suitability score. For planning practice, this hierarchy suggests that interventions should first examine whether a space is actually used and whether it is accessible, and then interpret those findings in relation to designated function. </w:t>
      </w:r>
      <w:r w:rsidRPr="00A51430">
        <w:rPr>
          <w:rFonts w:ascii="Times New Roman" w:hAnsi="Times New Roman" w:cs="Times New Roman"/>
          <w:b/>
          <w:bCs/>
          <w:color w:val="000000" w:themeColor="text1"/>
        </w:rPr>
        <w:t>Table 4</w:t>
      </w:r>
      <w:r w:rsidRPr="007302A9">
        <w:rPr>
          <w:rFonts w:ascii="Times New Roman" w:hAnsi="Times New Roman" w:cs="Times New Roman"/>
          <w:color w:val="000000" w:themeColor="text1"/>
        </w:rPr>
        <w:t xml:space="preserve"> translates the quantitative model comparison into recommendations for different operational contexts.</w:t>
      </w:r>
    </w:p>
    <w:p w14:paraId="4D9A8D17" w14:textId="77777777" w:rsidR="00D22905" w:rsidRPr="007302A9" w:rsidRDefault="00D22905" w:rsidP="007F1E7F">
      <w:pPr>
        <w:spacing w:after="0"/>
        <w:jc w:val="both"/>
        <w:rPr>
          <w:rFonts w:ascii="Times New Roman" w:hAnsi="Times New Roman" w:cs="Times New Roman"/>
          <w:color w:val="000000" w:themeColor="text1"/>
        </w:rPr>
      </w:pPr>
    </w:p>
    <w:p w14:paraId="0E0F4207" w14:textId="77777777" w:rsidR="00B93500" w:rsidRPr="00A51430" w:rsidRDefault="00000000" w:rsidP="007F1E7F">
      <w:pPr>
        <w:spacing w:after="0"/>
        <w:jc w:val="both"/>
        <w:rPr>
          <w:rFonts w:ascii="Times New Roman" w:hAnsi="Times New Roman" w:cs="Times New Roman"/>
          <w:color w:val="000000" w:themeColor="text1"/>
        </w:rPr>
      </w:pPr>
      <w:r w:rsidRPr="007302A9">
        <w:rPr>
          <w:rFonts w:ascii="Times New Roman" w:hAnsi="Times New Roman" w:cs="Times New Roman"/>
          <w:b/>
          <w:bCs/>
          <w:color w:val="000000" w:themeColor="text1"/>
        </w:rPr>
        <w:t>Table 4</w:t>
      </w:r>
      <w:r w:rsidRPr="00A51430">
        <w:rPr>
          <w:rFonts w:ascii="Times New Roman" w:hAnsi="Times New Roman" w:cs="Times New Roman"/>
          <w:color w:val="000000" w:themeColor="text1"/>
        </w:rPr>
        <w:t>. Recommended model by application context</w:t>
      </w:r>
    </w:p>
    <w:p w14:paraId="29EE8208" w14:textId="77777777" w:rsidR="00D22905" w:rsidRPr="007302A9" w:rsidRDefault="00D22905" w:rsidP="007F1E7F">
      <w:pPr>
        <w:spacing w:after="0"/>
        <w:jc w:val="both"/>
        <w:rPr>
          <w:rFonts w:ascii="Times New Roman" w:hAnsi="Times New Roman" w:cs="Times New Roman"/>
          <w:color w:val="000000" w:themeColor="text1"/>
        </w:rPr>
      </w:pPr>
    </w:p>
    <w:tbl>
      <w:tblPr>
        <w:tblStyle w:val="Table"/>
        <w:tblW w:w="5000" w:type="pct"/>
        <w:tblInd w:w="0" w:type="dxa"/>
        <w:tblBorders>
          <w:top w:val="single" w:sz="4" w:space="0" w:color="auto"/>
          <w:bottom w:val="single" w:sz="4" w:space="0" w:color="auto"/>
        </w:tblBorders>
        <w:tblLook w:val="04A0" w:firstRow="1" w:lastRow="0" w:firstColumn="1" w:lastColumn="0" w:noHBand="0" w:noVBand="1"/>
      </w:tblPr>
      <w:tblGrid>
        <w:gridCol w:w="2857"/>
        <w:gridCol w:w="2050"/>
        <w:gridCol w:w="3733"/>
      </w:tblGrid>
      <w:tr w:rsidR="00B93500" w:rsidRPr="00A51430" w14:paraId="00A84539" w14:textId="77777777" w:rsidTr="00A51430">
        <w:trPr>
          <w:cnfStyle w:val="100000000000" w:firstRow="1" w:lastRow="0" w:firstColumn="0" w:lastColumn="0" w:oddVBand="0" w:evenVBand="0" w:oddHBand="0" w:evenHBand="0" w:firstRowFirstColumn="0" w:firstRowLastColumn="0" w:lastRowFirstColumn="0" w:lastRowLastColumn="0"/>
          <w:tblHeader/>
        </w:trPr>
        <w:tc>
          <w:tcPr>
            <w:tcW w:w="0" w:type="auto"/>
            <w:tcBorders>
              <w:top w:val="single" w:sz="4" w:space="0" w:color="auto"/>
              <w:bottom w:val="single" w:sz="4" w:space="0" w:color="auto"/>
            </w:tcBorders>
          </w:tcPr>
          <w:p w14:paraId="7A64CBA0" w14:textId="77777777" w:rsidR="00B93500" w:rsidRPr="00A51430" w:rsidRDefault="00000000" w:rsidP="007F1E7F">
            <w:pPr>
              <w:spacing w:after="0"/>
              <w:jc w:val="both"/>
              <w:rPr>
                <w:rFonts w:ascii="Times New Roman" w:hAnsi="Times New Roman" w:cs="Times New Roman"/>
                <w:b/>
                <w:bCs/>
                <w:color w:val="000000" w:themeColor="text1"/>
                <w:sz w:val="20"/>
                <w:szCs w:val="20"/>
              </w:rPr>
            </w:pPr>
            <w:r w:rsidRPr="00A51430">
              <w:rPr>
                <w:rFonts w:ascii="Times New Roman" w:hAnsi="Times New Roman" w:cs="Times New Roman"/>
                <w:b/>
                <w:bCs/>
                <w:color w:val="000000" w:themeColor="text1"/>
                <w:sz w:val="20"/>
                <w:szCs w:val="20"/>
              </w:rPr>
              <w:t>Application context</w:t>
            </w:r>
          </w:p>
        </w:tc>
        <w:tc>
          <w:tcPr>
            <w:tcW w:w="0" w:type="auto"/>
            <w:tcBorders>
              <w:top w:val="single" w:sz="4" w:space="0" w:color="auto"/>
              <w:bottom w:val="single" w:sz="4" w:space="0" w:color="auto"/>
            </w:tcBorders>
          </w:tcPr>
          <w:p w14:paraId="07E4A51A" w14:textId="77777777" w:rsidR="00B93500" w:rsidRPr="00A51430" w:rsidRDefault="00000000" w:rsidP="007F1E7F">
            <w:pPr>
              <w:spacing w:after="0"/>
              <w:jc w:val="both"/>
              <w:rPr>
                <w:rFonts w:ascii="Times New Roman" w:hAnsi="Times New Roman" w:cs="Times New Roman"/>
                <w:b/>
                <w:bCs/>
                <w:color w:val="000000" w:themeColor="text1"/>
                <w:sz w:val="20"/>
                <w:szCs w:val="20"/>
              </w:rPr>
            </w:pPr>
            <w:r w:rsidRPr="00A51430">
              <w:rPr>
                <w:rFonts w:ascii="Times New Roman" w:hAnsi="Times New Roman" w:cs="Times New Roman"/>
                <w:b/>
                <w:bCs/>
                <w:color w:val="000000" w:themeColor="text1"/>
                <w:sz w:val="20"/>
                <w:szCs w:val="20"/>
              </w:rPr>
              <w:t>Recommended model</w:t>
            </w:r>
          </w:p>
        </w:tc>
        <w:tc>
          <w:tcPr>
            <w:tcW w:w="0" w:type="auto"/>
            <w:tcBorders>
              <w:top w:val="single" w:sz="4" w:space="0" w:color="auto"/>
              <w:bottom w:val="single" w:sz="4" w:space="0" w:color="auto"/>
            </w:tcBorders>
          </w:tcPr>
          <w:p w14:paraId="699E802E" w14:textId="77777777" w:rsidR="00B93500" w:rsidRPr="00A51430" w:rsidRDefault="00000000" w:rsidP="007F1E7F">
            <w:pPr>
              <w:spacing w:after="0"/>
              <w:jc w:val="both"/>
              <w:rPr>
                <w:rFonts w:ascii="Times New Roman" w:hAnsi="Times New Roman" w:cs="Times New Roman"/>
                <w:b/>
                <w:bCs/>
                <w:color w:val="000000" w:themeColor="text1"/>
                <w:sz w:val="20"/>
                <w:szCs w:val="20"/>
              </w:rPr>
            </w:pPr>
            <w:r w:rsidRPr="00A51430">
              <w:rPr>
                <w:rFonts w:ascii="Times New Roman" w:hAnsi="Times New Roman" w:cs="Times New Roman"/>
                <w:b/>
                <w:bCs/>
                <w:color w:val="000000" w:themeColor="text1"/>
                <w:sz w:val="20"/>
                <w:szCs w:val="20"/>
              </w:rPr>
              <w:t>Rationale</w:t>
            </w:r>
          </w:p>
        </w:tc>
      </w:tr>
      <w:tr w:rsidR="00B93500" w:rsidRPr="00A51430" w14:paraId="7A9CC6DD" w14:textId="77777777" w:rsidTr="00A51430">
        <w:tc>
          <w:tcPr>
            <w:tcW w:w="0" w:type="auto"/>
            <w:tcBorders>
              <w:top w:val="single" w:sz="4" w:space="0" w:color="auto"/>
            </w:tcBorders>
          </w:tcPr>
          <w:p w14:paraId="52744D62"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High-precision offline scoring</w:t>
            </w:r>
          </w:p>
        </w:tc>
        <w:tc>
          <w:tcPr>
            <w:tcW w:w="0" w:type="auto"/>
            <w:tcBorders>
              <w:top w:val="single" w:sz="4" w:space="0" w:color="auto"/>
            </w:tcBorders>
          </w:tcPr>
          <w:p w14:paraId="52C992DA"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Random forest</w:t>
            </w:r>
          </w:p>
        </w:tc>
        <w:tc>
          <w:tcPr>
            <w:tcW w:w="0" w:type="auto"/>
            <w:tcBorders>
              <w:top w:val="single" w:sz="4" w:space="0" w:color="auto"/>
            </w:tcBorders>
          </w:tcPr>
          <w:p w14:paraId="1A1389DE"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Best values on all four metrics</w:t>
            </w:r>
          </w:p>
        </w:tc>
      </w:tr>
      <w:tr w:rsidR="00B93500" w:rsidRPr="00A51430" w14:paraId="5C12D3A9" w14:textId="77777777" w:rsidTr="00A51430">
        <w:tc>
          <w:tcPr>
            <w:tcW w:w="0" w:type="auto"/>
          </w:tcPr>
          <w:p w14:paraId="6B85F57B"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Planning review &amp; real-time GIS</w:t>
            </w:r>
          </w:p>
        </w:tc>
        <w:tc>
          <w:tcPr>
            <w:tcW w:w="0" w:type="auto"/>
          </w:tcPr>
          <w:p w14:paraId="0D2770CA"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Decision tree</w:t>
            </w:r>
          </w:p>
        </w:tc>
        <w:tc>
          <w:tcPr>
            <w:tcW w:w="0" w:type="auto"/>
          </w:tcPr>
          <w:p w14:paraId="3D1EA7A9"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Near-best accuracy, transparent, lightweight</w:t>
            </w:r>
          </w:p>
        </w:tc>
      </w:tr>
      <w:tr w:rsidR="00B93500" w:rsidRPr="00A51430" w14:paraId="11E3AA2D" w14:textId="77777777" w:rsidTr="00A51430">
        <w:tc>
          <w:tcPr>
            <w:tcW w:w="0" w:type="auto"/>
          </w:tcPr>
          <w:p w14:paraId="594EEF5B"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Robust nonlinear alternatives</w:t>
            </w:r>
          </w:p>
        </w:tc>
        <w:tc>
          <w:tcPr>
            <w:tcW w:w="0" w:type="auto"/>
          </w:tcPr>
          <w:p w14:paraId="444164A7" w14:textId="77777777" w:rsidR="00B93500" w:rsidRPr="00A51430" w:rsidRDefault="00000000" w:rsidP="007F1E7F">
            <w:pPr>
              <w:spacing w:after="0"/>
              <w:jc w:val="both"/>
              <w:rPr>
                <w:rFonts w:ascii="Times New Roman" w:hAnsi="Times New Roman" w:cs="Times New Roman"/>
                <w:color w:val="000000" w:themeColor="text1"/>
                <w:sz w:val="20"/>
                <w:szCs w:val="20"/>
              </w:rPr>
            </w:pPr>
            <w:proofErr w:type="spellStart"/>
            <w:r w:rsidRPr="00A51430">
              <w:rPr>
                <w:rFonts w:ascii="Times New Roman" w:hAnsi="Times New Roman" w:cs="Times New Roman"/>
                <w:color w:val="000000" w:themeColor="text1"/>
                <w:sz w:val="20"/>
                <w:szCs w:val="20"/>
              </w:rPr>
              <w:t>XGBoost</w:t>
            </w:r>
            <w:proofErr w:type="spellEnd"/>
            <w:r w:rsidRPr="00A51430">
              <w:rPr>
                <w:rFonts w:ascii="Times New Roman" w:hAnsi="Times New Roman" w:cs="Times New Roman"/>
                <w:color w:val="000000" w:themeColor="text1"/>
                <w:sz w:val="20"/>
                <w:szCs w:val="20"/>
              </w:rPr>
              <w:t xml:space="preserve"> / AdaBoost</w:t>
            </w:r>
          </w:p>
        </w:tc>
        <w:tc>
          <w:tcPr>
            <w:tcW w:w="0" w:type="auto"/>
          </w:tcPr>
          <w:p w14:paraId="1BBF3868" w14:textId="77777777" w:rsidR="00B93500" w:rsidRPr="00A51430" w:rsidRDefault="00000000" w:rsidP="007F1E7F">
            <w:pPr>
              <w:spacing w:after="0"/>
              <w:jc w:val="both"/>
              <w:rPr>
                <w:rFonts w:ascii="Times New Roman" w:hAnsi="Times New Roman" w:cs="Times New Roman"/>
                <w:color w:val="000000" w:themeColor="text1"/>
                <w:sz w:val="20"/>
                <w:szCs w:val="20"/>
              </w:rPr>
            </w:pPr>
            <w:r w:rsidRPr="00A51430">
              <w:rPr>
                <w:rFonts w:ascii="Times New Roman" w:hAnsi="Times New Roman" w:cs="Times New Roman"/>
                <w:color w:val="000000" w:themeColor="text1"/>
                <w:sz w:val="20"/>
                <w:szCs w:val="20"/>
              </w:rPr>
              <w:t>Close performance, higher explanation cost</w:t>
            </w:r>
          </w:p>
        </w:tc>
      </w:tr>
    </w:tbl>
    <w:p w14:paraId="58199C73" w14:textId="77777777" w:rsidR="00D22905" w:rsidRDefault="00D22905" w:rsidP="007F1E7F">
      <w:pPr>
        <w:spacing w:after="0"/>
        <w:jc w:val="both"/>
        <w:rPr>
          <w:rFonts w:ascii="Times New Roman" w:hAnsi="Times New Roman" w:cs="Times New Roman"/>
          <w:color w:val="000000" w:themeColor="text1"/>
        </w:rPr>
      </w:pPr>
    </w:p>
    <w:p w14:paraId="66044342" w14:textId="39990C87" w:rsidR="00B93500" w:rsidRDefault="00000000" w:rsidP="00A51430">
      <w:pPr>
        <w:spacing w:after="0"/>
        <w:ind w:firstLineChars="200" w:firstLine="480"/>
        <w:jc w:val="both"/>
        <w:rPr>
          <w:rFonts w:ascii="Times New Roman" w:hAnsi="Times New Roman" w:cs="Times New Roman"/>
          <w:color w:val="000000" w:themeColor="text1"/>
        </w:rPr>
      </w:pPr>
      <w:r w:rsidRPr="007302A9">
        <w:rPr>
          <w:rFonts w:ascii="Times New Roman" w:hAnsi="Times New Roman" w:cs="Times New Roman"/>
          <w:color w:val="000000" w:themeColor="text1"/>
        </w:rPr>
        <w:t xml:space="preserve">As shown in </w:t>
      </w:r>
      <w:r w:rsidRPr="00A51430">
        <w:rPr>
          <w:rFonts w:ascii="Times New Roman" w:hAnsi="Times New Roman" w:cs="Times New Roman"/>
          <w:b/>
          <w:bCs/>
          <w:color w:val="000000" w:themeColor="text1"/>
        </w:rPr>
        <w:t>Table 4</w:t>
      </w:r>
      <w:r w:rsidRPr="007302A9">
        <w:rPr>
          <w:rFonts w:ascii="Times New Roman" w:hAnsi="Times New Roman" w:cs="Times New Roman"/>
          <w:color w:val="000000" w:themeColor="text1"/>
        </w:rPr>
        <w:t>, the recommended model changes with the intended application rather than following a single universal ranking. Random forest is appropriate for high-precision offline scoring because it provides the best values on all four metrics and can be used for periodic campus-wide recalculation. The decision tree is preferred for planning review and real-time GIS integration because its rules can be inspected, communicated to planners</w:t>
      </w:r>
      <w:r w:rsidR="00D22905">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and executed with low computational overhead. </w:t>
      </w:r>
      <w:proofErr w:type="spellStart"/>
      <w:r w:rsidRPr="007302A9">
        <w:rPr>
          <w:rFonts w:ascii="Times New Roman" w:hAnsi="Times New Roman" w:cs="Times New Roman"/>
          <w:color w:val="000000" w:themeColor="text1"/>
        </w:rPr>
        <w:t>XGBoost</w:t>
      </w:r>
      <w:proofErr w:type="spellEnd"/>
      <w:r w:rsidRPr="007302A9">
        <w:rPr>
          <w:rFonts w:ascii="Times New Roman" w:hAnsi="Times New Roman" w:cs="Times New Roman"/>
          <w:color w:val="000000" w:themeColor="text1"/>
        </w:rPr>
        <w:t xml:space="preserve"> and AdaBoost remain useful nonlinear alternatives when robustness is required, although their explanation and maintenance costs are higher. The table therefore defines a two-tier </w:t>
      </w:r>
      <w:r w:rsidRPr="007302A9">
        <w:rPr>
          <w:rFonts w:ascii="Times New Roman" w:hAnsi="Times New Roman" w:cs="Times New Roman"/>
          <w:color w:val="000000" w:themeColor="text1"/>
        </w:rPr>
        <w:lastRenderedPageBreak/>
        <w:t>deployment strategy: random forest can serve as the high-accuracy reference engine, while the decision tree can support routine, auditable operational decisions. Agreement between the two models may be treated as a high-confidence result, whereas disagreement should trigger field verification or post-occupancy review.</w:t>
      </w:r>
    </w:p>
    <w:p w14:paraId="522EE1CB" w14:textId="77777777" w:rsidR="00D22905" w:rsidRPr="007302A9" w:rsidRDefault="00D22905" w:rsidP="007F1E7F">
      <w:pPr>
        <w:spacing w:after="0"/>
        <w:jc w:val="both"/>
        <w:rPr>
          <w:rFonts w:ascii="Times New Roman" w:hAnsi="Times New Roman" w:cs="Times New Roman"/>
          <w:color w:val="000000" w:themeColor="text1"/>
        </w:rPr>
      </w:pPr>
    </w:p>
    <w:p w14:paraId="4C951CAF" w14:textId="0CBFFD13" w:rsidR="00B93500" w:rsidRPr="007302A9" w:rsidRDefault="00000000" w:rsidP="007F1E7F">
      <w:pPr>
        <w:spacing w:after="0"/>
        <w:jc w:val="both"/>
        <w:rPr>
          <w:rFonts w:ascii="Times New Roman" w:hAnsi="Times New Roman" w:cs="Times New Roman"/>
          <w:color w:val="000000" w:themeColor="text1"/>
        </w:rPr>
      </w:pPr>
      <w:r w:rsidRPr="007302A9">
        <w:rPr>
          <w:rFonts w:ascii="Times New Roman" w:hAnsi="Times New Roman" w:cs="Times New Roman"/>
          <w:b/>
          <w:bCs/>
          <w:color w:val="000000" w:themeColor="text1"/>
        </w:rPr>
        <w:t>4. Discussion</w:t>
      </w:r>
      <w:r w:rsidRPr="007302A9">
        <w:rPr>
          <w:rFonts w:ascii="Times New Roman" w:hAnsi="Times New Roman" w:cs="Times New Roman"/>
          <w:color w:val="000000" w:themeColor="text1"/>
        </w:rPr>
        <w:br/>
        <w:t>Tree models dominated because the target is a simple combination of three normalized predictors. The near-perfect R² must be read carefully: the target is built from the same variables, so high fit shows learnability rather than external validity. Density now leads among the learned weights, matching the emphasis on observed behavior. Integration remains useful for spotting accessibility–use mismatches. For day-to-day planning</w:t>
      </w:r>
      <w:r w:rsidR="0016350B">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w:t>
      </w:r>
      <w:r w:rsidR="0016350B">
        <w:rPr>
          <w:rFonts w:ascii="Times New Roman" w:hAnsi="Times New Roman" w:cs="Times New Roman"/>
          <w:color w:val="000000" w:themeColor="text1"/>
        </w:rPr>
        <w:t>the authors</w:t>
      </w:r>
      <w:r w:rsidRPr="007302A9">
        <w:rPr>
          <w:rFonts w:ascii="Times New Roman" w:hAnsi="Times New Roman" w:cs="Times New Roman"/>
          <w:color w:val="000000" w:themeColor="text1"/>
        </w:rPr>
        <w:t xml:space="preserve"> recommend the decision tree; random forest remains the offline high-precision engine. Both should be re-trained quarterly and checked against post-occupancy measures.</w:t>
      </w:r>
    </w:p>
    <w:p w14:paraId="0F7A3A06" w14:textId="7A670A76" w:rsidR="00B93500" w:rsidRDefault="00000000" w:rsidP="00A51430">
      <w:pPr>
        <w:spacing w:after="0"/>
        <w:ind w:firstLineChars="200" w:firstLine="480"/>
        <w:jc w:val="both"/>
        <w:rPr>
          <w:rFonts w:ascii="Times New Roman" w:hAnsi="Times New Roman" w:cs="Times New Roman"/>
          <w:color w:val="000000" w:themeColor="text1"/>
        </w:rPr>
      </w:pPr>
      <w:r w:rsidRPr="007302A9">
        <w:rPr>
          <w:rFonts w:ascii="Times New Roman" w:hAnsi="Times New Roman" w:cs="Times New Roman"/>
          <w:color w:val="000000" w:themeColor="text1"/>
        </w:rPr>
        <w:t>The need for operational verification is consistent with evidence that non-intrusive environmental variables can support machine-learning occupancy models but remain sensitive to building context and data quality</w:t>
      </w:r>
      <w:r w:rsidR="0016350B">
        <w:rPr>
          <w:rFonts w:ascii="Times New Roman" w:hAnsi="Times New Roman" w:cs="Times New Roman"/>
          <w:color w:val="000000" w:themeColor="text1"/>
        </w:rPr>
        <w:t xml:space="preserve"> </w:t>
      </w:r>
      <w:r w:rsidRPr="00A51430">
        <w:rPr>
          <w:rFonts w:ascii="Times New Roman" w:hAnsi="Times New Roman" w:cs="Times New Roman"/>
          <w:color w:val="000000" w:themeColor="text1"/>
          <w:vertAlign w:val="superscript"/>
        </w:rPr>
        <w:t>[11]</w:t>
      </w:r>
      <w:r w:rsidRPr="007302A9">
        <w:rPr>
          <w:rFonts w:ascii="Times New Roman" w:hAnsi="Times New Roman" w:cs="Times New Roman"/>
          <w:color w:val="000000" w:themeColor="text1"/>
        </w:rPr>
        <w:t>. Multimodal post-occupancy evaluation offers a suitable external validation route because model-derived suitability can be compared with observed movement, space-use patterns and user experience across campus learning environments</w:t>
      </w:r>
      <w:r w:rsidR="0016350B">
        <w:rPr>
          <w:rFonts w:ascii="Times New Roman" w:hAnsi="Times New Roman" w:cs="Times New Roman"/>
          <w:color w:val="000000" w:themeColor="text1"/>
        </w:rPr>
        <w:t xml:space="preserve"> </w:t>
      </w:r>
      <w:r w:rsidRPr="00A51430">
        <w:rPr>
          <w:rFonts w:ascii="Times New Roman" w:hAnsi="Times New Roman" w:cs="Times New Roman"/>
          <w:color w:val="000000" w:themeColor="text1"/>
          <w:vertAlign w:val="superscript"/>
        </w:rPr>
        <w:t>[12]</w:t>
      </w:r>
      <w:r w:rsidRPr="007302A9">
        <w:rPr>
          <w:rFonts w:ascii="Times New Roman" w:hAnsi="Times New Roman" w:cs="Times New Roman"/>
          <w:color w:val="000000" w:themeColor="text1"/>
        </w:rPr>
        <w:t>. Accordingly, the proposed scores should be treated as decision-support evidence: persistent high-suitability or low-suitability signals can guide inspection priorities, but consequential planning actions should be confirmed through field observations and periodic recalibration.</w:t>
      </w:r>
    </w:p>
    <w:p w14:paraId="04976203" w14:textId="77777777" w:rsidR="00D22905" w:rsidRPr="007302A9" w:rsidRDefault="00D22905" w:rsidP="007F1E7F">
      <w:pPr>
        <w:spacing w:after="0"/>
        <w:jc w:val="both"/>
        <w:rPr>
          <w:rFonts w:ascii="Times New Roman" w:hAnsi="Times New Roman" w:cs="Times New Roman"/>
          <w:color w:val="000000" w:themeColor="text1"/>
        </w:rPr>
      </w:pPr>
    </w:p>
    <w:p w14:paraId="5F10A07D" w14:textId="377D5FFC" w:rsidR="00B93500" w:rsidRDefault="00000000" w:rsidP="007F1E7F">
      <w:pPr>
        <w:spacing w:after="0"/>
        <w:jc w:val="both"/>
        <w:rPr>
          <w:rFonts w:ascii="Times New Roman" w:hAnsi="Times New Roman" w:cs="Times New Roman"/>
          <w:color w:val="000000" w:themeColor="text1"/>
        </w:rPr>
      </w:pPr>
      <w:r w:rsidRPr="007302A9">
        <w:rPr>
          <w:rFonts w:ascii="Times New Roman" w:hAnsi="Times New Roman" w:cs="Times New Roman"/>
          <w:b/>
          <w:bCs/>
          <w:color w:val="000000" w:themeColor="text1"/>
        </w:rPr>
        <w:t xml:space="preserve">5. Limitations and </w:t>
      </w:r>
      <w:r w:rsidR="0016350B" w:rsidRPr="007302A9">
        <w:rPr>
          <w:rFonts w:ascii="Times New Roman" w:hAnsi="Times New Roman" w:cs="Times New Roman"/>
          <w:b/>
          <w:bCs/>
          <w:color w:val="000000" w:themeColor="text1"/>
        </w:rPr>
        <w:t>outlook</w:t>
      </w:r>
      <w:r w:rsidRPr="007302A9">
        <w:rPr>
          <w:rFonts w:ascii="Times New Roman" w:hAnsi="Times New Roman" w:cs="Times New Roman"/>
          <w:color w:val="000000" w:themeColor="text1"/>
        </w:rPr>
        <w:br/>
        <w:t>Five limits remain: the target is constructed from the predictors; random splits allow nearby records into both sets; unique-MAC counts are not true person counts; function matching is coarse; and full hyper-parameter details are not preserved. Future work should use independent outcomes, temporal validation, and publish code and model cards.</w:t>
      </w:r>
    </w:p>
    <w:p w14:paraId="5EFDC284" w14:textId="77777777" w:rsidR="00D22905" w:rsidRPr="007302A9" w:rsidRDefault="00D22905" w:rsidP="007F1E7F">
      <w:pPr>
        <w:spacing w:after="0"/>
        <w:jc w:val="both"/>
        <w:rPr>
          <w:rFonts w:ascii="Times New Roman" w:hAnsi="Times New Roman" w:cs="Times New Roman"/>
          <w:color w:val="000000" w:themeColor="text1"/>
        </w:rPr>
      </w:pPr>
    </w:p>
    <w:p w14:paraId="1BE9D0FA" w14:textId="3D68E877" w:rsidR="00B93500" w:rsidRDefault="00000000" w:rsidP="007F1E7F">
      <w:pPr>
        <w:spacing w:after="0"/>
        <w:jc w:val="both"/>
        <w:rPr>
          <w:rFonts w:ascii="Times New Roman" w:hAnsi="Times New Roman" w:cs="Times New Roman"/>
          <w:color w:val="000000" w:themeColor="text1"/>
        </w:rPr>
      </w:pPr>
      <w:r w:rsidRPr="007302A9">
        <w:rPr>
          <w:rFonts w:ascii="Times New Roman" w:hAnsi="Times New Roman" w:cs="Times New Roman"/>
          <w:b/>
          <w:bCs/>
          <w:color w:val="000000" w:themeColor="text1"/>
        </w:rPr>
        <w:t>6. Conclusion</w:t>
      </w:r>
      <w:r w:rsidRPr="007302A9">
        <w:rPr>
          <w:rFonts w:ascii="Times New Roman" w:hAnsi="Times New Roman" w:cs="Times New Roman"/>
          <w:color w:val="000000" w:themeColor="text1"/>
        </w:rPr>
        <w:br/>
      </w:r>
      <w:proofErr w:type="gramStart"/>
      <w:r w:rsidRPr="007302A9">
        <w:rPr>
          <w:rFonts w:ascii="Times New Roman" w:hAnsi="Times New Roman" w:cs="Times New Roman"/>
          <w:color w:val="000000" w:themeColor="text1"/>
        </w:rPr>
        <w:t>Random forest</w:t>
      </w:r>
      <w:proofErr w:type="gramEnd"/>
      <w:r w:rsidRPr="007302A9">
        <w:rPr>
          <w:rFonts w:ascii="Times New Roman" w:hAnsi="Times New Roman" w:cs="Times New Roman"/>
          <w:color w:val="000000" w:themeColor="text1"/>
        </w:rPr>
        <w:t xml:space="preserve"> gave the highest accuracy while the decision tree offered the best balance of accuracy, transparency</w:t>
      </w:r>
      <w:r w:rsidR="0016350B">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and deployment cost. Objective weights of about 0.48 / 0.32 / 0.20 place density first. The framework is suitable for diagnostic mapping and quarterly updating if treated as an approximation of a composite index. Linking model alerts with field observation can support an auditable planning cycle.</w:t>
      </w:r>
    </w:p>
    <w:p w14:paraId="1D3F1DEE" w14:textId="77777777" w:rsidR="007302A9" w:rsidRDefault="007302A9" w:rsidP="007F1E7F">
      <w:pPr>
        <w:spacing w:after="0"/>
        <w:jc w:val="both"/>
        <w:rPr>
          <w:rFonts w:ascii="Times New Roman" w:hAnsi="Times New Roman" w:cs="Times New Roman"/>
          <w:color w:val="000000" w:themeColor="text1"/>
        </w:rPr>
      </w:pPr>
    </w:p>
    <w:p w14:paraId="15A64AEA" w14:textId="77777777" w:rsidR="007302A9" w:rsidRPr="00944650" w:rsidRDefault="007302A9" w:rsidP="007302A9">
      <w:pPr>
        <w:spacing w:after="0"/>
        <w:jc w:val="both"/>
        <w:rPr>
          <w:rFonts w:ascii="Times New Roman" w:hAnsi="Times New Roman" w:cs="Times New Roman"/>
          <w:b/>
          <w:bCs/>
          <w:color w:val="000000" w:themeColor="text1"/>
        </w:rPr>
      </w:pPr>
      <w:r w:rsidRPr="00944650">
        <w:rPr>
          <w:rFonts w:ascii="Times New Roman" w:hAnsi="Times New Roman" w:cs="Times New Roman"/>
          <w:b/>
          <w:bCs/>
          <w:color w:val="000000" w:themeColor="text1"/>
        </w:rPr>
        <w:t>Disclosure statement</w:t>
      </w:r>
    </w:p>
    <w:p w14:paraId="55D3D447" w14:textId="5616FD51" w:rsidR="007302A9" w:rsidRDefault="007302A9" w:rsidP="007F1E7F">
      <w:pPr>
        <w:spacing w:after="0"/>
        <w:jc w:val="both"/>
        <w:rPr>
          <w:rFonts w:ascii="Times New Roman" w:hAnsi="Times New Roman" w:cs="Times New Roman"/>
          <w:color w:val="000000" w:themeColor="text1"/>
        </w:rPr>
      </w:pPr>
      <w:r w:rsidRPr="00944650">
        <w:rPr>
          <w:rFonts w:ascii="Times New Roman" w:hAnsi="Times New Roman" w:cs="Times New Roman"/>
          <w:color w:val="000000" w:themeColor="text1"/>
        </w:rPr>
        <w:t>The author</w:t>
      </w:r>
      <w:r>
        <w:rPr>
          <w:rFonts w:ascii="Times New Roman" w:hAnsi="Times New Roman" w:cs="Times New Roman"/>
          <w:color w:val="000000" w:themeColor="text1"/>
        </w:rPr>
        <w:t>s</w:t>
      </w:r>
      <w:r w:rsidRPr="00944650">
        <w:rPr>
          <w:rFonts w:ascii="Times New Roman" w:hAnsi="Times New Roman" w:cs="Times New Roman"/>
          <w:color w:val="000000" w:themeColor="text1"/>
        </w:rPr>
        <w:t xml:space="preserve"> declare no conflict of interest.</w:t>
      </w:r>
    </w:p>
    <w:p w14:paraId="65FC2863" w14:textId="77777777" w:rsidR="007302A9" w:rsidRPr="007302A9" w:rsidRDefault="007302A9" w:rsidP="007F1E7F">
      <w:pPr>
        <w:spacing w:after="0"/>
        <w:jc w:val="both"/>
        <w:rPr>
          <w:rFonts w:ascii="Times New Roman" w:hAnsi="Times New Roman" w:cs="Times New Roman"/>
          <w:color w:val="000000" w:themeColor="text1"/>
        </w:rPr>
      </w:pPr>
    </w:p>
    <w:p w14:paraId="2B981B70" w14:textId="18FCD293" w:rsidR="007302A9" w:rsidRPr="007302A9" w:rsidRDefault="00000000" w:rsidP="007302A9">
      <w:pPr>
        <w:spacing w:after="0"/>
        <w:jc w:val="both"/>
        <w:rPr>
          <w:rFonts w:ascii="Times New Roman" w:hAnsi="Times New Roman" w:cs="Times New Roman"/>
          <w:color w:val="000000" w:themeColor="text1"/>
        </w:rPr>
      </w:pPr>
      <w:r w:rsidRPr="007302A9">
        <w:rPr>
          <w:rFonts w:ascii="Times New Roman" w:hAnsi="Times New Roman" w:cs="Times New Roman"/>
          <w:b/>
          <w:bCs/>
          <w:color w:val="000000" w:themeColor="text1"/>
          <w:lang w:val="de-DE"/>
        </w:rPr>
        <w:t>References</w:t>
      </w:r>
      <w:r w:rsidRPr="007302A9">
        <w:rPr>
          <w:rFonts w:ascii="Times New Roman" w:hAnsi="Times New Roman" w:cs="Times New Roman"/>
          <w:color w:val="000000" w:themeColor="text1"/>
          <w:lang w:val="de-DE"/>
        </w:rPr>
        <w:br/>
      </w:r>
      <w:r w:rsidR="007302A9" w:rsidRPr="007302A9">
        <w:rPr>
          <w:rFonts w:ascii="Times New Roman" w:hAnsi="Times New Roman" w:cs="Times New Roman"/>
          <w:color w:val="000000" w:themeColor="text1"/>
        </w:rPr>
        <w:t>[1] Zhao Z</w:t>
      </w:r>
      <w:r w:rsidR="007302A9">
        <w:rPr>
          <w:rFonts w:ascii="Times New Roman" w:hAnsi="Times New Roman" w:cs="Times New Roman"/>
          <w:color w:val="000000" w:themeColor="text1"/>
        </w:rPr>
        <w:t>,</w:t>
      </w:r>
      <w:r w:rsidR="007302A9" w:rsidRPr="007302A9">
        <w:rPr>
          <w:rFonts w:ascii="Times New Roman" w:hAnsi="Times New Roman" w:cs="Times New Roman"/>
          <w:color w:val="000000" w:themeColor="text1"/>
        </w:rPr>
        <w:t xml:space="preserve"> Wang T</w:t>
      </w:r>
      <w:r w:rsidR="007302A9">
        <w:rPr>
          <w:rFonts w:ascii="Times New Roman" w:hAnsi="Times New Roman" w:cs="Times New Roman"/>
          <w:color w:val="000000" w:themeColor="text1"/>
        </w:rPr>
        <w:t>,</w:t>
      </w:r>
      <w:r w:rsidR="007302A9" w:rsidRPr="007302A9">
        <w:rPr>
          <w:rFonts w:ascii="Times New Roman" w:hAnsi="Times New Roman" w:cs="Times New Roman"/>
          <w:color w:val="000000" w:themeColor="text1"/>
        </w:rPr>
        <w:t xml:space="preserve"> Zhang Y</w:t>
      </w:r>
      <w:r w:rsidR="007302A9">
        <w:rPr>
          <w:rFonts w:ascii="Times New Roman" w:hAnsi="Times New Roman" w:cs="Times New Roman"/>
          <w:color w:val="000000" w:themeColor="text1"/>
        </w:rPr>
        <w:t>,</w:t>
      </w:r>
      <w:r w:rsidR="007302A9" w:rsidRPr="007302A9">
        <w:rPr>
          <w:rFonts w:ascii="Times New Roman" w:hAnsi="Times New Roman" w:cs="Times New Roman"/>
          <w:color w:val="000000" w:themeColor="text1"/>
        </w:rPr>
        <w:t xml:space="preserve"> </w:t>
      </w:r>
      <w:r w:rsidR="0016350B">
        <w:rPr>
          <w:rFonts w:ascii="Times New Roman" w:hAnsi="Times New Roman" w:cs="Times New Roman"/>
          <w:color w:val="000000" w:themeColor="text1"/>
        </w:rPr>
        <w:t>et al</w:t>
      </w:r>
      <w:r w:rsidR="007302A9" w:rsidRPr="007302A9">
        <w:rPr>
          <w:rFonts w:ascii="Times New Roman" w:hAnsi="Times New Roman" w:cs="Times New Roman"/>
          <w:color w:val="000000" w:themeColor="text1"/>
        </w:rPr>
        <w:t>.</w:t>
      </w:r>
      <w:r w:rsidR="0016350B">
        <w:rPr>
          <w:rFonts w:ascii="Times New Roman" w:hAnsi="Times New Roman" w:cs="Times New Roman"/>
          <w:color w:val="000000" w:themeColor="text1"/>
        </w:rPr>
        <w:t>,</w:t>
      </w:r>
      <w:r w:rsidR="007302A9" w:rsidRPr="007302A9">
        <w:rPr>
          <w:rFonts w:ascii="Times New Roman" w:hAnsi="Times New Roman" w:cs="Times New Roman"/>
          <w:color w:val="000000" w:themeColor="text1"/>
        </w:rPr>
        <w:t xml:space="preserve"> 2023</w:t>
      </w:r>
      <w:r w:rsidR="0016350B">
        <w:rPr>
          <w:rFonts w:ascii="Times New Roman" w:hAnsi="Times New Roman" w:cs="Times New Roman"/>
          <w:color w:val="000000" w:themeColor="text1"/>
        </w:rPr>
        <w:t>,</w:t>
      </w:r>
      <w:r w:rsidR="007302A9" w:rsidRPr="007302A9">
        <w:rPr>
          <w:rFonts w:ascii="Times New Roman" w:hAnsi="Times New Roman" w:cs="Times New Roman"/>
          <w:color w:val="000000" w:themeColor="text1"/>
        </w:rPr>
        <w:t xml:space="preserve"> Geo-Visualization of Spatial Occupancy on Smart Campus Using Wi-Fi Connection Log Data. ISPRS International Journal of Geo-Information, 12(11)</w:t>
      </w:r>
      <w:r w:rsidR="0016350B">
        <w:rPr>
          <w:rFonts w:ascii="Times New Roman" w:hAnsi="Times New Roman" w:cs="Times New Roman"/>
          <w:color w:val="000000" w:themeColor="text1"/>
        </w:rPr>
        <w:t>:</w:t>
      </w:r>
      <w:r w:rsidR="007302A9" w:rsidRPr="007302A9">
        <w:rPr>
          <w:rFonts w:ascii="Times New Roman" w:hAnsi="Times New Roman" w:cs="Times New Roman"/>
          <w:color w:val="000000" w:themeColor="text1"/>
        </w:rPr>
        <w:t xml:space="preserve"> 455.</w:t>
      </w:r>
    </w:p>
    <w:p w14:paraId="056165FE" w14:textId="1EC7A5F3" w:rsidR="007302A9" w:rsidRPr="007302A9" w:rsidRDefault="007302A9" w:rsidP="007302A9">
      <w:pPr>
        <w:spacing w:after="0"/>
        <w:jc w:val="both"/>
        <w:rPr>
          <w:rFonts w:ascii="Times New Roman" w:hAnsi="Times New Roman" w:cs="Times New Roman"/>
          <w:color w:val="000000" w:themeColor="text1"/>
        </w:rPr>
      </w:pPr>
      <w:r w:rsidRPr="007302A9">
        <w:rPr>
          <w:rFonts w:ascii="Times New Roman" w:hAnsi="Times New Roman" w:cs="Times New Roman"/>
          <w:color w:val="000000" w:themeColor="text1"/>
        </w:rPr>
        <w:lastRenderedPageBreak/>
        <w:t xml:space="preserve">[2] </w:t>
      </w:r>
      <w:proofErr w:type="spellStart"/>
      <w:r w:rsidRPr="007302A9">
        <w:rPr>
          <w:rFonts w:ascii="Times New Roman" w:hAnsi="Times New Roman" w:cs="Times New Roman"/>
          <w:color w:val="000000" w:themeColor="text1"/>
        </w:rPr>
        <w:t>Mosteiro</w:t>
      </w:r>
      <w:proofErr w:type="spellEnd"/>
      <w:r w:rsidRPr="007302A9">
        <w:rPr>
          <w:rFonts w:ascii="Times New Roman" w:hAnsi="Times New Roman" w:cs="Times New Roman"/>
          <w:color w:val="000000" w:themeColor="text1"/>
        </w:rPr>
        <w:t>-Romero, M</w:t>
      </w:r>
      <w:r>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Miller C</w:t>
      </w:r>
      <w:r>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w:t>
      </w:r>
      <w:proofErr w:type="spellStart"/>
      <w:r w:rsidRPr="007302A9">
        <w:rPr>
          <w:rFonts w:ascii="Times New Roman" w:hAnsi="Times New Roman" w:cs="Times New Roman"/>
          <w:color w:val="000000" w:themeColor="text1"/>
        </w:rPr>
        <w:t>Quintana</w:t>
      </w:r>
      <w:proofErr w:type="spellEnd"/>
      <w:r w:rsidRPr="007302A9">
        <w:rPr>
          <w:rFonts w:ascii="Times New Roman" w:hAnsi="Times New Roman" w:cs="Times New Roman"/>
          <w:color w:val="000000" w:themeColor="text1"/>
        </w:rPr>
        <w:t xml:space="preserve"> M</w:t>
      </w:r>
      <w:r>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w:t>
      </w:r>
      <w:r w:rsidR="0022425E">
        <w:rPr>
          <w:rFonts w:ascii="Times New Roman" w:hAnsi="Times New Roman" w:cs="Times New Roman"/>
          <w:color w:val="000000" w:themeColor="text1"/>
        </w:rPr>
        <w:t>et al.,</w:t>
      </w:r>
      <w:r w:rsidRPr="007302A9">
        <w:rPr>
          <w:rFonts w:ascii="Times New Roman" w:hAnsi="Times New Roman" w:cs="Times New Roman"/>
          <w:color w:val="000000" w:themeColor="text1"/>
        </w:rPr>
        <w:t xml:space="preserve"> 2023</w:t>
      </w:r>
      <w:r w:rsidR="0022425E">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Leveraging </w:t>
      </w:r>
      <w:r w:rsidR="0022425E" w:rsidRPr="007302A9">
        <w:rPr>
          <w:rFonts w:ascii="Times New Roman" w:hAnsi="Times New Roman" w:cs="Times New Roman"/>
          <w:color w:val="000000" w:themeColor="text1"/>
        </w:rPr>
        <w:t>Cam</w:t>
      </w:r>
      <w:r w:rsidRPr="007302A9">
        <w:rPr>
          <w:rFonts w:ascii="Times New Roman" w:hAnsi="Times New Roman" w:cs="Times New Roman"/>
          <w:color w:val="000000" w:themeColor="text1"/>
        </w:rPr>
        <w:t xml:space="preserve">pus-scale Wi-Fi </w:t>
      </w:r>
      <w:r w:rsidR="0022425E" w:rsidRPr="007302A9">
        <w:rPr>
          <w:rFonts w:ascii="Times New Roman" w:hAnsi="Times New Roman" w:cs="Times New Roman"/>
          <w:color w:val="000000" w:themeColor="text1"/>
        </w:rPr>
        <w:t xml:space="preserve">Data </w:t>
      </w:r>
      <w:r w:rsidRPr="007302A9">
        <w:rPr>
          <w:rFonts w:ascii="Times New Roman" w:hAnsi="Times New Roman" w:cs="Times New Roman"/>
          <w:color w:val="000000" w:themeColor="text1"/>
        </w:rPr>
        <w:t xml:space="preserve">for </w:t>
      </w:r>
      <w:r w:rsidR="0022425E" w:rsidRPr="007302A9">
        <w:rPr>
          <w:rFonts w:ascii="Times New Roman" w:hAnsi="Times New Roman" w:cs="Times New Roman"/>
          <w:color w:val="000000" w:themeColor="text1"/>
        </w:rPr>
        <w:t>Acti</w:t>
      </w:r>
      <w:r w:rsidRPr="007302A9">
        <w:rPr>
          <w:rFonts w:ascii="Times New Roman" w:hAnsi="Times New Roman" w:cs="Times New Roman"/>
          <w:color w:val="000000" w:themeColor="text1"/>
        </w:rPr>
        <w:t xml:space="preserve">vity-based </w:t>
      </w:r>
      <w:r w:rsidR="0022425E" w:rsidRPr="007302A9">
        <w:rPr>
          <w:rFonts w:ascii="Times New Roman" w:hAnsi="Times New Roman" w:cs="Times New Roman"/>
          <w:color w:val="000000" w:themeColor="text1"/>
        </w:rPr>
        <w:t xml:space="preserve">Occupant Modeling </w:t>
      </w:r>
      <w:r w:rsidRPr="007302A9">
        <w:rPr>
          <w:rFonts w:ascii="Times New Roman" w:hAnsi="Times New Roman" w:cs="Times New Roman"/>
          <w:color w:val="000000" w:themeColor="text1"/>
        </w:rPr>
        <w:t xml:space="preserve">in </w:t>
      </w:r>
      <w:r w:rsidR="0022425E" w:rsidRPr="007302A9">
        <w:rPr>
          <w:rFonts w:ascii="Times New Roman" w:hAnsi="Times New Roman" w:cs="Times New Roman"/>
          <w:color w:val="000000" w:themeColor="text1"/>
        </w:rPr>
        <w:t>Urban Energy Applications</w:t>
      </w:r>
      <w:r w:rsidRPr="007302A9">
        <w:rPr>
          <w:rFonts w:ascii="Times New Roman" w:hAnsi="Times New Roman" w:cs="Times New Roman"/>
          <w:color w:val="000000" w:themeColor="text1"/>
        </w:rPr>
        <w:t>. Journal of Physics: Conference Series, 2600(13)</w:t>
      </w:r>
      <w:r w:rsidR="0022425E">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132008.</w:t>
      </w:r>
    </w:p>
    <w:p w14:paraId="04926DA3" w14:textId="5ABC7AF2" w:rsidR="007302A9" w:rsidRPr="007302A9" w:rsidRDefault="007302A9" w:rsidP="007302A9">
      <w:pPr>
        <w:spacing w:after="0"/>
        <w:jc w:val="both"/>
        <w:rPr>
          <w:rFonts w:ascii="Times New Roman" w:hAnsi="Times New Roman" w:cs="Times New Roman"/>
          <w:color w:val="000000" w:themeColor="text1"/>
        </w:rPr>
      </w:pPr>
      <w:r w:rsidRPr="007302A9">
        <w:rPr>
          <w:rFonts w:ascii="Times New Roman" w:hAnsi="Times New Roman" w:cs="Times New Roman"/>
          <w:color w:val="000000" w:themeColor="text1"/>
        </w:rPr>
        <w:t xml:space="preserve">[3] </w:t>
      </w:r>
      <w:proofErr w:type="spellStart"/>
      <w:r w:rsidRPr="007302A9">
        <w:rPr>
          <w:rFonts w:ascii="Times New Roman" w:hAnsi="Times New Roman" w:cs="Times New Roman"/>
          <w:color w:val="000000" w:themeColor="text1"/>
        </w:rPr>
        <w:t>Alishahi</w:t>
      </w:r>
      <w:proofErr w:type="spellEnd"/>
      <w:r w:rsidRPr="007302A9">
        <w:rPr>
          <w:rFonts w:ascii="Times New Roman" w:hAnsi="Times New Roman" w:cs="Times New Roman"/>
          <w:color w:val="000000" w:themeColor="text1"/>
        </w:rPr>
        <w:t xml:space="preserve"> N</w:t>
      </w:r>
      <w:r>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w:t>
      </w:r>
      <w:proofErr w:type="spellStart"/>
      <w:r w:rsidRPr="007302A9">
        <w:rPr>
          <w:rFonts w:ascii="Times New Roman" w:hAnsi="Times New Roman" w:cs="Times New Roman"/>
          <w:color w:val="000000" w:themeColor="text1"/>
        </w:rPr>
        <w:t>Ouf</w:t>
      </w:r>
      <w:proofErr w:type="spellEnd"/>
      <w:r w:rsidRPr="007302A9">
        <w:rPr>
          <w:rFonts w:ascii="Times New Roman" w:hAnsi="Times New Roman" w:cs="Times New Roman"/>
          <w:color w:val="000000" w:themeColor="text1"/>
        </w:rPr>
        <w:t xml:space="preserve"> MM</w:t>
      </w:r>
      <w:r>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Nik-Bakht M</w:t>
      </w:r>
      <w:r w:rsidR="0022425E">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2022</w:t>
      </w:r>
      <w:r w:rsidR="0022425E">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Using </w:t>
      </w:r>
      <w:proofErr w:type="spellStart"/>
      <w:r w:rsidRPr="007302A9">
        <w:rPr>
          <w:rFonts w:ascii="Times New Roman" w:hAnsi="Times New Roman" w:cs="Times New Roman"/>
          <w:color w:val="000000" w:themeColor="text1"/>
        </w:rPr>
        <w:t>WiFi</w:t>
      </w:r>
      <w:proofErr w:type="spellEnd"/>
      <w:r w:rsidRPr="007302A9">
        <w:rPr>
          <w:rFonts w:ascii="Times New Roman" w:hAnsi="Times New Roman" w:cs="Times New Roman"/>
          <w:color w:val="000000" w:themeColor="text1"/>
        </w:rPr>
        <w:t xml:space="preserve"> </w:t>
      </w:r>
      <w:r w:rsidR="0022425E" w:rsidRPr="007302A9">
        <w:rPr>
          <w:rFonts w:ascii="Times New Roman" w:hAnsi="Times New Roman" w:cs="Times New Roman"/>
          <w:color w:val="000000" w:themeColor="text1"/>
        </w:rPr>
        <w:t xml:space="preserve">Connection Counts </w:t>
      </w:r>
      <w:r w:rsidRPr="007302A9">
        <w:rPr>
          <w:rFonts w:ascii="Times New Roman" w:hAnsi="Times New Roman" w:cs="Times New Roman"/>
          <w:color w:val="000000" w:themeColor="text1"/>
        </w:rPr>
        <w:t xml:space="preserve">and </w:t>
      </w:r>
      <w:r w:rsidR="0022425E" w:rsidRPr="007302A9">
        <w:rPr>
          <w:rFonts w:ascii="Times New Roman" w:hAnsi="Times New Roman" w:cs="Times New Roman"/>
          <w:color w:val="000000" w:themeColor="text1"/>
        </w:rPr>
        <w:t>Came</w:t>
      </w:r>
      <w:r w:rsidRPr="007302A9">
        <w:rPr>
          <w:rFonts w:ascii="Times New Roman" w:hAnsi="Times New Roman" w:cs="Times New Roman"/>
          <w:color w:val="000000" w:themeColor="text1"/>
        </w:rPr>
        <w:t xml:space="preserve">ra-based </w:t>
      </w:r>
      <w:r w:rsidR="0022425E" w:rsidRPr="007302A9">
        <w:rPr>
          <w:rFonts w:ascii="Times New Roman" w:hAnsi="Times New Roman" w:cs="Times New Roman"/>
          <w:color w:val="000000" w:themeColor="text1"/>
        </w:rPr>
        <w:t xml:space="preserve">Occupancy Counts </w:t>
      </w:r>
      <w:r w:rsidRPr="007302A9">
        <w:rPr>
          <w:rFonts w:ascii="Times New Roman" w:hAnsi="Times New Roman" w:cs="Times New Roman"/>
          <w:color w:val="000000" w:themeColor="text1"/>
        </w:rPr>
        <w:t xml:space="preserve">to </w:t>
      </w:r>
      <w:r w:rsidR="0022425E" w:rsidRPr="007302A9">
        <w:rPr>
          <w:rFonts w:ascii="Times New Roman" w:hAnsi="Times New Roman" w:cs="Times New Roman"/>
          <w:color w:val="000000" w:themeColor="text1"/>
        </w:rPr>
        <w:t>Estim</w:t>
      </w:r>
      <w:r w:rsidRPr="007302A9">
        <w:rPr>
          <w:rFonts w:ascii="Times New Roman" w:hAnsi="Times New Roman" w:cs="Times New Roman"/>
          <w:color w:val="000000" w:themeColor="text1"/>
        </w:rPr>
        <w:t xml:space="preserve">ate and </w:t>
      </w:r>
      <w:r w:rsidR="0022425E" w:rsidRPr="007302A9">
        <w:rPr>
          <w:rFonts w:ascii="Times New Roman" w:hAnsi="Times New Roman" w:cs="Times New Roman"/>
          <w:color w:val="000000" w:themeColor="text1"/>
        </w:rPr>
        <w:t>Predict Building Occupancy</w:t>
      </w:r>
      <w:r w:rsidRPr="007302A9">
        <w:rPr>
          <w:rFonts w:ascii="Times New Roman" w:hAnsi="Times New Roman" w:cs="Times New Roman"/>
          <w:color w:val="000000" w:themeColor="text1"/>
        </w:rPr>
        <w:t xml:space="preserve">. Energy and Buildings, </w:t>
      </w:r>
      <w:r w:rsidR="0022425E">
        <w:rPr>
          <w:rFonts w:ascii="Times New Roman" w:hAnsi="Times New Roman" w:cs="Times New Roman"/>
          <w:color w:val="000000" w:themeColor="text1"/>
        </w:rPr>
        <w:t>2022(</w:t>
      </w:r>
      <w:r w:rsidRPr="007302A9">
        <w:rPr>
          <w:rFonts w:ascii="Times New Roman" w:hAnsi="Times New Roman" w:cs="Times New Roman"/>
          <w:color w:val="000000" w:themeColor="text1"/>
        </w:rPr>
        <w:t>257</w:t>
      </w:r>
      <w:r w:rsidR="0022425E">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111759.</w:t>
      </w:r>
    </w:p>
    <w:p w14:paraId="0084A7B6" w14:textId="6DC95F95" w:rsidR="007302A9" w:rsidRPr="007302A9" w:rsidRDefault="007302A9" w:rsidP="007302A9">
      <w:pPr>
        <w:spacing w:after="0"/>
        <w:jc w:val="both"/>
        <w:rPr>
          <w:rFonts w:ascii="Times New Roman" w:hAnsi="Times New Roman" w:cs="Times New Roman"/>
          <w:color w:val="000000" w:themeColor="text1"/>
        </w:rPr>
      </w:pPr>
      <w:r w:rsidRPr="007302A9">
        <w:rPr>
          <w:rFonts w:ascii="Times New Roman" w:hAnsi="Times New Roman" w:cs="Times New Roman"/>
          <w:color w:val="000000" w:themeColor="text1"/>
        </w:rPr>
        <w:t>[4] Li T</w:t>
      </w:r>
      <w:r>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Liu X</w:t>
      </w:r>
      <w:r>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Li G</w:t>
      </w:r>
      <w:r>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w:t>
      </w:r>
      <w:r w:rsidR="0022425E">
        <w:rPr>
          <w:rFonts w:ascii="Times New Roman" w:hAnsi="Times New Roman" w:cs="Times New Roman"/>
          <w:color w:val="000000" w:themeColor="text1"/>
        </w:rPr>
        <w:t>et al.,</w:t>
      </w:r>
      <w:r w:rsidRPr="007302A9">
        <w:rPr>
          <w:rFonts w:ascii="Times New Roman" w:hAnsi="Times New Roman" w:cs="Times New Roman"/>
          <w:color w:val="000000" w:themeColor="text1"/>
        </w:rPr>
        <w:t xml:space="preserve"> 2024</w:t>
      </w:r>
      <w:r w:rsidR="0022425E">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A </w:t>
      </w:r>
      <w:r w:rsidR="0022425E" w:rsidRPr="007302A9">
        <w:rPr>
          <w:rFonts w:ascii="Times New Roman" w:hAnsi="Times New Roman" w:cs="Times New Roman"/>
          <w:color w:val="000000" w:themeColor="text1"/>
        </w:rPr>
        <w:t xml:space="preserve">Systematic Review </w:t>
      </w:r>
      <w:r w:rsidRPr="007302A9">
        <w:rPr>
          <w:rFonts w:ascii="Times New Roman" w:hAnsi="Times New Roman" w:cs="Times New Roman"/>
          <w:color w:val="000000" w:themeColor="text1"/>
        </w:rPr>
        <w:t xml:space="preserve">and </w:t>
      </w:r>
      <w:r w:rsidR="0022425E" w:rsidRPr="007302A9">
        <w:rPr>
          <w:rFonts w:ascii="Times New Roman" w:hAnsi="Times New Roman" w:cs="Times New Roman"/>
          <w:color w:val="000000" w:themeColor="text1"/>
        </w:rPr>
        <w:t xml:space="preserve">Comprehensive Analysis </w:t>
      </w:r>
      <w:r w:rsidRPr="007302A9">
        <w:rPr>
          <w:rFonts w:ascii="Times New Roman" w:hAnsi="Times New Roman" w:cs="Times New Roman"/>
          <w:color w:val="000000" w:themeColor="text1"/>
        </w:rPr>
        <w:t xml:space="preserve">of </w:t>
      </w:r>
      <w:r w:rsidR="0022425E" w:rsidRPr="007302A9">
        <w:rPr>
          <w:rFonts w:ascii="Times New Roman" w:hAnsi="Times New Roman" w:cs="Times New Roman"/>
          <w:color w:val="000000" w:themeColor="text1"/>
        </w:rPr>
        <w:t>Building Occupancy Prediction</w:t>
      </w:r>
      <w:r w:rsidRPr="007302A9">
        <w:rPr>
          <w:rFonts w:ascii="Times New Roman" w:hAnsi="Times New Roman" w:cs="Times New Roman"/>
          <w:color w:val="000000" w:themeColor="text1"/>
        </w:rPr>
        <w:t xml:space="preserve">. Renewable and Sustainable Energy Reviews, </w:t>
      </w:r>
      <w:r w:rsidR="0022425E">
        <w:rPr>
          <w:rFonts w:ascii="Times New Roman" w:hAnsi="Times New Roman" w:cs="Times New Roman"/>
          <w:color w:val="000000" w:themeColor="text1"/>
        </w:rPr>
        <w:t>2024(</w:t>
      </w:r>
      <w:r w:rsidRPr="007302A9">
        <w:rPr>
          <w:rFonts w:ascii="Times New Roman" w:hAnsi="Times New Roman" w:cs="Times New Roman"/>
          <w:color w:val="000000" w:themeColor="text1"/>
        </w:rPr>
        <w:t>193</w:t>
      </w:r>
      <w:r w:rsidR="0022425E">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114284.</w:t>
      </w:r>
    </w:p>
    <w:p w14:paraId="7C22AC02" w14:textId="669AB9D8" w:rsidR="007302A9" w:rsidRPr="007302A9" w:rsidRDefault="007302A9" w:rsidP="007302A9">
      <w:pPr>
        <w:spacing w:after="0"/>
        <w:jc w:val="both"/>
        <w:rPr>
          <w:rFonts w:ascii="Times New Roman" w:hAnsi="Times New Roman" w:cs="Times New Roman"/>
          <w:color w:val="000000" w:themeColor="text1"/>
        </w:rPr>
      </w:pPr>
      <w:r w:rsidRPr="007302A9">
        <w:rPr>
          <w:rFonts w:ascii="Times New Roman" w:hAnsi="Times New Roman" w:cs="Times New Roman"/>
          <w:color w:val="000000" w:themeColor="text1"/>
        </w:rPr>
        <w:t>[5] Monti L</w:t>
      </w:r>
      <w:r>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Tse R</w:t>
      </w:r>
      <w:r>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Tang SK</w:t>
      </w:r>
      <w:r>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w:t>
      </w:r>
      <w:r w:rsidR="0022425E">
        <w:rPr>
          <w:rFonts w:ascii="Times New Roman" w:hAnsi="Times New Roman" w:cs="Times New Roman"/>
          <w:color w:val="000000" w:themeColor="text1"/>
        </w:rPr>
        <w:t>et al.,</w:t>
      </w:r>
      <w:r w:rsidRPr="007302A9">
        <w:rPr>
          <w:rFonts w:ascii="Times New Roman" w:hAnsi="Times New Roman" w:cs="Times New Roman"/>
          <w:color w:val="000000" w:themeColor="text1"/>
        </w:rPr>
        <w:t xml:space="preserve"> 2022</w:t>
      </w:r>
      <w:r w:rsidR="0022425E">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Edge-Based Transfer Learning for Classroom Occupancy Detection in a Smart Campus Context. Sensors, 22(10)</w:t>
      </w:r>
      <w:r w:rsidR="0022425E">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3692.</w:t>
      </w:r>
    </w:p>
    <w:p w14:paraId="592DC016" w14:textId="2CAE8740" w:rsidR="007302A9" w:rsidRPr="007302A9" w:rsidRDefault="007302A9" w:rsidP="007302A9">
      <w:pPr>
        <w:spacing w:after="0"/>
        <w:jc w:val="both"/>
        <w:rPr>
          <w:rFonts w:ascii="Times New Roman" w:hAnsi="Times New Roman" w:cs="Times New Roman"/>
          <w:color w:val="000000" w:themeColor="text1"/>
        </w:rPr>
      </w:pPr>
      <w:r w:rsidRPr="007302A9">
        <w:rPr>
          <w:rFonts w:ascii="Times New Roman" w:hAnsi="Times New Roman" w:cs="Times New Roman"/>
          <w:color w:val="000000" w:themeColor="text1"/>
        </w:rPr>
        <w:t>[6] Khan I</w:t>
      </w:r>
      <w:r>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w:t>
      </w:r>
      <w:proofErr w:type="spellStart"/>
      <w:r w:rsidRPr="007302A9">
        <w:rPr>
          <w:rFonts w:ascii="Times New Roman" w:hAnsi="Times New Roman" w:cs="Times New Roman"/>
          <w:color w:val="000000" w:themeColor="text1"/>
        </w:rPr>
        <w:t>Zedadra</w:t>
      </w:r>
      <w:proofErr w:type="spellEnd"/>
      <w:r w:rsidRPr="007302A9">
        <w:rPr>
          <w:rFonts w:ascii="Times New Roman" w:hAnsi="Times New Roman" w:cs="Times New Roman"/>
          <w:color w:val="000000" w:themeColor="text1"/>
        </w:rPr>
        <w:t xml:space="preserve"> O</w:t>
      </w:r>
      <w:r>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Guerrieri A</w:t>
      </w:r>
      <w:r>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w:t>
      </w:r>
      <w:r w:rsidR="0022425E">
        <w:rPr>
          <w:rFonts w:ascii="Times New Roman" w:hAnsi="Times New Roman" w:cs="Times New Roman"/>
          <w:color w:val="000000" w:themeColor="text1"/>
        </w:rPr>
        <w:t>et al.,</w:t>
      </w:r>
      <w:r w:rsidRPr="007302A9">
        <w:rPr>
          <w:rFonts w:ascii="Times New Roman" w:hAnsi="Times New Roman" w:cs="Times New Roman"/>
          <w:color w:val="000000" w:themeColor="text1"/>
        </w:rPr>
        <w:t xml:space="preserve"> 2024</w:t>
      </w:r>
      <w:r w:rsidR="0022425E">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Occupancy Prediction in IoT-Enabled Smart Buildings: Technologies, Methods, and Future Directions. Sensors, 24(11)</w:t>
      </w:r>
      <w:r w:rsidR="0022425E">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3276.</w:t>
      </w:r>
    </w:p>
    <w:p w14:paraId="4B2EFF02" w14:textId="162068E0" w:rsidR="007302A9" w:rsidRPr="007302A9" w:rsidRDefault="007302A9" w:rsidP="007302A9">
      <w:pPr>
        <w:spacing w:after="0"/>
        <w:jc w:val="both"/>
        <w:rPr>
          <w:rFonts w:ascii="Times New Roman" w:hAnsi="Times New Roman" w:cs="Times New Roman"/>
          <w:color w:val="000000" w:themeColor="text1"/>
        </w:rPr>
      </w:pPr>
      <w:r w:rsidRPr="007302A9">
        <w:rPr>
          <w:rFonts w:ascii="Times New Roman" w:hAnsi="Times New Roman" w:cs="Times New Roman"/>
          <w:color w:val="000000" w:themeColor="text1"/>
        </w:rPr>
        <w:t>[7] Hernando-</w:t>
      </w:r>
      <w:proofErr w:type="spellStart"/>
      <w:r w:rsidRPr="007302A9">
        <w:rPr>
          <w:rFonts w:ascii="Times New Roman" w:hAnsi="Times New Roman" w:cs="Times New Roman"/>
          <w:color w:val="000000" w:themeColor="text1"/>
        </w:rPr>
        <w:t>Cánovas</w:t>
      </w:r>
      <w:proofErr w:type="spellEnd"/>
      <w:r w:rsidRPr="007302A9">
        <w:rPr>
          <w:rFonts w:ascii="Times New Roman" w:hAnsi="Times New Roman" w:cs="Times New Roman"/>
          <w:color w:val="000000" w:themeColor="text1"/>
        </w:rPr>
        <w:t xml:space="preserve"> L</w:t>
      </w:r>
      <w:r>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Martínez-Sala AS</w:t>
      </w:r>
      <w:r>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Sánchez-</w:t>
      </w:r>
      <w:proofErr w:type="spellStart"/>
      <w:r w:rsidRPr="007302A9">
        <w:rPr>
          <w:rFonts w:ascii="Times New Roman" w:hAnsi="Times New Roman" w:cs="Times New Roman"/>
          <w:color w:val="000000" w:themeColor="text1"/>
        </w:rPr>
        <w:t>Aarnoutse</w:t>
      </w:r>
      <w:proofErr w:type="spellEnd"/>
      <w:r w:rsidRPr="007302A9">
        <w:rPr>
          <w:rFonts w:ascii="Times New Roman" w:hAnsi="Times New Roman" w:cs="Times New Roman"/>
          <w:color w:val="000000" w:themeColor="text1"/>
        </w:rPr>
        <w:t xml:space="preserve"> JC</w:t>
      </w:r>
      <w:r>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&amp; </w:t>
      </w:r>
      <w:r w:rsidR="0022425E">
        <w:rPr>
          <w:rFonts w:ascii="Times New Roman" w:hAnsi="Times New Roman" w:cs="Times New Roman"/>
          <w:color w:val="000000" w:themeColor="text1"/>
        </w:rPr>
        <w:t>et al.,</w:t>
      </w:r>
      <w:r w:rsidRPr="007302A9">
        <w:rPr>
          <w:rFonts w:ascii="Times New Roman" w:hAnsi="Times New Roman" w:cs="Times New Roman"/>
          <w:color w:val="000000" w:themeColor="text1"/>
        </w:rPr>
        <w:t xml:space="preserve"> 2025</w:t>
      </w:r>
      <w:r w:rsidR="0022425E">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A Machine Learning Approach for Estimating Person Counts Using Anonymous </w:t>
      </w:r>
      <w:proofErr w:type="spellStart"/>
      <w:r w:rsidRPr="007302A9">
        <w:rPr>
          <w:rFonts w:ascii="Times New Roman" w:hAnsi="Times New Roman" w:cs="Times New Roman"/>
          <w:color w:val="000000" w:themeColor="text1"/>
        </w:rPr>
        <w:t>WiFi</w:t>
      </w:r>
      <w:proofErr w:type="spellEnd"/>
      <w:r w:rsidRPr="007302A9">
        <w:rPr>
          <w:rFonts w:ascii="Times New Roman" w:hAnsi="Times New Roman" w:cs="Times New Roman"/>
          <w:color w:val="000000" w:themeColor="text1"/>
        </w:rPr>
        <w:t xml:space="preserve"> Data in a University Library. Sensors, 25(22)</w:t>
      </w:r>
      <w:r w:rsidR="0022425E">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7065.</w:t>
      </w:r>
    </w:p>
    <w:p w14:paraId="64F9C298" w14:textId="4B8712FA" w:rsidR="007302A9" w:rsidRPr="007302A9" w:rsidRDefault="007302A9" w:rsidP="007302A9">
      <w:pPr>
        <w:spacing w:after="0"/>
        <w:jc w:val="both"/>
        <w:rPr>
          <w:rFonts w:ascii="Times New Roman" w:hAnsi="Times New Roman" w:cs="Times New Roman"/>
          <w:color w:val="000000" w:themeColor="text1"/>
        </w:rPr>
      </w:pPr>
      <w:r w:rsidRPr="007302A9">
        <w:rPr>
          <w:rFonts w:ascii="Times New Roman" w:hAnsi="Times New Roman" w:cs="Times New Roman"/>
          <w:color w:val="000000" w:themeColor="text1"/>
        </w:rPr>
        <w:t>[8] Shen</w:t>
      </w:r>
      <w:r w:rsidR="0022425E">
        <w:rPr>
          <w:rFonts w:ascii="Times New Roman" w:hAnsi="Times New Roman" w:cs="Times New Roman"/>
          <w:color w:val="000000" w:themeColor="text1"/>
        </w:rPr>
        <w:t xml:space="preserve"> </w:t>
      </w:r>
      <w:r w:rsidRPr="007302A9">
        <w:rPr>
          <w:rFonts w:ascii="Times New Roman" w:hAnsi="Times New Roman" w:cs="Times New Roman"/>
          <w:color w:val="000000" w:themeColor="text1"/>
        </w:rPr>
        <w:t>Y</w:t>
      </w:r>
      <w:r>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Pan Y</w:t>
      </w:r>
      <w:r w:rsidR="0022425E">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2023</w:t>
      </w:r>
      <w:r w:rsidR="0022425E">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BIM-supported </w:t>
      </w:r>
      <w:r w:rsidR="0022425E" w:rsidRPr="007302A9">
        <w:rPr>
          <w:rFonts w:ascii="Times New Roman" w:hAnsi="Times New Roman" w:cs="Times New Roman"/>
          <w:color w:val="000000" w:themeColor="text1"/>
        </w:rPr>
        <w:t xml:space="preserve">Automatic Energy Performance Analysis </w:t>
      </w:r>
      <w:r w:rsidRPr="007302A9">
        <w:rPr>
          <w:rFonts w:ascii="Times New Roman" w:hAnsi="Times New Roman" w:cs="Times New Roman"/>
          <w:color w:val="000000" w:themeColor="text1"/>
        </w:rPr>
        <w:t xml:space="preserve">for </w:t>
      </w:r>
      <w:r w:rsidR="0022425E" w:rsidRPr="007302A9">
        <w:rPr>
          <w:rFonts w:ascii="Times New Roman" w:hAnsi="Times New Roman" w:cs="Times New Roman"/>
          <w:color w:val="000000" w:themeColor="text1"/>
        </w:rPr>
        <w:t xml:space="preserve">Green Building Design Using Explainable Machine Learning </w:t>
      </w:r>
      <w:r w:rsidRPr="007302A9">
        <w:rPr>
          <w:rFonts w:ascii="Times New Roman" w:hAnsi="Times New Roman" w:cs="Times New Roman"/>
          <w:color w:val="000000" w:themeColor="text1"/>
        </w:rPr>
        <w:t xml:space="preserve">and </w:t>
      </w:r>
      <w:r w:rsidR="0022425E" w:rsidRPr="007302A9">
        <w:rPr>
          <w:rFonts w:ascii="Times New Roman" w:hAnsi="Times New Roman" w:cs="Times New Roman"/>
          <w:color w:val="000000" w:themeColor="text1"/>
        </w:rPr>
        <w:t>Mul</w:t>
      </w:r>
      <w:r w:rsidRPr="007302A9">
        <w:rPr>
          <w:rFonts w:ascii="Times New Roman" w:hAnsi="Times New Roman" w:cs="Times New Roman"/>
          <w:color w:val="000000" w:themeColor="text1"/>
        </w:rPr>
        <w:t xml:space="preserve">ti-objective </w:t>
      </w:r>
      <w:r w:rsidR="0022425E" w:rsidRPr="007302A9">
        <w:rPr>
          <w:rFonts w:ascii="Times New Roman" w:hAnsi="Times New Roman" w:cs="Times New Roman"/>
          <w:color w:val="000000" w:themeColor="text1"/>
        </w:rPr>
        <w:t>Optim</w:t>
      </w:r>
      <w:r w:rsidRPr="007302A9">
        <w:rPr>
          <w:rFonts w:ascii="Times New Roman" w:hAnsi="Times New Roman" w:cs="Times New Roman"/>
          <w:color w:val="000000" w:themeColor="text1"/>
        </w:rPr>
        <w:t xml:space="preserve">ization. Applied Energy, </w:t>
      </w:r>
      <w:r w:rsidR="0022425E">
        <w:rPr>
          <w:rFonts w:ascii="Times New Roman" w:hAnsi="Times New Roman" w:cs="Times New Roman"/>
          <w:color w:val="000000" w:themeColor="text1"/>
        </w:rPr>
        <w:t>2023(</w:t>
      </w:r>
      <w:r w:rsidRPr="007302A9">
        <w:rPr>
          <w:rFonts w:ascii="Times New Roman" w:hAnsi="Times New Roman" w:cs="Times New Roman"/>
          <w:color w:val="000000" w:themeColor="text1"/>
        </w:rPr>
        <w:t>333</w:t>
      </w:r>
      <w:r w:rsidR="0022425E">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120575.</w:t>
      </w:r>
    </w:p>
    <w:p w14:paraId="5CAB3D60" w14:textId="3DB53E2E" w:rsidR="007302A9" w:rsidRPr="007302A9" w:rsidRDefault="007302A9" w:rsidP="007302A9">
      <w:pPr>
        <w:spacing w:after="0"/>
        <w:jc w:val="both"/>
        <w:rPr>
          <w:rFonts w:ascii="Times New Roman" w:hAnsi="Times New Roman" w:cs="Times New Roman"/>
          <w:color w:val="000000" w:themeColor="text1"/>
        </w:rPr>
      </w:pPr>
      <w:r w:rsidRPr="007302A9">
        <w:rPr>
          <w:rFonts w:ascii="Times New Roman" w:hAnsi="Times New Roman" w:cs="Times New Roman"/>
          <w:color w:val="000000" w:themeColor="text1"/>
        </w:rPr>
        <w:t>[9] Li Y</w:t>
      </w:r>
      <w:r>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Zhang H</w:t>
      </w:r>
      <w:r>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Shen X</w:t>
      </w:r>
      <w:r>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w:t>
      </w:r>
      <w:r w:rsidR="0022425E">
        <w:rPr>
          <w:rFonts w:ascii="Times New Roman" w:hAnsi="Times New Roman" w:cs="Times New Roman"/>
          <w:color w:val="000000" w:themeColor="text1"/>
        </w:rPr>
        <w:t xml:space="preserve">et al., </w:t>
      </w:r>
      <w:r w:rsidRPr="007302A9">
        <w:rPr>
          <w:rFonts w:ascii="Times New Roman" w:hAnsi="Times New Roman" w:cs="Times New Roman"/>
          <w:color w:val="000000" w:themeColor="text1"/>
        </w:rPr>
        <w:t>2025</w:t>
      </w:r>
      <w:r w:rsidR="0022425E">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Interpretable </w:t>
      </w:r>
      <w:r w:rsidR="0022425E" w:rsidRPr="007302A9">
        <w:rPr>
          <w:rFonts w:ascii="Times New Roman" w:hAnsi="Times New Roman" w:cs="Times New Roman"/>
          <w:color w:val="000000" w:themeColor="text1"/>
        </w:rPr>
        <w:t xml:space="preserve">Machine Learning </w:t>
      </w:r>
      <w:r w:rsidRPr="007302A9">
        <w:rPr>
          <w:rFonts w:ascii="Times New Roman" w:hAnsi="Times New Roman" w:cs="Times New Roman"/>
          <w:color w:val="000000" w:themeColor="text1"/>
        </w:rPr>
        <w:t xml:space="preserve">for </w:t>
      </w:r>
      <w:r w:rsidR="0022425E" w:rsidRPr="007302A9">
        <w:rPr>
          <w:rFonts w:ascii="Times New Roman" w:hAnsi="Times New Roman" w:cs="Times New Roman"/>
          <w:color w:val="000000" w:themeColor="text1"/>
        </w:rPr>
        <w:t>Predicting</w:t>
      </w:r>
      <w:r w:rsidRPr="007302A9">
        <w:rPr>
          <w:rFonts w:ascii="Times New Roman" w:hAnsi="Times New Roman" w:cs="Times New Roman"/>
          <w:color w:val="000000" w:themeColor="text1"/>
        </w:rPr>
        <w:t xml:space="preserve"> and </w:t>
      </w:r>
      <w:r w:rsidR="0022425E" w:rsidRPr="007302A9">
        <w:rPr>
          <w:rFonts w:ascii="Times New Roman" w:hAnsi="Times New Roman" w:cs="Times New Roman"/>
          <w:color w:val="000000" w:themeColor="text1"/>
        </w:rPr>
        <w:t xml:space="preserve">Optimizing Residential Building Performance </w:t>
      </w:r>
      <w:r w:rsidRPr="007302A9">
        <w:rPr>
          <w:rFonts w:ascii="Times New Roman" w:hAnsi="Times New Roman" w:cs="Times New Roman"/>
          <w:color w:val="000000" w:themeColor="text1"/>
        </w:rPr>
        <w:t xml:space="preserve">in </w:t>
      </w:r>
      <w:r w:rsidR="0022425E" w:rsidRPr="007302A9">
        <w:rPr>
          <w:rFonts w:ascii="Times New Roman" w:hAnsi="Times New Roman" w:cs="Times New Roman"/>
          <w:color w:val="000000" w:themeColor="text1"/>
        </w:rPr>
        <w:t>Cold Region</w:t>
      </w:r>
      <w:r w:rsidRPr="007302A9">
        <w:rPr>
          <w:rFonts w:ascii="Times New Roman" w:hAnsi="Times New Roman" w:cs="Times New Roman"/>
          <w:color w:val="000000" w:themeColor="text1"/>
        </w:rPr>
        <w:t xml:space="preserve">s. Energy and Buildings, </w:t>
      </w:r>
      <w:r w:rsidR="0022425E">
        <w:rPr>
          <w:rFonts w:ascii="Times New Roman" w:hAnsi="Times New Roman" w:cs="Times New Roman"/>
          <w:color w:val="000000" w:themeColor="text1"/>
        </w:rPr>
        <w:t>2025(</w:t>
      </w:r>
      <w:r w:rsidRPr="007302A9">
        <w:rPr>
          <w:rFonts w:ascii="Times New Roman" w:hAnsi="Times New Roman" w:cs="Times New Roman"/>
          <w:color w:val="000000" w:themeColor="text1"/>
        </w:rPr>
        <w:t>347</w:t>
      </w:r>
      <w:r w:rsidR="0022425E">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116321.</w:t>
      </w:r>
    </w:p>
    <w:p w14:paraId="305E64E4" w14:textId="45FBB824" w:rsidR="007302A9" w:rsidRPr="007302A9" w:rsidRDefault="007302A9" w:rsidP="007302A9">
      <w:pPr>
        <w:spacing w:after="0"/>
        <w:jc w:val="both"/>
        <w:rPr>
          <w:rFonts w:ascii="Times New Roman" w:hAnsi="Times New Roman" w:cs="Times New Roman"/>
          <w:color w:val="000000" w:themeColor="text1"/>
        </w:rPr>
      </w:pPr>
      <w:r w:rsidRPr="007302A9">
        <w:rPr>
          <w:rFonts w:ascii="Times New Roman" w:hAnsi="Times New Roman" w:cs="Times New Roman"/>
          <w:color w:val="000000" w:themeColor="text1"/>
        </w:rPr>
        <w:t xml:space="preserve">[10] </w:t>
      </w:r>
      <w:proofErr w:type="spellStart"/>
      <w:r w:rsidRPr="007302A9">
        <w:rPr>
          <w:rFonts w:ascii="Times New Roman" w:hAnsi="Times New Roman" w:cs="Times New Roman"/>
          <w:color w:val="000000" w:themeColor="text1"/>
        </w:rPr>
        <w:t>Askarizad</w:t>
      </w:r>
      <w:proofErr w:type="spellEnd"/>
      <w:r w:rsidRPr="007302A9">
        <w:rPr>
          <w:rFonts w:ascii="Times New Roman" w:hAnsi="Times New Roman" w:cs="Times New Roman"/>
          <w:color w:val="000000" w:themeColor="text1"/>
        </w:rPr>
        <w:t xml:space="preserve"> R</w:t>
      </w:r>
      <w:r>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w:t>
      </w:r>
      <w:proofErr w:type="spellStart"/>
      <w:r w:rsidRPr="007302A9">
        <w:rPr>
          <w:rFonts w:ascii="Times New Roman" w:hAnsi="Times New Roman" w:cs="Times New Roman"/>
          <w:color w:val="000000" w:themeColor="text1"/>
        </w:rPr>
        <w:t>Lamíquiz</w:t>
      </w:r>
      <w:proofErr w:type="spellEnd"/>
      <w:r w:rsidRPr="007302A9">
        <w:rPr>
          <w:rFonts w:ascii="Times New Roman" w:hAnsi="Times New Roman" w:cs="Times New Roman"/>
          <w:color w:val="000000" w:themeColor="text1"/>
        </w:rPr>
        <w:t xml:space="preserve"> Daudén PJ</w:t>
      </w:r>
      <w:r>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w:t>
      </w:r>
      <w:r w:rsidR="002769B2" w:rsidRPr="002769B2">
        <w:rPr>
          <w:rFonts w:ascii="Times New Roman" w:hAnsi="Times New Roman" w:cs="Times New Roman"/>
          <w:color w:val="000000" w:themeColor="text1"/>
        </w:rPr>
        <w:t>Garau</w:t>
      </w:r>
      <w:r w:rsidR="002769B2">
        <w:rPr>
          <w:rFonts w:ascii="Times New Roman" w:hAnsi="Times New Roman" w:cs="Times New Roman"/>
          <w:color w:val="000000" w:themeColor="text1"/>
        </w:rPr>
        <w:t xml:space="preserve"> C,</w:t>
      </w:r>
      <w:r w:rsidRPr="007302A9">
        <w:rPr>
          <w:rFonts w:ascii="Times New Roman" w:hAnsi="Times New Roman" w:cs="Times New Roman"/>
          <w:color w:val="000000" w:themeColor="text1"/>
        </w:rPr>
        <w:t xml:space="preserve"> 2024</w:t>
      </w:r>
      <w:r w:rsidR="0022425E">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The Application of Space Syntax to Enhance Sociability in Public Urban Spaces: A Systematic Review. ISPRS International Journal of Geo-Information, 13(7)</w:t>
      </w:r>
      <w:r w:rsidR="002769B2">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227.</w:t>
      </w:r>
    </w:p>
    <w:p w14:paraId="30515094" w14:textId="6210ECEA" w:rsidR="007302A9" w:rsidRPr="007302A9" w:rsidRDefault="007302A9" w:rsidP="007302A9">
      <w:pPr>
        <w:spacing w:after="0"/>
        <w:jc w:val="both"/>
        <w:rPr>
          <w:rFonts w:ascii="Times New Roman" w:hAnsi="Times New Roman" w:cs="Times New Roman"/>
          <w:color w:val="000000" w:themeColor="text1"/>
        </w:rPr>
      </w:pPr>
      <w:r w:rsidRPr="007302A9">
        <w:rPr>
          <w:rFonts w:ascii="Times New Roman" w:hAnsi="Times New Roman" w:cs="Times New Roman"/>
          <w:color w:val="000000" w:themeColor="text1"/>
        </w:rPr>
        <w:t xml:space="preserve">[11] </w:t>
      </w:r>
      <w:proofErr w:type="spellStart"/>
      <w:r w:rsidRPr="007302A9">
        <w:rPr>
          <w:rFonts w:ascii="Times New Roman" w:hAnsi="Times New Roman" w:cs="Times New Roman"/>
          <w:color w:val="000000" w:themeColor="text1"/>
        </w:rPr>
        <w:t>Banihashemi</w:t>
      </w:r>
      <w:proofErr w:type="spellEnd"/>
      <w:r w:rsidRPr="007302A9">
        <w:rPr>
          <w:rFonts w:ascii="Times New Roman" w:hAnsi="Times New Roman" w:cs="Times New Roman"/>
          <w:color w:val="000000" w:themeColor="text1"/>
        </w:rPr>
        <w:t xml:space="preserve"> F</w:t>
      </w:r>
      <w:r>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Weber M</w:t>
      </w:r>
      <w:r>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w:t>
      </w:r>
      <w:proofErr w:type="spellStart"/>
      <w:r w:rsidRPr="007302A9">
        <w:rPr>
          <w:rFonts w:ascii="Times New Roman" w:hAnsi="Times New Roman" w:cs="Times New Roman"/>
          <w:color w:val="000000" w:themeColor="text1"/>
        </w:rPr>
        <w:t>Deghim</w:t>
      </w:r>
      <w:proofErr w:type="spellEnd"/>
      <w:r w:rsidRPr="007302A9">
        <w:rPr>
          <w:rFonts w:ascii="Times New Roman" w:hAnsi="Times New Roman" w:cs="Times New Roman"/>
          <w:color w:val="000000" w:themeColor="text1"/>
        </w:rPr>
        <w:t xml:space="preserve"> F</w:t>
      </w:r>
      <w:r>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w:t>
      </w:r>
      <w:r w:rsidR="002769B2">
        <w:rPr>
          <w:rFonts w:ascii="Times New Roman" w:hAnsi="Times New Roman" w:cs="Times New Roman"/>
          <w:color w:val="000000" w:themeColor="text1"/>
        </w:rPr>
        <w:t>et al.,</w:t>
      </w:r>
      <w:r w:rsidRPr="007302A9">
        <w:rPr>
          <w:rFonts w:ascii="Times New Roman" w:hAnsi="Times New Roman" w:cs="Times New Roman"/>
          <w:color w:val="000000" w:themeColor="text1"/>
        </w:rPr>
        <w:t xml:space="preserve"> 2024</w:t>
      </w:r>
      <w:r w:rsidR="002769B2">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Occupancy </w:t>
      </w:r>
      <w:r w:rsidR="002769B2" w:rsidRPr="007302A9">
        <w:rPr>
          <w:rFonts w:ascii="Times New Roman" w:hAnsi="Times New Roman" w:cs="Times New Roman"/>
          <w:color w:val="000000" w:themeColor="text1"/>
        </w:rPr>
        <w:t>Modelin</w:t>
      </w:r>
      <w:r w:rsidRPr="007302A9">
        <w:rPr>
          <w:rFonts w:ascii="Times New Roman" w:hAnsi="Times New Roman" w:cs="Times New Roman"/>
          <w:color w:val="000000" w:themeColor="text1"/>
        </w:rPr>
        <w:t xml:space="preserve">g on </w:t>
      </w:r>
      <w:r w:rsidR="002769B2" w:rsidRPr="007302A9">
        <w:rPr>
          <w:rFonts w:ascii="Times New Roman" w:hAnsi="Times New Roman" w:cs="Times New Roman"/>
          <w:color w:val="000000" w:themeColor="text1"/>
        </w:rPr>
        <w:t>N</w:t>
      </w:r>
      <w:r w:rsidRPr="007302A9">
        <w:rPr>
          <w:rFonts w:ascii="Times New Roman" w:hAnsi="Times New Roman" w:cs="Times New Roman"/>
          <w:color w:val="000000" w:themeColor="text1"/>
        </w:rPr>
        <w:t>on-</w:t>
      </w:r>
      <w:r w:rsidR="002769B2" w:rsidRPr="007302A9">
        <w:rPr>
          <w:rFonts w:ascii="Times New Roman" w:hAnsi="Times New Roman" w:cs="Times New Roman"/>
          <w:color w:val="000000" w:themeColor="text1"/>
        </w:rPr>
        <w:t>Intrusive Indoor Environmental Data Through Machine Learning</w:t>
      </w:r>
      <w:r w:rsidRPr="007302A9">
        <w:rPr>
          <w:rFonts w:ascii="Times New Roman" w:hAnsi="Times New Roman" w:cs="Times New Roman"/>
          <w:color w:val="000000" w:themeColor="text1"/>
        </w:rPr>
        <w:t xml:space="preserve">. Building and Environment, </w:t>
      </w:r>
      <w:r w:rsidR="002769B2">
        <w:rPr>
          <w:rFonts w:ascii="Times New Roman" w:hAnsi="Times New Roman" w:cs="Times New Roman"/>
          <w:color w:val="000000" w:themeColor="text1"/>
        </w:rPr>
        <w:t>2024(</w:t>
      </w:r>
      <w:r w:rsidRPr="007302A9">
        <w:rPr>
          <w:rFonts w:ascii="Times New Roman" w:hAnsi="Times New Roman" w:cs="Times New Roman"/>
          <w:color w:val="000000" w:themeColor="text1"/>
        </w:rPr>
        <w:t>254</w:t>
      </w:r>
      <w:r w:rsidR="002769B2">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111382.</w:t>
      </w:r>
    </w:p>
    <w:p w14:paraId="187026C1" w14:textId="21DD6E19" w:rsidR="00B93500" w:rsidRDefault="007302A9" w:rsidP="007302A9">
      <w:pPr>
        <w:spacing w:after="0"/>
        <w:jc w:val="both"/>
        <w:rPr>
          <w:rFonts w:ascii="Times New Roman" w:hAnsi="Times New Roman" w:cs="Times New Roman"/>
          <w:color w:val="000000" w:themeColor="text1"/>
        </w:rPr>
      </w:pPr>
      <w:r w:rsidRPr="007302A9">
        <w:rPr>
          <w:rFonts w:ascii="Times New Roman" w:hAnsi="Times New Roman" w:cs="Times New Roman"/>
          <w:color w:val="000000" w:themeColor="text1"/>
        </w:rPr>
        <w:t>[12] Guo Y</w:t>
      </w:r>
      <w:r>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Sui J</w:t>
      </w:r>
      <w:r w:rsidR="002769B2">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2025</w:t>
      </w:r>
      <w:r w:rsidR="002769B2">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Post-Occupancy Evaluation of Campus Learning Spaces with Multi-Modal Spatiotemporal Tracking. Buildings, 15(11)</w:t>
      </w:r>
      <w:r w:rsidR="002769B2">
        <w:rPr>
          <w:rFonts w:ascii="Times New Roman" w:hAnsi="Times New Roman" w:cs="Times New Roman"/>
          <w:color w:val="000000" w:themeColor="text1"/>
        </w:rPr>
        <w:t>:</w:t>
      </w:r>
      <w:r w:rsidRPr="007302A9">
        <w:rPr>
          <w:rFonts w:ascii="Times New Roman" w:hAnsi="Times New Roman" w:cs="Times New Roman"/>
          <w:color w:val="000000" w:themeColor="text1"/>
        </w:rPr>
        <w:t xml:space="preserve"> 1831.</w:t>
      </w:r>
    </w:p>
    <w:p w14:paraId="5DF9FAAA" w14:textId="77777777" w:rsidR="007302A9" w:rsidRDefault="007302A9" w:rsidP="007302A9">
      <w:pPr>
        <w:spacing w:after="0"/>
        <w:jc w:val="both"/>
        <w:rPr>
          <w:rFonts w:ascii="Times New Roman" w:hAnsi="Times New Roman" w:cs="Times New Roman"/>
          <w:color w:val="000000" w:themeColor="text1"/>
        </w:rPr>
      </w:pPr>
    </w:p>
    <w:p w14:paraId="46549E9D" w14:textId="77777777" w:rsidR="007302A9" w:rsidRDefault="007302A9" w:rsidP="007302A9">
      <w:pPr>
        <w:spacing w:after="0"/>
        <w:rPr>
          <w:rFonts w:ascii="Times New Roman" w:hAnsi="Times New Roman" w:cs="Times New Roman"/>
          <w:b/>
          <w:bCs/>
          <w:sz w:val="20"/>
          <w:szCs w:val="20"/>
        </w:rPr>
      </w:pPr>
      <w:r>
        <w:rPr>
          <w:rFonts w:ascii="Times New Roman" w:hAnsi="Times New Roman" w:cs="Times New Roman"/>
          <w:b/>
          <w:bCs/>
          <w:sz w:val="20"/>
          <w:szCs w:val="20"/>
        </w:rPr>
        <w:t>Publisher’s note</w:t>
      </w:r>
    </w:p>
    <w:p w14:paraId="08808A7F" w14:textId="4E58848C" w:rsidR="007302A9" w:rsidRPr="007302A9" w:rsidRDefault="007302A9" w:rsidP="007302A9">
      <w:pPr>
        <w:spacing w:after="0"/>
        <w:rPr>
          <w:rFonts w:ascii="Times New Roman" w:hAnsi="Times New Roman" w:cs="Times New Roman"/>
          <w:sz w:val="20"/>
          <w:szCs w:val="20"/>
        </w:rPr>
      </w:pPr>
      <w:r>
        <w:rPr>
          <w:rFonts w:ascii="Times New Roman" w:hAnsi="Times New Roman" w:cs="Times New Roman"/>
          <w:sz w:val="20"/>
          <w:szCs w:val="20"/>
        </w:rPr>
        <w:t>Bio-Byword Scientific Publishing remains neutral with regard to jurisdictional claims in published maps and institutional affiliations.</w:t>
      </w:r>
    </w:p>
    <w:sectPr w:rsidR="007302A9" w:rsidRPr="007302A9">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EE09D" w14:textId="77777777" w:rsidR="00C174EF" w:rsidRDefault="00C174EF">
      <w:pPr>
        <w:spacing w:after="0"/>
      </w:pPr>
      <w:r>
        <w:separator/>
      </w:r>
    </w:p>
  </w:endnote>
  <w:endnote w:type="continuationSeparator" w:id="0">
    <w:p w14:paraId="1C0EB316" w14:textId="77777777" w:rsidR="00C174EF" w:rsidRDefault="00C174E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DDCF6" w14:textId="77777777" w:rsidR="00C174EF" w:rsidRDefault="00C174EF">
      <w:pPr>
        <w:spacing w:after="0"/>
      </w:pPr>
      <w:r>
        <w:separator/>
      </w:r>
    </w:p>
  </w:footnote>
  <w:footnote w:type="continuationSeparator" w:id="0">
    <w:p w14:paraId="17C3F1A7" w14:textId="77777777" w:rsidR="00C174EF" w:rsidRDefault="00C174EF">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DC8"/>
    <w:rsid w:val="00013C00"/>
    <w:rsid w:val="000E7BC5"/>
    <w:rsid w:val="0016350B"/>
    <w:rsid w:val="001D0EF7"/>
    <w:rsid w:val="0022425E"/>
    <w:rsid w:val="00247F5C"/>
    <w:rsid w:val="002769B2"/>
    <w:rsid w:val="002B19BD"/>
    <w:rsid w:val="002C0F59"/>
    <w:rsid w:val="00371D95"/>
    <w:rsid w:val="00391B1B"/>
    <w:rsid w:val="00393B1C"/>
    <w:rsid w:val="003F2F00"/>
    <w:rsid w:val="004110D4"/>
    <w:rsid w:val="00425CAE"/>
    <w:rsid w:val="00445D8E"/>
    <w:rsid w:val="004931D1"/>
    <w:rsid w:val="004F33FD"/>
    <w:rsid w:val="005A6C6F"/>
    <w:rsid w:val="005C10A6"/>
    <w:rsid w:val="00677AE0"/>
    <w:rsid w:val="006C2EB7"/>
    <w:rsid w:val="006F1273"/>
    <w:rsid w:val="007302A9"/>
    <w:rsid w:val="00780DC8"/>
    <w:rsid w:val="007F1E7F"/>
    <w:rsid w:val="00810EF9"/>
    <w:rsid w:val="009051F5"/>
    <w:rsid w:val="00935A82"/>
    <w:rsid w:val="0094570A"/>
    <w:rsid w:val="009F4ECF"/>
    <w:rsid w:val="00A43F32"/>
    <w:rsid w:val="00A51430"/>
    <w:rsid w:val="00AB561C"/>
    <w:rsid w:val="00AC0478"/>
    <w:rsid w:val="00B87366"/>
    <w:rsid w:val="00B93500"/>
    <w:rsid w:val="00C174EF"/>
    <w:rsid w:val="00C3484E"/>
    <w:rsid w:val="00C706CB"/>
    <w:rsid w:val="00CD7434"/>
    <w:rsid w:val="00D2217F"/>
    <w:rsid w:val="00D22905"/>
    <w:rsid w:val="00D83213"/>
    <w:rsid w:val="00E751D8"/>
    <w:rsid w:val="00F31DF7"/>
    <w:rsid w:val="0BC50B61"/>
    <w:rsid w:val="25E72EBB"/>
    <w:rsid w:val="47753782"/>
    <w:rsid w:val="6B672A2F"/>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9BB5D"/>
  <w15:docId w15:val="{F3AF3BF9-AEF3-45C6-AC04-1D0F4A620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footnote text" w:uiPriority="9" w:unhideWhenUsed="1" w:qFormat="1"/>
    <w:lsdException w:name="annotation text" w:qFormat="1"/>
    <w:lsdException w:name="caption" w:qFormat="1"/>
    <w:lsdException w:name="footnote reference" w:qFormat="1"/>
    <w:lsdException w:name="Title" w:qFormat="1"/>
    <w:lsdException w:name="Default Paragraph Font" w:semiHidden="1" w:uiPriority="1" w:unhideWhenUsed="1"/>
    <w:lsdException w:name="Body Text" w:qFormat="1"/>
    <w:lsdException w:name="Subtitle" w:qFormat="1"/>
    <w:lsdException w:name="Date" w:qFormat="1"/>
    <w:lsdException w:name="Block Text" w:uiPriority="9" w:unhideWhenUsed="1" w:qFormat="1"/>
    <w:lsdException w:name="Hyperlink"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pPr>
    <w:rPr>
      <w:rFonts w:asciiTheme="minorHAnsi" w:eastAsiaTheme="minorEastAsia" w:hAnsiTheme="minorHAnsi" w:cstheme="minorBidi"/>
      <w:sz w:val="24"/>
      <w:szCs w:val="24"/>
      <w:lang w:val="en-US" w:eastAsia="en-US"/>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styleId="Caption">
    <w:name w:val="caption"/>
    <w:basedOn w:val="Normal"/>
    <w:link w:val="CaptionChar"/>
    <w:qFormat/>
    <w:pPr>
      <w:spacing w:after="120"/>
    </w:pPr>
    <w:rPr>
      <w:i/>
    </w:rPr>
  </w:style>
  <w:style w:type="paragraph" w:styleId="CommentText">
    <w:name w:val="annotation text"/>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Date">
    <w:name w:val="Date"/>
    <w:next w:val="BodyText"/>
    <w:qFormat/>
    <w:pPr>
      <w:keepNext/>
      <w:keepLines/>
      <w:spacing w:after="200"/>
      <w:jc w:val="center"/>
    </w:pPr>
    <w:rPr>
      <w:rFonts w:asciiTheme="minorHAnsi" w:eastAsiaTheme="minorEastAsia" w:hAnsiTheme="minorHAnsi" w:cstheme="minorBidi"/>
      <w:sz w:val="24"/>
      <w:szCs w:val="24"/>
      <w:lang w:val="en-US" w:eastAsia="en-US"/>
    </w:rPr>
  </w:style>
  <w:style w:type="paragraph" w:styleId="Subtitle">
    <w:name w:val="Subtitle"/>
    <w:basedOn w:val="Title"/>
    <w:next w:val="BodyText"/>
    <w:qFormat/>
    <w:pPr>
      <w:spacing w:before="240"/>
    </w:pPr>
    <w:rPr>
      <w:sz w:val="30"/>
      <w:szCs w:val="30"/>
    </w:r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FootnoteText">
    <w:name w:val="footnote text"/>
    <w:basedOn w:val="Normal"/>
    <w:uiPriority w:val="9"/>
    <w:unhideWhenUsed/>
    <w:qFormat/>
  </w:style>
  <w:style w:type="character" w:styleId="Hyperlink">
    <w:name w:val="Hyperlink"/>
    <w:basedOn w:val="CaptionChar"/>
    <w:qFormat/>
    <w:rPr>
      <w:color w:val="4F81BD" w:themeColor="accent1"/>
    </w:rPr>
  </w:style>
  <w:style w:type="character" w:customStyle="1" w:styleId="CaptionChar">
    <w:name w:val="Caption Char"/>
    <w:basedOn w:val="DefaultParagraphFont"/>
    <w:link w:val="Caption"/>
    <w:qFormat/>
  </w:style>
  <w:style w:type="character" w:styleId="FootnoteReference">
    <w:name w:val="footnote reference"/>
    <w:basedOn w:val="CaptionChar"/>
    <w:qFormat/>
    <w:rPr>
      <w:vertAlign w:val="superscript"/>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customStyle="1" w:styleId="Author">
    <w:name w:val="Author"/>
    <w:next w:val="BodyText"/>
    <w:qFormat/>
    <w:pPr>
      <w:keepNext/>
      <w:keepLines/>
      <w:spacing w:after="200"/>
      <w:jc w:val="center"/>
    </w:pPr>
    <w:rPr>
      <w:rFonts w:asciiTheme="minorHAnsi" w:eastAsiaTheme="minorEastAsia" w:hAnsiTheme="minorHAnsi" w:cstheme="minorBidi"/>
      <w:sz w:val="24"/>
      <w:szCs w:val="24"/>
      <w:lang w:val="en-US" w:eastAsia="en-US"/>
    </w:r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customStyle="1" w:styleId="1">
    <w:name w:val="书目1"/>
    <w:basedOn w:val="Normal"/>
    <w:qFormat/>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Figure">
    <w:name w:val="Figure"/>
    <w:basedOn w:val="Normal"/>
    <w:qFormat/>
  </w:style>
  <w:style w:type="paragraph" w:customStyle="1" w:styleId="CaptionedFigure">
    <w:name w:val="Captioned Figure"/>
    <w:basedOn w:val="Figure"/>
    <w:qFormat/>
    <w:pPr>
      <w:keepNext/>
    </w:pPr>
  </w:style>
  <w:style w:type="character" w:customStyle="1" w:styleId="VerbatimChar">
    <w:name w:val="Verbatim Char"/>
    <w:basedOn w:val="CaptionChar"/>
    <w:link w:val="SourceCode"/>
    <w:qFormat/>
    <w:rPr>
      <w:rFonts w:ascii="Consolas" w:hAnsi="Consolas"/>
      <w:sz w:val="22"/>
    </w:rPr>
  </w:style>
  <w:style w:type="paragraph" w:customStyle="1" w:styleId="SourceCode">
    <w:name w:val="Source Code"/>
    <w:basedOn w:val="Normal"/>
    <w:link w:val="VerbatimChar"/>
    <w:qFormat/>
    <w:pPr>
      <w:wordWrap w:val="0"/>
    </w:pPr>
  </w:style>
  <w:style w:type="character" w:customStyle="1" w:styleId="SectionNumber">
    <w:name w:val="Section Number"/>
    <w:basedOn w:val="CaptionChar"/>
    <w:qFormat/>
  </w:style>
  <w:style w:type="paragraph" w:customStyle="1" w:styleId="TOC1">
    <w:name w:val="TOC 标题1"/>
    <w:basedOn w:val="Heading1"/>
    <w:next w:val="BodyText"/>
    <w:uiPriority w:val="39"/>
    <w:unhideWhenUsed/>
    <w:qFormat/>
    <w:pPr>
      <w:spacing w:before="240" w:line="259" w:lineRule="auto"/>
      <w:outlineLvl w:val="9"/>
    </w:pPr>
    <w:rPr>
      <w:b w:val="0"/>
      <w:bCs w:val="0"/>
      <w:color w:val="365F91" w:themeColor="accent1" w:themeShade="BF"/>
    </w:rPr>
  </w:style>
  <w:style w:type="character" w:customStyle="1" w:styleId="KeywordTok">
    <w:name w:val="KeywordTok"/>
    <w:basedOn w:val="VerbatimChar"/>
    <w:qFormat/>
    <w:rPr>
      <w:rFonts w:ascii="Consolas" w:hAnsi="Consolas"/>
      <w:b/>
      <w:color w:val="007020"/>
      <w:sz w:val="22"/>
    </w:rPr>
  </w:style>
  <w:style w:type="character" w:customStyle="1" w:styleId="DataTypeTok">
    <w:name w:val="DataTypeTok"/>
    <w:basedOn w:val="VerbatimChar"/>
    <w:qFormat/>
    <w:rPr>
      <w:rFonts w:ascii="Consolas" w:hAnsi="Consolas"/>
      <w:color w:val="902000"/>
      <w:sz w:val="22"/>
    </w:rPr>
  </w:style>
  <w:style w:type="character" w:customStyle="1" w:styleId="DecValTok">
    <w:name w:val="DecValTok"/>
    <w:basedOn w:val="VerbatimChar"/>
    <w:qFormat/>
    <w:rPr>
      <w:rFonts w:ascii="Consolas" w:hAnsi="Consolas"/>
      <w:color w:val="40A070"/>
      <w:sz w:val="22"/>
    </w:rPr>
  </w:style>
  <w:style w:type="character" w:customStyle="1" w:styleId="BaseNTok">
    <w:name w:val="BaseNTok"/>
    <w:basedOn w:val="VerbatimChar"/>
    <w:qFormat/>
    <w:rPr>
      <w:rFonts w:ascii="Consolas" w:hAnsi="Consolas"/>
      <w:color w:val="40A070"/>
      <w:sz w:val="22"/>
    </w:rPr>
  </w:style>
  <w:style w:type="character" w:customStyle="1" w:styleId="FloatTok">
    <w:name w:val="FloatTok"/>
    <w:basedOn w:val="VerbatimChar"/>
    <w:qFormat/>
    <w:rPr>
      <w:rFonts w:ascii="Consolas" w:hAnsi="Consolas"/>
      <w:color w:val="40A070"/>
      <w:sz w:val="22"/>
    </w:rPr>
  </w:style>
  <w:style w:type="character" w:customStyle="1" w:styleId="ConstantTok">
    <w:name w:val="ConstantTok"/>
    <w:basedOn w:val="VerbatimChar"/>
    <w:qFormat/>
    <w:rPr>
      <w:rFonts w:ascii="Consolas" w:hAnsi="Consolas"/>
      <w:color w:val="880000"/>
      <w:sz w:val="22"/>
    </w:rPr>
  </w:style>
  <w:style w:type="character" w:customStyle="1" w:styleId="CharTok">
    <w:name w:val="CharTok"/>
    <w:basedOn w:val="VerbatimChar"/>
    <w:qFormat/>
    <w:rPr>
      <w:rFonts w:ascii="Consolas" w:hAnsi="Consolas"/>
      <w:color w:val="4070A0"/>
      <w:sz w:val="22"/>
    </w:rPr>
  </w:style>
  <w:style w:type="character" w:customStyle="1" w:styleId="SpecialCharTok">
    <w:name w:val="SpecialCharTok"/>
    <w:basedOn w:val="VerbatimChar"/>
    <w:qFormat/>
    <w:rPr>
      <w:rFonts w:ascii="Consolas" w:hAnsi="Consolas"/>
      <w:color w:val="4070A0"/>
      <w:sz w:val="22"/>
    </w:rPr>
  </w:style>
  <w:style w:type="character" w:customStyle="1" w:styleId="StringTok">
    <w:name w:val="StringTok"/>
    <w:basedOn w:val="VerbatimChar"/>
    <w:qFormat/>
    <w:rPr>
      <w:rFonts w:ascii="Consolas" w:hAnsi="Consolas"/>
      <w:color w:val="4070A0"/>
      <w:sz w:val="22"/>
    </w:rPr>
  </w:style>
  <w:style w:type="character" w:customStyle="1" w:styleId="VerbatimStringTok">
    <w:name w:val="VerbatimStringTok"/>
    <w:basedOn w:val="VerbatimChar"/>
    <w:qFormat/>
    <w:rPr>
      <w:rFonts w:ascii="Consolas" w:hAnsi="Consolas"/>
      <w:color w:val="4070A0"/>
      <w:sz w:val="22"/>
    </w:rPr>
  </w:style>
  <w:style w:type="character" w:customStyle="1" w:styleId="SpecialStringTok">
    <w:name w:val="SpecialStringTok"/>
    <w:basedOn w:val="VerbatimChar"/>
    <w:qFormat/>
    <w:rPr>
      <w:rFonts w:ascii="Consolas" w:hAnsi="Consolas"/>
      <w:color w:val="BB6688"/>
      <w:sz w:val="22"/>
    </w:rPr>
  </w:style>
  <w:style w:type="character" w:customStyle="1" w:styleId="ImportTok">
    <w:name w:val="ImportTok"/>
    <w:basedOn w:val="VerbatimChar"/>
    <w:qFormat/>
    <w:rPr>
      <w:rFonts w:ascii="Consolas" w:hAnsi="Consolas"/>
      <w:b/>
      <w:color w:val="008000"/>
      <w:sz w:val="22"/>
    </w:rPr>
  </w:style>
  <w:style w:type="character" w:customStyle="1" w:styleId="CommentTok">
    <w:name w:val="CommentTok"/>
    <w:basedOn w:val="VerbatimChar"/>
    <w:qFormat/>
    <w:rPr>
      <w:rFonts w:ascii="Consolas" w:hAnsi="Consolas"/>
      <w:i/>
      <w:color w:val="60A0B0"/>
      <w:sz w:val="22"/>
    </w:rPr>
  </w:style>
  <w:style w:type="character" w:customStyle="1" w:styleId="DocumentationTok">
    <w:name w:val="DocumentationTok"/>
    <w:basedOn w:val="VerbatimChar"/>
    <w:qFormat/>
    <w:rPr>
      <w:rFonts w:ascii="Consolas" w:hAnsi="Consolas"/>
      <w:i/>
      <w:color w:val="BA2121"/>
      <w:sz w:val="22"/>
    </w:rPr>
  </w:style>
  <w:style w:type="character" w:customStyle="1" w:styleId="AnnotationTok">
    <w:name w:val="AnnotationTok"/>
    <w:basedOn w:val="VerbatimChar"/>
    <w:qFormat/>
    <w:rPr>
      <w:rFonts w:ascii="Consolas" w:hAnsi="Consolas"/>
      <w:b/>
      <w:i/>
      <w:color w:val="60A0B0"/>
      <w:sz w:val="22"/>
    </w:rPr>
  </w:style>
  <w:style w:type="character" w:customStyle="1" w:styleId="CommentVarTok">
    <w:name w:val="CommentVarTok"/>
    <w:basedOn w:val="VerbatimChar"/>
    <w:qFormat/>
    <w:rPr>
      <w:rFonts w:ascii="Consolas" w:hAnsi="Consolas"/>
      <w:b/>
      <w:i/>
      <w:color w:val="60A0B0"/>
      <w:sz w:val="22"/>
    </w:rPr>
  </w:style>
  <w:style w:type="character" w:customStyle="1" w:styleId="OtherTok">
    <w:name w:val="OtherTok"/>
    <w:basedOn w:val="VerbatimChar"/>
    <w:qFormat/>
    <w:rPr>
      <w:rFonts w:ascii="Consolas" w:hAnsi="Consolas"/>
      <w:color w:val="007020"/>
      <w:sz w:val="22"/>
    </w:rPr>
  </w:style>
  <w:style w:type="character" w:customStyle="1" w:styleId="FunctionTok">
    <w:name w:val="FunctionTok"/>
    <w:basedOn w:val="VerbatimChar"/>
    <w:qFormat/>
    <w:rPr>
      <w:rFonts w:ascii="Consolas" w:hAnsi="Consolas"/>
      <w:color w:val="06287E"/>
      <w:sz w:val="22"/>
    </w:rPr>
  </w:style>
  <w:style w:type="character" w:customStyle="1" w:styleId="VariableTok">
    <w:name w:val="VariableTok"/>
    <w:basedOn w:val="VerbatimChar"/>
    <w:qFormat/>
    <w:rPr>
      <w:rFonts w:ascii="Consolas" w:hAnsi="Consolas"/>
      <w:color w:val="19177C"/>
      <w:sz w:val="22"/>
    </w:rPr>
  </w:style>
  <w:style w:type="character" w:customStyle="1" w:styleId="ControlFlowTok">
    <w:name w:val="ControlFlowTok"/>
    <w:basedOn w:val="VerbatimChar"/>
    <w:qFormat/>
    <w:rPr>
      <w:rFonts w:ascii="Consolas" w:hAnsi="Consolas"/>
      <w:b/>
      <w:color w:val="007020"/>
      <w:sz w:val="22"/>
    </w:rPr>
  </w:style>
  <w:style w:type="character" w:customStyle="1" w:styleId="OperatorTok">
    <w:name w:val="OperatorTok"/>
    <w:basedOn w:val="VerbatimChar"/>
    <w:qFormat/>
    <w:rPr>
      <w:rFonts w:ascii="Consolas" w:hAnsi="Consolas"/>
      <w:color w:val="666666"/>
      <w:sz w:val="22"/>
    </w:rPr>
  </w:style>
  <w:style w:type="character" w:customStyle="1" w:styleId="BuiltInTok">
    <w:name w:val="BuiltInTok"/>
    <w:basedOn w:val="VerbatimChar"/>
    <w:qFormat/>
    <w:rPr>
      <w:rFonts w:ascii="Consolas" w:hAnsi="Consolas"/>
      <w:color w:val="008000"/>
      <w:sz w:val="22"/>
    </w:rPr>
  </w:style>
  <w:style w:type="character" w:customStyle="1" w:styleId="ExtensionTok">
    <w:name w:val="ExtensionTok"/>
    <w:basedOn w:val="VerbatimChar"/>
    <w:qFormat/>
    <w:rPr>
      <w:rFonts w:ascii="Consolas" w:hAnsi="Consolas"/>
      <w:sz w:val="22"/>
    </w:rPr>
  </w:style>
  <w:style w:type="character" w:customStyle="1" w:styleId="PreprocessorTok">
    <w:name w:val="PreprocessorTok"/>
    <w:basedOn w:val="VerbatimChar"/>
    <w:qFormat/>
    <w:rPr>
      <w:rFonts w:ascii="Consolas" w:hAnsi="Consolas"/>
      <w:color w:val="BC7A00"/>
      <w:sz w:val="22"/>
    </w:rPr>
  </w:style>
  <w:style w:type="character" w:customStyle="1" w:styleId="AttributeTok">
    <w:name w:val="AttributeTok"/>
    <w:basedOn w:val="VerbatimChar"/>
    <w:qFormat/>
    <w:rPr>
      <w:rFonts w:ascii="Consolas" w:hAnsi="Consolas"/>
      <w:color w:val="7D9029"/>
      <w:sz w:val="22"/>
    </w:rPr>
  </w:style>
  <w:style w:type="character" w:customStyle="1" w:styleId="RegionMarkerTok">
    <w:name w:val="RegionMarkerTok"/>
    <w:basedOn w:val="VerbatimChar"/>
    <w:qFormat/>
    <w:rPr>
      <w:rFonts w:ascii="Consolas" w:hAnsi="Consolas"/>
      <w:sz w:val="22"/>
    </w:rPr>
  </w:style>
  <w:style w:type="character" w:customStyle="1" w:styleId="InformationTok">
    <w:name w:val="InformationTok"/>
    <w:basedOn w:val="VerbatimChar"/>
    <w:qFormat/>
    <w:rPr>
      <w:rFonts w:ascii="Consolas" w:hAnsi="Consolas"/>
      <w:b/>
      <w:i/>
      <w:color w:val="60A0B0"/>
      <w:sz w:val="22"/>
    </w:rPr>
  </w:style>
  <w:style w:type="character" w:customStyle="1" w:styleId="WarningTok">
    <w:name w:val="WarningTok"/>
    <w:basedOn w:val="VerbatimChar"/>
    <w:qFormat/>
    <w:rPr>
      <w:rFonts w:ascii="Consolas" w:hAnsi="Consolas"/>
      <w:b/>
      <w:i/>
      <w:color w:val="60A0B0"/>
      <w:sz w:val="22"/>
    </w:rPr>
  </w:style>
  <w:style w:type="character" w:customStyle="1" w:styleId="AlertTok">
    <w:name w:val="AlertTok"/>
    <w:basedOn w:val="VerbatimChar"/>
    <w:qFormat/>
    <w:rPr>
      <w:rFonts w:ascii="Consolas" w:hAnsi="Consolas"/>
      <w:b/>
      <w:color w:val="FF0000"/>
      <w:sz w:val="22"/>
    </w:rPr>
  </w:style>
  <w:style w:type="character" w:customStyle="1" w:styleId="ErrorTok">
    <w:name w:val="ErrorTok"/>
    <w:basedOn w:val="VerbatimChar"/>
    <w:qFormat/>
    <w:rPr>
      <w:rFonts w:ascii="Consolas" w:hAnsi="Consolas"/>
      <w:b/>
      <w:color w:val="FF0000"/>
      <w:sz w:val="22"/>
    </w:rPr>
  </w:style>
  <w:style w:type="character" w:customStyle="1" w:styleId="NormalTok">
    <w:name w:val="NormalTok"/>
    <w:basedOn w:val="VerbatimChar"/>
    <w:qFormat/>
    <w:rPr>
      <w:rFonts w:ascii="Consolas" w:hAnsi="Consolas"/>
      <w:sz w:val="22"/>
    </w:rPr>
  </w:style>
  <w:style w:type="paragraph" w:styleId="Revision">
    <w:name w:val="Revision"/>
    <w:hidden/>
    <w:uiPriority w:val="99"/>
    <w:unhideWhenUsed/>
    <w:rsid w:val="007302A9"/>
    <w:rPr>
      <w:rFonts w:asciiTheme="minorHAnsi" w:eastAsiaTheme="minorEastAsia" w:hAnsiTheme="minorHAnsi" w:cstheme="minorBidi"/>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2914</Words>
  <Characters>16613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Predicting Campus-Space Suitability with Multi-Source Data and Seven Machine-Learning Models</vt:lpstr>
    </vt:vector>
  </TitlesOfParts>
  <Company/>
  <LinksUpToDate>false</LinksUpToDate>
  <CharactersWithSpaces>19489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Predicting Campus-Space Suitability with Multi-Source Data and Seven Machine-Learning Models</dc:title>
  <dc:creator>Li Haopeng, Mustafa Muwafak Alobaedy, Mohd Nurul Hafiz Bin Ibrahim, Chen Enci</dc:creator>
  <cp:lastModifiedBy>Acer NB</cp:lastModifiedBy>
  <cp:revision>2</cp:revision>
  <dcterms:created xsi:type="dcterms:W3CDTF">2026-07-28T06:12:00Z</dcterms:created>
  <dcterms:modified xsi:type="dcterms:W3CDTF">2026-07-28T06:12:00Z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eyJoZGlkIjoiYzEzOWZlYzFlNTk2MmQzMDQwMDE5MjliMjM5ODUzNjEiLCJ1c2VySWQiOiI2NTQ2OTg3NDEifQ==</vt:lpwstr>
  </property>
  <property fmtid="{D5CDD505-2E9C-101B-9397-08002B2CF9AE}" pid="3" name="KSOProductBuildVer">
    <vt:lpwstr>2052-12.1.0.26895</vt:lpwstr>
  </property>
  <property fmtid="{D5CDD505-2E9C-101B-9397-08002B2CF9AE}" pid="4" name="ICV">
    <vt:lpwstr>4FB25D4D3A324A26AC16A496AB6B1558_12</vt:lpwstr>
  </property>
  <property fmtid="{D5CDD505-2E9C-101B-9397-08002B2CF9AE}" pid="5" name="GrammarlyDocumentId">
    <vt:lpwstr>7b056cfb-68fb-4285-85a8-13419d0127a3</vt:lpwstr>
  </property>
</Properties>
</file>