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AE61D" w14:textId="751A4403" w:rsidR="00B9237D" w:rsidRPr="00B02B1B" w:rsidRDefault="00000000" w:rsidP="00B02B1B">
      <w:pPr>
        <w:jc w:val="left"/>
        <w:rPr>
          <w:rFonts w:ascii="Times New Roman" w:hAnsi="Times New Roman" w:cs="Times New Roman"/>
          <w:b/>
          <w:bCs/>
          <w:sz w:val="44"/>
          <w:szCs w:val="44"/>
        </w:rPr>
      </w:pPr>
      <w:r w:rsidRPr="00B02B1B">
        <w:rPr>
          <w:rFonts w:ascii="Times New Roman" w:hAnsi="Times New Roman" w:cs="Times New Roman"/>
          <w:b/>
          <w:bCs/>
          <w:sz w:val="44"/>
          <w:szCs w:val="44"/>
        </w:rPr>
        <w:t>Cross-cultural Co-creation and Digital Narration</w:t>
      </w:r>
      <w:r w:rsidR="00C8711D" w:rsidRPr="00B02B1B">
        <w:rPr>
          <w:rFonts w:ascii="Times New Roman" w:hAnsi="Times New Roman" w:cs="Times New Roman"/>
          <w:b/>
          <w:bCs/>
          <w:sz w:val="44"/>
          <w:szCs w:val="44"/>
        </w:rPr>
        <w:t>:</w:t>
      </w:r>
      <w:r w:rsidRPr="00B02B1B">
        <w:rPr>
          <w:rFonts w:ascii="Times New Roman" w:hAnsi="Times New Roman" w:cs="Times New Roman"/>
          <w:b/>
          <w:bCs/>
          <w:sz w:val="44"/>
          <w:szCs w:val="44"/>
        </w:rPr>
        <w:t xml:space="preserve"> A Research on the Path of Revitalizing Rural Artisans Enabled by Intangible Cultural Heritage Animation IP</w:t>
      </w:r>
      <w:r w:rsidR="00C8711D" w:rsidRPr="00B02B1B">
        <w:rPr>
          <w:rFonts w:ascii="Times New Roman" w:hAnsi="Times New Roman" w:cs="Times New Roman"/>
          <w:b/>
          <w:bCs/>
          <w:sz w:val="44"/>
          <w:szCs w:val="44"/>
        </w:rPr>
        <w:t>—</w:t>
      </w:r>
      <w:r w:rsidRPr="00B02B1B">
        <w:rPr>
          <w:rFonts w:ascii="Times New Roman" w:hAnsi="Times New Roman" w:cs="Times New Roman"/>
          <w:b/>
          <w:bCs/>
          <w:sz w:val="44"/>
          <w:szCs w:val="44"/>
        </w:rPr>
        <w:t>A Sino-Japanese Comparative Perspective Based on Yuxi Kiln and Bai Ethnic Group Tie-dye</w:t>
      </w:r>
    </w:p>
    <w:p w14:paraId="3BEB537D" w14:textId="77777777" w:rsidR="00C8711D" w:rsidRPr="00B02B1B" w:rsidRDefault="00000000" w:rsidP="00C8711D">
      <w:pPr>
        <w:rPr>
          <w:rFonts w:ascii="Times New Roman" w:hAnsi="Times New Roman" w:cs="Times New Roman"/>
          <w:b/>
          <w:bCs/>
          <w:sz w:val="24"/>
          <w:szCs w:val="24"/>
        </w:rPr>
      </w:pPr>
      <w:r w:rsidRPr="00B02B1B">
        <w:rPr>
          <w:rFonts w:ascii="Times New Roman" w:hAnsi="Times New Roman" w:cs="Times New Roman"/>
          <w:b/>
          <w:bCs/>
          <w:sz w:val="24"/>
          <w:szCs w:val="24"/>
        </w:rPr>
        <w:t>Chenxu Huang, Fang Liu, Yanjing Hu</w:t>
      </w:r>
    </w:p>
    <w:p w14:paraId="60E92FCB" w14:textId="7A37644D"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Northeast Asia Research Center, Zhejiang Yuexiu University, Shaoxing 312000, Zhejiang, China</w:t>
      </w:r>
    </w:p>
    <w:p w14:paraId="50CA288D" w14:textId="77777777" w:rsidR="00B9237D" w:rsidRPr="00666A4F" w:rsidRDefault="00B9237D" w:rsidP="00C8711D">
      <w:pPr>
        <w:rPr>
          <w:rFonts w:ascii="Times New Roman" w:hAnsi="Times New Roman" w:cs="Times New Roman"/>
          <w:sz w:val="24"/>
          <w:szCs w:val="24"/>
        </w:rPr>
      </w:pPr>
    </w:p>
    <w:p w14:paraId="62AAAF1D" w14:textId="691F3C45" w:rsidR="00C8711D" w:rsidRPr="00666A4F" w:rsidRDefault="00F34109" w:rsidP="00C8711D">
      <w:pPr>
        <w:rPr>
          <w:rFonts w:ascii="Times New Roman" w:hAnsi="Times New Roman"/>
          <w:color w:val="000000"/>
          <w:sz w:val="20"/>
        </w:rPr>
      </w:pPr>
      <w:r w:rsidRPr="00666A4F">
        <w:rPr>
          <w:rFonts w:ascii="Times New Roman" w:hAnsi="Times New Roman"/>
          <w:b/>
          <w:color w:val="000000"/>
          <w:sz w:val="20"/>
        </w:rPr>
        <w:t>Copyright:</w:t>
      </w:r>
      <w:r w:rsidRPr="00666A4F">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0BBA5181" w14:textId="77777777" w:rsidR="00C8711D" w:rsidRPr="00666A4F" w:rsidRDefault="00C8711D" w:rsidP="00C8711D">
      <w:pPr>
        <w:rPr>
          <w:rFonts w:ascii="Times New Roman" w:hAnsi="Times New Roman" w:cs="Times New Roman"/>
          <w:sz w:val="24"/>
          <w:szCs w:val="24"/>
        </w:rPr>
      </w:pPr>
    </w:p>
    <w:p w14:paraId="69185233" w14:textId="6685B802" w:rsidR="00B9237D" w:rsidRPr="00666A4F" w:rsidRDefault="00000000" w:rsidP="00C8711D">
      <w:pPr>
        <w:rPr>
          <w:rFonts w:ascii="Times New Roman" w:hAnsi="Times New Roman" w:cs="Times New Roman"/>
          <w:sz w:val="24"/>
          <w:szCs w:val="24"/>
        </w:rPr>
      </w:pPr>
      <w:r w:rsidRPr="00B02B1B">
        <w:rPr>
          <w:rFonts w:ascii="Times New Roman" w:hAnsi="Times New Roman" w:cs="Times New Roman"/>
          <w:b/>
          <w:bCs/>
          <w:sz w:val="24"/>
          <w:szCs w:val="24"/>
        </w:rPr>
        <w:t>Abstract</w:t>
      </w:r>
      <w:r w:rsidR="00C8711D" w:rsidRPr="00B02B1B">
        <w:rPr>
          <w:rFonts w:ascii="Times New Roman" w:hAnsi="Times New Roman" w:cs="Times New Roman"/>
          <w:b/>
          <w:bCs/>
          <w:sz w:val="24"/>
          <w:szCs w:val="24"/>
        </w:rPr>
        <w:t>:</w:t>
      </w:r>
      <w:r w:rsidRPr="00666A4F">
        <w:rPr>
          <w:rFonts w:ascii="Times New Roman" w:hAnsi="Times New Roman" w:cs="Times New Roman"/>
          <w:sz w:val="24"/>
          <w:szCs w:val="24"/>
        </w:rPr>
        <w:t xml:space="preserve"> Against the backdrop of rural revitalization and the shifting perceptions of intangible cultural heritage (ICH), exploring ways to inherit traditional crafts and realize youthful transformation as well as cross-border communication via Sino-Japanese co-creation has become an important research topic. Taking Yuxi Kiln blue and white porcelain and Bai ethnic group tie-dye from China, together with Arita porcelain and Awa indigo dye from Japan as comparative research objects, this paper constructs a three-dimensional transformation plus three-party linkage empowerment model for ICH animation IP. By summarizing and comparing the differences between Chinese and Japanese ICH in craft inheritance, IP branding and industrial ecology, this paper proposes the transformation path of </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craft to IP to product</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and the linkage mechanism of </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artisans, consumers and markets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Based on the trials of character design, AR interactive products and social media communication, this study explores the digital transformation paths for ICH. It provides a replicable cross-cultural digital empowerment approach for the revitalization of rural artisans.</w:t>
      </w:r>
    </w:p>
    <w:p w14:paraId="14F2C080" w14:textId="6C777C1D"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b/>
          <w:bCs/>
          <w:sz w:val="24"/>
          <w:szCs w:val="24"/>
        </w:rPr>
        <w:t>Keywords</w:t>
      </w:r>
      <w:r w:rsidR="00C8711D" w:rsidRPr="00B02B1B">
        <w:rPr>
          <w:rFonts w:ascii="Times New Roman" w:hAnsi="Times New Roman" w:cs="Times New Roman"/>
          <w:b/>
          <w:bCs/>
          <w:sz w:val="24"/>
          <w:szCs w:val="24"/>
        </w:rPr>
        <w:t>:</w:t>
      </w:r>
      <w:r w:rsidRPr="00666A4F">
        <w:rPr>
          <w:rFonts w:ascii="Times New Roman" w:hAnsi="Times New Roman" w:cs="Times New Roman"/>
          <w:sz w:val="24"/>
          <w:szCs w:val="24"/>
        </w:rPr>
        <w:t xml:space="preserve"> Intangible </w:t>
      </w:r>
      <w:r w:rsidR="00025269" w:rsidRPr="00666A4F">
        <w:rPr>
          <w:rFonts w:ascii="Times New Roman" w:hAnsi="Times New Roman" w:cs="Times New Roman"/>
          <w:sz w:val="24"/>
          <w:szCs w:val="24"/>
        </w:rPr>
        <w:t>cultural heritage activation</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Animation IP</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Sino-Japanese </w:t>
      </w:r>
      <w:r w:rsidR="00025269" w:rsidRPr="00666A4F">
        <w:rPr>
          <w:rFonts w:ascii="Times New Roman" w:hAnsi="Times New Roman" w:cs="Times New Roman"/>
          <w:sz w:val="24"/>
          <w:szCs w:val="24"/>
        </w:rPr>
        <w:t>co</w:t>
      </w:r>
      <w:r w:rsidRPr="00666A4F">
        <w:rPr>
          <w:rFonts w:ascii="Times New Roman" w:hAnsi="Times New Roman" w:cs="Times New Roman"/>
          <w:sz w:val="24"/>
          <w:szCs w:val="24"/>
        </w:rPr>
        <w:t>mparison</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Yuxi Kiln</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Bai </w:t>
      </w:r>
      <w:r w:rsidR="00025269" w:rsidRPr="00666A4F">
        <w:rPr>
          <w:rFonts w:ascii="Times New Roman" w:hAnsi="Times New Roman" w:cs="Times New Roman"/>
          <w:sz w:val="24"/>
          <w:szCs w:val="24"/>
        </w:rPr>
        <w:t>ethnic group tie-dye</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Digital </w:t>
      </w:r>
      <w:r w:rsidR="00025269" w:rsidRPr="00666A4F">
        <w:rPr>
          <w:rFonts w:ascii="Times New Roman" w:hAnsi="Times New Roman" w:cs="Times New Roman"/>
          <w:sz w:val="24"/>
          <w:szCs w:val="24"/>
        </w:rPr>
        <w:t>nar</w:t>
      </w:r>
      <w:r w:rsidRPr="00666A4F">
        <w:rPr>
          <w:rFonts w:ascii="Times New Roman" w:hAnsi="Times New Roman" w:cs="Times New Roman"/>
          <w:sz w:val="24"/>
          <w:szCs w:val="24"/>
        </w:rPr>
        <w:t>ration</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Rural </w:t>
      </w:r>
      <w:r w:rsidR="00025269" w:rsidRPr="00666A4F">
        <w:rPr>
          <w:rFonts w:ascii="Times New Roman" w:hAnsi="Times New Roman" w:cs="Times New Roman"/>
          <w:sz w:val="24"/>
          <w:szCs w:val="24"/>
        </w:rPr>
        <w:t>artisans revitalization</w:t>
      </w:r>
    </w:p>
    <w:p w14:paraId="47E94180" w14:textId="77777777" w:rsidR="00F34109" w:rsidRPr="00666A4F" w:rsidRDefault="00F34109" w:rsidP="00C8711D">
      <w:pPr>
        <w:rPr>
          <w:rFonts w:ascii="Times New Roman" w:hAnsi="Times New Roman" w:cs="Times New Roman"/>
          <w:sz w:val="24"/>
          <w:szCs w:val="24"/>
        </w:rPr>
      </w:pPr>
    </w:p>
    <w:p w14:paraId="6033561B" w14:textId="47D10406" w:rsidR="00F34109" w:rsidRPr="00666A4F" w:rsidRDefault="00F34109" w:rsidP="00C8711D">
      <w:pPr>
        <w:rPr>
          <w:rFonts w:ascii="Times New Roman" w:hAnsi="Times New Roman"/>
          <w:b/>
          <w:bCs/>
          <w:color w:val="000000"/>
          <w:sz w:val="20"/>
          <w:szCs w:val="20"/>
        </w:rPr>
      </w:pPr>
      <w:r w:rsidRPr="00666A4F">
        <w:rPr>
          <w:rFonts w:ascii="Times New Roman" w:hAnsi="Times New Roman"/>
          <w:b/>
          <w:bCs/>
          <w:color w:val="000000"/>
          <w:sz w:val="20"/>
          <w:szCs w:val="20"/>
        </w:rPr>
        <w:t>Online publication:</w:t>
      </w:r>
    </w:p>
    <w:p w14:paraId="0BF39EE5" w14:textId="77777777" w:rsidR="00F34109" w:rsidRPr="00666A4F" w:rsidRDefault="00F34109" w:rsidP="00C8711D">
      <w:pPr>
        <w:rPr>
          <w:rFonts w:ascii="Times New Roman" w:hAnsi="Times New Roman" w:cs="Times New Roman"/>
          <w:sz w:val="24"/>
          <w:szCs w:val="24"/>
        </w:rPr>
      </w:pPr>
    </w:p>
    <w:p w14:paraId="2B0399D0" w14:textId="18A04386" w:rsidR="00F34109"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1. Introduction</w:t>
      </w:r>
    </w:p>
    <w:p w14:paraId="1DB35817" w14:textId="64E2CB92"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China</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s protection of intangible cultural heritage is transitioning from rescue recording to living inheritance. Meanwhile, Japan has addressed the aging of traditional crafts practitioners and stimulated market vitality of ICH by promoting artisan IP development under the </w:t>
      </w:r>
      <w:r w:rsidRPr="00666A4F">
        <w:rPr>
          <w:rFonts w:ascii="Times New Roman" w:hAnsi="Times New Roman" w:cs="Times New Roman"/>
          <w:i/>
          <w:iCs/>
          <w:sz w:val="24"/>
          <w:szCs w:val="24"/>
        </w:rPr>
        <w:t>COOL JAPAN</w:t>
      </w:r>
      <w:r w:rsidRPr="00666A4F">
        <w:rPr>
          <w:rFonts w:ascii="Times New Roman" w:hAnsi="Times New Roman" w:cs="Times New Roman"/>
          <w:sz w:val="24"/>
          <w:szCs w:val="24"/>
        </w:rPr>
        <w:t xml:space="preserve"> strategy</w:t>
      </w:r>
      <w:r w:rsidR="00025269" w:rsidRPr="00666A4F">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[1]</w:t>
      </w:r>
      <w:r w:rsidRPr="00666A4F">
        <w:rPr>
          <w:rFonts w:ascii="Times New Roman" w:hAnsi="Times New Roman" w:cs="Times New Roman"/>
          <w:sz w:val="24"/>
          <w:szCs w:val="24"/>
        </w:rPr>
        <w:t xml:space="preserve">. Cases such as </w:t>
      </w:r>
      <w:r w:rsidRPr="00666A4F">
        <w:rPr>
          <w:rFonts w:ascii="Times New Roman" w:hAnsi="Times New Roman" w:cs="Times New Roman"/>
          <w:i/>
          <w:iCs/>
          <w:sz w:val="24"/>
          <w:szCs w:val="24"/>
        </w:rPr>
        <w:t>Young Master Luban</w:t>
      </w:r>
      <w:r w:rsidRPr="00666A4F">
        <w:rPr>
          <w:rFonts w:ascii="Times New Roman" w:hAnsi="Times New Roman" w:cs="Times New Roman"/>
          <w:sz w:val="24"/>
          <w:szCs w:val="24"/>
        </w:rPr>
        <w:t xml:space="preserve"> prove that animation IP is highly capable of converting traditional crafts into cultural products favored by young consumer groups. However, most existing studies either focus on single-country IIP cases or merely discuss IP design, while few conduct systematic comparisons between Chinese and Japanese ICH systems and design implementable transformation models from the perspective of Sino-Japanese co-creation. Yuxi Kiln blue and white porcelain and Bai ethnic group tie-dye are confronted with problems including blank brand positioning, insufficient recognition among young people</w:t>
      </w:r>
      <w:r w:rsidR="00666A4F">
        <w:rPr>
          <w:rFonts w:ascii="Times New Roman" w:hAnsi="Times New Roman" w:cs="Times New Roman"/>
          <w:sz w:val="24"/>
          <w:szCs w:val="24"/>
        </w:rPr>
        <w:t>,</w:t>
      </w:r>
      <w:r w:rsidRPr="00666A4F">
        <w:rPr>
          <w:rFonts w:ascii="Times New Roman" w:hAnsi="Times New Roman" w:cs="Times New Roman"/>
          <w:sz w:val="24"/>
          <w:szCs w:val="24"/>
        </w:rPr>
        <w:t xml:space="preserve"> and product homogenization. In contrast, Japan</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s Arita porcelain and Awa indigo dye have formed a mature ecological loop integrating characters, stories, regional culture and consumption. Therefore, this research explores the transformation of local ICH into </w:t>
      </w:r>
      <w:r w:rsidRPr="00666A4F">
        <w:rPr>
          <w:rFonts w:ascii="Times New Roman" w:hAnsi="Times New Roman" w:cs="Times New Roman"/>
          <w:sz w:val="24"/>
          <w:szCs w:val="24"/>
        </w:rPr>
        <w:lastRenderedPageBreak/>
        <w:t>communicable and consumable digital assets through Sino-Japanese co-creation and animation IP narration, and provides references for relevant practices.</w:t>
      </w:r>
    </w:p>
    <w:p w14:paraId="7C695FFD" w14:textId="77777777" w:rsidR="00F34109" w:rsidRPr="00666A4F" w:rsidRDefault="00F34109" w:rsidP="00C8711D">
      <w:pPr>
        <w:rPr>
          <w:rFonts w:ascii="Times New Roman" w:hAnsi="Times New Roman" w:cs="Times New Roman"/>
          <w:sz w:val="24"/>
          <w:szCs w:val="24"/>
        </w:rPr>
      </w:pPr>
    </w:p>
    <w:p w14:paraId="7A76717F" w14:textId="44E25105"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2.</w:t>
      </w:r>
      <w:r w:rsidR="00000000" w:rsidRPr="00B02B1B">
        <w:rPr>
          <w:rFonts w:ascii="Times New Roman" w:hAnsi="Times New Roman" w:cs="Times New Roman"/>
          <w:b/>
          <w:bCs/>
          <w:sz w:val="24"/>
          <w:szCs w:val="24"/>
        </w:rPr>
        <w:t xml:space="preserve"> Literature </w:t>
      </w:r>
      <w:r w:rsidR="009C655A" w:rsidRPr="009C655A">
        <w:rPr>
          <w:rFonts w:ascii="Times New Roman" w:hAnsi="Times New Roman" w:cs="Times New Roman"/>
          <w:b/>
          <w:bCs/>
          <w:sz w:val="24"/>
          <w:szCs w:val="24"/>
        </w:rPr>
        <w:t>review and theoretical basis</w:t>
      </w:r>
    </w:p>
    <w:p w14:paraId="0BA5BB3B" w14:textId="4B4050D0"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2</w:t>
      </w:r>
      <w:r w:rsidR="00000000" w:rsidRPr="00B02B1B">
        <w:rPr>
          <w:rFonts w:ascii="Times New Roman" w:hAnsi="Times New Roman" w:cs="Times New Roman"/>
          <w:b/>
          <w:bCs/>
          <w:sz w:val="24"/>
          <w:szCs w:val="24"/>
        </w:rPr>
        <w:t>.1</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Three </w:t>
      </w:r>
      <w:r w:rsidR="009C655A" w:rsidRPr="009C655A">
        <w:rPr>
          <w:rFonts w:ascii="Times New Roman" w:hAnsi="Times New Roman" w:cs="Times New Roman"/>
          <w:b/>
          <w:bCs/>
          <w:sz w:val="24"/>
          <w:szCs w:val="24"/>
        </w:rPr>
        <w:t>modes of intangible cultural heritage activation</w:t>
      </w:r>
    </w:p>
    <w:p w14:paraId="06613836" w14:textId="200C48D8"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Jin Shaoping pointed out that ethnic culture must bear the cultural marks of the times during inheritance and development</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otherwise, it cannot be passed down continuously</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[2]</w:t>
      </w:r>
      <w:r w:rsidRPr="00666A4F">
        <w:rPr>
          <w:rFonts w:ascii="Times New Roman" w:hAnsi="Times New Roman" w:cs="Times New Roman"/>
          <w:sz w:val="24"/>
          <w:szCs w:val="24"/>
        </w:rPr>
        <w:t>. Currently, there are three mainstream modes for ICH activation at home and abroad.</w:t>
      </w:r>
    </w:p>
    <w:p w14:paraId="76A4D8F9" w14:textId="334973B1"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The first is the productive protection mode. It introduces ICH products into modern production and circulation channels to realize self-sustainability via market operations. The theory of </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craft villages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holds that handcrafts should be connected with tourism and cultural and creative industries to form a complete industrial chain</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[3]</w:t>
      </w:r>
      <w:r w:rsidRPr="00666A4F">
        <w:rPr>
          <w:rFonts w:ascii="Times New Roman" w:hAnsi="Times New Roman" w:cs="Times New Roman"/>
          <w:sz w:val="24"/>
          <w:szCs w:val="24"/>
        </w:rPr>
        <w:t>.</w:t>
      </w:r>
    </w:p>
    <w:p w14:paraId="1203101C" w14:textId="3EE163B0"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The second is digital archiving. It adopts 3D scanning, motion capture, </w:t>
      </w:r>
      <w:r w:rsidR="009C655A">
        <w:rPr>
          <w:rFonts w:ascii="Times New Roman" w:hAnsi="Times New Roman" w:cs="Times New Roman"/>
          <w:sz w:val="24"/>
          <w:szCs w:val="24"/>
        </w:rPr>
        <w:t>databases,</w:t>
      </w:r>
      <w:r w:rsidR="009C655A" w:rsidRPr="00666A4F">
        <w:rPr>
          <w:rFonts w:ascii="Times New Roman" w:hAnsi="Times New Roman" w:cs="Times New Roman"/>
          <w:sz w:val="24"/>
          <w:szCs w:val="24"/>
        </w:rPr>
        <w:t xml:space="preserve"> </w:t>
      </w:r>
      <w:r w:rsidRPr="00666A4F">
        <w:rPr>
          <w:rFonts w:ascii="Times New Roman" w:hAnsi="Times New Roman" w:cs="Times New Roman"/>
          <w:sz w:val="24"/>
          <w:szCs w:val="24"/>
        </w:rPr>
        <w:t>and other technologies to record ICH in detail and display works online. UNESCO</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s Digital Heritage Project launched in recent years falls into this category</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[4]</w:t>
      </w:r>
      <w:r w:rsidRPr="00666A4F">
        <w:rPr>
          <w:rFonts w:ascii="Times New Roman" w:hAnsi="Times New Roman" w:cs="Times New Roman"/>
          <w:sz w:val="24"/>
          <w:szCs w:val="24"/>
        </w:rPr>
        <w:t>.</w:t>
      </w:r>
    </w:p>
    <w:p w14:paraId="58C02744" w14:textId="6E5843AB"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The third is narrative transformation. It converts ICH crafts into story-based </w:t>
      </w:r>
      <w:r w:rsidR="009C655A">
        <w:rPr>
          <w:rFonts w:ascii="Times New Roman" w:hAnsi="Times New Roman" w:cs="Times New Roman"/>
          <w:sz w:val="24"/>
          <w:szCs w:val="24"/>
        </w:rPr>
        <w:t>content such as documentaries, animations,</w:t>
      </w:r>
      <w:r w:rsidRPr="00666A4F">
        <w:rPr>
          <w:rFonts w:ascii="Times New Roman" w:hAnsi="Times New Roman" w:cs="Times New Roman"/>
          <w:sz w:val="24"/>
          <w:szCs w:val="24"/>
        </w:rPr>
        <w:t xml:space="preserve"> and games. The integration of ICH and animations can enhance the appeal of cultural heritage and strengthen young audiences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emotional identification, while </w:t>
      </w:r>
      <w:r w:rsidR="009C655A">
        <w:rPr>
          <w:rFonts w:ascii="Times New Roman" w:hAnsi="Times New Roman" w:cs="Times New Roman"/>
          <w:sz w:val="24"/>
          <w:szCs w:val="24"/>
        </w:rPr>
        <w:t>people</w:t>
      </w:r>
      <w:r w:rsidRPr="00666A4F">
        <w:rPr>
          <w:rFonts w:ascii="Times New Roman" w:hAnsi="Times New Roman" w:cs="Times New Roman"/>
          <w:sz w:val="24"/>
          <w:szCs w:val="24"/>
        </w:rPr>
        <w:t xml:space="preserve"> should guard against excessive symbolization and over-commercialization</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[5]</w:t>
      </w:r>
      <w:r w:rsidRPr="00666A4F">
        <w:rPr>
          <w:rFonts w:ascii="Times New Roman" w:hAnsi="Times New Roman" w:cs="Times New Roman"/>
          <w:sz w:val="24"/>
          <w:szCs w:val="24"/>
        </w:rPr>
        <w:t>.</w:t>
      </w:r>
    </w:p>
    <w:p w14:paraId="087B3E3F" w14:textId="7A80211B"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IP content characterized by </w:t>
      </w:r>
      <w:r w:rsidR="009C655A">
        <w:rPr>
          <w:rFonts w:ascii="Times New Roman" w:hAnsi="Times New Roman" w:cs="Times New Roman"/>
          <w:sz w:val="24"/>
          <w:szCs w:val="24"/>
        </w:rPr>
        <w:t>storytelling</w:t>
      </w:r>
      <w:r w:rsidRPr="00666A4F">
        <w:rPr>
          <w:rFonts w:ascii="Times New Roman" w:hAnsi="Times New Roman" w:cs="Times New Roman"/>
          <w:sz w:val="24"/>
          <w:szCs w:val="24"/>
        </w:rPr>
        <w:t xml:space="preserve"> and emotional resonance is more likely to arouse young people</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s interest and recognition. Digital narration organizes cultural </w:t>
      </w:r>
      <w:r w:rsidR="009C655A">
        <w:rPr>
          <w:rFonts w:ascii="Times New Roman" w:hAnsi="Times New Roman" w:cs="Times New Roman"/>
          <w:sz w:val="24"/>
          <w:szCs w:val="24"/>
        </w:rPr>
        <w:t>content into experiential and participatory story scenarios by virtue of digital media, featuring interactivity, immersion,</w:t>
      </w:r>
      <w:r w:rsidRPr="00666A4F">
        <w:rPr>
          <w:rFonts w:ascii="Times New Roman" w:hAnsi="Times New Roman" w:cs="Times New Roman"/>
          <w:sz w:val="24"/>
          <w:szCs w:val="24"/>
        </w:rPr>
        <w:t xml:space="preserve"> and cross-platform communication</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[6]</w:t>
      </w:r>
      <w:r w:rsidRPr="00666A4F">
        <w:rPr>
          <w:rFonts w:ascii="Times New Roman" w:hAnsi="Times New Roman" w:cs="Times New Roman"/>
          <w:sz w:val="24"/>
          <w:szCs w:val="24"/>
        </w:rPr>
        <w:t>. The immersive narration theory emphasizes the sense of immersion and participation that digital media bring to users</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[7]</w:t>
      </w:r>
      <w:r w:rsidRPr="00666A4F">
        <w:rPr>
          <w:rFonts w:ascii="Times New Roman" w:hAnsi="Times New Roman" w:cs="Times New Roman"/>
          <w:sz w:val="24"/>
          <w:szCs w:val="24"/>
        </w:rPr>
        <w:t>. Transmedia storytelling highlights that a complete story is distributed across multiple media platforms to form an integrated experience for audiences</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[8]</w:t>
      </w:r>
      <w:r w:rsidRPr="00666A4F">
        <w:rPr>
          <w:rFonts w:ascii="Times New Roman" w:hAnsi="Times New Roman" w:cs="Times New Roman"/>
          <w:sz w:val="24"/>
          <w:szCs w:val="24"/>
        </w:rPr>
        <w:t>. Long Diyong argued that transmedia storytelling is not a simple transfer of information, but collaborative construction and meaning expansion among different media</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[9]</w:t>
      </w:r>
      <w:r w:rsidRPr="00666A4F">
        <w:rPr>
          <w:rFonts w:ascii="Times New Roman" w:hAnsi="Times New Roman" w:cs="Times New Roman"/>
          <w:sz w:val="24"/>
          <w:szCs w:val="24"/>
        </w:rPr>
        <w:t>.</w:t>
      </w:r>
    </w:p>
    <w:p w14:paraId="407F9A88" w14:textId="77777777" w:rsidR="00F34109" w:rsidRPr="00666A4F" w:rsidRDefault="00F34109" w:rsidP="00C8711D">
      <w:pPr>
        <w:rPr>
          <w:rFonts w:ascii="Times New Roman" w:hAnsi="Times New Roman" w:cs="Times New Roman"/>
          <w:sz w:val="24"/>
          <w:szCs w:val="24"/>
        </w:rPr>
      </w:pPr>
    </w:p>
    <w:p w14:paraId="4E2EE9EB" w14:textId="2C9488E0"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2</w:t>
      </w:r>
      <w:r w:rsidR="00000000" w:rsidRPr="00B02B1B">
        <w:rPr>
          <w:rFonts w:ascii="Times New Roman" w:hAnsi="Times New Roman" w:cs="Times New Roman"/>
          <w:b/>
          <w:bCs/>
          <w:sz w:val="24"/>
          <w:szCs w:val="24"/>
        </w:rPr>
        <w:t>.2</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Cultural </w:t>
      </w:r>
      <w:r w:rsidR="009C655A" w:rsidRPr="00B02B1B">
        <w:rPr>
          <w:rFonts w:ascii="Times New Roman" w:hAnsi="Times New Roman" w:cs="Times New Roman"/>
          <w:b/>
          <w:bCs/>
          <w:sz w:val="24"/>
          <w:szCs w:val="24"/>
        </w:rPr>
        <w:t xml:space="preserve">translation mechanism of animation </w:t>
      </w:r>
      <w:r w:rsidR="00000000" w:rsidRPr="00B02B1B">
        <w:rPr>
          <w:rFonts w:ascii="Times New Roman" w:hAnsi="Times New Roman" w:cs="Times New Roman"/>
          <w:b/>
          <w:bCs/>
          <w:sz w:val="24"/>
          <w:szCs w:val="24"/>
        </w:rPr>
        <w:t xml:space="preserve">IP and </w:t>
      </w:r>
      <w:r w:rsidR="009C655A" w:rsidRPr="00B02B1B">
        <w:rPr>
          <w:rFonts w:ascii="Times New Roman" w:hAnsi="Times New Roman" w:cs="Times New Roman"/>
          <w:b/>
          <w:bCs/>
          <w:sz w:val="24"/>
          <w:szCs w:val="24"/>
        </w:rPr>
        <w:t>definition of core concepts</w:t>
      </w:r>
    </w:p>
    <w:p w14:paraId="39A1E56A" w14:textId="5CC4C5D6"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In the context of </w:t>
      </w:r>
      <w:r w:rsidR="009C655A">
        <w:rPr>
          <w:rFonts w:ascii="Times New Roman" w:hAnsi="Times New Roman" w:cs="Times New Roman"/>
          <w:sz w:val="24"/>
          <w:szCs w:val="24"/>
        </w:rPr>
        <w:t xml:space="preserve">the </w:t>
      </w:r>
      <w:r w:rsidRPr="00666A4F">
        <w:rPr>
          <w:rFonts w:ascii="Times New Roman" w:hAnsi="Times New Roman" w:cs="Times New Roman"/>
          <w:sz w:val="24"/>
          <w:szCs w:val="24"/>
        </w:rPr>
        <w:t>contemporary cultural industry, IP has evolved into content assets with fan bases and cross-media development potential</w:t>
      </w:r>
      <w:r w:rsidR="009C655A">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[10]</w:t>
      </w:r>
      <w:r w:rsidRPr="00666A4F">
        <w:rPr>
          <w:rFonts w:ascii="Times New Roman" w:hAnsi="Times New Roman" w:cs="Times New Roman"/>
          <w:sz w:val="24"/>
          <w:szCs w:val="24"/>
        </w:rPr>
        <w:t>. Different from flat image mascots, the creation of animation IP relies on complete world settings, vivid character personalities</w:t>
      </w:r>
      <w:r w:rsidR="009C655A">
        <w:rPr>
          <w:rFonts w:ascii="Times New Roman" w:hAnsi="Times New Roman" w:cs="Times New Roman"/>
          <w:sz w:val="24"/>
          <w:szCs w:val="24"/>
        </w:rPr>
        <w:t>,</w:t>
      </w:r>
      <w:r w:rsidRPr="00666A4F">
        <w:rPr>
          <w:rFonts w:ascii="Times New Roman" w:hAnsi="Times New Roman" w:cs="Times New Roman"/>
          <w:sz w:val="24"/>
          <w:szCs w:val="24"/>
        </w:rPr>
        <w:t xml:space="preserve"> and clear narrative lines. Taking </w:t>
      </w:r>
      <w:r w:rsidRPr="00666A4F">
        <w:rPr>
          <w:rFonts w:ascii="Times New Roman" w:hAnsi="Times New Roman" w:cs="Times New Roman"/>
          <w:i/>
          <w:iCs/>
          <w:sz w:val="24"/>
          <w:szCs w:val="24"/>
        </w:rPr>
        <w:t>Young Master Luban</w:t>
      </w:r>
      <w:r w:rsidRPr="00666A4F">
        <w:rPr>
          <w:rFonts w:ascii="Times New Roman" w:hAnsi="Times New Roman" w:cs="Times New Roman"/>
          <w:sz w:val="24"/>
          <w:szCs w:val="24"/>
        </w:rPr>
        <w:t xml:space="preserve"> as an example, its narrative framework combining youth growth and craft interpretation transforms woodworking skills into consumable content. The animation IP discussed in this paper refers to a cultural content system with narrative, emotional value and commercial development potential.</w:t>
      </w:r>
    </w:p>
    <w:p w14:paraId="31085BE3" w14:textId="0DB9A172" w:rsidR="009C655A"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In the practice of transforming ICH resources into animation IP, creators need to strike a balance between craft authenticity, user acceptance</w:t>
      </w:r>
      <w:r w:rsidR="009C655A">
        <w:rPr>
          <w:rFonts w:ascii="Times New Roman" w:hAnsi="Times New Roman" w:cs="Times New Roman"/>
          <w:sz w:val="24"/>
          <w:szCs w:val="24"/>
        </w:rPr>
        <w:t>,</w:t>
      </w:r>
      <w:r w:rsidRPr="00666A4F">
        <w:rPr>
          <w:rFonts w:ascii="Times New Roman" w:hAnsi="Times New Roman" w:cs="Times New Roman"/>
          <w:sz w:val="24"/>
          <w:szCs w:val="24"/>
        </w:rPr>
        <w:t xml:space="preserve"> and entertaining expression. It is necessary to avoid excessive simplification on the one hand, and lower the comprehension threshold of traditional culture on the other hand.</w:t>
      </w:r>
    </w:p>
    <w:p w14:paraId="688E32A9" w14:textId="77777777"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The </w:t>
      </w:r>
      <w:r w:rsidRPr="00B02B1B">
        <w:rPr>
          <w:rFonts w:ascii="Times New Roman" w:hAnsi="Times New Roman" w:cs="Times New Roman"/>
          <w:sz w:val="24"/>
          <w:szCs w:val="24"/>
        </w:rPr>
        <w:t>three-dimensional transformation</w:t>
      </w:r>
      <w:r w:rsidRPr="00666A4F">
        <w:rPr>
          <w:rFonts w:ascii="Times New Roman" w:hAnsi="Times New Roman" w:cs="Times New Roman"/>
          <w:sz w:val="24"/>
          <w:szCs w:val="24"/>
        </w:rPr>
        <w:t xml:space="preserve"> model proposed in this paper takes animation characters as the core of narration, AR postcards as interactive entrances, and social media as communication platforms. The three elements jointly constitute a complete digital narration system.</w:t>
      </w:r>
    </w:p>
    <w:p w14:paraId="719E4B03" w14:textId="77777777" w:rsidR="00F34109" w:rsidRPr="00666A4F" w:rsidRDefault="00F34109" w:rsidP="00C8711D">
      <w:pPr>
        <w:rPr>
          <w:rFonts w:ascii="Times New Roman" w:hAnsi="Times New Roman" w:cs="Times New Roman"/>
          <w:sz w:val="24"/>
          <w:szCs w:val="24"/>
        </w:rPr>
      </w:pPr>
    </w:p>
    <w:p w14:paraId="5E79F21D" w14:textId="29F54DA2"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3.</w:t>
      </w:r>
      <w:r w:rsidR="00000000" w:rsidRPr="00B02B1B">
        <w:rPr>
          <w:rFonts w:ascii="Times New Roman" w:hAnsi="Times New Roman" w:cs="Times New Roman"/>
          <w:b/>
          <w:bCs/>
          <w:sz w:val="24"/>
          <w:szCs w:val="24"/>
        </w:rPr>
        <w:t xml:space="preserve"> Comparison of ICH </w:t>
      </w:r>
      <w:r w:rsidR="00FC27AD" w:rsidRPr="00B02B1B">
        <w:rPr>
          <w:rFonts w:ascii="Times New Roman" w:hAnsi="Times New Roman" w:cs="Times New Roman"/>
          <w:b/>
          <w:bCs/>
          <w:sz w:val="24"/>
          <w:szCs w:val="24"/>
        </w:rPr>
        <w:t>craft</w:t>
      </w:r>
      <w:r w:rsidR="00000000" w:rsidRPr="00B02B1B">
        <w:rPr>
          <w:rFonts w:ascii="Times New Roman" w:hAnsi="Times New Roman" w:cs="Times New Roman"/>
          <w:b/>
          <w:bCs/>
          <w:sz w:val="24"/>
          <w:szCs w:val="24"/>
        </w:rPr>
        <w:t xml:space="preserve">s and IP </w:t>
      </w:r>
      <w:r w:rsidR="00FC27AD" w:rsidRPr="00B02B1B">
        <w:rPr>
          <w:rFonts w:ascii="Times New Roman" w:hAnsi="Times New Roman" w:cs="Times New Roman"/>
          <w:b/>
          <w:bCs/>
          <w:sz w:val="24"/>
          <w:szCs w:val="24"/>
        </w:rPr>
        <w:t>devel</w:t>
      </w:r>
      <w:r w:rsidR="00000000" w:rsidRPr="00B02B1B">
        <w:rPr>
          <w:rFonts w:ascii="Times New Roman" w:hAnsi="Times New Roman" w:cs="Times New Roman"/>
          <w:b/>
          <w:bCs/>
          <w:sz w:val="24"/>
          <w:szCs w:val="24"/>
        </w:rPr>
        <w:t>opment between China and Japan</w:t>
      </w:r>
    </w:p>
    <w:p w14:paraId="28212B6B" w14:textId="2A2D1480"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3</w:t>
      </w:r>
      <w:r w:rsidR="00000000" w:rsidRPr="00B02B1B">
        <w:rPr>
          <w:rFonts w:ascii="Times New Roman" w:hAnsi="Times New Roman" w:cs="Times New Roman"/>
          <w:b/>
          <w:bCs/>
          <w:sz w:val="24"/>
          <w:szCs w:val="24"/>
        </w:rPr>
        <w:t>.1</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Yuxi Kiln vs. Arita Porcelain</w:t>
      </w:r>
      <w:r w:rsidR="00C8711D"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From </w:t>
      </w:r>
      <w:r w:rsidR="00FC27AD" w:rsidRPr="00B02B1B">
        <w:rPr>
          <w:rFonts w:ascii="Times New Roman" w:hAnsi="Times New Roman" w:cs="Times New Roman"/>
          <w:b/>
          <w:bCs/>
          <w:sz w:val="24"/>
          <w:szCs w:val="24"/>
        </w:rPr>
        <w:t>craft to symb</w:t>
      </w:r>
      <w:r w:rsidR="00000000" w:rsidRPr="00B02B1B">
        <w:rPr>
          <w:rFonts w:ascii="Times New Roman" w:hAnsi="Times New Roman" w:cs="Times New Roman"/>
          <w:b/>
          <w:bCs/>
          <w:sz w:val="24"/>
          <w:szCs w:val="24"/>
        </w:rPr>
        <w:t>ol</w:t>
      </w:r>
    </w:p>
    <w:p w14:paraId="7B82E9F5" w14:textId="55F4DBE2"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As a representative of Yunnan blue and white porcelain, Yuxi Kiln features distinctive local patterns such as fish and algae designs as well as interlocking floral motifs. Nevertheless, it has </w:t>
      </w:r>
      <w:r w:rsidRPr="00666A4F">
        <w:rPr>
          <w:rFonts w:ascii="Times New Roman" w:hAnsi="Times New Roman" w:cs="Times New Roman"/>
          <w:sz w:val="24"/>
          <w:szCs w:val="24"/>
        </w:rPr>
        <w:lastRenderedPageBreak/>
        <w:t>not formed a unified brand system and stable market channels, resulting in low product recognition</w:t>
      </w:r>
      <w:r w:rsidR="00FC27AD">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[11]</w:t>
      </w:r>
      <w:r w:rsidRPr="00666A4F">
        <w:rPr>
          <w:rFonts w:ascii="Times New Roman" w:hAnsi="Times New Roman" w:cs="Times New Roman"/>
          <w:sz w:val="24"/>
          <w:szCs w:val="24"/>
        </w:rPr>
        <w:t>.</w:t>
      </w:r>
    </w:p>
    <w:p w14:paraId="233CD8A3" w14:textId="77777777"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Originating from Arita Town in Saga Prefecture in the 17th century, Arita porcelain has developed diverse styles including Kakiemon, Nabeshima and Kinrande, as well as a mature kiln brand system. Each workshop owns independent trademarks, product grading standards and pricing rules, laying a solid foundation for IP co-branding. In recent years, Arita porcelain has expanded its young customer groups through animation collaborations.</w:t>
      </w:r>
    </w:p>
    <w:p w14:paraId="20B98006" w14:textId="6255E087"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Japan implements a dual system of certification and support under the </w:t>
      </w:r>
      <w:r w:rsidRPr="00666A4F">
        <w:rPr>
          <w:rFonts w:ascii="Times New Roman" w:hAnsi="Times New Roman" w:cs="Times New Roman"/>
          <w:i/>
          <w:iCs/>
          <w:sz w:val="24"/>
          <w:szCs w:val="24"/>
        </w:rPr>
        <w:t>Traditional Crafts Industry Promotion Act</w:t>
      </w:r>
      <w:r w:rsidR="00952DE2">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[12]</w:t>
      </w:r>
      <w:r w:rsidRPr="00666A4F">
        <w:rPr>
          <w:rFonts w:ascii="Times New Roman" w:hAnsi="Times New Roman" w:cs="Times New Roman"/>
          <w:sz w:val="24"/>
          <w:szCs w:val="24"/>
        </w:rPr>
        <w:t xml:space="preserve">. The government establishes quality standards via the </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Traditional Crafts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certification system, and encourages enterprises to participate through market-oriented measures such as tax incentives and low-interest loans, as well as R&amp;D subsidies. Regional craft associations unite local producers to realize unified branding, shared sales channels and joint R&amp;D. For instance, the Kutani Porcelain Association in Ishikawa Prefecture comprises more than 120 enterprises with an annual output value of 8 billion Japanese Yen. It once launched co-branded products with the anime </w:t>
      </w:r>
      <w:r w:rsidRPr="00666A4F">
        <w:rPr>
          <w:rFonts w:ascii="Times New Roman" w:hAnsi="Times New Roman" w:cs="Times New Roman"/>
          <w:i/>
          <w:iCs/>
          <w:sz w:val="24"/>
          <w:szCs w:val="24"/>
        </w:rPr>
        <w:t>Hanasaku Iroha</w:t>
      </w:r>
      <w:r w:rsidRPr="00666A4F">
        <w:rPr>
          <w:rFonts w:ascii="Times New Roman" w:hAnsi="Times New Roman" w:cs="Times New Roman"/>
          <w:sz w:val="24"/>
          <w:szCs w:val="24"/>
        </w:rPr>
        <w:t>, which greatly boosted brand popularity</w:t>
      </w:r>
      <w:r w:rsidR="00952DE2">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[13]</w:t>
      </w:r>
      <w:r w:rsidRPr="00666A4F">
        <w:rPr>
          <w:rFonts w:ascii="Times New Roman" w:hAnsi="Times New Roman" w:cs="Times New Roman"/>
          <w:sz w:val="24"/>
          <w:szCs w:val="24"/>
        </w:rPr>
        <w:t>.</w:t>
      </w:r>
    </w:p>
    <w:p w14:paraId="506E7322" w14:textId="77777777" w:rsidR="00F34109" w:rsidRPr="00666A4F" w:rsidRDefault="00F34109" w:rsidP="00C8711D">
      <w:pPr>
        <w:rPr>
          <w:rFonts w:ascii="Times New Roman" w:hAnsi="Times New Roman" w:cs="Times New Roman"/>
          <w:sz w:val="24"/>
          <w:szCs w:val="24"/>
        </w:rPr>
      </w:pPr>
    </w:p>
    <w:p w14:paraId="0DCC693F" w14:textId="63942F65"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3</w:t>
      </w:r>
      <w:r w:rsidR="00000000" w:rsidRPr="00B02B1B">
        <w:rPr>
          <w:rFonts w:ascii="Times New Roman" w:hAnsi="Times New Roman" w:cs="Times New Roman"/>
          <w:b/>
          <w:bCs/>
          <w:sz w:val="24"/>
          <w:szCs w:val="24"/>
        </w:rPr>
        <w:t>.2</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Bai </w:t>
      </w:r>
      <w:r w:rsidR="00952DE2" w:rsidRPr="00B02B1B">
        <w:rPr>
          <w:rFonts w:ascii="Times New Roman" w:hAnsi="Times New Roman" w:cs="Times New Roman"/>
          <w:b/>
          <w:bCs/>
          <w:sz w:val="24"/>
          <w:szCs w:val="24"/>
        </w:rPr>
        <w:t xml:space="preserve">ethnic group tie-dye </w:t>
      </w:r>
      <w:r w:rsidR="00000000" w:rsidRPr="00B02B1B">
        <w:rPr>
          <w:rFonts w:ascii="Times New Roman" w:hAnsi="Times New Roman" w:cs="Times New Roman"/>
          <w:b/>
          <w:bCs/>
          <w:sz w:val="24"/>
          <w:szCs w:val="24"/>
        </w:rPr>
        <w:t xml:space="preserve">vs. Awa </w:t>
      </w:r>
      <w:r w:rsidR="00952DE2" w:rsidRPr="00B02B1B">
        <w:rPr>
          <w:rFonts w:ascii="Times New Roman" w:hAnsi="Times New Roman" w:cs="Times New Roman"/>
          <w:b/>
          <w:bCs/>
          <w:sz w:val="24"/>
          <w:szCs w:val="24"/>
        </w:rPr>
        <w:t>indigo dye</w:t>
      </w:r>
      <w:r w:rsidR="00C8711D"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Pattern </w:t>
      </w:r>
      <w:r w:rsidR="00952DE2" w:rsidRPr="00B02B1B">
        <w:rPr>
          <w:rFonts w:ascii="Times New Roman" w:hAnsi="Times New Roman" w:cs="Times New Roman"/>
          <w:b/>
          <w:bCs/>
          <w:sz w:val="24"/>
          <w:szCs w:val="24"/>
        </w:rPr>
        <w:t>narration and artisan persona</w:t>
      </w:r>
    </w:p>
    <w:p w14:paraId="01E90B8C" w14:textId="20831287"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Bai ethnic group tie-dye </w:t>
      </w:r>
      <w:r w:rsidR="00952DE2">
        <w:rPr>
          <w:rFonts w:ascii="Times New Roman" w:hAnsi="Times New Roman" w:cs="Times New Roman"/>
          <w:sz w:val="24"/>
          <w:szCs w:val="24"/>
        </w:rPr>
        <w:t xml:space="preserve">uses isatis root as a </w:t>
      </w:r>
      <w:r w:rsidRPr="00666A4F">
        <w:rPr>
          <w:rFonts w:ascii="Times New Roman" w:hAnsi="Times New Roman" w:cs="Times New Roman"/>
          <w:sz w:val="24"/>
          <w:szCs w:val="24"/>
        </w:rPr>
        <w:t>natural dyestuff. Its main procedures include pattern drawing, tie-dyeing, dipping, thread removal</w:t>
      </w:r>
      <w:r w:rsidR="00952DE2">
        <w:rPr>
          <w:rFonts w:ascii="Times New Roman" w:hAnsi="Times New Roman" w:cs="Times New Roman"/>
          <w:sz w:val="24"/>
          <w:szCs w:val="24"/>
        </w:rPr>
        <w:t>,</w:t>
      </w:r>
      <w:r w:rsidRPr="00666A4F">
        <w:rPr>
          <w:rFonts w:ascii="Times New Roman" w:hAnsi="Times New Roman" w:cs="Times New Roman"/>
          <w:sz w:val="24"/>
          <w:szCs w:val="24"/>
        </w:rPr>
        <w:t xml:space="preserve"> and air-drying. Traditional patterns are dominated by butterflies, flowers, plants</w:t>
      </w:r>
      <w:r w:rsidR="00952DE2">
        <w:rPr>
          <w:rFonts w:ascii="Times New Roman" w:hAnsi="Times New Roman" w:cs="Times New Roman"/>
          <w:sz w:val="24"/>
          <w:szCs w:val="24"/>
        </w:rPr>
        <w:t>,</w:t>
      </w:r>
      <w:r w:rsidRPr="00666A4F">
        <w:rPr>
          <w:rFonts w:ascii="Times New Roman" w:hAnsi="Times New Roman" w:cs="Times New Roman"/>
          <w:sz w:val="24"/>
          <w:szCs w:val="24"/>
        </w:rPr>
        <w:t xml:space="preserve"> and landscapes, which are rich in Bai ethnic folk customs. At present, Zhoucheng Village has formed an industrial cluster where almost every household engages in tie-dye production. However, products suffer from severe homogenization. Most works are basic commodities such as scarves and tablecloths with outdated patterns. Consumers mostly purchase them as tourist souvenirs and have no willingness for secondary communication.</w:t>
      </w:r>
    </w:p>
    <w:p w14:paraId="29A8DE8B" w14:textId="178F1F16"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 xml:space="preserve">Awa indigo dye, produced in Tokushima Prefecture, is famous for its master artisan system. It highlights the narration of artisans and local culture. NHK documentary </w:t>
      </w:r>
      <w:r w:rsidRPr="00666A4F">
        <w:rPr>
          <w:rFonts w:ascii="Times New Roman" w:hAnsi="Times New Roman" w:cs="Times New Roman"/>
          <w:i/>
          <w:iCs/>
          <w:sz w:val="24"/>
          <w:szCs w:val="24"/>
        </w:rPr>
        <w:t>Tales of Indigo Masters</w:t>
      </w:r>
      <w:r w:rsidRPr="00666A4F">
        <w:rPr>
          <w:rFonts w:ascii="Times New Roman" w:hAnsi="Times New Roman" w:cs="Times New Roman"/>
          <w:sz w:val="24"/>
          <w:szCs w:val="24"/>
        </w:rPr>
        <w:t xml:space="preserve"> tells the life stories of three generations of indigo dyers in the form of biographies. Another work</w:t>
      </w:r>
      <w:r w:rsidR="00952DE2">
        <w:rPr>
          <w:rFonts w:ascii="Times New Roman" w:hAnsi="Times New Roman" w:cs="Times New Roman"/>
          <w:sz w:val="24"/>
          <w:szCs w:val="24"/>
        </w:rPr>
        <w:t xml:space="preserve">, </w:t>
      </w:r>
      <w:r w:rsidR="00952DE2" w:rsidRPr="00B02B1B">
        <w:rPr>
          <w:rFonts w:ascii="Times New Roman" w:hAnsi="Times New Roman" w:cs="Times New Roman"/>
          <w:i/>
          <w:iCs/>
          <w:sz w:val="24"/>
          <w:szCs w:val="24"/>
        </w:rPr>
        <w:t>BLUE THERAPY</w:t>
      </w:r>
      <w:r w:rsidR="00952DE2">
        <w:rPr>
          <w:rFonts w:ascii="Times New Roman" w:hAnsi="Times New Roman" w:cs="Times New Roman"/>
          <w:sz w:val="24"/>
          <w:szCs w:val="24"/>
        </w:rPr>
        <w:t>,</w:t>
      </w:r>
      <w:r w:rsidRPr="00666A4F">
        <w:rPr>
          <w:rFonts w:ascii="Times New Roman" w:hAnsi="Times New Roman" w:cs="Times New Roman"/>
          <w:sz w:val="24"/>
          <w:szCs w:val="24"/>
        </w:rPr>
        <w:t xml:space="preserve"> combines indigo dyeing with psychological healing, attracting numerous anime fans. Awa indigo dye is also supported by the </w:t>
      </w:r>
      <w:r w:rsidRPr="00666A4F">
        <w:rPr>
          <w:rFonts w:ascii="Times New Roman" w:hAnsi="Times New Roman" w:cs="Times New Roman"/>
          <w:i/>
          <w:iCs/>
          <w:sz w:val="24"/>
          <w:szCs w:val="24"/>
        </w:rPr>
        <w:t>Traditional Crafts Industry Promotion Act</w:t>
      </w:r>
      <w:r w:rsidRPr="00666A4F">
        <w:rPr>
          <w:rFonts w:ascii="Times New Roman" w:hAnsi="Times New Roman" w:cs="Times New Roman"/>
          <w:sz w:val="24"/>
          <w:szCs w:val="24"/>
        </w:rPr>
        <w:t>. Local indigo dye associations have been established to unify brands and quality criteria.</w:t>
      </w:r>
    </w:p>
    <w:p w14:paraId="025CF2C7" w14:textId="77777777" w:rsidR="00B9237D" w:rsidRPr="00666A4F" w:rsidRDefault="00000000" w:rsidP="00B02B1B">
      <w:pPr>
        <w:ind w:firstLineChars="200" w:firstLine="480"/>
        <w:rPr>
          <w:rFonts w:ascii="Times New Roman" w:hAnsi="Times New Roman" w:cs="Times New Roman"/>
          <w:sz w:val="24"/>
          <w:szCs w:val="24"/>
        </w:rPr>
      </w:pPr>
      <w:r w:rsidRPr="00666A4F">
        <w:rPr>
          <w:rFonts w:ascii="Times New Roman" w:hAnsi="Times New Roman" w:cs="Times New Roman"/>
          <w:sz w:val="24"/>
          <w:szCs w:val="24"/>
        </w:rPr>
        <w:t>To sum up, Bai ethnic group tie-dye not only lacks innovative design, but also fails to take artisans as narrative subjects. Although its patterns are exquisite, there are no related stories attached. The design of animation characters can convert the connotation of tie-dye patterns into character personalities, which makes up for the above deficiency.</w:t>
      </w:r>
    </w:p>
    <w:p w14:paraId="5B9D1B10" w14:textId="77777777" w:rsidR="00F34109" w:rsidRPr="00666A4F" w:rsidRDefault="00F34109" w:rsidP="00C8711D">
      <w:pPr>
        <w:rPr>
          <w:rFonts w:ascii="Times New Roman" w:hAnsi="Times New Roman" w:cs="Times New Roman"/>
          <w:sz w:val="24"/>
          <w:szCs w:val="24"/>
        </w:rPr>
      </w:pPr>
    </w:p>
    <w:p w14:paraId="5417EC94" w14:textId="2E783111"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3</w:t>
      </w:r>
      <w:r w:rsidR="00000000" w:rsidRPr="00B02B1B">
        <w:rPr>
          <w:rFonts w:ascii="Times New Roman" w:hAnsi="Times New Roman" w:cs="Times New Roman"/>
          <w:b/>
          <w:bCs/>
          <w:sz w:val="24"/>
          <w:szCs w:val="24"/>
        </w:rPr>
        <w:t>.3</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Analysis of </w:t>
      </w:r>
      <w:r w:rsidR="00952DE2" w:rsidRPr="00B02B1B">
        <w:rPr>
          <w:rFonts w:ascii="Times New Roman" w:hAnsi="Times New Roman" w:cs="Times New Roman"/>
          <w:b/>
          <w:bCs/>
          <w:sz w:val="24"/>
          <w:szCs w:val="24"/>
        </w:rPr>
        <w:t>structural differences in systems, markets and cultural acceptance</w:t>
      </w:r>
    </w:p>
    <w:p w14:paraId="36B0B4AC" w14:textId="77777777"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The differences in IIP development between China and Japan lie not only in design, but also in institutional support, market environment and public cognition. Supported by the </w:t>
      </w:r>
      <w:r w:rsidRPr="00666A4F">
        <w:rPr>
          <w:rFonts w:ascii="Times New Roman" w:hAnsi="Times New Roman" w:cs="Times New Roman"/>
          <w:i/>
          <w:iCs/>
          <w:sz w:val="24"/>
          <w:szCs w:val="24"/>
        </w:rPr>
        <w:t>Traditional Crafts Industry Promotion Act</w:t>
      </w:r>
      <w:r w:rsidRPr="00666A4F">
        <w:rPr>
          <w:rFonts w:ascii="Times New Roman" w:hAnsi="Times New Roman" w:cs="Times New Roman"/>
          <w:sz w:val="24"/>
          <w:szCs w:val="24"/>
        </w:rPr>
        <w:t>, Japan has built a mature system for brand collaboration and market operation. Traditional crafts achieve sustainable dissemination via standardized management, joint promotion and cross-border cooperation. Meanwhile, the well-developed animation industry and fan economy provide a stable consumer base for the integration of traditional crafts and animation IP. In China, ICH protection mainly focuses on project recognition and inheritance support. The system is relatively weak in sustainable operation and role-based communication. ICH consumption is mostly limited to cultural and creative tourist products, without forming stable emotional recognition and continuous consumption mechanisms.</w:t>
      </w:r>
    </w:p>
    <w:p w14:paraId="6F8C0E90" w14:textId="77777777" w:rsidR="00F34109" w:rsidRPr="00666A4F" w:rsidRDefault="00F34109" w:rsidP="00C8711D">
      <w:pPr>
        <w:rPr>
          <w:rFonts w:ascii="Times New Roman" w:hAnsi="Times New Roman" w:cs="Times New Roman"/>
          <w:sz w:val="24"/>
          <w:szCs w:val="24"/>
        </w:rPr>
      </w:pPr>
    </w:p>
    <w:p w14:paraId="7D8E856C" w14:textId="2126E379"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3</w:t>
      </w:r>
      <w:r w:rsidR="00000000" w:rsidRPr="00B02B1B">
        <w:rPr>
          <w:rFonts w:ascii="Times New Roman" w:hAnsi="Times New Roman" w:cs="Times New Roman"/>
          <w:b/>
          <w:bCs/>
          <w:sz w:val="24"/>
          <w:szCs w:val="24"/>
        </w:rPr>
        <w:t>.4</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Summary of </w:t>
      </w:r>
      <w:r w:rsidR="002F0AB8" w:rsidRPr="00B02B1B">
        <w:rPr>
          <w:rFonts w:ascii="Times New Roman" w:hAnsi="Times New Roman" w:cs="Times New Roman"/>
          <w:b/>
          <w:bCs/>
          <w:sz w:val="24"/>
          <w:szCs w:val="24"/>
        </w:rPr>
        <w:t xml:space="preserve">systemic gaps </w:t>
      </w:r>
      <w:r w:rsidR="00000000" w:rsidRPr="00B02B1B">
        <w:rPr>
          <w:rFonts w:ascii="Times New Roman" w:hAnsi="Times New Roman" w:cs="Times New Roman"/>
          <w:b/>
          <w:bCs/>
          <w:sz w:val="24"/>
          <w:szCs w:val="24"/>
        </w:rPr>
        <w:t xml:space="preserve">in IP </w:t>
      </w:r>
      <w:r w:rsidR="002F0AB8" w:rsidRPr="00B02B1B">
        <w:rPr>
          <w:rFonts w:ascii="Times New Roman" w:hAnsi="Times New Roman" w:cs="Times New Roman"/>
          <w:b/>
          <w:bCs/>
          <w:sz w:val="24"/>
          <w:szCs w:val="24"/>
        </w:rPr>
        <w:t>dev</w:t>
      </w:r>
      <w:r w:rsidR="00000000" w:rsidRPr="00B02B1B">
        <w:rPr>
          <w:rFonts w:ascii="Times New Roman" w:hAnsi="Times New Roman" w:cs="Times New Roman"/>
          <w:b/>
          <w:bCs/>
          <w:sz w:val="24"/>
          <w:szCs w:val="24"/>
        </w:rPr>
        <w:t>elopment</w:t>
      </w:r>
    </w:p>
    <w:p w14:paraId="1BDBB83F" w14:textId="1A4DCE83"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Generally speaking, Japanese IIP development emphasizes character narration and sustainable operation, while most Chinese projects merely focus on visual symbol development without forming a complete loop of content dissemination and consumption. The former is driven by storytelling, while the latter centers on visual output. Essentially, the gap reflects the difference between the </w:t>
      </w:r>
      <w:r w:rsidRPr="00B02B1B">
        <w:rPr>
          <w:rFonts w:ascii="Times New Roman" w:hAnsi="Times New Roman" w:cs="Times New Roman"/>
          <w:sz w:val="24"/>
          <w:szCs w:val="24"/>
        </w:rPr>
        <w:t>cultural project thinking</w:t>
      </w:r>
      <w:r w:rsidRPr="002F0AB8">
        <w:rPr>
          <w:rFonts w:ascii="Times New Roman" w:hAnsi="Times New Roman" w:cs="Times New Roman"/>
          <w:sz w:val="24"/>
          <w:szCs w:val="24"/>
        </w:rPr>
        <w:t xml:space="preserve"> </w:t>
      </w:r>
      <w:r w:rsidRPr="00666A4F">
        <w:rPr>
          <w:rFonts w:ascii="Times New Roman" w:hAnsi="Times New Roman" w:cs="Times New Roman"/>
          <w:sz w:val="24"/>
          <w:szCs w:val="24"/>
        </w:rPr>
        <w:t>(a full industrial chain covering craft connotation, story creation</w:t>
      </w:r>
      <w:r w:rsidR="002F0AB8">
        <w:rPr>
          <w:rFonts w:ascii="Times New Roman" w:hAnsi="Times New Roman" w:cs="Times New Roman"/>
          <w:sz w:val="24"/>
          <w:szCs w:val="24"/>
        </w:rPr>
        <w:t>,</w:t>
      </w:r>
      <w:r w:rsidRPr="00666A4F">
        <w:rPr>
          <w:rFonts w:ascii="Times New Roman" w:hAnsi="Times New Roman" w:cs="Times New Roman"/>
          <w:sz w:val="24"/>
          <w:szCs w:val="24"/>
        </w:rPr>
        <w:t xml:space="preserve"> and consumption circulation) and the </w:t>
      </w:r>
      <w:r w:rsidRPr="00B02B1B">
        <w:rPr>
          <w:rFonts w:ascii="Times New Roman" w:hAnsi="Times New Roman" w:cs="Times New Roman"/>
          <w:sz w:val="24"/>
          <w:szCs w:val="24"/>
        </w:rPr>
        <w:t>design outsourcing thinking</w:t>
      </w:r>
      <w:r w:rsidRPr="002F0AB8">
        <w:rPr>
          <w:rFonts w:ascii="Times New Roman" w:hAnsi="Times New Roman" w:cs="Times New Roman"/>
          <w:sz w:val="24"/>
          <w:szCs w:val="24"/>
        </w:rPr>
        <w:t xml:space="preserve"> </w:t>
      </w:r>
      <w:r w:rsidRPr="00666A4F">
        <w:rPr>
          <w:rFonts w:ascii="Times New Roman" w:hAnsi="Times New Roman" w:cs="Times New Roman"/>
          <w:sz w:val="24"/>
          <w:szCs w:val="24"/>
        </w:rPr>
        <w:t>(only extracting visual symbols without follow-up development).</w:t>
      </w:r>
    </w:p>
    <w:p w14:paraId="5CAFD93A" w14:textId="77777777" w:rsidR="00F34109" w:rsidRPr="00666A4F" w:rsidRDefault="00F34109" w:rsidP="00C8711D">
      <w:pPr>
        <w:rPr>
          <w:rFonts w:ascii="Times New Roman" w:hAnsi="Times New Roman" w:cs="Times New Roman"/>
          <w:sz w:val="24"/>
          <w:szCs w:val="24"/>
        </w:rPr>
      </w:pPr>
    </w:p>
    <w:p w14:paraId="3AB04A1C" w14:textId="21582710"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 xml:space="preserve"> Construction of the </w:t>
      </w:r>
      <w:r w:rsidR="00C8711D"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Three-dimensional Transformation + Three-party Linkage</w:t>
      </w:r>
      <w:r w:rsidR="00C8711D"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w:t>
      </w:r>
      <w:r w:rsidR="002F0AB8" w:rsidRPr="00B02B1B">
        <w:rPr>
          <w:rFonts w:ascii="Times New Roman" w:hAnsi="Times New Roman" w:cs="Times New Roman"/>
          <w:b/>
          <w:bCs/>
          <w:sz w:val="24"/>
          <w:szCs w:val="24"/>
        </w:rPr>
        <w:t>model</w:t>
      </w:r>
    </w:p>
    <w:p w14:paraId="007BCECF" w14:textId="3063CD1E"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.1</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Three-</w:t>
      </w:r>
      <w:r w:rsidR="002F0AB8" w:rsidRPr="00B02B1B">
        <w:rPr>
          <w:rFonts w:ascii="Times New Roman" w:hAnsi="Times New Roman" w:cs="Times New Roman"/>
          <w:b/>
          <w:bCs/>
          <w:sz w:val="24"/>
          <w:szCs w:val="24"/>
        </w:rPr>
        <w:t>dimensional transformation path</w:t>
      </w:r>
    </w:p>
    <w:p w14:paraId="690B4C6B" w14:textId="6E1AF3B4"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.1.1</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Craft to IP</w:t>
      </w:r>
    </w:p>
    <w:p w14:paraId="06363942" w14:textId="68A85E30"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Traditional crafts contain plenty of tacit knowledge that cannot be directly displayed, such as glaze proportion, pH control of dye liquor</w:t>
      </w:r>
      <w:r w:rsidR="002F0AB8">
        <w:rPr>
          <w:rFonts w:ascii="Times New Roman" w:hAnsi="Times New Roman" w:cs="Times New Roman"/>
          <w:sz w:val="24"/>
          <w:szCs w:val="24"/>
        </w:rPr>
        <w:t>,</w:t>
      </w:r>
      <w:r w:rsidRPr="00666A4F">
        <w:rPr>
          <w:rFonts w:ascii="Times New Roman" w:hAnsi="Times New Roman" w:cs="Times New Roman"/>
          <w:sz w:val="24"/>
          <w:szCs w:val="24"/>
        </w:rPr>
        <w:t xml:space="preserve"> and kiln temperature regulation. Based on the method of element extraction and image mapping, four animation characters are designed to visualize craft contents and serve as the core carriers for subsequent narration and communication. Taking blue and white porcelain as an example, its color matching and pattern design draw </w:t>
      </w:r>
      <w:r w:rsidR="002F0AB8">
        <w:rPr>
          <w:rFonts w:ascii="Times New Roman" w:hAnsi="Times New Roman" w:cs="Times New Roman"/>
          <w:sz w:val="24"/>
          <w:szCs w:val="24"/>
        </w:rPr>
        <w:t>inspiration</w:t>
      </w:r>
      <w:r w:rsidR="002F0AB8" w:rsidRPr="00666A4F">
        <w:rPr>
          <w:rFonts w:ascii="Times New Roman" w:hAnsi="Times New Roman" w:cs="Times New Roman"/>
          <w:sz w:val="24"/>
          <w:szCs w:val="24"/>
        </w:rPr>
        <w:t xml:space="preserve"> </w:t>
      </w:r>
      <w:r w:rsidRPr="00666A4F">
        <w:rPr>
          <w:rFonts w:ascii="Times New Roman" w:hAnsi="Times New Roman" w:cs="Times New Roman"/>
          <w:sz w:val="24"/>
          <w:szCs w:val="24"/>
        </w:rPr>
        <w:t>from Yuxi Kiln elements.</w:t>
      </w:r>
    </w:p>
    <w:p w14:paraId="0A6044D7" w14:textId="77777777" w:rsidR="00F34109" w:rsidRPr="00666A4F" w:rsidRDefault="00F34109" w:rsidP="00C8711D">
      <w:pPr>
        <w:rPr>
          <w:rFonts w:ascii="Times New Roman" w:hAnsi="Times New Roman" w:cs="Times New Roman"/>
          <w:sz w:val="24"/>
          <w:szCs w:val="24"/>
        </w:rPr>
      </w:pPr>
    </w:p>
    <w:p w14:paraId="295015A0" w14:textId="6A2D4EAA"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.1.2</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IP to </w:t>
      </w:r>
      <w:r w:rsidR="002F0AB8" w:rsidRPr="00B02B1B">
        <w:rPr>
          <w:rFonts w:ascii="Times New Roman" w:hAnsi="Times New Roman" w:cs="Times New Roman"/>
          <w:b/>
          <w:bCs/>
          <w:sz w:val="24"/>
          <w:szCs w:val="24"/>
        </w:rPr>
        <w:t>product</w:t>
      </w:r>
    </w:p>
    <w:p w14:paraId="4295A713" w14:textId="1E32576B"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Products act as important media connecting IP and consumers. Seven types of AR postcards are designed in this research. Each postcard corresponds to a specific character and craft scene. Adopting WebAR technology, users can trigger interactive </w:t>
      </w:r>
      <w:r w:rsidR="002F0AB8">
        <w:rPr>
          <w:rFonts w:ascii="Times New Roman" w:hAnsi="Times New Roman" w:cs="Times New Roman"/>
          <w:sz w:val="24"/>
          <w:szCs w:val="24"/>
        </w:rPr>
        <w:t>content</w:t>
      </w:r>
      <w:r w:rsidR="002F0AB8" w:rsidRPr="00666A4F">
        <w:rPr>
          <w:rFonts w:ascii="Times New Roman" w:hAnsi="Times New Roman" w:cs="Times New Roman"/>
          <w:sz w:val="24"/>
          <w:szCs w:val="24"/>
        </w:rPr>
        <w:t xml:space="preserve"> </w:t>
      </w:r>
      <w:r w:rsidRPr="00666A4F">
        <w:rPr>
          <w:rFonts w:ascii="Times New Roman" w:hAnsi="Times New Roman" w:cs="Times New Roman"/>
          <w:sz w:val="24"/>
          <w:szCs w:val="24"/>
        </w:rPr>
        <w:t>by scanning QR codes, which serves as an entry for cultural consumption.</w:t>
      </w:r>
    </w:p>
    <w:p w14:paraId="1657B2FA" w14:textId="77777777" w:rsidR="00F34109" w:rsidRPr="00666A4F" w:rsidRDefault="00F34109" w:rsidP="00C8711D">
      <w:pPr>
        <w:rPr>
          <w:rFonts w:ascii="Times New Roman" w:hAnsi="Times New Roman" w:cs="Times New Roman"/>
          <w:sz w:val="24"/>
          <w:szCs w:val="24"/>
        </w:rPr>
      </w:pPr>
    </w:p>
    <w:p w14:paraId="31B3CE79" w14:textId="0EB145A5"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.1.3</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Product to </w:t>
      </w:r>
      <w:r w:rsidR="002F0AB8" w:rsidRPr="00B02B1B">
        <w:rPr>
          <w:rFonts w:ascii="Times New Roman" w:hAnsi="Times New Roman" w:cs="Times New Roman"/>
          <w:b/>
          <w:bCs/>
          <w:sz w:val="24"/>
          <w:szCs w:val="24"/>
        </w:rPr>
        <w:t>consumption to craft feedback</w:t>
      </w:r>
    </w:p>
    <w:p w14:paraId="0D5C547B" w14:textId="01768CEC"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The revenue from postcards is divided into two parts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one part is paid as copyright royalties to artisans, and the rest is invested into the digital gene bank fund (planned in the design phase). Consumers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purchasing behavior is not only a commercial transaction, but also supports the sorting and preservation of ICH resources, thus forming a virtuous cycle of product development, market consumption and craft protection.</w:t>
      </w:r>
    </w:p>
    <w:p w14:paraId="7940EBF3" w14:textId="77777777" w:rsidR="00F34109" w:rsidRPr="00666A4F" w:rsidRDefault="00F34109" w:rsidP="00C8711D">
      <w:pPr>
        <w:rPr>
          <w:rFonts w:ascii="Times New Roman" w:hAnsi="Times New Roman" w:cs="Times New Roman"/>
          <w:sz w:val="24"/>
          <w:szCs w:val="24"/>
        </w:rPr>
      </w:pPr>
    </w:p>
    <w:p w14:paraId="3DB86A25" w14:textId="00C8DC09"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.2</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Three-party </w:t>
      </w:r>
      <w:r w:rsidR="002F0AB8" w:rsidRPr="00B02B1B">
        <w:rPr>
          <w:rFonts w:ascii="Times New Roman" w:hAnsi="Times New Roman" w:cs="Times New Roman"/>
          <w:b/>
          <w:bCs/>
          <w:sz w:val="24"/>
          <w:szCs w:val="24"/>
        </w:rPr>
        <w:t>linkage mechanism</w:t>
      </w:r>
      <w:r w:rsidR="00C8711D"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Artisans, </w:t>
      </w:r>
      <w:r w:rsidR="002F0AB8" w:rsidRPr="00B02B1B">
        <w:rPr>
          <w:rFonts w:ascii="Times New Roman" w:hAnsi="Times New Roman" w:cs="Times New Roman"/>
          <w:b/>
          <w:bCs/>
          <w:sz w:val="24"/>
          <w:szCs w:val="24"/>
        </w:rPr>
        <w:t>consumers and markets</w:t>
      </w:r>
    </w:p>
    <w:p w14:paraId="0A085E84" w14:textId="3F168597"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Artisan side</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A Sino-Japanese bilingual digital gene bank will be built to systematically sort out textual, pictorial and video materials of 14 endangered procedures of Yuxi Kiln. Currently, relevant data are collected from public documents and museum digital resources, and on-site field recording has not been carried out yet.</w:t>
      </w:r>
    </w:p>
    <w:p w14:paraId="2EA1E069" w14:textId="21310461"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Consumer side</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QR code interaction and social sharing are adopted to enhance user participation. Task-based mechanisms are applied to increase fun and sustain communication vitality.</w:t>
      </w:r>
    </w:p>
    <w:p w14:paraId="083445F9" w14:textId="45A9919B"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Market side</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A three-tier product system is established</w:t>
      </w:r>
      <w:r w:rsidR="00C8711D" w:rsidRPr="00666A4F">
        <w:rPr>
          <w:rFonts w:ascii="Times New Roman" w:hAnsi="Times New Roman" w:cs="Times New Roman"/>
          <w:sz w:val="24"/>
          <w:szCs w:val="24"/>
        </w:rPr>
        <w:t>:</w:t>
      </w:r>
    </w:p>
    <w:p w14:paraId="1FAD1020" w14:textId="66357F5E"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Basic tier</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Low-priced AR postcards to expand coverage and influence</w:t>
      </w:r>
      <w:r w:rsidR="00C8711D" w:rsidRPr="00666A4F">
        <w:rPr>
          <w:rFonts w:ascii="Times New Roman" w:hAnsi="Times New Roman" w:cs="Times New Roman"/>
          <w:sz w:val="24"/>
          <w:szCs w:val="24"/>
        </w:rPr>
        <w:t>;</w:t>
      </w:r>
    </w:p>
    <w:p w14:paraId="14843494" w14:textId="7607E53F"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Intermediate tier</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Co-branded handcraft works by artisans such as tie-dye scarves to meet collection demands</w:t>
      </w:r>
      <w:r w:rsidR="00C8711D" w:rsidRPr="00666A4F">
        <w:rPr>
          <w:rFonts w:ascii="Times New Roman" w:hAnsi="Times New Roman" w:cs="Times New Roman"/>
          <w:sz w:val="24"/>
          <w:szCs w:val="24"/>
        </w:rPr>
        <w:t>;</w:t>
      </w:r>
    </w:p>
    <w:p w14:paraId="00101A4A" w14:textId="2304954F"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Extended tier</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Online courses for enthusiasts who intend to learn relevant crafts.</w:t>
      </w:r>
    </w:p>
    <w:p w14:paraId="721F2824" w14:textId="77777777" w:rsidR="00F34109" w:rsidRPr="00666A4F" w:rsidRDefault="00F34109" w:rsidP="00C8711D">
      <w:pPr>
        <w:rPr>
          <w:rFonts w:ascii="Times New Roman" w:hAnsi="Times New Roman" w:cs="Times New Roman"/>
          <w:sz w:val="24"/>
          <w:szCs w:val="24"/>
        </w:rPr>
      </w:pPr>
    </w:p>
    <w:p w14:paraId="09DE604C" w14:textId="19B8C308"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4</w:t>
      </w:r>
      <w:r w:rsidR="00000000" w:rsidRPr="00B02B1B">
        <w:rPr>
          <w:rFonts w:ascii="Times New Roman" w:hAnsi="Times New Roman" w:cs="Times New Roman"/>
          <w:b/>
          <w:bCs/>
          <w:sz w:val="24"/>
          <w:szCs w:val="24"/>
        </w:rPr>
        <w:t>.3</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Model </w:t>
      </w:r>
      <w:r w:rsidR="00BA7BE1" w:rsidRPr="00BA7BE1">
        <w:rPr>
          <w:rFonts w:ascii="Times New Roman" w:hAnsi="Times New Roman" w:cs="Times New Roman"/>
          <w:b/>
          <w:bCs/>
          <w:sz w:val="24"/>
          <w:szCs w:val="24"/>
        </w:rPr>
        <w:t>innovation and applicable scope</w:t>
      </w:r>
    </w:p>
    <w:p w14:paraId="62357807" w14:textId="0C5060A4" w:rsidR="00B9237D"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As shown in </w:t>
      </w:r>
      <w:r w:rsidRPr="00B02B1B">
        <w:rPr>
          <w:rFonts w:ascii="Times New Roman" w:hAnsi="Times New Roman" w:cs="Times New Roman"/>
          <w:b/>
          <w:bCs/>
          <w:sz w:val="24"/>
          <w:szCs w:val="24"/>
        </w:rPr>
        <w:t>Figure</w:t>
      </w:r>
      <w:r w:rsidR="00BA7BE1" w:rsidRPr="00B02B1B">
        <w:rPr>
          <w:rFonts w:ascii="Times New Roman" w:hAnsi="Times New Roman" w:cs="Times New Roman"/>
          <w:b/>
          <w:bCs/>
          <w:sz w:val="24"/>
          <w:szCs w:val="24"/>
        </w:rPr>
        <w:t xml:space="preserve"> </w:t>
      </w:r>
      <w:r w:rsidRPr="00B02B1B">
        <w:rPr>
          <w:rFonts w:ascii="Times New Roman" w:hAnsi="Times New Roman" w:cs="Times New Roman"/>
          <w:b/>
          <w:bCs/>
          <w:sz w:val="24"/>
          <w:szCs w:val="24"/>
        </w:rPr>
        <w:t>1</w:t>
      </w:r>
      <w:r w:rsidRPr="00666A4F">
        <w:rPr>
          <w:rFonts w:ascii="Times New Roman" w:hAnsi="Times New Roman" w:cs="Times New Roman"/>
          <w:sz w:val="24"/>
          <w:szCs w:val="24"/>
        </w:rPr>
        <w:t>, this model balances cultural expression, user acceptance</w:t>
      </w:r>
      <w:r w:rsidR="00BA7BE1">
        <w:rPr>
          <w:rFonts w:ascii="Times New Roman" w:hAnsi="Times New Roman" w:cs="Times New Roman"/>
          <w:sz w:val="24"/>
          <w:szCs w:val="24"/>
        </w:rPr>
        <w:t xml:space="preserve">, and market </w:t>
      </w:r>
      <w:r w:rsidR="00BA7BE1">
        <w:rPr>
          <w:rFonts w:ascii="Times New Roman" w:hAnsi="Times New Roman" w:cs="Times New Roman"/>
          <w:sz w:val="24"/>
          <w:szCs w:val="24"/>
        </w:rPr>
        <w:lastRenderedPageBreak/>
        <w:t>transformation in ICH communication, and realizes cultural value dissemination through the linkage of artisans, consumers,</w:t>
      </w:r>
      <w:r w:rsidRPr="00666A4F">
        <w:rPr>
          <w:rFonts w:ascii="Times New Roman" w:hAnsi="Times New Roman" w:cs="Times New Roman"/>
          <w:sz w:val="24"/>
          <w:szCs w:val="24"/>
        </w:rPr>
        <w:t xml:space="preserve"> and markets. It is applicable to ICH projects whose procedures can be split and compared across categories. However, it is not suitable for ritual heritage and oral literature.</w:t>
      </w:r>
    </w:p>
    <w:p w14:paraId="7F2A7CD8" w14:textId="77777777" w:rsidR="00BA7BE1" w:rsidRPr="00666A4F" w:rsidRDefault="00BA7BE1" w:rsidP="00C8711D">
      <w:pPr>
        <w:rPr>
          <w:rFonts w:ascii="Times New Roman" w:hAnsi="Times New Roman" w:cs="Times New Roman"/>
          <w:sz w:val="24"/>
          <w:szCs w:val="24"/>
        </w:rPr>
      </w:pPr>
    </w:p>
    <w:p w14:paraId="3C5FE5E0" w14:textId="77777777" w:rsidR="00B9237D" w:rsidRPr="00666A4F" w:rsidRDefault="00000000" w:rsidP="00B02B1B">
      <w:pPr>
        <w:jc w:val="center"/>
        <w:rPr>
          <w:rFonts w:ascii="Times New Roman" w:hAnsi="Times New Roman" w:cs="Times New Roman"/>
          <w:sz w:val="24"/>
          <w:szCs w:val="24"/>
        </w:rPr>
      </w:pPr>
      <w:r w:rsidRPr="00B02B1B">
        <w:rPr>
          <w:rFonts w:ascii="Times New Roman" w:hAnsi="Times New Roman" w:cs="Times New Roman"/>
          <w:sz w:val="24"/>
          <w:szCs w:val="24"/>
        </w:rPr>
        <w:drawing>
          <wp:inline distT="0" distB="0" distL="114300" distR="114300">
            <wp:extent cx="3253105" cy="3581400"/>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253105" cy="3581400"/>
                    </a:xfrm>
                    <a:prstGeom prst="rect">
                      <a:avLst/>
                    </a:prstGeom>
                    <a:noFill/>
                    <a:ln>
                      <a:noFill/>
                    </a:ln>
                  </pic:spPr>
                </pic:pic>
              </a:graphicData>
            </a:graphic>
          </wp:inline>
        </w:drawing>
      </w:r>
    </w:p>
    <w:p w14:paraId="591D3C93" w14:textId="7B001B29" w:rsidR="00B9237D" w:rsidRPr="00666A4F" w:rsidRDefault="00000000" w:rsidP="00C8711D">
      <w:pPr>
        <w:rPr>
          <w:rFonts w:ascii="Times New Roman" w:hAnsi="Times New Roman" w:cs="Times New Roman"/>
          <w:sz w:val="24"/>
          <w:szCs w:val="24"/>
        </w:rPr>
      </w:pPr>
      <w:r w:rsidRPr="00B02B1B">
        <w:rPr>
          <w:rFonts w:ascii="Times New Roman" w:hAnsi="Times New Roman" w:cs="Times New Roman"/>
          <w:b/>
          <w:bCs/>
          <w:sz w:val="24"/>
          <w:szCs w:val="24"/>
        </w:rPr>
        <w:t>Figure 1</w:t>
      </w:r>
      <w:r w:rsidR="00BA7BE1">
        <w:rPr>
          <w:rFonts w:ascii="Times New Roman" w:hAnsi="Times New Roman" w:cs="Times New Roman"/>
          <w:sz w:val="24"/>
          <w:szCs w:val="24"/>
        </w:rPr>
        <w:t>.</w:t>
      </w:r>
      <w:r w:rsidRPr="00666A4F">
        <w:rPr>
          <w:rFonts w:ascii="Times New Roman" w:hAnsi="Times New Roman" w:cs="Times New Roman"/>
          <w:sz w:val="24"/>
          <w:szCs w:val="24"/>
        </w:rPr>
        <w:t xml:space="preserve"> Schematic diagram of the </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3D Transformation + Three-End Coordination</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model</w:t>
      </w:r>
    </w:p>
    <w:p w14:paraId="2F94F4F3" w14:textId="77777777" w:rsidR="00F34109" w:rsidRPr="00666A4F" w:rsidRDefault="00F34109" w:rsidP="00C8711D">
      <w:pPr>
        <w:rPr>
          <w:rFonts w:ascii="Times New Roman" w:hAnsi="Times New Roman" w:cs="Times New Roman"/>
          <w:sz w:val="24"/>
          <w:szCs w:val="24"/>
        </w:rPr>
      </w:pPr>
    </w:p>
    <w:p w14:paraId="1EAC765A" w14:textId="716768F4"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5.</w:t>
      </w:r>
      <w:r w:rsidR="00000000" w:rsidRPr="00B02B1B">
        <w:rPr>
          <w:rFonts w:ascii="Times New Roman" w:hAnsi="Times New Roman" w:cs="Times New Roman"/>
          <w:b/>
          <w:bCs/>
          <w:sz w:val="24"/>
          <w:szCs w:val="24"/>
        </w:rPr>
        <w:t xml:space="preserve"> Digital </w:t>
      </w:r>
      <w:r w:rsidR="00BA7BE1" w:rsidRPr="00B02B1B">
        <w:rPr>
          <w:rFonts w:ascii="Times New Roman" w:hAnsi="Times New Roman" w:cs="Times New Roman"/>
          <w:b/>
          <w:bCs/>
          <w:sz w:val="24"/>
          <w:szCs w:val="24"/>
        </w:rPr>
        <w:t>empowerment path and feasibility verificati</w:t>
      </w:r>
      <w:r w:rsidR="00000000" w:rsidRPr="00B02B1B">
        <w:rPr>
          <w:rFonts w:ascii="Times New Roman" w:hAnsi="Times New Roman" w:cs="Times New Roman"/>
          <w:b/>
          <w:bCs/>
          <w:sz w:val="24"/>
          <w:szCs w:val="24"/>
        </w:rPr>
        <w:t>on</w:t>
      </w:r>
    </w:p>
    <w:p w14:paraId="2D3570A9" w14:textId="2AE4776A"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5</w:t>
      </w:r>
      <w:r w:rsidR="00000000" w:rsidRPr="00B02B1B">
        <w:rPr>
          <w:rFonts w:ascii="Times New Roman" w:hAnsi="Times New Roman" w:cs="Times New Roman"/>
          <w:b/>
          <w:bCs/>
          <w:sz w:val="24"/>
          <w:szCs w:val="24"/>
        </w:rPr>
        <w:t>.1</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Verification of IP </w:t>
      </w:r>
      <w:r w:rsidR="00BA7BE1" w:rsidRPr="00B02B1B">
        <w:rPr>
          <w:rFonts w:ascii="Times New Roman" w:hAnsi="Times New Roman" w:cs="Times New Roman"/>
          <w:b/>
          <w:bCs/>
          <w:sz w:val="24"/>
          <w:szCs w:val="24"/>
        </w:rPr>
        <w:t>communication effect</w:t>
      </w:r>
    </w:p>
    <w:p w14:paraId="0D48A6BE" w14:textId="029832F9"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The research team released two posts including character profiles and short comic episodes on Xiaohongshu. The total number of likes reached 3,468. The data show that users hold high recognition for anthropomorphized craft characters. It is </w:t>
      </w:r>
      <w:r w:rsidR="00BA7BE1">
        <w:rPr>
          <w:rFonts w:ascii="Times New Roman" w:hAnsi="Times New Roman" w:cs="Times New Roman"/>
          <w:sz w:val="24"/>
          <w:szCs w:val="24"/>
        </w:rPr>
        <w:t>proven</w:t>
      </w:r>
      <w:r w:rsidR="00BA7BE1" w:rsidRPr="00666A4F">
        <w:rPr>
          <w:rFonts w:ascii="Times New Roman" w:hAnsi="Times New Roman" w:cs="Times New Roman"/>
          <w:sz w:val="24"/>
          <w:szCs w:val="24"/>
        </w:rPr>
        <w:t xml:space="preserve"> </w:t>
      </w:r>
      <w:r w:rsidRPr="00666A4F">
        <w:rPr>
          <w:rFonts w:ascii="Times New Roman" w:hAnsi="Times New Roman" w:cs="Times New Roman"/>
          <w:sz w:val="24"/>
          <w:szCs w:val="24"/>
        </w:rPr>
        <w:t>that the quality and interactivity of communication contents greatly affect users</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cognition and participation in digital ICH dissemination</w:t>
      </w:r>
      <w:r w:rsidR="00BA7BE1">
        <w:rPr>
          <w:rFonts w:ascii="Times New Roman" w:hAnsi="Times New Roman" w:cs="Times New Roman"/>
          <w:sz w:val="24"/>
          <w:szCs w:val="24"/>
        </w:rPr>
        <w:t xml:space="preserve"> </w:t>
      </w:r>
      <w:r w:rsidRPr="00666A4F">
        <w:rPr>
          <w:rFonts w:ascii="Times New Roman" w:hAnsi="Times New Roman" w:cs="Times New Roman"/>
          <w:sz w:val="24"/>
          <w:szCs w:val="24"/>
          <w:vertAlign w:val="superscript"/>
        </w:rPr>
        <w:t>[14]</w:t>
      </w:r>
      <w:r w:rsidRPr="00666A4F">
        <w:rPr>
          <w:rFonts w:ascii="Times New Roman" w:hAnsi="Times New Roman" w:cs="Times New Roman"/>
          <w:sz w:val="24"/>
          <w:szCs w:val="24"/>
        </w:rPr>
        <w:t xml:space="preserve">. It should be noted that the account is newly established with </w:t>
      </w:r>
      <w:r w:rsidR="00BA7BE1">
        <w:rPr>
          <w:rFonts w:ascii="Times New Roman" w:hAnsi="Times New Roman" w:cs="Times New Roman"/>
          <w:sz w:val="24"/>
          <w:szCs w:val="24"/>
        </w:rPr>
        <w:t xml:space="preserve">a </w:t>
      </w:r>
      <w:r w:rsidRPr="00666A4F">
        <w:rPr>
          <w:rFonts w:ascii="Times New Roman" w:hAnsi="Times New Roman" w:cs="Times New Roman"/>
          <w:sz w:val="24"/>
          <w:szCs w:val="24"/>
        </w:rPr>
        <w:t>limited sample size, so the results cannot serve as statistical verification.</w:t>
      </w:r>
    </w:p>
    <w:p w14:paraId="6933B825" w14:textId="77777777" w:rsidR="00F34109" w:rsidRPr="00666A4F" w:rsidRDefault="00F34109" w:rsidP="00C8711D">
      <w:pPr>
        <w:rPr>
          <w:rFonts w:ascii="Times New Roman" w:hAnsi="Times New Roman" w:cs="Times New Roman"/>
          <w:sz w:val="24"/>
          <w:szCs w:val="24"/>
        </w:rPr>
      </w:pPr>
    </w:p>
    <w:p w14:paraId="4F935A73" w14:textId="4DFD9311"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5</w:t>
      </w:r>
      <w:r w:rsidR="00000000" w:rsidRPr="00B02B1B">
        <w:rPr>
          <w:rFonts w:ascii="Times New Roman" w:hAnsi="Times New Roman" w:cs="Times New Roman"/>
          <w:b/>
          <w:bCs/>
          <w:sz w:val="24"/>
          <w:szCs w:val="24"/>
        </w:rPr>
        <w:t>.2</w:t>
      </w:r>
      <w:r w:rsidRPr="00B02B1B">
        <w:rPr>
          <w:rFonts w:ascii="Times New Roman" w:hAnsi="Times New Roman" w:cs="Times New Roman"/>
          <w:b/>
          <w:bCs/>
          <w:sz w:val="24"/>
          <w:szCs w:val="24"/>
        </w:rPr>
        <w:t>.</w:t>
      </w:r>
      <w:r w:rsidR="00000000" w:rsidRPr="00B02B1B">
        <w:rPr>
          <w:rFonts w:ascii="Times New Roman" w:hAnsi="Times New Roman" w:cs="Times New Roman"/>
          <w:b/>
          <w:bCs/>
          <w:sz w:val="24"/>
          <w:szCs w:val="24"/>
        </w:rPr>
        <w:t xml:space="preserve"> Analysis of </w:t>
      </w:r>
      <w:r w:rsidR="00BA7BE1" w:rsidRPr="00B02B1B">
        <w:rPr>
          <w:rFonts w:ascii="Times New Roman" w:hAnsi="Times New Roman" w:cs="Times New Roman"/>
          <w:b/>
          <w:bCs/>
          <w:sz w:val="24"/>
          <w:szCs w:val="24"/>
        </w:rPr>
        <w:t>commercial transformation feasibility</w:t>
      </w:r>
    </w:p>
    <w:p w14:paraId="638FD60E" w14:textId="23E82132" w:rsidR="00B9237D" w:rsidRPr="00666A4F" w:rsidRDefault="00BA7BE1" w:rsidP="00C8711D">
      <w:pPr>
        <w:rPr>
          <w:rFonts w:ascii="Times New Roman" w:hAnsi="Times New Roman" w:cs="Times New Roman"/>
          <w:sz w:val="24"/>
          <w:szCs w:val="24"/>
        </w:rPr>
      </w:pPr>
      <w:r>
        <w:rPr>
          <w:rFonts w:ascii="Times New Roman" w:hAnsi="Times New Roman" w:cs="Times New Roman"/>
          <w:sz w:val="24"/>
          <w:szCs w:val="24"/>
        </w:rPr>
        <w:t>Research indicates</w:t>
      </w:r>
      <w:r w:rsidR="00000000" w:rsidRPr="00666A4F">
        <w:rPr>
          <w:rFonts w:ascii="Times New Roman" w:hAnsi="Times New Roman" w:cs="Times New Roman"/>
          <w:sz w:val="24"/>
          <w:szCs w:val="24"/>
        </w:rPr>
        <w:t xml:space="preserve"> that animation and character-based ICH products have great market potential among young consumer groups. The operation mode combining Sino-Japanese bilingual services and social media enjoys high commercialization prospects in cross-border consumption scenarios.</w:t>
      </w:r>
    </w:p>
    <w:p w14:paraId="227D1F9F" w14:textId="77777777" w:rsidR="00C8711D" w:rsidRPr="00666A4F" w:rsidRDefault="00C8711D" w:rsidP="00C8711D">
      <w:pPr>
        <w:rPr>
          <w:rFonts w:ascii="Times New Roman" w:hAnsi="Times New Roman" w:cs="Times New Roman"/>
          <w:sz w:val="24"/>
          <w:szCs w:val="24"/>
        </w:rPr>
      </w:pPr>
    </w:p>
    <w:p w14:paraId="2BDAA158" w14:textId="373D0348" w:rsidR="00B9237D" w:rsidRPr="00B02B1B" w:rsidRDefault="00F34109" w:rsidP="00C8711D">
      <w:pPr>
        <w:rPr>
          <w:rFonts w:ascii="Times New Roman" w:hAnsi="Times New Roman" w:cs="Times New Roman"/>
          <w:b/>
          <w:bCs/>
          <w:sz w:val="24"/>
          <w:szCs w:val="24"/>
        </w:rPr>
      </w:pPr>
      <w:r w:rsidRPr="00B02B1B">
        <w:rPr>
          <w:rFonts w:ascii="Times New Roman" w:hAnsi="Times New Roman" w:cs="Times New Roman"/>
          <w:b/>
          <w:bCs/>
          <w:sz w:val="24"/>
          <w:szCs w:val="24"/>
        </w:rPr>
        <w:t>6.</w:t>
      </w:r>
      <w:r w:rsidR="00000000" w:rsidRPr="00B02B1B">
        <w:rPr>
          <w:rFonts w:ascii="Times New Roman" w:hAnsi="Times New Roman" w:cs="Times New Roman"/>
          <w:b/>
          <w:bCs/>
          <w:sz w:val="24"/>
          <w:szCs w:val="24"/>
        </w:rPr>
        <w:t xml:space="preserve"> Conclusion</w:t>
      </w:r>
    </w:p>
    <w:p w14:paraId="626C6E4B" w14:textId="03F8B3D3" w:rsidR="00B9237D" w:rsidRPr="00666A4F" w:rsidRDefault="00000000" w:rsidP="00C8711D">
      <w:pPr>
        <w:rPr>
          <w:rFonts w:ascii="Times New Roman" w:hAnsi="Times New Roman" w:cs="Times New Roman"/>
          <w:sz w:val="24"/>
          <w:szCs w:val="24"/>
        </w:rPr>
      </w:pPr>
      <w:r w:rsidRPr="00666A4F">
        <w:rPr>
          <w:rFonts w:ascii="Times New Roman" w:hAnsi="Times New Roman" w:cs="Times New Roman"/>
          <w:sz w:val="24"/>
          <w:szCs w:val="24"/>
        </w:rPr>
        <w:t xml:space="preserve">From the perspective of Sino-Japanese co-creation, this study constructs the </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three-dimensional transformation + three-party linkage</w:t>
      </w:r>
      <w:r w:rsidR="00C8711D" w:rsidRPr="00666A4F">
        <w:rPr>
          <w:rFonts w:ascii="Times New Roman" w:hAnsi="Times New Roman" w:cs="Times New Roman"/>
          <w:sz w:val="24"/>
          <w:szCs w:val="24"/>
        </w:rPr>
        <w:t>”</w:t>
      </w:r>
      <w:r w:rsidRPr="00666A4F">
        <w:rPr>
          <w:rFonts w:ascii="Times New Roman" w:hAnsi="Times New Roman" w:cs="Times New Roman"/>
          <w:sz w:val="24"/>
          <w:szCs w:val="24"/>
        </w:rPr>
        <w:t xml:space="preserve"> model, and completes theoretical construction, IP design and preliminary communication verification based on Yuxi Kiln and Bai ethnic group tie-dye. Theoretically, this research establishes a systematic framework integrating craft transformation, IP narration and market linkage, and responds to three major contradictions in relevant fields. Practically, it verifies that animation IP can enhance the communication effect of ICH among young people and build new connections between rural </w:t>
      </w:r>
      <w:r w:rsidRPr="00666A4F">
        <w:rPr>
          <w:rFonts w:ascii="Times New Roman" w:hAnsi="Times New Roman" w:cs="Times New Roman"/>
          <w:sz w:val="24"/>
          <w:szCs w:val="24"/>
        </w:rPr>
        <w:lastRenderedPageBreak/>
        <w:t>artisans and digital consumption scenarios. Cross-cultural co-creation requires a proper balance among craft characteristics, narrative power of characters</w:t>
      </w:r>
      <w:r w:rsidR="00792665">
        <w:rPr>
          <w:rFonts w:ascii="Times New Roman" w:hAnsi="Times New Roman" w:cs="Times New Roman"/>
          <w:sz w:val="24"/>
          <w:szCs w:val="24"/>
        </w:rPr>
        <w:t>,</w:t>
      </w:r>
      <w:r w:rsidRPr="00666A4F">
        <w:rPr>
          <w:rFonts w:ascii="Times New Roman" w:hAnsi="Times New Roman" w:cs="Times New Roman"/>
          <w:sz w:val="24"/>
          <w:szCs w:val="24"/>
        </w:rPr>
        <w:t xml:space="preserve"> and market adaptability.</w:t>
      </w:r>
    </w:p>
    <w:p w14:paraId="22816884" w14:textId="77777777" w:rsidR="00C8711D" w:rsidRPr="00666A4F" w:rsidRDefault="00C8711D" w:rsidP="00C8711D">
      <w:pPr>
        <w:rPr>
          <w:rFonts w:ascii="Times New Roman" w:hAnsi="Times New Roman" w:cs="Times New Roman"/>
          <w:sz w:val="24"/>
          <w:szCs w:val="24"/>
        </w:rPr>
      </w:pPr>
    </w:p>
    <w:p w14:paraId="13A49BA8" w14:textId="77777777" w:rsidR="00C8711D" w:rsidRPr="00B02B1B" w:rsidRDefault="00C8711D" w:rsidP="00C8711D">
      <w:pPr>
        <w:rPr>
          <w:rFonts w:ascii="Times New Roman" w:hAnsi="Times New Roman" w:cs="Times New Roman"/>
          <w:b/>
          <w:bCs/>
          <w:sz w:val="24"/>
          <w:szCs w:val="24"/>
        </w:rPr>
      </w:pPr>
      <w:r w:rsidRPr="00B02B1B">
        <w:rPr>
          <w:rFonts w:ascii="Times New Roman" w:hAnsi="Times New Roman" w:cs="Times New Roman"/>
          <w:b/>
          <w:bCs/>
          <w:sz w:val="24"/>
          <w:szCs w:val="24"/>
        </w:rPr>
        <w:t>Funding</w:t>
      </w:r>
    </w:p>
    <w:p w14:paraId="10AD725A" w14:textId="783334A4" w:rsidR="00C8711D" w:rsidRPr="00666A4F" w:rsidRDefault="00C8711D" w:rsidP="00F34109">
      <w:pPr>
        <w:rPr>
          <w:rFonts w:ascii="Times New Roman" w:hAnsi="Times New Roman" w:cs="Times New Roman"/>
          <w:sz w:val="24"/>
          <w:szCs w:val="24"/>
        </w:rPr>
      </w:pPr>
      <w:r w:rsidRPr="00666A4F">
        <w:rPr>
          <w:rFonts w:ascii="Times New Roman" w:hAnsi="Times New Roman" w:cs="Times New Roman"/>
          <w:sz w:val="24"/>
          <w:szCs w:val="24"/>
        </w:rPr>
        <w:t>2025 Provincial College Students’ Innovation and Entrepreneurship Program: Activation Path of Rural Artisans Revitalization Enabled by Intangible Cultural Heritage Animation IP from the Perspective of Sino-Japanese Co-creation (Project No.: S202512792001)</w:t>
      </w:r>
    </w:p>
    <w:p w14:paraId="03217D84" w14:textId="77777777" w:rsidR="00F34109" w:rsidRPr="00666A4F" w:rsidRDefault="00F34109" w:rsidP="00F34109">
      <w:pPr>
        <w:rPr>
          <w:rFonts w:ascii="Times New Roman" w:hAnsi="Times New Roman" w:cs="Times New Roman"/>
          <w:sz w:val="24"/>
          <w:szCs w:val="24"/>
        </w:rPr>
      </w:pPr>
    </w:p>
    <w:p w14:paraId="0100DA55" w14:textId="77777777" w:rsidR="00F34109" w:rsidRPr="00666A4F" w:rsidRDefault="00F34109" w:rsidP="00F34109">
      <w:pPr>
        <w:rPr>
          <w:rFonts w:ascii="Times New Roman" w:hAnsi="Times New Roman"/>
          <w:b/>
          <w:bCs/>
          <w:sz w:val="24"/>
        </w:rPr>
      </w:pPr>
      <w:r w:rsidRPr="00666A4F">
        <w:rPr>
          <w:rFonts w:ascii="Times New Roman" w:hAnsi="Times New Roman"/>
          <w:b/>
          <w:bCs/>
          <w:sz w:val="24"/>
        </w:rPr>
        <w:t>Disclosure statement</w:t>
      </w:r>
    </w:p>
    <w:p w14:paraId="3A303C98" w14:textId="33166B62" w:rsidR="00F34109" w:rsidRPr="00666A4F" w:rsidRDefault="00F34109" w:rsidP="00F34109">
      <w:pPr>
        <w:rPr>
          <w:rFonts w:ascii="Times New Roman" w:hAnsi="Times New Roman"/>
          <w:sz w:val="24"/>
        </w:rPr>
      </w:pPr>
      <w:r w:rsidRPr="00666A4F">
        <w:rPr>
          <w:rFonts w:ascii="Times New Roman" w:hAnsi="Times New Roman"/>
          <w:sz w:val="24"/>
        </w:rPr>
        <w:t>The author declares no conflict of interest.</w:t>
      </w:r>
    </w:p>
    <w:p w14:paraId="4D9C51F4" w14:textId="77777777" w:rsidR="00F34109" w:rsidRPr="00666A4F" w:rsidRDefault="00F34109" w:rsidP="00F34109">
      <w:pPr>
        <w:rPr>
          <w:rFonts w:ascii="Times New Roman" w:hAnsi="Times New Roman" w:cs="Times New Roman"/>
          <w:sz w:val="24"/>
          <w:szCs w:val="24"/>
        </w:rPr>
      </w:pPr>
    </w:p>
    <w:p w14:paraId="19B99412" w14:textId="77777777" w:rsidR="00B9237D" w:rsidRPr="00B02B1B" w:rsidRDefault="00000000" w:rsidP="00C8711D">
      <w:pPr>
        <w:rPr>
          <w:rFonts w:ascii="Times New Roman" w:hAnsi="Times New Roman" w:cs="Times New Roman"/>
          <w:b/>
          <w:bCs/>
          <w:sz w:val="24"/>
          <w:szCs w:val="24"/>
        </w:rPr>
      </w:pPr>
      <w:r w:rsidRPr="00B02B1B">
        <w:rPr>
          <w:rFonts w:ascii="Times New Roman" w:hAnsi="Times New Roman" w:cs="Times New Roman"/>
          <w:b/>
          <w:bCs/>
          <w:sz w:val="24"/>
          <w:szCs w:val="24"/>
        </w:rPr>
        <w:t>References</w:t>
      </w:r>
    </w:p>
    <w:p w14:paraId="6840C39F" w14:textId="4B0B6D4E"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[1] Cabinet Office of Japan</w:t>
      </w:r>
      <w:r w:rsidR="00792665">
        <w:rPr>
          <w:rFonts w:ascii="Times New Roman" w:hAnsi="Times New Roman" w:cs="Times New Roman"/>
          <w:sz w:val="24"/>
          <w:szCs w:val="24"/>
        </w:rPr>
        <w:t>, 2024,</w:t>
      </w:r>
      <w:r w:rsidRPr="00666A4F">
        <w:rPr>
          <w:rFonts w:ascii="Times New Roman" w:hAnsi="Times New Roman" w:cs="Times New Roman"/>
          <w:sz w:val="24"/>
          <w:szCs w:val="24"/>
        </w:rPr>
        <w:t xml:space="preserve"> Cool Japan Strategy. Cabinet Office, Government of Japan, </w:t>
      </w:r>
      <w:r w:rsidR="00792665" w:rsidRPr="00792665">
        <w:rPr>
          <w:rFonts w:ascii="Times New Roman" w:hAnsi="Times New Roman" w:cs="Times New Roman"/>
          <w:sz w:val="24"/>
          <w:szCs w:val="24"/>
        </w:rPr>
        <w:t>Tokyo</w:t>
      </w:r>
      <w:r w:rsidRPr="00666A4F">
        <w:rPr>
          <w:rFonts w:ascii="Times New Roman" w:hAnsi="Times New Roman" w:cs="Times New Roman"/>
          <w:sz w:val="24"/>
          <w:szCs w:val="24"/>
        </w:rPr>
        <w:t>. https://www.cao.go.jp/cool_japan/english/index-e.html</w:t>
      </w:r>
    </w:p>
    <w:p w14:paraId="179D9516" w14:textId="476C75B1"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[2] Jin S</w:t>
      </w:r>
      <w:r w:rsidR="00792665">
        <w:rPr>
          <w:rFonts w:ascii="Times New Roman" w:hAnsi="Times New Roman" w:cs="Times New Roman"/>
          <w:sz w:val="24"/>
          <w:szCs w:val="24"/>
        </w:rPr>
        <w:t>P, 2005,</w:t>
      </w:r>
      <w:r w:rsidRPr="00666A4F">
        <w:rPr>
          <w:rFonts w:ascii="Times New Roman" w:hAnsi="Times New Roman" w:cs="Times New Roman"/>
          <w:sz w:val="24"/>
          <w:szCs w:val="24"/>
        </w:rPr>
        <w:t xml:space="preserve"> Inheritance, Protection and Development of Bai Ethnic Group Tie-dye Culture. Journal of South-Central Minzu University (Humanities and Social Sciences), 2005</w:t>
      </w:r>
      <w:r w:rsidR="00792665">
        <w:rPr>
          <w:rFonts w:ascii="Times New Roman" w:hAnsi="Times New Roman" w:cs="Times New Roman"/>
          <w:sz w:val="24"/>
          <w:szCs w:val="24"/>
        </w:rPr>
        <w:t>(</w:t>
      </w:r>
      <w:r w:rsidRPr="00666A4F">
        <w:rPr>
          <w:rFonts w:ascii="Times New Roman" w:hAnsi="Times New Roman" w:cs="Times New Roman"/>
          <w:sz w:val="24"/>
          <w:szCs w:val="24"/>
        </w:rPr>
        <w:t>25</w:t>
      </w:r>
      <w:r w:rsidR="00792665">
        <w:rPr>
          <w:rFonts w:ascii="Times New Roman" w:hAnsi="Times New Roman" w:cs="Times New Roman"/>
          <w:sz w:val="24"/>
          <w:szCs w:val="24"/>
        </w:rPr>
        <w:t>)</w:t>
      </w:r>
      <w:r w:rsidRPr="00666A4F">
        <w:rPr>
          <w:rFonts w:ascii="Times New Roman" w:hAnsi="Times New Roman" w:cs="Times New Roman"/>
          <w:sz w:val="24"/>
          <w:szCs w:val="24"/>
        </w:rPr>
        <w:t>:</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50.</w:t>
      </w:r>
    </w:p>
    <w:p w14:paraId="136D3D2B" w14:textId="1EE5DCE2"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[3] Fang L</w:t>
      </w:r>
      <w:r w:rsidR="00792665">
        <w:rPr>
          <w:rFonts w:ascii="Times New Roman" w:hAnsi="Times New Roman" w:cs="Times New Roman"/>
          <w:sz w:val="24"/>
          <w:szCs w:val="24"/>
        </w:rPr>
        <w:t>L, 2021,</w:t>
      </w:r>
      <w:r w:rsidRPr="00666A4F">
        <w:rPr>
          <w:rFonts w:ascii="Times New Roman" w:hAnsi="Times New Roman" w:cs="Times New Roman"/>
          <w:sz w:val="24"/>
          <w:szCs w:val="24"/>
        </w:rPr>
        <w:t xml:space="preserve"> Handicrafts and the Remolding of Contemporary Chinese Lifestyle. Folk Culture Studies, 2021(3):</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44</w:t>
      </w:r>
      <w:r w:rsidR="00792665">
        <w:rPr>
          <w:rFonts w:ascii="Times New Roman" w:hAnsi="Times New Roman" w:cs="Times New Roman"/>
          <w:sz w:val="24"/>
          <w:szCs w:val="24"/>
        </w:rPr>
        <w:t>–</w:t>
      </w:r>
      <w:r w:rsidRPr="00666A4F">
        <w:rPr>
          <w:rFonts w:ascii="Times New Roman" w:hAnsi="Times New Roman" w:cs="Times New Roman"/>
          <w:sz w:val="24"/>
          <w:szCs w:val="24"/>
        </w:rPr>
        <w:t>46.</w:t>
      </w:r>
    </w:p>
    <w:p w14:paraId="60D05BBB" w14:textId="1D4DC253"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[4] UNESCO</w:t>
      </w:r>
      <w:r w:rsidR="00792665">
        <w:rPr>
          <w:rFonts w:ascii="Times New Roman" w:hAnsi="Times New Roman" w:cs="Times New Roman"/>
          <w:sz w:val="24"/>
          <w:szCs w:val="24"/>
        </w:rPr>
        <w:t>, 2003,</w:t>
      </w:r>
      <w:r w:rsidRPr="00666A4F">
        <w:rPr>
          <w:rFonts w:ascii="Times New Roman" w:hAnsi="Times New Roman" w:cs="Times New Roman"/>
          <w:sz w:val="24"/>
          <w:szCs w:val="24"/>
        </w:rPr>
        <w:t xml:space="preserve"> Charter on the Preservation of Digital Heritage. UNESCO, </w:t>
      </w:r>
      <w:r w:rsidR="00792665" w:rsidRPr="00792665">
        <w:rPr>
          <w:rFonts w:ascii="Times New Roman" w:hAnsi="Times New Roman" w:cs="Times New Roman"/>
          <w:sz w:val="24"/>
          <w:szCs w:val="24"/>
        </w:rPr>
        <w:t>Paris</w:t>
      </w:r>
      <w:r w:rsidRPr="00666A4F">
        <w:rPr>
          <w:rFonts w:ascii="Times New Roman" w:hAnsi="Times New Roman" w:cs="Times New Roman"/>
          <w:sz w:val="24"/>
          <w:szCs w:val="24"/>
        </w:rPr>
        <w:t>. https://www.unesco.org/en/legal-affairs/charter-preservation-digital-heritage</w:t>
      </w:r>
    </w:p>
    <w:p w14:paraId="345C0F38" w14:textId="24A2102A"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[5] Gong C</w:t>
      </w:r>
      <w:r w:rsidR="00792665">
        <w:rPr>
          <w:rFonts w:ascii="Times New Roman" w:hAnsi="Times New Roman" w:cs="Times New Roman"/>
          <w:sz w:val="24"/>
          <w:szCs w:val="24"/>
        </w:rPr>
        <w:t>Y, 2021,</w:t>
      </w:r>
      <w:r w:rsidRPr="00666A4F">
        <w:rPr>
          <w:rFonts w:ascii="Times New Roman" w:hAnsi="Times New Roman" w:cs="Times New Roman"/>
          <w:sz w:val="24"/>
          <w:szCs w:val="24"/>
        </w:rPr>
        <w:t xml:space="preserve"> Research on Communication Strategies of “ICH + Animation” Mode. Journal of Tonghua Normal University, 42(1):</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29</w:t>
      </w:r>
      <w:r w:rsidR="00792665">
        <w:rPr>
          <w:rFonts w:ascii="Times New Roman" w:hAnsi="Times New Roman" w:cs="Times New Roman"/>
          <w:sz w:val="24"/>
          <w:szCs w:val="24"/>
        </w:rPr>
        <w:t>–</w:t>
      </w:r>
      <w:r w:rsidRPr="00666A4F">
        <w:rPr>
          <w:rFonts w:ascii="Times New Roman" w:hAnsi="Times New Roman" w:cs="Times New Roman"/>
          <w:sz w:val="24"/>
          <w:szCs w:val="24"/>
        </w:rPr>
        <w:t>30.</w:t>
      </w:r>
    </w:p>
    <w:p w14:paraId="4AC09B9A" w14:textId="19999FA9"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 xml:space="preserve">[6] Yao </w:t>
      </w:r>
      <w:r w:rsidR="00792665">
        <w:rPr>
          <w:rFonts w:ascii="Times New Roman" w:hAnsi="Times New Roman" w:cs="Times New Roman"/>
          <w:sz w:val="24"/>
          <w:szCs w:val="24"/>
        </w:rPr>
        <w:t>GZ</w:t>
      </w:r>
      <w:r w:rsidRPr="00666A4F">
        <w:rPr>
          <w:rFonts w:ascii="Times New Roman" w:hAnsi="Times New Roman" w:cs="Times New Roman"/>
          <w:sz w:val="24"/>
          <w:szCs w:val="24"/>
        </w:rPr>
        <w:t>, Yao C</w:t>
      </w:r>
      <w:r w:rsidR="00792665">
        <w:rPr>
          <w:rFonts w:ascii="Times New Roman" w:hAnsi="Times New Roman" w:cs="Times New Roman"/>
          <w:sz w:val="24"/>
          <w:szCs w:val="24"/>
        </w:rPr>
        <w:t>B, 2024,</w:t>
      </w:r>
      <w:r w:rsidRPr="00666A4F">
        <w:rPr>
          <w:rFonts w:ascii="Times New Roman" w:hAnsi="Times New Roman" w:cs="Times New Roman"/>
          <w:sz w:val="24"/>
          <w:szCs w:val="24"/>
        </w:rPr>
        <w:t xml:space="preserve"> Digital Communication of Intangible Cultural Heritage: Concept System, Practical Dilemmas and Implementation Paths. Journal of Xihua University (Philosophy &amp; Social Sciences), 2024</w:t>
      </w:r>
      <w:r w:rsidR="00792665">
        <w:rPr>
          <w:rFonts w:ascii="Times New Roman" w:hAnsi="Times New Roman" w:cs="Times New Roman"/>
          <w:sz w:val="24"/>
          <w:szCs w:val="24"/>
        </w:rPr>
        <w:t>(</w:t>
      </w:r>
      <w:r w:rsidRPr="00666A4F">
        <w:rPr>
          <w:rFonts w:ascii="Times New Roman" w:hAnsi="Times New Roman" w:cs="Times New Roman"/>
          <w:sz w:val="24"/>
          <w:szCs w:val="24"/>
        </w:rPr>
        <w:t>43</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6.</w:t>
      </w:r>
    </w:p>
    <w:p w14:paraId="5A1E4EFE" w14:textId="57F7D5A6"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[7] Murray JH</w:t>
      </w:r>
      <w:r w:rsidR="00792665">
        <w:rPr>
          <w:rFonts w:ascii="Times New Roman" w:hAnsi="Times New Roman" w:cs="Times New Roman"/>
          <w:sz w:val="24"/>
          <w:szCs w:val="24"/>
        </w:rPr>
        <w:t>, 1997,</w:t>
      </w:r>
      <w:r w:rsidRPr="00666A4F">
        <w:rPr>
          <w:rFonts w:ascii="Times New Roman" w:hAnsi="Times New Roman" w:cs="Times New Roman"/>
          <w:sz w:val="24"/>
          <w:szCs w:val="24"/>
        </w:rPr>
        <w:t xml:space="preserve"> Hamlet on the Holodeck: The Future of Narrative in Cyberspace. MIT Press, </w:t>
      </w:r>
      <w:r w:rsidR="00792665" w:rsidRPr="00792665">
        <w:rPr>
          <w:rFonts w:ascii="Times New Roman" w:hAnsi="Times New Roman" w:cs="Times New Roman"/>
          <w:sz w:val="24"/>
          <w:szCs w:val="24"/>
        </w:rPr>
        <w:t>Cambridge,</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97</w:t>
      </w:r>
      <w:r w:rsidR="00792665">
        <w:rPr>
          <w:rFonts w:ascii="Times New Roman" w:hAnsi="Times New Roman" w:cs="Times New Roman"/>
          <w:sz w:val="24"/>
          <w:szCs w:val="24"/>
        </w:rPr>
        <w:t>–</w:t>
      </w:r>
      <w:r w:rsidRPr="00666A4F">
        <w:rPr>
          <w:rFonts w:ascii="Times New Roman" w:hAnsi="Times New Roman" w:cs="Times New Roman"/>
          <w:sz w:val="24"/>
          <w:szCs w:val="24"/>
        </w:rPr>
        <w:t>153</w:t>
      </w:r>
      <w:r w:rsidR="00792665">
        <w:rPr>
          <w:rFonts w:ascii="Times New Roman" w:hAnsi="Times New Roman" w:cs="Times New Roman"/>
          <w:sz w:val="24"/>
          <w:szCs w:val="24"/>
        </w:rPr>
        <w:t>.</w:t>
      </w:r>
    </w:p>
    <w:p w14:paraId="57C93D44" w14:textId="0E5C48D7"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[8] Jenkins H</w:t>
      </w:r>
      <w:r w:rsidR="00792665">
        <w:rPr>
          <w:rFonts w:ascii="Times New Roman" w:hAnsi="Times New Roman" w:cs="Times New Roman"/>
          <w:sz w:val="24"/>
          <w:szCs w:val="24"/>
        </w:rPr>
        <w:t>, 2006,</w:t>
      </w:r>
      <w:r w:rsidRPr="00666A4F">
        <w:rPr>
          <w:rFonts w:ascii="Times New Roman" w:hAnsi="Times New Roman" w:cs="Times New Roman"/>
          <w:sz w:val="24"/>
          <w:szCs w:val="24"/>
        </w:rPr>
        <w:t xml:space="preserve"> Convergence Culture: Where Old and New Media Collide. New York University Press, </w:t>
      </w:r>
      <w:r w:rsidR="00792665" w:rsidRPr="00792665">
        <w:rPr>
          <w:rFonts w:ascii="Times New Roman" w:hAnsi="Times New Roman" w:cs="Times New Roman"/>
          <w:sz w:val="24"/>
          <w:szCs w:val="24"/>
        </w:rPr>
        <w:t>New York</w:t>
      </w:r>
      <w:r w:rsidR="00792665">
        <w:rPr>
          <w:rFonts w:ascii="Times New Roman" w:hAnsi="Times New Roman" w:cs="Times New Roman"/>
          <w:sz w:val="24"/>
          <w:szCs w:val="24"/>
        </w:rPr>
        <w:t>.</w:t>
      </w:r>
    </w:p>
    <w:p w14:paraId="5E402F1F" w14:textId="20784E4D"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[9] Long D</w:t>
      </w:r>
      <w:r w:rsidR="00792665">
        <w:rPr>
          <w:rFonts w:ascii="Times New Roman" w:hAnsi="Times New Roman" w:cs="Times New Roman"/>
          <w:sz w:val="24"/>
          <w:szCs w:val="24"/>
        </w:rPr>
        <w:t>Y, 2019,</w:t>
      </w:r>
      <w:r w:rsidRPr="00666A4F">
        <w:rPr>
          <w:rFonts w:ascii="Times New Roman" w:hAnsi="Times New Roman" w:cs="Times New Roman"/>
          <w:sz w:val="24"/>
          <w:szCs w:val="24"/>
        </w:rPr>
        <w:t xml:space="preserve"> Transcendental Thinking and Transmedia Narration. Literary Theory and Criticism, 39(3):</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184</w:t>
      </w:r>
      <w:r w:rsidR="00792665">
        <w:rPr>
          <w:rFonts w:ascii="Times New Roman" w:hAnsi="Times New Roman" w:cs="Times New Roman"/>
          <w:sz w:val="24"/>
          <w:szCs w:val="24"/>
        </w:rPr>
        <w:t>–</w:t>
      </w:r>
      <w:r w:rsidRPr="00666A4F">
        <w:rPr>
          <w:rFonts w:ascii="Times New Roman" w:hAnsi="Times New Roman" w:cs="Times New Roman"/>
          <w:sz w:val="24"/>
          <w:szCs w:val="24"/>
        </w:rPr>
        <w:t>185.</w:t>
      </w:r>
    </w:p>
    <w:p w14:paraId="5F5C94CC" w14:textId="38A67FAB"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[10] Xiang Y, Bai X</w:t>
      </w:r>
      <w:r w:rsidR="00792665">
        <w:rPr>
          <w:rFonts w:ascii="Times New Roman" w:hAnsi="Times New Roman" w:cs="Times New Roman"/>
          <w:sz w:val="24"/>
          <w:szCs w:val="24"/>
        </w:rPr>
        <w:t>J, 2017,</w:t>
      </w:r>
      <w:r w:rsidRPr="00666A4F">
        <w:rPr>
          <w:rFonts w:ascii="Times New Roman" w:hAnsi="Times New Roman" w:cs="Times New Roman"/>
          <w:sz w:val="24"/>
          <w:szCs w:val="24"/>
        </w:rPr>
        <w:t xml:space="preserve"> Audience Positioning and Value Evolution of IP Development in the New Normal Era. Journal of Peking University (Philosophy and Social Sciences), 54(1):</w:t>
      </w:r>
      <w:r w:rsidR="00792665">
        <w:rPr>
          <w:rFonts w:ascii="Times New Roman" w:hAnsi="Times New Roman" w:cs="Times New Roman"/>
          <w:sz w:val="24"/>
          <w:szCs w:val="24"/>
        </w:rPr>
        <w:t xml:space="preserve"> </w:t>
      </w:r>
      <w:r w:rsidRPr="00666A4F">
        <w:rPr>
          <w:rFonts w:ascii="Times New Roman" w:hAnsi="Times New Roman" w:cs="Times New Roman"/>
          <w:sz w:val="24"/>
          <w:szCs w:val="24"/>
        </w:rPr>
        <w:t>130</w:t>
      </w:r>
      <w:r w:rsidR="00792665">
        <w:rPr>
          <w:rFonts w:ascii="Times New Roman" w:hAnsi="Times New Roman" w:cs="Times New Roman"/>
          <w:sz w:val="24"/>
          <w:szCs w:val="24"/>
        </w:rPr>
        <w:t>–</w:t>
      </w:r>
      <w:r w:rsidRPr="00666A4F">
        <w:rPr>
          <w:rFonts w:ascii="Times New Roman" w:hAnsi="Times New Roman" w:cs="Times New Roman"/>
          <w:sz w:val="24"/>
          <w:szCs w:val="24"/>
        </w:rPr>
        <w:t>131.</w:t>
      </w:r>
    </w:p>
    <w:p w14:paraId="7DC53C75" w14:textId="04A41C1B"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[11] Research Group on “Innovative Educational Approaches to the Inheritance of Traditional Culture among Cross-border Ethnic Minorities in Yunnan”</w:t>
      </w:r>
      <w:r w:rsidR="00FB578F">
        <w:rPr>
          <w:rFonts w:ascii="Times New Roman" w:hAnsi="Times New Roman" w:cs="Times New Roman"/>
          <w:sz w:val="24"/>
          <w:szCs w:val="24"/>
        </w:rPr>
        <w:t>, 2020,</w:t>
      </w:r>
      <w:r w:rsidRPr="00666A4F">
        <w:rPr>
          <w:rFonts w:ascii="Times New Roman" w:hAnsi="Times New Roman" w:cs="Times New Roman"/>
          <w:sz w:val="24"/>
          <w:szCs w:val="24"/>
        </w:rPr>
        <w:t xml:space="preserve"> Report on the Protection and Development of Intangible Cultural Heritage of Ethnic Minorities in Yunnan Province (2006–2019). Report on the Development of Intangible Cultural Heritage of China’s Ethnic Minorities (2020). Social Sciences Academic Press, </w:t>
      </w:r>
      <w:r w:rsidR="00FB578F" w:rsidRPr="00FB578F">
        <w:rPr>
          <w:rFonts w:ascii="Times New Roman" w:hAnsi="Times New Roman" w:cs="Times New Roman"/>
          <w:sz w:val="24"/>
          <w:szCs w:val="24"/>
        </w:rPr>
        <w:t>Beijing</w:t>
      </w:r>
      <w:r w:rsidR="00FB578F">
        <w:rPr>
          <w:rFonts w:ascii="Times New Roman" w:hAnsi="Times New Roman" w:cs="Times New Roman"/>
          <w:sz w:val="24"/>
          <w:szCs w:val="24"/>
        </w:rPr>
        <w:t>,</w:t>
      </w:r>
      <w:r w:rsidRPr="00666A4F">
        <w:rPr>
          <w:rFonts w:ascii="Times New Roman" w:hAnsi="Times New Roman" w:cs="Times New Roman"/>
          <w:sz w:val="24"/>
          <w:szCs w:val="24"/>
        </w:rPr>
        <w:t xml:space="preserve"> 77–103. https://www.pishu.com.cn/skwx_ps/initDatabaseDetail?siteId=14&amp;contentId=12904364&amp;contentType=literature </w:t>
      </w:r>
    </w:p>
    <w:p w14:paraId="1F49AD7C" w14:textId="304192B3" w:rsidR="00C8711D" w:rsidRPr="00666A4F" w:rsidRDefault="00FB578F" w:rsidP="00C8711D">
      <w:pPr>
        <w:rPr>
          <w:rFonts w:ascii="Times New Roman" w:hAnsi="Times New Roman" w:cs="Times New Roman"/>
          <w:sz w:val="24"/>
          <w:szCs w:val="24"/>
        </w:rPr>
      </w:pPr>
      <w:r>
        <w:rPr>
          <w:rFonts w:ascii="Times New Roman" w:hAnsi="Times New Roman" w:cs="Times New Roman"/>
          <w:sz w:val="24"/>
          <w:szCs w:val="24"/>
        </w:rPr>
        <w:t xml:space="preserve">[12] </w:t>
      </w:r>
      <w:r w:rsidR="00C8711D" w:rsidRPr="00666A4F">
        <w:rPr>
          <w:rFonts w:ascii="Times New Roman" w:hAnsi="Times New Roman" w:cs="Times New Roman"/>
          <w:sz w:val="24"/>
          <w:szCs w:val="24"/>
        </w:rPr>
        <w:t>Ministry of Economy, Trade and Industry</w:t>
      </w:r>
      <w:r>
        <w:rPr>
          <w:rFonts w:ascii="Times New Roman" w:hAnsi="Times New Roman" w:cs="Times New Roman"/>
          <w:sz w:val="24"/>
          <w:szCs w:val="24"/>
        </w:rPr>
        <w:t>, 1974,</w:t>
      </w:r>
      <w:r w:rsidR="00C8711D" w:rsidRPr="00666A4F">
        <w:rPr>
          <w:rFonts w:ascii="Times New Roman" w:hAnsi="Times New Roman" w:cs="Times New Roman"/>
          <w:sz w:val="24"/>
          <w:szCs w:val="24"/>
        </w:rPr>
        <w:t xml:space="preserve"> Overview of the Traditional Craft Industry Promotion Act. Ministry of Economy, Trade and Industry, </w:t>
      </w:r>
      <w:r w:rsidRPr="00FB578F">
        <w:rPr>
          <w:rFonts w:ascii="Times New Roman" w:hAnsi="Times New Roman" w:cs="Times New Roman"/>
          <w:sz w:val="24"/>
          <w:szCs w:val="24"/>
        </w:rPr>
        <w:t>Tokyo</w:t>
      </w:r>
      <w:r w:rsidR="00C8711D" w:rsidRPr="00666A4F">
        <w:rPr>
          <w:rFonts w:ascii="Times New Roman" w:hAnsi="Times New Roman" w:cs="Times New Roman"/>
          <w:sz w:val="24"/>
          <w:szCs w:val="24"/>
        </w:rPr>
        <w:t>.</w:t>
      </w:r>
      <w:r>
        <w:rPr>
          <w:rFonts w:ascii="Times New Roman" w:hAnsi="Times New Roman" w:cs="Times New Roman"/>
          <w:sz w:val="24"/>
          <w:szCs w:val="24"/>
        </w:rPr>
        <w:t xml:space="preserve"> </w:t>
      </w:r>
      <w:r w:rsidR="00C8711D" w:rsidRPr="00666A4F">
        <w:rPr>
          <w:rFonts w:ascii="Times New Roman" w:hAnsi="Times New Roman" w:cs="Times New Roman"/>
          <w:sz w:val="24"/>
          <w:szCs w:val="24"/>
        </w:rPr>
        <w:t xml:space="preserve">https://www.meti.go.jp/ </w:t>
      </w:r>
    </w:p>
    <w:p w14:paraId="25AE2199" w14:textId="3EC46E0F" w:rsidR="00C8711D" w:rsidRPr="00666A4F" w:rsidRDefault="00FB578F" w:rsidP="00C8711D">
      <w:pPr>
        <w:rPr>
          <w:rFonts w:ascii="Times New Roman" w:hAnsi="Times New Roman" w:cs="Times New Roman"/>
          <w:sz w:val="24"/>
          <w:szCs w:val="24"/>
        </w:rPr>
      </w:pPr>
      <w:r>
        <w:rPr>
          <w:rFonts w:ascii="Times New Roman" w:hAnsi="Times New Roman" w:cs="Times New Roman"/>
          <w:sz w:val="24"/>
          <w:szCs w:val="24"/>
        </w:rPr>
        <w:t xml:space="preserve">[13] </w:t>
      </w:r>
      <w:r w:rsidR="00C8711D" w:rsidRPr="00666A4F">
        <w:rPr>
          <w:rFonts w:ascii="Times New Roman" w:hAnsi="Times New Roman" w:cs="Times New Roman"/>
          <w:sz w:val="24"/>
          <w:szCs w:val="24"/>
        </w:rPr>
        <w:t>Ishikawa Prefecture Traditional Craft Industry Promotion Association</w:t>
      </w:r>
      <w:r>
        <w:rPr>
          <w:rFonts w:ascii="Times New Roman" w:hAnsi="Times New Roman" w:cs="Times New Roman"/>
          <w:sz w:val="24"/>
          <w:szCs w:val="24"/>
        </w:rPr>
        <w:t>, 2022,</w:t>
      </w:r>
      <w:r w:rsidR="00C8711D" w:rsidRPr="00666A4F">
        <w:rPr>
          <w:rFonts w:ascii="Times New Roman" w:hAnsi="Times New Roman" w:cs="Times New Roman"/>
          <w:sz w:val="24"/>
          <w:szCs w:val="24"/>
        </w:rPr>
        <w:t xml:space="preserve"> Statistical Yearbook of Ishikawa Prefecture. Ishikawa Prefecture Traditional Craft Industry Promotion Association, </w:t>
      </w:r>
      <w:r w:rsidRPr="00FB578F">
        <w:rPr>
          <w:rFonts w:ascii="Times New Roman" w:hAnsi="Times New Roman" w:cs="Times New Roman"/>
          <w:sz w:val="24"/>
          <w:szCs w:val="24"/>
        </w:rPr>
        <w:t>Kanazawa</w:t>
      </w:r>
      <w:r>
        <w:rPr>
          <w:rFonts w:ascii="Times New Roman" w:hAnsi="Times New Roman" w:cs="Times New Roman"/>
          <w:sz w:val="24"/>
          <w:szCs w:val="24"/>
        </w:rPr>
        <w:t xml:space="preserve">. </w:t>
      </w:r>
      <w:r w:rsidR="00C8711D" w:rsidRPr="00666A4F">
        <w:rPr>
          <w:rFonts w:ascii="Times New Roman" w:hAnsi="Times New Roman" w:cs="Times New Roman"/>
          <w:sz w:val="24"/>
          <w:szCs w:val="24"/>
        </w:rPr>
        <w:t xml:space="preserve">https://toukei.pref.ishikawa.lg.jp/library/2021.html </w:t>
      </w:r>
    </w:p>
    <w:p w14:paraId="04492536" w14:textId="53B7D598" w:rsidR="00C8711D" w:rsidRPr="00666A4F" w:rsidRDefault="00C8711D" w:rsidP="00C8711D">
      <w:pPr>
        <w:rPr>
          <w:rFonts w:ascii="Times New Roman" w:hAnsi="Times New Roman" w:cs="Times New Roman"/>
          <w:sz w:val="24"/>
          <w:szCs w:val="24"/>
        </w:rPr>
      </w:pPr>
      <w:r w:rsidRPr="00666A4F">
        <w:rPr>
          <w:rFonts w:ascii="Times New Roman" w:hAnsi="Times New Roman" w:cs="Times New Roman"/>
          <w:sz w:val="24"/>
          <w:szCs w:val="24"/>
        </w:rPr>
        <w:t>[14] Guo X</w:t>
      </w:r>
      <w:r w:rsidR="00FB578F">
        <w:rPr>
          <w:rFonts w:ascii="Times New Roman" w:hAnsi="Times New Roman" w:cs="Times New Roman"/>
          <w:sz w:val="24"/>
          <w:szCs w:val="24"/>
        </w:rPr>
        <w:t>R</w:t>
      </w:r>
      <w:r w:rsidRPr="00666A4F">
        <w:rPr>
          <w:rFonts w:ascii="Times New Roman" w:hAnsi="Times New Roman" w:cs="Times New Roman"/>
          <w:sz w:val="24"/>
          <w:szCs w:val="24"/>
        </w:rPr>
        <w:t>, Shen J</w:t>
      </w:r>
      <w:r w:rsidR="00FB578F">
        <w:rPr>
          <w:rFonts w:ascii="Times New Roman" w:hAnsi="Times New Roman" w:cs="Times New Roman"/>
          <w:sz w:val="24"/>
          <w:szCs w:val="24"/>
        </w:rPr>
        <w:t>, 2024,</w:t>
      </w:r>
      <w:r w:rsidRPr="00666A4F">
        <w:rPr>
          <w:rFonts w:ascii="Times New Roman" w:hAnsi="Times New Roman" w:cs="Times New Roman"/>
          <w:sz w:val="24"/>
          <w:szCs w:val="24"/>
        </w:rPr>
        <w:t xml:space="preserve"> Analysis of the Impact of Digital Dissemination of Intangible Cultural Heritage from a Value Chain Perspective. Southeast Academic, 2024(3): 228–229.</w:t>
      </w:r>
    </w:p>
    <w:p w14:paraId="29B30F9B" w14:textId="77777777" w:rsidR="00F34109" w:rsidRPr="00666A4F" w:rsidRDefault="00F34109" w:rsidP="00C8711D">
      <w:pPr>
        <w:rPr>
          <w:rFonts w:ascii="Times New Roman" w:hAnsi="Times New Roman" w:cs="Times New Roman"/>
          <w:sz w:val="24"/>
          <w:szCs w:val="24"/>
        </w:rPr>
      </w:pPr>
    </w:p>
    <w:p w14:paraId="3F3F1BCD" w14:textId="77777777" w:rsidR="00F34109" w:rsidRPr="00666A4F" w:rsidRDefault="00F34109" w:rsidP="00F34109">
      <w:pPr>
        <w:rPr>
          <w:rFonts w:ascii="Times New Roman" w:hAnsi="Times New Roman"/>
          <w:b/>
          <w:bCs/>
          <w:sz w:val="20"/>
          <w:szCs w:val="20"/>
        </w:rPr>
      </w:pPr>
      <w:r w:rsidRPr="00666A4F">
        <w:rPr>
          <w:rFonts w:ascii="Times New Roman" w:hAnsi="Times New Roman"/>
          <w:b/>
          <w:bCs/>
          <w:sz w:val="20"/>
          <w:szCs w:val="20"/>
        </w:rPr>
        <w:lastRenderedPageBreak/>
        <w:t>Publisher’s note</w:t>
      </w:r>
    </w:p>
    <w:p w14:paraId="71FAD80B" w14:textId="626C49AB" w:rsidR="00F34109" w:rsidRPr="00F34109" w:rsidRDefault="00F34109" w:rsidP="00C8711D">
      <w:pPr>
        <w:rPr>
          <w:rFonts w:ascii="Times New Roman" w:hAnsi="Times New Roman"/>
          <w:sz w:val="20"/>
          <w:szCs w:val="20"/>
        </w:rPr>
      </w:pPr>
      <w:r w:rsidRPr="00666A4F">
        <w:rPr>
          <w:rFonts w:ascii="Times New Roman" w:hAnsi="Times New Roman"/>
          <w:sz w:val="20"/>
          <w:szCs w:val="20"/>
        </w:rPr>
        <w:t>Bio-Byword Scientific Publishing remains neutral with regard to jurisdictional claims in published maps and institutional affiliations.</w:t>
      </w:r>
    </w:p>
    <w:sectPr w:rsidR="00F34109" w:rsidRPr="00F3410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37D"/>
    <w:rsid w:val="00025269"/>
    <w:rsid w:val="000D2E98"/>
    <w:rsid w:val="002F0AB8"/>
    <w:rsid w:val="003C0376"/>
    <w:rsid w:val="0053484B"/>
    <w:rsid w:val="006226AB"/>
    <w:rsid w:val="00666A4F"/>
    <w:rsid w:val="00792665"/>
    <w:rsid w:val="008D7AEF"/>
    <w:rsid w:val="00952DE2"/>
    <w:rsid w:val="009C655A"/>
    <w:rsid w:val="00B02B1B"/>
    <w:rsid w:val="00B9237D"/>
    <w:rsid w:val="00BA7BE1"/>
    <w:rsid w:val="00C8711D"/>
    <w:rsid w:val="00CB1A74"/>
    <w:rsid w:val="00CD774A"/>
    <w:rsid w:val="00F05583"/>
    <w:rsid w:val="00F34109"/>
    <w:rsid w:val="00FB578F"/>
    <w:rsid w:val="00FC27AD"/>
    <w:rsid w:val="02FA1FE6"/>
    <w:rsid w:val="04DF5F2E"/>
    <w:rsid w:val="26681E0D"/>
    <w:rsid w:val="36EE313C"/>
    <w:rsid w:val="731F7D52"/>
    <w:rsid w:val="73C03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01DE"/>
  <w15:docId w15:val="{839BA7E7-0E66-49CC-93A0-C0AC7628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paragraph" w:styleId="Heading1">
    <w:name w:val="heading 1"/>
    <w:next w:val="Normal"/>
    <w:qFormat/>
    <w:pPr>
      <w:spacing w:before="380" w:after="140" w:line="288" w:lineRule="auto"/>
      <w:outlineLvl w:val="0"/>
    </w:pPr>
    <w:rPr>
      <w:rFonts w:ascii="Arial" w:eastAsia="DengXian" w:hAnsi="Arial" w:cs="Arial"/>
      <w:b/>
      <w:bCs/>
      <w:sz w:val="36"/>
      <w:szCs w:val="36"/>
    </w:rPr>
  </w:style>
  <w:style w:type="paragraph" w:styleId="Heading2">
    <w:name w:val="heading 2"/>
    <w:next w:val="Normal"/>
    <w:qFormat/>
    <w:pPr>
      <w:spacing w:before="320" w:after="120" w:line="288" w:lineRule="auto"/>
      <w:outlineLvl w:val="1"/>
    </w:pPr>
    <w:rPr>
      <w:rFonts w:ascii="Arial" w:eastAsia="DengXian" w:hAnsi="Arial" w:cs="Arial"/>
      <w:b/>
      <w:bCs/>
      <w:sz w:val="32"/>
      <w:szCs w:val="32"/>
    </w:rPr>
  </w:style>
  <w:style w:type="paragraph" w:styleId="Heading3">
    <w:name w:val="heading 3"/>
    <w:next w:val="Normal"/>
    <w:qFormat/>
    <w:pPr>
      <w:spacing w:before="300" w:after="120" w:line="288" w:lineRule="auto"/>
      <w:outlineLvl w:val="2"/>
    </w:pPr>
    <w:rPr>
      <w:rFonts w:ascii="Arial" w:eastAsia="DengXian" w:hAnsi="Arial" w:cs="Arial"/>
      <w:b/>
      <w:bCs/>
      <w:sz w:val="30"/>
      <w:szCs w:val="30"/>
    </w:rPr>
  </w:style>
  <w:style w:type="paragraph" w:styleId="Heading4">
    <w:name w:val="heading 4"/>
    <w:next w:val="Normal"/>
    <w:qFormat/>
    <w:pPr>
      <w:spacing w:before="260" w:after="120" w:line="288" w:lineRule="auto"/>
      <w:outlineLvl w:val="3"/>
    </w:pPr>
    <w:rPr>
      <w:rFonts w:ascii="Arial" w:eastAsia="DengXian" w:hAnsi="Arial" w:cs="Arial"/>
      <w:b/>
      <w:bCs/>
      <w:sz w:val="28"/>
      <w:szCs w:val="28"/>
    </w:rPr>
  </w:style>
  <w:style w:type="paragraph" w:styleId="Heading5">
    <w:name w:val="heading 5"/>
    <w:next w:val="Normal"/>
    <w:qFormat/>
    <w:pPr>
      <w:spacing w:before="240" w:after="120" w:line="288" w:lineRule="auto"/>
      <w:outlineLvl w:val="4"/>
    </w:pPr>
    <w:rPr>
      <w:rFonts w:ascii="Arial" w:eastAsia="DengXian" w:hAnsi="Arial" w:cs="Arial"/>
      <w:b/>
      <w:bCs/>
      <w:sz w:val="24"/>
      <w:szCs w:val="24"/>
    </w:rPr>
  </w:style>
  <w:style w:type="paragraph" w:styleId="Heading6">
    <w:name w:val="heading 6"/>
    <w:next w:val="Normal"/>
    <w:qFormat/>
    <w:pPr>
      <w:spacing w:before="240" w:after="120" w:line="288" w:lineRule="auto"/>
      <w:outlineLvl w:val="5"/>
    </w:pPr>
    <w:rPr>
      <w:rFonts w:ascii="Arial" w:eastAsia="DengXi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FootnoteText">
    <w:name w:val="footnote text"/>
    <w:link w:val="FootnoteTextChar"/>
    <w:uiPriority w:val="99"/>
    <w:semiHidden/>
    <w:unhideWhenUsed/>
    <w:qFormat/>
  </w:style>
  <w:style w:type="paragraph" w:styleId="Title">
    <w:name w:val="Title"/>
    <w:qFormat/>
    <w:pPr>
      <w:spacing w:before="480" w:after="480" w:line="288" w:lineRule="auto"/>
    </w:pPr>
    <w:rPr>
      <w:rFonts w:ascii="Arial" w:eastAsia="DengXian" w:hAnsi="Arial" w:cs="Arial"/>
      <w:b/>
      <w:bCs/>
      <w:sz w:val="52"/>
      <w:szCs w:val="52"/>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styleId="ListParagraph">
    <w:name w:val="List Paragraph"/>
    <w:qFormat/>
    <w:rPr>
      <w:sz w:val="21"/>
      <w:szCs w:val="22"/>
    </w:rPr>
  </w:style>
  <w:style w:type="character" w:customStyle="1" w:styleId="FootnoteTextChar">
    <w:name w:val="Footnote Text Char"/>
    <w:link w:val="FootnoteText"/>
    <w:uiPriority w:val="99"/>
    <w:semiHidden/>
    <w:unhideWhenUsed/>
    <w:qFormat/>
    <w:rPr>
      <w:sz w:val="20"/>
      <w:szCs w:val="20"/>
    </w:rPr>
  </w:style>
  <w:style w:type="paragraph" w:customStyle="1" w:styleId="Style13">
    <w:name w:val="_Style 13"/>
    <w:qFormat/>
    <w:pPr>
      <w:spacing w:before="120" w:after="120" w:line="288" w:lineRule="auto"/>
    </w:pPr>
    <w:rPr>
      <w:rFonts w:ascii="Arial" w:eastAsia="DengXian" w:hAnsi="Arial" w:cs="Arial"/>
      <w:sz w:val="22"/>
      <w:szCs w:val="22"/>
    </w:rPr>
  </w:style>
  <w:style w:type="paragraph" w:customStyle="1" w:styleId="Style14">
    <w:name w:val="_Style 14"/>
    <w:qFormat/>
    <w:pPr>
      <w:spacing w:before="120" w:after="120" w:line="288" w:lineRule="auto"/>
    </w:pPr>
    <w:rPr>
      <w:rFonts w:ascii="Arial" w:eastAsia="DengXian" w:hAnsi="Arial" w:cs="Arial"/>
      <w:color w:val="8F959E"/>
      <w:sz w:val="22"/>
      <w:szCs w:val="22"/>
    </w:rPr>
  </w:style>
  <w:style w:type="character" w:styleId="CommentReference">
    <w:name w:val="annotation reference"/>
    <w:basedOn w:val="DefaultParagraphFont"/>
    <w:rPr>
      <w:sz w:val="16"/>
      <w:szCs w:val="16"/>
    </w:rPr>
  </w:style>
  <w:style w:type="paragraph" w:styleId="Revision">
    <w:name w:val="Revision"/>
    <w:hidden/>
    <w:uiPriority w:val="99"/>
    <w:unhideWhenUsed/>
    <w:rsid w:val="00CD774A"/>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09E3A-2177-40A1-9079-0B41E8BB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2907</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 NB</cp:lastModifiedBy>
  <cp:revision>3</cp:revision>
  <dcterms:created xsi:type="dcterms:W3CDTF">2026-07-30T03:36:00Z</dcterms:created>
  <dcterms:modified xsi:type="dcterms:W3CDTF">2026-07-30T03:36:00Z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eyJoZGlkIjoiYWM4ODQ5ZGM0Yzg2MWYxZjA0NGRlMDEyODcyYTQ1NTIiLCJ1c2VySWQiOiIyNTY3MDg3MDgifQ==</vt:lpwstr>
  </property>
  <property fmtid="{D5CDD505-2E9C-101B-9397-08002B2CF9AE}" pid="3" name="KSOProductBuildVer">
    <vt:lpwstr>2052-12.1.0.26895</vt:lpwstr>
  </property>
  <property fmtid="{D5CDD505-2E9C-101B-9397-08002B2CF9AE}" pid="4" name="ICV">
    <vt:lpwstr>7648C619872341CA97BB74CCE034414C_12</vt:lpwstr>
  </property>
  <property fmtid="{D5CDD505-2E9C-101B-9397-08002B2CF9AE}" pid="5" name="GrammarlyDocumentId">
    <vt:lpwstr>1fac12c1-bafd-40c7-9658-3b29f57eee4a</vt:lpwstr>
  </property>
</Properties>
</file>