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DC6060" w14:textId="77777777" w:rsidR="00FF5833" w:rsidRPr="000C05D9" w:rsidRDefault="00DD175B" w:rsidP="000C05D9">
      <w:pPr>
        <w:pStyle w:val="BodyText"/>
        <w:snapToGrid w:val="0"/>
        <w:spacing w:before="0" w:after="0"/>
        <w:rPr>
          <w:rFonts w:ascii="Times New Roman" w:hAnsi="Times New Roman" w:cs="Times New Roman"/>
          <w:b/>
          <w:bCs/>
          <w:sz w:val="44"/>
          <w:szCs w:val="44"/>
          <w:lang w:eastAsia="zh-CN"/>
        </w:rPr>
      </w:pPr>
      <w:r w:rsidRPr="000C05D9">
        <w:rPr>
          <w:rFonts w:ascii="Times New Roman" w:hAnsi="Times New Roman" w:cs="Times New Roman"/>
          <w:b/>
          <w:bCs/>
          <w:sz w:val="44"/>
          <w:szCs w:val="44"/>
          <w:lang w:eastAsia="zh-CN"/>
        </w:rPr>
        <w:t>Design of a High-Voltage Constant-Voltage/Constant-Current Power Supply Based on a PSFB Topology and an Automatic Frequency-Conversion Strategy</w:t>
      </w:r>
    </w:p>
    <w:p w14:paraId="1B1CD7E1" w14:textId="77777777" w:rsidR="00FF5833" w:rsidRPr="000C05D9" w:rsidRDefault="00DD175B" w:rsidP="000C05D9">
      <w:pPr>
        <w:pStyle w:val="BodyText"/>
        <w:snapToGrid w:val="0"/>
        <w:spacing w:before="0" w:after="0"/>
        <w:jc w:val="both"/>
        <w:rPr>
          <w:rFonts w:ascii="Times New Roman" w:hAnsi="Times New Roman" w:cs="Times New Roman"/>
          <w:b/>
          <w:bCs/>
          <w:lang w:eastAsia="zh-CN"/>
        </w:rPr>
      </w:pPr>
      <w:proofErr w:type="spellStart"/>
      <w:r w:rsidRPr="000C05D9">
        <w:rPr>
          <w:rFonts w:ascii="Times New Roman" w:hAnsi="Times New Roman" w:cs="Times New Roman" w:hint="eastAsia"/>
          <w:b/>
          <w:bCs/>
          <w:lang w:eastAsia="zh-CN"/>
        </w:rPr>
        <w:t>Yuepu</w:t>
      </w:r>
      <w:proofErr w:type="spellEnd"/>
      <w:r w:rsidRPr="000C05D9">
        <w:rPr>
          <w:rFonts w:ascii="Times New Roman" w:hAnsi="Times New Roman" w:cs="Times New Roman" w:hint="eastAsia"/>
          <w:b/>
          <w:bCs/>
          <w:lang w:eastAsia="zh-CN"/>
        </w:rPr>
        <w:t xml:space="preserve"> Sun</w:t>
      </w:r>
    </w:p>
    <w:p w14:paraId="3C929B45" w14:textId="386AF0E4" w:rsidR="00FF5833" w:rsidRPr="00E7328D" w:rsidRDefault="00DD175B" w:rsidP="000C05D9">
      <w:pPr>
        <w:pStyle w:val="BodyText"/>
        <w:snapToGrid w:val="0"/>
        <w:spacing w:before="0" w:after="0"/>
        <w:jc w:val="both"/>
        <w:rPr>
          <w:rFonts w:ascii="Times New Roman" w:hAnsi="Times New Roman" w:cs="Times New Roman"/>
          <w:lang w:eastAsia="zh-CN"/>
        </w:rPr>
      </w:pPr>
      <w:r w:rsidRPr="000C05D9">
        <w:rPr>
          <w:rFonts w:ascii="Times New Roman" w:hAnsi="Times New Roman" w:cs="Times New Roman"/>
          <w:lang w:eastAsia="zh-CN"/>
        </w:rPr>
        <w:t>WLSA Shanghai Academy</w:t>
      </w:r>
      <w:r w:rsidR="00E7328D" w:rsidRPr="00E7328D">
        <w:rPr>
          <w:rFonts w:ascii="Times New Roman" w:hAnsi="Times New Roman" w:cs="Times New Roman"/>
          <w:lang w:eastAsia="zh-CN"/>
        </w:rPr>
        <w:t>,</w:t>
      </w:r>
      <w:r w:rsidRPr="000C05D9">
        <w:rPr>
          <w:rFonts w:ascii="Times New Roman" w:hAnsi="Times New Roman" w:cs="Times New Roman"/>
          <w:lang w:eastAsia="zh-CN"/>
        </w:rPr>
        <w:t xml:space="preserve"> </w:t>
      </w:r>
      <w:r w:rsidRPr="000C05D9">
        <w:rPr>
          <w:rFonts w:ascii="Times New Roman" w:hAnsi="Times New Roman" w:cs="Times New Roman"/>
          <w:lang w:eastAsia="zh-CN"/>
        </w:rPr>
        <w:t>Shanghai</w:t>
      </w:r>
      <w:r w:rsidRPr="000C05D9">
        <w:rPr>
          <w:rFonts w:ascii="Times New Roman" w:hAnsi="Times New Roman" w:cs="Times New Roman"/>
          <w:lang w:eastAsia="zh-CN"/>
        </w:rPr>
        <w:t xml:space="preserve"> </w:t>
      </w:r>
      <w:r w:rsidRPr="000C05D9">
        <w:rPr>
          <w:rFonts w:ascii="Times New Roman" w:hAnsi="Times New Roman" w:cs="Times New Roman"/>
          <w:lang w:eastAsia="zh-CN"/>
        </w:rPr>
        <w:t xml:space="preserve">201901, China </w:t>
      </w:r>
      <w:r w:rsidRPr="000C05D9">
        <w:rPr>
          <w:rFonts w:ascii="Times New Roman" w:hAnsi="Times New Roman" w:cs="Times New Roman"/>
          <w:lang w:eastAsia="zh-CN"/>
        </w:rPr>
        <w:t xml:space="preserve"> </w:t>
      </w:r>
    </w:p>
    <w:p w14:paraId="5F5B794F" w14:textId="77777777" w:rsidR="00FF5833" w:rsidRPr="00E7328D" w:rsidRDefault="00FF5833" w:rsidP="00E7328D">
      <w:pPr>
        <w:pStyle w:val="BodyText"/>
        <w:snapToGrid w:val="0"/>
        <w:spacing w:before="0" w:after="0"/>
        <w:jc w:val="both"/>
        <w:rPr>
          <w:rFonts w:ascii="Times New Roman" w:hAnsi="Times New Roman" w:cs="Times New Roman"/>
          <w:lang w:eastAsia="zh-CN"/>
        </w:rPr>
      </w:pPr>
    </w:p>
    <w:p w14:paraId="26BB8B04" w14:textId="77777777" w:rsidR="00E7328D" w:rsidRPr="000C05D9" w:rsidRDefault="00E7328D" w:rsidP="000C05D9">
      <w:pPr>
        <w:snapToGrid w:val="0"/>
        <w:spacing w:after="0"/>
        <w:rPr>
          <w:rFonts w:ascii="Times New Roman" w:hAnsi="Times New Roman" w:cs="Times New Roman"/>
          <w:sz w:val="20"/>
          <w:szCs w:val="20"/>
        </w:rPr>
      </w:pPr>
      <w:r w:rsidRPr="000C05D9">
        <w:rPr>
          <w:rFonts w:ascii="Times New Roman" w:hAnsi="Times New Roman" w:cs="Times New Roman"/>
          <w:b/>
          <w:bCs/>
          <w:sz w:val="20"/>
          <w:szCs w:val="20"/>
        </w:rPr>
        <w:t>Copyright:</w:t>
      </w:r>
      <w:r w:rsidRPr="000C05D9">
        <w:rPr>
          <w:rFonts w:ascii="Times New Roman" w:hAnsi="Times New Roman" w:cs="Times New Roman"/>
          <w:sz w:val="20"/>
          <w:szCs w:val="20"/>
        </w:rPr>
        <w:t xml:space="preserve"> © 2026 Author(s). This is an open-access article distributed under the terms of the Creative Commons Attribution License (CC BY 4.0), permitting distribution and reproduction in any medium, provided the original work is cited.</w:t>
      </w:r>
    </w:p>
    <w:p w14:paraId="4F666849" w14:textId="77777777" w:rsidR="00E7328D" w:rsidRPr="00E7328D" w:rsidRDefault="00E7328D" w:rsidP="000C05D9">
      <w:pPr>
        <w:pStyle w:val="BodyText"/>
        <w:snapToGrid w:val="0"/>
        <w:spacing w:before="0" w:after="0"/>
        <w:jc w:val="both"/>
        <w:rPr>
          <w:rFonts w:ascii="Times New Roman" w:hAnsi="Times New Roman" w:cs="Times New Roman"/>
          <w:lang w:eastAsia="zh-CN"/>
        </w:rPr>
      </w:pPr>
    </w:p>
    <w:p w14:paraId="5349C455" w14:textId="77777777" w:rsidR="00FF5833" w:rsidRDefault="00DD175B" w:rsidP="000C05D9">
      <w:pPr>
        <w:pStyle w:val="BodyText"/>
        <w:snapToGrid w:val="0"/>
        <w:spacing w:before="0" w:after="0"/>
        <w:jc w:val="both"/>
        <w:rPr>
          <w:rFonts w:ascii="Times New Roman" w:hAnsi="Times New Roman" w:cs="Times New Roman"/>
          <w:lang w:eastAsia="zh-CN"/>
        </w:rPr>
      </w:pPr>
      <w:r w:rsidRPr="000C05D9">
        <w:rPr>
          <w:rFonts w:ascii="Times New Roman" w:hAnsi="Times New Roman" w:cs="Times New Roman"/>
          <w:b/>
          <w:bCs/>
          <w:lang w:eastAsia="zh-CN"/>
        </w:rPr>
        <w:t>Abstract:</w:t>
      </w:r>
      <w:r>
        <w:rPr>
          <w:rFonts w:ascii="Times New Roman" w:hAnsi="Times New Roman" w:cs="Times New Roman"/>
          <w:lang w:eastAsia="zh-CN"/>
        </w:rPr>
        <w:t xml:space="preserve"> To meet the requirements for wide-range output, current-limit protection, and stable closed-loop control in high-voltage capacitor charging, laboratory high-voltage sources, and pulse-power preamplifier systems, this paper presents a high-voltage constant-voltage/constant-current power supply based on a phase-shifted full-bridge (PSFB) topology. The supply operates from a typical 24 V low-voltage DC input and uses a 1:100 high-frequency transformer for isolated step-up conversion. Its output control range </w:t>
      </w:r>
      <w:r>
        <w:rPr>
          <w:rFonts w:ascii="Times New Roman" w:hAnsi="Times New Roman" w:cs="Times New Roman"/>
          <w:lang w:eastAsia="zh-CN"/>
        </w:rPr>
        <w:t>is 0–2200 V and 0–200 mA, with a rated power limit of 400 W. The controller uses an STM32G474CBT6, which generates four complementary phase-shifted gate-drive signals through the HRTIM module and samples secondary-side voltage, secondary-side current, primary-side current, auxiliary-supply status, and temperature feedback with an ADC synchronized to the switching cycle. The control algorithm calculates the constant-voltage, constant-current, and constant-power PI loops in parallel and selects the actual pha</w:t>
      </w:r>
      <w:r>
        <w:rPr>
          <w:rFonts w:ascii="Times New Roman" w:hAnsi="Times New Roman" w:cs="Times New Roman"/>
          <w:lang w:eastAsia="zh-CN"/>
        </w:rPr>
        <w:t>se-shift duty cycle through minimum-duty-cycle arbitration. To reduce the efficiency fluctuation of fixed-frequency PSFB operation at very low and very high duty cycles, an automatic frequency-conversion strategy is introduced. Frequency increase or reduction within 11–45 kHz is selected according to the duty-cycle state, while score-counter hysteresis, a lockout window, and feedforward duty-cycle correction reduce the disturbance caused by frequency changes. Simulation and experimental results show that th</w:t>
      </w:r>
      <w:r>
        <w:rPr>
          <w:rFonts w:ascii="Times New Roman" w:hAnsi="Times New Roman" w:cs="Times New Roman"/>
          <w:lang w:eastAsia="zh-CN"/>
        </w:rPr>
        <w:t>e prototype provides stable high-voltage output, constant-current charging, constant-voltage load operation, and ZVS turn-on, confirming its practical engineering value.</w:t>
      </w:r>
    </w:p>
    <w:p w14:paraId="4FFDDBA7" w14:textId="259A4258" w:rsidR="00FF5833" w:rsidRDefault="00DD175B" w:rsidP="00E7328D">
      <w:pPr>
        <w:pStyle w:val="BodyText"/>
        <w:snapToGrid w:val="0"/>
        <w:spacing w:before="0" w:after="0"/>
        <w:jc w:val="both"/>
        <w:rPr>
          <w:rFonts w:ascii="Times New Roman" w:hAnsi="Times New Roman" w:cs="Times New Roman"/>
          <w:lang w:eastAsia="zh-CN"/>
        </w:rPr>
      </w:pPr>
      <w:r w:rsidRPr="000C05D9">
        <w:rPr>
          <w:rFonts w:ascii="Times New Roman" w:hAnsi="Times New Roman" w:cs="Times New Roman"/>
          <w:b/>
          <w:bCs/>
          <w:lang w:eastAsia="zh-CN"/>
        </w:rPr>
        <w:t>Keywords:</w:t>
      </w:r>
      <w:r>
        <w:rPr>
          <w:rFonts w:ascii="Times New Roman" w:hAnsi="Times New Roman" w:cs="Times New Roman"/>
          <w:lang w:eastAsia="zh-CN"/>
        </w:rPr>
        <w:t xml:space="preserve"> PSFB; </w:t>
      </w:r>
      <w:r w:rsidR="00E7328D">
        <w:rPr>
          <w:rFonts w:ascii="Times New Roman" w:hAnsi="Times New Roman" w:cs="Times New Roman"/>
          <w:lang w:eastAsia="zh-CN"/>
        </w:rPr>
        <w:t>P</w:t>
      </w:r>
      <w:r>
        <w:rPr>
          <w:rFonts w:ascii="Times New Roman" w:hAnsi="Times New Roman" w:cs="Times New Roman"/>
          <w:lang w:eastAsia="zh-CN"/>
        </w:rPr>
        <w:t xml:space="preserve">hase-shifted full-bridge; </w:t>
      </w:r>
      <w:r w:rsidR="00E7328D">
        <w:rPr>
          <w:rFonts w:ascii="Times New Roman" w:hAnsi="Times New Roman" w:cs="Times New Roman"/>
          <w:lang w:eastAsia="zh-CN"/>
        </w:rPr>
        <w:t>H</w:t>
      </w:r>
      <w:r>
        <w:rPr>
          <w:rFonts w:ascii="Times New Roman" w:hAnsi="Times New Roman" w:cs="Times New Roman"/>
          <w:lang w:eastAsia="zh-CN"/>
        </w:rPr>
        <w:t xml:space="preserve">igh-voltage power supply; </w:t>
      </w:r>
      <w:r w:rsidR="00E7328D">
        <w:rPr>
          <w:rFonts w:ascii="Times New Roman" w:hAnsi="Times New Roman" w:cs="Times New Roman"/>
          <w:lang w:eastAsia="zh-CN"/>
        </w:rPr>
        <w:t>C</w:t>
      </w:r>
      <w:r w:rsidR="00E7328D">
        <w:rPr>
          <w:rFonts w:ascii="Times New Roman" w:hAnsi="Times New Roman" w:cs="Times New Roman"/>
          <w:lang w:eastAsia="zh-CN"/>
        </w:rPr>
        <w:t>onstant</w:t>
      </w:r>
      <w:r>
        <w:rPr>
          <w:rFonts w:ascii="Times New Roman" w:hAnsi="Times New Roman" w:cs="Times New Roman"/>
          <w:lang w:eastAsia="zh-CN"/>
        </w:rPr>
        <w:t xml:space="preserve">-voltage/constant-current control; </w:t>
      </w:r>
      <w:r w:rsidR="00E7328D">
        <w:rPr>
          <w:rFonts w:ascii="Times New Roman" w:hAnsi="Times New Roman" w:cs="Times New Roman"/>
          <w:lang w:eastAsia="zh-CN"/>
        </w:rPr>
        <w:t>A</w:t>
      </w:r>
      <w:r w:rsidR="00E7328D">
        <w:rPr>
          <w:rFonts w:ascii="Times New Roman" w:hAnsi="Times New Roman" w:cs="Times New Roman"/>
          <w:lang w:eastAsia="zh-CN"/>
        </w:rPr>
        <w:t xml:space="preserve">utomatic </w:t>
      </w:r>
      <w:r>
        <w:rPr>
          <w:rFonts w:ascii="Times New Roman" w:hAnsi="Times New Roman" w:cs="Times New Roman"/>
          <w:lang w:eastAsia="zh-CN"/>
        </w:rPr>
        <w:t>frequency conversion; ZVS</w:t>
      </w:r>
    </w:p>
    <w:p w14:paraId="1C8EA523" w14:textId="77777777" w:rsidR="00E7328D" w:rsidRDefault="00E7328D" w:rsidP="00E7328D">
      <w:pPr>
        <w:pStyle w:val="BodyText"/>
        <w:snapToGrid w:val="0"/>
        <w:spacing w:before="0" w:after="0"/>
        <w:jc w:val="both"/>
        <w:rPr>
          <w:rFonts w:ascii="Times New Roman" w:hAnsi="Times New Roman" w:cs="Times New Roman"/>
          <w:lang w:eastAsia="zh-CN"/>
        </w:rPr>
      </w:pPr>
    </w:p>
    <w:p w14:paraId="0C272B35" w14:textId="130F67A4" w:rsidR="00E7328D" w:rsidRPr="000C05D9" w:rsidRDefault="00E7328D" w:rsidP="00E7328D">
      <w:pPr>
        <w:pStyle w:val="BodyText"/>
        <w:snapToGrid w:val="0"/>
        <w:spacing w:before="0" w:after="0"/>
        <w:jc w:val="both"/>
        <w:rPr>
          <w:rFonts w:ascii="Times New Roman" w:hAnsi="Times New Roman" w:cs="Times New Roman"/>
          <w:b/>
          <w:bCs/>
          <w:lang w:eastAsia="zh-CN"/>
        </w:rPr>
      </w:pPr>
      <w:r w:rsidRPr="000C05D9">
        <w:rPr>
          <w:rFonts w:ascii="Times New Roman" w:hAnsi="Times New Roman" w:cs="Times New Roman"/>
          <w:b/>
          <w:bCs/>
          <w:lang w:eastAsia="zh-CN"/>
        </w:rPr>
        <w:t>Online publication:</w:t>
      </w:r>
    </w:p>
    <w:p w14:paraId="1632F4B5" w14:textId="77777777" w:rsidR="00E7328D" w:rsidRDefault="00E7328D" w:rsidP="000C05D9">
      <w:pPr>
        <w:pStyle w:val="BodyText"/>
        <w:snapToGrid w:val="0"/>
        <w:spacing w:before="0" w:after="0"/>
        <w:jc w:val="both"/>
        <w:rPr>
          <w:rFonts w:ascii="Times New Roman" w:hAnsi="Times New Roman" w:cs="Times New Roman"/>
          <w:lang w:eastAsia="zh-CN"/>
        </w:rPr>
      </w:pPr>
    </w:p>
    <w:p w14:paraId="58E06949" w14:textId="1201514D" w:rsidR="00FF5833" w:rsidRPr="000C05D9" w:rsidRDefault="00DD175B" w:rsidP="000C05D9">
      <w:pPr>
        <w:pStyle w:val="BodyText"/>
        <w:snapToGrid w:val="0"/>
        <w:spacing w:before="0" w:after="0"/>
        <w:jc w:val="both"/>
        <w:rPr>
          <w:rFonts w:ascii="Times New Roman" w:hAnsi="Times New Roman" w:cs="Times New Roman"/>
          <w:b/>
          <w:bCs/>
          <w:lang w:eastAsia="zh-CN"/>
        </w:rPr>
      </w:pPr>
      <w:r w:rsidRPr="000C05D9">
        <w:rPr>
          <w:rFonts w:ascii="Times New Roman" w:hAnsi="Times New Roman" w:cs="Times New Roman"/>
          <w:b/>
          <w:bCs/>
          <w:lang w:eastAsia="zh-CN"/>
        </w:rPr>
        <w:t>1</w:t>
      </w:r>
      <w:r w:rsidR="00E7328D" w:rsidRPr="000C05D9">
        <w:rPr>
          <w:rFonts w:ascii="Times New Roman" w:hAnsi="Times New Roman" w:cs="Times New Roman"/>
          <w:b/>
          <w:bCs/>
          <w:lang w:eastAsia="zh-CN"/>
        </w:rPr>
        <w:t>.</w:t>
      </w:r>
      <w:r w:rsidRPr="000C05D9">
        <w:rPr>
          <w:rFonts w:ascii="Times New Roman" w:hAnsi="Times New Roman" w:cs="Times New Roman"/>
          <w:b/>
          <w:bCs/>
          <w:lang w:eastAsia="zh-CN"/>
        </w:rPr>
        <w:t xml:space="preserve"> Introduction</w:t>
      </w:r>
    </w:p>
    <w:p w14:paraId="34340AA2" w14:textId="7465152F" w:rsidR="00FF5833" w:rsidRDefault="00DD175B" w:rsidP="000C05D9">
      <w:pPr>
        <w:pStyle w:val="BodyText"/>
        <w:snapToGrid w:val="0"/>
        <w:spacing w:before="0" w:after="0"/>
        <w:jc w:val="both"/>
        <w:rPr>
          <w:rFonts w:ascii="Times New Roman" w:hAnsi="Times New Roman" w:cs="Times New Roman"/>
          <w:lang w:eastAsia="zh-CN"/>
        </w:rPr>
      </w:pPr>
      <w:r>
        <w:rPr>
          <w:rFonts w:ascii="Times New Roman" w:hAnsi="Times New Roman" w:cs="Times New Roman"/>
          <w:lang w:eastAsia="zh-CN"/>
        </w:rPr>
        <w:t>High-voltage isolated DC-DC power supplies are widely used in capacitor charging, insulation testing, laboratory high-voltage sources, and pulse-power devices. These applications require a wide output-voltage range, clear current-limiting capability, and reliable protection during sudden load changes, output-capacitor charging, and abnormal operating conditions. Because of its strong isolation capability, moderate power rating, mature control method, and suitability for soft switching, the PSFB still has co</w:t>
      </w:r>
      <w:r>
        <w:rPr>
          <w:rFonts w:ascii="Times New Roman" w:hAnsi="Times New Roman" w:cs="Times New Roman"/>
          <w:lang w:eastAsia="zh-CN"/>
        </w:rPr>
        <w:t xml:space="preserve">nsiderable value in medium- and high-power DC-DC converters. Research has shown that reconfigurable PSFB converters can extend the wide-voltage output range and are suitable for applications such as electric-vehicle charging </w:t>
      </w:r>
      <w:r w:rsidRPr="000C05D9">
        <w:rPr>
          <w:rFonts w:ascii="Times New Roman" w:hAnsi="Times New Roman" w:cs="Times New Roman"/>
          <w:vertAlign w:val="superscript"/>
          <w:lang w:eastAsia="zh-CN"/>
        </w:rPr>
        <w:t>[1]</w:t>
      </w:r>
      <w:r>
        <w:rPr>
          <w:rFonts w:ascii="Times New Roman" w:hAnsi="Times New Roman" w:cs="Times New Roman"/>
          <w:lang w:eastAsia="zh-CN"/>
        </w:rPr>
        <w:t>. However, conventional PSFB converters still suffer from an insufficient ZVS range, duty-cycle loss, circulating-current loss, and reduced synchronous-rectification efficiency under light-load and wide-load conditions. Researchers have addressed these issues through variable-inductor-assisted ZVS</w:t>
      </w:r>
      <w:r>
        <w:rPr>
          <w:rFonts w:ascii="Times New Roman" w:hAnsi="Times New Roman" w:cs="Times New Roman"/>
          <w:lang w:eastAsia="zh-CN"/>
        </w:rPr>
        <w:t>, light-load synchronous rectification</w:t>
      </w:r>
      <w:r>
        <w:rPr>
          <w:rFonts w:ascii="Times New Roman" w:hAnsi="Times New Roman" w:cs="Times New Roman"/>
          <w:lang w:eastAsia="zh-CN"/>
        </w:rPr>
        <w:t xml:space="preserve">, and improved ZVZCS structures </w:t>
      </w:r>
      <w:r w:rsidRPr="000C05D9">
        <w:rPr>
          <w:rFonts w:ascii="Times New Roman" w:hAnsi="Times New Roman" w:cs="Times New Roman"/>
          <w:vertAlign w:val="superscript"/>
          <w:lang w:eastAsia="zh-CN"/>
        </w:rPr>
        <w:t>[</w:t>
      </w:r>
      <w:r w:rsidR="00E7328D" w:rsidRPr="000C05D9">
        <w:rPr>
          <w:rFonts w:ascii="Times New Roman" w:hAnsi="Times New Roman" w:cs="Times New Roman"/>
          <w:vertAlign w:val="superscript"/>
          <w:lang w:eastAsia="zh-CN"/>
        </w:rPr>
        <w:t>2–</w:t>
      </w:r>
      <w:r w:rsidRPr="000C05D9">
        <w:rPr>
          <w:rFonts w:ascii="Times New Roman" w:hAnsi="Times New Roman" w:cs="Times New Roman"/>
          <w:vertAlign w:val="superscript"/>
          <w:lang w:eastAsia="zh-CN"/>
        </w:rPr>
        <w:t>4]</w:t>
      </w:r>
      <w:r>
        <w:rPr>
          <w:rFonts w:ascii="Times New Roman" w:hAnsi="Times New Roman" w:cs="Times New Roman"/>
          <w:lang w:eastAsia="zh-CN"/>
        </w:rPr>
        <w:t>.</w:t>
      </w:r>
    </w:p>
    <w:p w14:paraId="4B88BF05" w14:textId="17D4C914" w:rsidR="00FF5833" w:rsidRDefault="00DD175B" w:rsidP="000C05D9">
      <w:pPr>
        <w:pStyle w:val="BodyText"/>
        <w:snapToGrid w:val="0"/>
        <w:spacing w:before="0" w:after="0"/>
        <w:ind w:firstLine="426"/>
        <w:jc w:val="both"/>
        <w:rPr>
          <w:rFonts w:ascii="Times New Roman" w:hAnsi="Times New Roman" w:cs="Times New Roman"/>
          <w:lang w:eastAsia="zh-CN"/>
        </w:rPr>
      </w:pPr>
      <w:r>
        <w:rPr>
          <w:rFonts w:ascii="Times New Roman" w:hAnsi="Times New Roman" w:cs="Times New Roman"/>
          <w:lang w:eastAsia="zh-CN"/>
        </w:rPr>
        <w:lastRenderedPageBreak/>
        <w:t>In addition to topology, digital control strategies affect the efficiency and dynamic response of the PSFB. The switching frequency and phase-shift duty cycle jointly determine the energy-transfer window, switching losses, and operating state of the magnetic devices. Recent studies have used combined frequency-conversion and phase-shift control to optimize PSFB efficiency</w:t>
      </w:r>
      <w:r>
        <w:rPr>
          <w:rFonts w:ascii="Times New Roman" w:hAnsi="Times New Roman" w:cs="Times New Roman"/>
          <w:lang w:eastAsia="zh-CN"/>
        </w:rPr>
        <w:t xml:space="preserve">, while feedforward compensation has been applied to improve the dynamic response under peak-current-mode control </w:t>
      </w:r>
      <w:r w:rsidRPr="000C05D9">
        <w:rPr>
          <w:rFonts w:ascii="Times New Roman" w:hAnsi="Times New Roman" w:cs="Times New Roman"/>
          <w:vertAlign w:val="superscript"/>
          <w:lang w:eastAsia="zh-CN"/>
        </w:rPr>
        <w:t>[</w:t>
      </w:r>
      <w:r w:rsidR="00E7328D" w:rsidRPr="000C05D9">
        <w:rPr>
          <w:rFonts w:ascii="Times New Roman" w:hAnsi="Times New Roman" w:cs="Times New Roman"/>
          <w:vertAlign w:val="superscript"/>
          <w:lang w:eastAsia="zh-CN"/>
        </w:rPr>
        <w:t>5,</w:t>
      </w:r>
      <w:r w:rsidRPr="000C05D9">
        <w:rPr>
          <w:rFonts w:ascii="Times New Roman" w:hAnsi="Times New Roman" w:cs="Times New Roman"/>
          <w:vertAlign w:val="superscript"/>
          <w:lang w:eastAsia="zh-CN"/>
        </w:rPr>
        <w:t>6]</w:t>
      </w:r>
      <w:r>
        <w:rPr>
          <w:rFonts w:ascii="Times New Roman" w:hAnsi="Times New Roman" w:cs="Times New Roman"/>
          <w:lang w:eastAsia="zh-CN"/>
        </w:rPr>
        <w:t xml:space="preserve">. Model predictive control and predictive deadbeat average control have also been used to improve the transient performance of PSFB and PSFB-CT converters </w:t>
      </w:r>
      <w:r w:rsidRPr="000C05D9">
        <w:rPr>
          <w:rFonts w:ascii="Times New Roman" w:hAnsi="Times New Roman" w:cs="Times New Roman"/>
          <w:vertAlign w:val="superscript"/>
          <w:lang w:eastAsia="zh-CN"/>
        </w:rPr>
        <w:t>[7</w:t>
      </w:r>
      <w:r w:rsidR="00E7328D" w:rsidRPr="000C05D9">
        <w:rPr>
          <w:rFonts w:ascii="Times New Roman" w:hAnsi="Times New Roman" w:cs="Times New Roman"/>
          <w:vertAlign w:val="superscript"/>
          <w:lang w:eastAsia="zh-CN"/>
        </w:rPr>
        <w:t>,</w:t>
      </w:r>
      <w:r w:rsidRPr="000C05D9">
        <w:rPr>
          <w:rFonts w:ascii="Times New Roman" w:hAnsi="Times New Roman" w:cs="Times New Roman"/>
          <w:vertAlign w:val="superscript"/>
          <w:lang w:eastAsia="zh-CN"/>
        </w:rPr>
        <w:t>8]</w:t>
      </w:r>
      <w:r>
        <w:rPr>
          <w:rFonts w:ascii="Times New Roman" w:hAnsi="Times New Roman" w:cs="Times New Roman"/>
          <w:lang w:eastAsia="zh-CN"/>
        </w:rPr>
        <w:t xml:space="preserve">. Research on bidirectional PSFB control indicates that circulating current and reverse power must be actively suppressed through the modulation strategy </w:t>
      </w:r>
      <w:r w:rsidRPr="000C05D9">
        <w:rPr>
          <w:rFonts w:ascii="Times New Roman" w:hAnsi="Times New Roman" w:cs="Times New Roman"/>
          <w:vertAlign w:val="superscript"/>
          <w:lang w:eastAsia="zh-CN"/>
        </w:rPr>
        <w:t>[9]</w:t>
      </w:r>
      <w:r>
        <w:rPr>
          <w:rFonts w:ascii="Times New Roman" w:hAnsi="Times New Roman" w:cs="Times New Roman"/>
          <w:lang w:eastAsia="zh-CN"/>
        </w:rPr>
        <w:t>. These studies show that a high-voltage PSFB power supply cannot rely only on a fixed switching frequency and a single PI loop; instead, drive timing, synchronous sampling, mode switching, and frequency management must be considered together.</w:t>
      </w:r>
    </w:p>
    <w:p w14:paraId="5814F84F" w14:textId="77777777" w:rsidR="00FF5833" w:rsidRDefault="00DD175B" w:rsidP="00E7328D">
      <w:pPr>
        <w:pStyle w:val="BodyText"/>
        <w:snapToGrid w:val="0"/>
        <w:spacing w:before="0" w:after="0"/>
        <w:ind w:firstLine="426"/>
        <w:jc w:val="both"/>
        <w:rPr>
          <w:rFonts w:ascii="Times New Roman" w:hAnsi="Times New Roman" w:cs="Times New Roman"/>
          <w:lang w:eastAsia="zh-CN"/>
        </w:rPr>
      </w:pPr>
      <w:r>
        <w:rPr>
          <w:rFonts w:ascii="Times New Roman" w:hAnsi="Times New Roman" w:cs="Times New Roman"/>
          <w:lang w:eastAsia="zh-CN"/>
        </w:rPr>
        <w:t>This study focuses on a high-voltage constant-voltage/constant-current power-supply application and designs a digitally controlled PSFB high-voltage supply based on the STM32G474CBT6. The main contributions are as follows: an isolated boost power stage is constructed with a 24 V input and an output of up to 2200 V; four complementary phase-shifted gate-drive signals are implemented through HRTIM; periodic synchronous sampling and multi-loop PI arbitration are used to achieve constant-voltage, constant-curre</w:t>
      </w:r>
      <w:r>
        <w:rPr>
          <w:rFonts w:ascii="Times New Roman" w:hAnsi="Times New Roman" w:cs="Times New Roman"/>
          <w:lang w:eastAsia="zh-CN"/>
        </w:rPr>
        <w:t>nt, and power-limit control; an automatic frequency-conversion strategy is proposed to adjust the switching frequency according to the duty-cycle state; and the design is verified through simulation waveforms, efficiency distribution, strategy partitioning, ZVS waveforms, startup waveforms, and CV/CC load experiments.</w:t>
      </w:r>
    </w:p>
    <w:p w14:paraId="7CAAE110" w14:textId="77777777" w:rsidR="00E7328D" w:rsidRDefault="00E7328D" w:rsidP="000C05D9">
      <w:pPr>
        <w:pStyle w:val="BodyText"/>
        <w:snapToGrid w:val="0"/>
        <w:spacing w:before="0" w:after="0"/>
        <w:ind w:firstLine="426"/>
        <w:jc w:val="both"/>
        <w:rPr>
          <w:rFonts w:ascii="Times New Roman" w:hAnsi="Times New Roman" w:cs="Times New Roman"/>
          <w:lang w:eastAsia="zh-CN"/>
        </w:rPr>
      </w:pPr>
    </w:p>
    <w:p w14:paraId="3786D234" w14:textId="0A68E328" w:rsidR="00FF5833" w:rsidRPr="000C05D9" w:rsidRDefault="00DD175B" w:rsidP="000C05D9">
      <w:pPr>
        <w:pStyle w:val="BodyText"/>
        <w:snapToGrid w:val="0"/>
        <w:spacing w:before="0" w:after="0"/>
        <w:jc w:val="both"/>
        <w:rPr>
          <w:rFonts w:ascii="Times New Roman" w:hAnsi="Times New Roman" w:cs="Times New Roman"/>
          <w:b/>
          <w:bCs/>
          <w:lang w:eastAsia="zh-CN"/>
        </w:rPr>
      </w:pPr>
      <w:r w:rsidRPr="000C05D9">
        <w:rPr>
          <w:rFonts w:ascii="Times New Roman" w:hAnsi="Times New Roman" w:cs="Times New Roman"/>
          <w:b/>
          <w:bCs/>
          <w:lang w:eastAsia="zh-CN"/>
        </w:rPr>
        <w:t>2</w:t>
      </w:r>
      <w:r w:rsidR="00E7328D" w:rsidRPr="000C05D9">
        <w:rPr>
          <w:rFonts w:ascii="Times New Roman" w:hAnsi="Times New Roman" w:cs="Times New Roman"/>
          <w:b/>
          <w:bCs/>
          <w:lang w:eastAsia="zh-CN"/>
        </w:rPr>
        <w:t>.</w:t>
      </w:r>
      <w:r w:rsidRPr="000C05D9">
        <w:rPr>
          <w:rFonts w:ascii="Times New Roman" w:hAnsi="Times New Roman" w:cs="Times New Roman"/>
          <w:b/>
          <w:bCs/>
          <w:lang w:eastAsia="zh-CN"/>
        </w:rPr>
        <w:t xml:space="preserve"> Overall </w:t>
      </w:r>
      <w:r w:rsidR="00E7328D" w:rsidRPr="000C05D9">
        <w:rPr>
          <w:rFonts w:ascii="Times New Roman" w:hAnsi="Times New Roman" w:cs="Times New Roman"/>
          <w:b/>
          <w:bCs/>
          <w:lang w:eastAsia="zh-CN"/>
        </w:rPr>
        <w:t>system design</w:t>
      </w:r>
    </w:p>
    <w:p w14:paraId="4A3AF71F" w14:textId="77777777" w:rsidR="00FF5833" w:rsidRDefault="00DD175B" w:rsidP="00E7328D">
      <w:pPr>
        <w:pStyle w:val="BodyText"/>
        <w:snapToGrid w:val="0"/>
        <w:spacing w:before="0" w:after="0"/>
        <w:jc w:val="both"/>
        <w:rPr>
          <w:rFonts w:ascii="Times New Roman" w:hAnsi="Times New Roman" w:cs="Times New Roman"/>
          <w:lang w:eastAsia="zh-CN"/>
        </w:rPr>
      </w:pPr>
      <w:r>
        <w:rPr>
          <w:rFonts w:ascii="Times New Roman" w:hAnsi="Times New Roman" w:cs="Times New Roman"/>
          <w:lang w:eastAsia="zh-CN"/>
        </w:rPr>
        <w:t xml:space="preserve">The system provides an adjustable high-voltage DC output from a low-voltage DC input and supports configurable constant-voltage, constant-current, and power-limit operation over the full output range. The recommended input voltage is 24 V, with an allowable range of 18–28 V. The output voltage range is 0–2200 V, the maximum output current is 200 mA, the rated power limit is 400 W, and the switching frequency is controlled automatically between 11 and 45 kHz, with 35 kHz used as the reference frequency. The </w:t>
      </w:r>
      <w:r>
        <w:rPr>
          <w:rFonts w:ascii="Times New Roman" w:hAnsi="Times New Roman" w:cs="Times New Roman"/>
          <w:lang w:eastAsia="zh-CN"/>
        </w:rPr>
        <w:t xml:space="preserve">key design specifications are listed in </w:t>
      </w:r>
      <w:r w:rsidRPr="000C05D9">
        <w:rPr>
          <w:rFonts w:ascii="Times New Roman" w:hAnsi="Times New Roman" w:cs="Times New Roman"/>
          <w:b/>
          <w:bCs/>
          <w:lang w:eastAsia="zh-CN"/>
        </w:rPr>
        <w:t>Table 1</w:t>
      </w:r>
      <w:r>
        <w:rPr>
          <w:rFonts w:ascii="Times New Roman" w:hAnsi="Times New Roman" w:cs="Times New Roman"/>
          <w:lang w:eastAsia="zh-CN"/>
        </w:rPr>
        <w:t>. In addition to the rated specifications, maintainability during commissioning and application was considered. Voltage, current, and power settings can be configured through the communication interface, while protection thresholds and correction coefficients can be stored permanently to reproduce experimental conditions under different loads and test scenarios.</w:t>
      </w:r>
    </w:p>
    <w:p w14:paraId="5942D8F0" w14:textId="77777777" w:rsidR="00E7328D" w:rsidRDefault="00E7328D" w:rsidP="000C05D9">
      <w:pPr>
        <w:pStyle w:val="BodyText"/>
        <w:snapToGrid w:val="0"/>
        <w:spacing w:before="0" w:after="0"/>
        <w:jc w:val="both"/>
        <w:rPr>
          <w:rFonts w:ascii="Times New Roman" w:hAnsi="Times New Roman" w:cs="Times New Roman"/>
          <w:lang w:eastAsia="zh-CN"/>
        </w:rPr>
      </w:pPr>
    </w:p>
    <w:p w14:paraId="53273F1F" w14:textId="5932D364" w:rsidR="00FF5833" w:rsidRDefault="00DD175B" w:rsidP="000C05D9">
      <w:pPr>
        <w:pStyle w:val="BodyText"/>
        <w:snapToGrid w:val="0"/>
        <w:spacing w:before="0" w:after="0"/>
        <w:jc w:val="both"/>
        <w:rPr>
          <w:rFonts w:ascii="Times New Roman" w:hAnsi="Times New Roman" w:cs="Times New Roman"/>
        </w:rPr>
      </w:pPr>
      <w:r w:rsidRPr="000C05D9">
        <w:rPr>
          <w:rFonts w:ascii="Times New Roman" w:hAnsi="Times New Roman" w:cs="Times New Roman"/>
          <w:b/>
          <w:bCs/>
        </w:rPr>
        <w:t>Table 1</w:t>
      </w:r>
      <w:r w:rsidR="00E7328D">
        <w:rPr>
          <w:rFonts w:ascii="Times New Roman" w:hAnsi="Times New Roman" w:cs="Times New Roman"/>
          <w:b/>
          <w:bCs/>
        </w:rPr>
        <w:t>.</w:t>
      </w:r>
      <w:r>
        <w:rPr>
          <w:rFonts w:ascii="Times New Roman" w:hAnsi="Times New Roman" w:cs="Times New Roman"/>
        </w:rPr>
        <w:t xml:space="preserve"> Main </w:t>
      </w:r>
      <w:r w:rsidR="00E7328D">
        <w:rPr>
          <w:rFonts w:ascii="Times New Roman" w:hAnsi="Times New Roman" w:cs="Times New Roman"/>
        </w:rPr>
        <w:t>electrical parameters of the system</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9"/>
        <w:gridCol w:w="3051"/>
        <w:gridCol w:w="4302"/>
      </w:tblGrid>
      <w:tr w:rsidR="00FF5833" w14:paraId="481391A6" w14:textId="77777777" w:rsidTr="000C05D9">
        <w:trPr>
          <w:jc w:val="center"/>
        </w:trPr>
        <w:tc>
          <w:tcPr>
            <w:tcW w:w="1313" w:type="pct"/>
            <w:tcBorders>
              <w:top w:val="single" w:sz="4" w:space="0" w:color="auto"/>
              <w:bottom w:val="single" w:sz="4" w:space="0" w:color="auto"/>
            </w:tcBorders>
          </w:tcPr>
          <w:p w14:paraId="23AD6074" w14:textId="77777777" w:rsidR="00FF5833" w:rsidRPr="000C05D9" w:rsidRDefault="00DD175B" w:rsidP="000C05D9">
            <w:pPr>
              <w:pStyle w:val="BodyText"/>
              <w:snapToGrid w:val="0"/>
              <w:spacing w:before="0" w:after="0"/>
              <w:rPr>
                <w:rFonts w:ascii="Times New Roman" w:hAnsi="Times New Roman" w:cs="Times New Roman"/>
                <w:b/>
                <w:bCs/>
              </w:rPr>
            </w:pPr>
            <w:r w:rsidRPr="000C05D9">
              <w:rPr>
                <w:rFonts w:ascii="Times New Roman" w:hAnsi="Times New Roman" w:cs="Times New Roman"/>
                <w:b/>
                <w:bCs/>
              </w:rPr>
              <w:t>Parameter</w:t>
            </w:r>
          </w:p>
        </w:tc>
        <w:tc>
          <w:tcPr>
            <w:tcW w:w="1530" w:type="pct"/>
            <w:tcBorders>
              <w:top w:val="single" w:sz="4" w:space="0" w:color="auto"/>
              <w:bottom w:val="single" w:sz="4" w:space="0" w:color="auto"/>
            </w:tcBorders>
          </w:tcPr>
          <w:p w14:paraId="4D5A13F6" w14:textId="77777777" w:rsidR="00FF5833" w:rsidRPr="000C05D9" w:rsidRDefault="00DD175B" w:rsidP="000C05D9">
            <w:pPr>
              <w:pStyle w:val="BodyText"/>
              <w:snapToGrid w:val="0"/>
              <w:spacing w:before="0" w:after="0"/>
              <w:jc w:val="center"/>
              <w:rPr>
                <w:rFonts w:ascii="Times New Roman" w:hAnsi="Times New Roman" w:cs="Times New Roman"/>
                <w:b/>
                <w:bCs/>
              </w:rPr>
            </w:pPr>
            <w:r w:rsidRPr="000C05D9">
              <w:rPr>
                <w:rFonts w:ascii="Times New Roman" w:hAnsi="Times New Roman" w:cs="Times New Roman"/>
                <w:b/>
                <w:bCs/>
              </w:rPr>
              <w:t>Numerical value or range</w:t>
            </w:r>
          </w:p>
        </w:tc>
        <w:tc>
          <w:tcPr>
            <w:tcW w:w="2157" w:type="pct"/>
            <w:tcBorders>
              <w:top w:val="single" w:sz="4" w:space="0" w:color="auto"/>
              <w:bottom w:val="single" w:sz="4" w:space="0" w:color="auto"/>
            </w:tcBorders>
          </w:tcPr>
          <w:p w14:paraId="13BCABB2" w14:textId="77777777" w:rsidR="00FF5833" w:rsidRPr="000C05D9" w:rsidRDefault="00DD175B" w:rsidP="000C05D9">
            <w:pPr>
              <w:pStyle w:val="BodyText"/>
              <w:snapToGrid w:val="0"/>
              <w:spacing w:before="0" w:after="0"/>
              <w:jc w:val="center"/>
              <w:rPr>
                <w:rFonts w:ascii="Times New Roman" w:hAnsi="Times New Roman" w:cs="Times New Roman"/>
                <w:b/>
                <w:bCs/>
              </w:rPr>
            </w:pPr>
            <w:r w:rsidRPr="000C05D9">
              <w:rPr>
                <w:rFonts w:ascii="Times New Roman" w:hAnsi="Times New Roman" w:cs="Times New Roman"/>
                <w:b/>
                <w:bCs/>
              </w:rPr>
              <w:t>Description</w:t>
            </w:r>
          </w:p>
        </w:tc>
      </w:tr>
      <w:tr w:rsidR="00FF5833" w14:paraId="0C16633C" w14:textId="77777777" w:rsidTr="000C05D9">
        <w:trPr>
          <w:jc w:val="center"/>
        </w:trPr>
        <w:tc>
          <w:tcPr>
            <w:tcW w:w="1313" w:type="pct"/>
            <w:tcBorders>
              <w:top w:val="single" w:sz="4" w:space="0" w:color="auto"/>
            </w:tcBorders>
          </w:tcPr>
          <w:p w14:paraId="31C759CF" w14:textId="77777777" w:rsidR="00FF5833" w:rsidRDefault="00DD175B" w:rsidP="000C05D9">
            <w:pPr>
              <w:pStyle w:val="BodyText"/>
              <w:snapToGrid w:val="0"/>
              <w:spacing w:before="0" w:after="0"/>
              <w:rPr>
                <w:rFonts w:ascii="Times New Roman" w:hAnsi="Times New Roman" w:cs="Times New Roman"/>
              </w:rPr>
            </w:pPr>
            <w:r>
              <w:rPr>
                <w:rFonts w:ascii="Times New Roman" w:hAnsi="Times New Roman" w:cs="Times New Roman"/>
              </w:rPr>
              <w:t>Input voltage</w:t>
            </w:r>
          </w:p>
        </w:tc>
        <w:tc>
          <w:tcPr>
            <w:tcW w:w="1530" w:type="pct"/>
            <w:tcBorders>
              <w:top w:val="single" w:sz="4" w:space="0" w:color="auto"/>
            </w:tcBorders>
          </w:tcPr>
          <w:p w14:paraId="47CD1F22" w14:textId="77777777" w:rsidR="00FF5833" w:rsidRDefault="00DD175B" w:rsidP="000C05D9">
            <w:pPr>
              <w:pStyle w:val="BodyText"/>
              <w:snapToGrid w:val="0"/>
              <w:spacing w:before="0" w:after="0"/>
              <w:jc w:val="center"/>
              <w:rPr>
                <w:rFonts w:ascii="Times New Roman" w:hAnsi="Times New Roman" w:cs="Times New Roman"/>
              </w:rPr>
            </w:pPr>
            <w:r>
              <w:rPr>
                <w:rFonts w:ascii="Times New Roman" w:hAnsi="Times New Roman" w:cs="Times New Roman"/>
              </w:rPr>
              <w:t>18–28 V, 24 V typical</w:t>
            </w:r>
          </w:p>
        </w:tc>
        <w:tc>
          <w:tcPr>
            <w:tcW w:w="2157" w:type="pct"/>
            <w:tcBorders>
              <w:top w:val="single" w:sz="4" w:space="0" w:color="auto"/>
            </w:tcBorders>
          </w:tcPr>
          <w:p w14:paraId="23303963" w14:textId="77777777" w:rsidR="00FF5833" w:rsidRDefault="00DD175B" w:rsidP="000C05D9">
            <w:pPr>
              <w:pStyle w:val="BodyText"/>
              <w:snapToGrid w:val="0"/>
              <w:spacing w:before="0" w:after="0"/>
              <w:jc w:val="center"/>
              <w:rPr>
                <w:rFonts w:ascii="Times New Roman" w:hAnsi="Times New Roman" w:cs="Times New Roman"/>
              </w:rPr>
            </w:pPr>
            <w:r>
              <w:rPr>
                <w:rFonts w:ascii="Times New Roman" w:hAnsi="Times New Roman" w:cs="Times New Roman"/>
              </w:rPr>
              <w:t>Low-voltage DC input</w:t>
            </w:r>
          </w:p>
        </w:tc>
      </w:tr>
      <w:tr w:rsidR="00FF5833" w14:paraId="46B9D221" w14:textId="77777777" w:rsidTr="000C05D9">
        <w:trPr>
          <w:jc w:val="center"/>
        </w:trPr>
        <w:tc>
          <w:tcPr>
            <w:tcW w:w="1313" w:type="pct"/>
          </w:tcPr>
          <w:p w14:paraId="51E9A739" w14:textId="77777777" w:rsidR="00FF5833" w:rsidRDefault="00DD175B" w:rsidP="000C05D9">
            <w:pPr>
              <w:pStyle w:val="BodyText"/>
              <w:snapToGrid w:val="0"/>
              <w:spacing w:before="0" w:after="0"/>
              <w:rPr>
                <w:rFonts w:ascii="Times New Roman" w:hAnsi="Times New Roman" w:cs="Times New Roman"/>
              </w:rPr>
            </w:pPr>
            <w:r>
              <w:rPr>
                <w:rFonts w:ascii="Times New Roman" w:hAnsi="Times New Roman" w:cs="Times New Roman"/>
              </w:rPr>
              <w:t>Output voltage</w:t>
            </w:r>
          </w:p>
        </w:tc>
        <w:tc>
          <w:tcPr>
            <w:tcW w:w="1530" w:type="pct"/>
          </w:tcPr>
          <w:p w14:paraId="0BC118EA" w14:textId="77777777" w:rsidR="00FF5833" w:rsidRDefault="00DD175B" w:rsidP="000C05D9">
            <w:pPr>
              <w:pStyle w:val="BodyText"/>
              <w:snapToGrid w:val="0"/>
              <w:spacing w:before="0" w:after="0"/>
              <w:jc w:val="center"/>
              <w:rPr>
                <w:rFonts w:ascii="Times New Roman" w:hAnsi="Times New Roman" w:cs="Times New Roman"/>
              </w:rPr>
            </w:pPr>
            <w:r>
              <w:rPr>
                <w:rFonts w:ascii="Times New Roman" w:hAnsi="Times New Roman" w:cs="Times New Roman"/>
              </w:rPr>
              <w:t>0–2200 V</w:t>
            </w:r>
          </w:p>
        </w:tc>
        <w:tc>
          <w:tcPr>
            <w:tcW w:w="2157" w:type="pct"/>
          </w:tcPr>
          <w:p w14:paraId="09E58F5E" w14:textId="77777777" w:rsidR="00FF5833" w:rsidRDefault="00DD175B" w:rsidP="000C05D9">
            <w:pPr>
              <w:pStyle w:val="BodyText"/>
              <w:snapToGrid w:val="0"/>
              <w:spacing w:before="0" w:after="0"/>
              <w:jc w:val="center"/>
              <w:rPr>
                <w:rFonts w:ascii="Times New Roman" w:hAnsi="Times New Roman" w:cs="Times New Roman"/>
              </w:rPr>
            </w:pPr>
            <w:r>
              <w:rPr>
                <w:rFonts w:ascii="Times New Roman" w:hAnsi="Times New Roman" w:cs="Times New Roman"/>
              </w:rPr>
              <w:t>Adjustable high-voltage DC output</w:t>
            </w:r>
          </w:p>
        </w:tc>
      </w:tr>
      <w:tr w:rsidR="00FF5833" w14:paraId="6B2D204C" w14:textId="77777777" w:rsidTr="000C05D9">
        <w:trPr>
          <w:jc w:val="center"/>
        </w:trPr>
        <w:tc>
          <w:tcPr>
            <w:tcW w:w="1313" w:type="pct"/>
          </w:tcPr>
          <w:p w14:paraId="61BF12AE" w14:textId="77777777" w:rsidR="00FF5833" w:rsidRDefault="00DD175B" w:rsidP="000C05D9">
            <w:pPr>
              <w:pStyle w:val="BodyText"/>
              <w:snapToGrid w:val="0"/>
              <w:spacing w:before="0" w:after="0"/>
              <w:rPr>
                <w:rFonts w:ascii="Times New Roman" w:hAnsi="Times New Roman" w:cs="Times New Roman"/>
              </w:rPr>
            </w:pPr>
            <w:r>
              <w:rPr>
                <w:rFonts w:ascii="Times New Roman" w:hAnsi="Times New Roman" w:cs="Times New Roman"/>
              </w:rPr>
              <w:t>Output current</w:t>
            </w:r>
          </w:p>
        </w:tc>
        <w:tc>
          <w:tcPr>
            <w:tcW w:w="1530" w:type="pct"/>
          </w:tcPr>
          <w:p w14:paraId="7A3C7D1E" w14:textId="77777777" w:rsidR="00FF5833" w:rsidRDefault="00DD175B" w:rsidP="000C05D9">
            <w:pPr>
              <w:pStyle w:val="BodyText"/>
              <w:snapToGrid w:val="0"/>
              <w:spacing w:before="0" w:after="0"/>
              <w:jc w:val="center"/>
              <w:rPr>
                <w:rFonts w:ascii="Times New Roman" w:hAnsi="Times New Roman" w:cs="Times New Roman"/>
              </w:rPr>
            </w:pPr>
            <w:r>
              <w:rPr>
                <w:rFonts w:ascii="Times New Roman" w:hAnsi="Times New Roman" w:cs="Times New Roman"/>
              </w:rPr>
              <w:t>0–200 mA</w:t>
            </w:r>
          </w:p>
        </w:tc>
        <w:tc>
          <w:tcPr>
            <w:tcW w:w="2157" w:type="pct"/>
          </w:tcPr>
          <w:p w14:paraId="7D98D4EA" w14:textId="77777777" w:rsidR="00FF5833" w:rsidRDefault="00DD175B" w:rsidP="000C05D9">
            <w:pPr>
              <w:pStyle w:val="BodyText"/>
              <w:snapToGrid w:val="0"/>
              <w:spacing w:before="0" w:after="0"/>
              <w:jc w:val="center"/>
              <w:rPr>
                <w:rFonts w:ascii="Times New Roman" w:hAnsi="Times New Roman" w:cs="Times New Roman"/>
              </w:rPr>
            </w:pPr>
            <w:r>
              <w:rPr>
                <w:rFonts w:ascii="Times New Roman" w:hAnsi="Times New Roman" w:cs="Times New Roman"/>
              </w:rPr>
              <w:t>Constant-current limiting range</w:t>
            </w:r>
          </w:p>
        </w:tc>
      </w:tr>
      <w:tr w:rsidR="00FF5833" w14:paraId="5BFA967D" w14:textId="77777777" w:rsidTr="000C05D9">
        <w:trPr>
          <w:jc w:val="center"/>
        </w:trPr>
        <w:tc>
          <w:tcPr>
            <w:tcW w:w="1313" w:type="pct"/>
          </w:tcPr>
          <w:p w14:paraId="3D3CF739" w14:textId="77777777" w:rsidR="00FF5833" w:rsidRDefault="00DD175B" w:rsidP="000C05D9">
            <w:pPr>
              <w:pStyle w:val="BodyText"/>
              <w:snapToGrid w:val="0"/>
              <w:spacing w:before="0" w:after="0"/>
              <w:rPr>
                <w:rFonts w:ascii="Times New Roman" w:hAnsi="Times New Roman" w:cs="Times New Roman"/>
              </w:rPr>
            </w:pPr>
            <w:r>
              <w:rPr>
                <w:rFonts w:ascii="Times New Roman" w:hAnsi="Times New Roman" w:cs="Times New Roman"/>
              </w:rPr>
              <w:t>Output power</w:t>
            </w:r>
          </w:p>
        </w:tc>
        <w:tc>
          <w:tcPr>
            <w:tcW w:w="1530" w:type="pct"/>
          </w:tcPr>
          <w:p w14:paraId="66E52A09" w14:textId="77777777" w:rsidR="00FF5833" w:rsidRDefault="00DD175B" w:rsidP="000C05D9">
            <w:pPr>
              <w:pStyle w:val="BodyText"/>
              <w:snapToGrid w:val="0"/>
              <w:spacing w:before="0" w:after="0"/>
              <w:jc w:val="center"/>
              <w:rPr>
                <w:rFonts w:ascii="Times New Roman" w:hAnsi="Times New Roman" w:cs="Times New Roman"/>
              </w:rPr>
            </w:pPr>
            <w:r>
              <w:rPr>
                <w:rFonts w:ascii="Times New Roman" w:hAnsi="Times New Roman" w:cs="Times New Roman"/>
              </w:rPr>
              <w:t>0–400 W</w:t>
            </w:r>
          </w:p>
        </w:tc>
        <w:tc>
          <w:tcPr>
            <w:tcW w:w="2157" w:type="pct"/>
          </w:tcPr>
          <w:p w14:paraId="008A7D6E" w14:textId="77777777" w:rsidR="00FF5833" w:rsidRDefault="00DD175B" w:rsidP="000C05D9">
            <w:pPr>
              <w:pStyle w:val="BodyText"/>
              <w:snapToGrid w:val="0"/>
              <w:spacing w:before="0" w:after="0"/>
              <w:jc w:val="center"/>
              <w:rPr>
                <w:rFonts w:ascii="Times New Roman" w:hAnsi="Times New Roman" w:cs="Times New Roman"/>
              </w:rPr>
            </w:pPr>
            <w:r>
              <w:rPr>
                <w:rFonts w:ascii="Times New Roman" w:hAnsi="Times New Roman" w:cs="Times New Roman"/>
              </w:rPr>
              <w:t>Constant-power limiting range</w:t>
            </w:r>
          </w:p>
        </w:tc>
      </w:tr>
      <w:tr w:rsidR="00FF5833" w14:paraId="0CFF3BD1" w14:textId="77777777" w:rsidTr="000C05D9">
        <w:trPr>
          <w:jc w:val="center"/>
        </w:trPr>
        <w:tc>
          <w:tcPr>
            <w:tcW w:w="1313" w:type="pct"/>
          </w:tcPr>
          <w:p w14:paraId="376C15B9" w14:textId="77777777" w:rsidR="00FF5833" w:rsidRDefault="00DD175B" w:rsidP="000C05D9">
            <w:pPr>
              <w:pStyle w:val="BodyText"/>
              <w:snapToGrid w:val="0"/>
              <w:spacing w:before="0" w:after="0"/>
              <w:rPr>
                <w:rFonts w:ascii="Times New Roman" w:hAnsi="Times New Roman" w:cs="Times New Roman"/>
              </w:rPr>
            </w:pPr>
            <w:r>
              <w:rPr>
                <w:rFonts w:ascii="Times New Roman" w:hAnsi="Times New Roman" w:cs="Times New Roman"/>
              </w:rPr>
              <w:t>Switching frequency</w:t>
            </w:r>
          </w:p>
        </w:tc>
        <w:tc>
          <w:tcPr>
            <w:tcW w:w="1530" w:type="pct"/>
          </w:tcPr>
          <w:p w14:paraId="488A371E" w14:textId="77777777" w:rsidR="00FF5833" w:rsidRDefault="00DD175B" w:rsidP="000C05D9">
            <w:pPr>
              <w:pStyle w:val="BodyText"/>
              <w:snapToGrid w:val="0"/>
              <w:spacing w:before="0" w:after="0"/>
              <w:jc w:val="center"/>
              <w:rPr>
                <w:rFonts w:ascii="Times New Roman" w:hAnsi="Times New Roman" w:cs="Times New Roman"/>
              </w:rPr>
            </w:pPr>
            <w:r>
              <w:rPr>
                <w:rFonts w:ascii="Times New Roman" w:hAnsi="Times New Roman" w:cs="Times New Roman"/>
              </w:rPr>
              <w:t>11–45 kHz</w:t>
            </w:r>
          </w:p>
        </w:tc>
        <w:tc>
          <w:tcPr>
            <w:tcW w:w="2157" w:type="pct"/>
          </w:tcPr>
          <w:p w14:paraId="79715CBA" w14:textId="77777777" w:rsidR="00FF5833" w:rsidRDefault="00DD175B" w:rsidP="000C05D9">
            <w:pPr>
              <w:pStyle w:val="BodyText"/>
              <w:snapToGrid w:val="0"/>
              <w:spacing w:before="0" w:after="0"/>
              <w:jc w:val="center"/>
              <w:rPr>
                <w:rFonts w:ascii="Times New Roman" w:hAnsi="Times New Roman" w:cs="Times New Roman"/>
              </w:rPr>
            </w:pPr>
            <w:r>
              <w:rPr>
                <w:rFonts w:ascii="Times New Roman" w:hAnsi="Times New Roman" w:cs="Times New Roman"/>
              </w:rPr>
              <w:t>Automatic frequency conversion range</w:t>
            </w:r>
          </w:p>
        </w:tc>
      </w:tr>
      <w:tr w:rsidR="00FF5833" w14:paraId="62C34427" w14:textId="77777777" w:rsidTr="000C05D9">
        <w:trPr>
          <w:jc w:val="center"/>
        </w:trPr>
        <w:tc>
          <w:tcPr>
            <w:tcW w:w="1313" w:type="pct"/>
          </w:tcPr>
          <w:p w14:paraId="36A6784C" w14:textId="77777777" w:rsidR="00FF5833" w:rsidRDefault="00DD175B" w:rsidP="000C05D9">
            <w:pPr>
              <w:pStyle w:val="BodyText"/>
              <w:snapToGrid w:val="0"/>
              <w:spacing w:before="0" w:after="0"/>
              <w:rPr>
                <w:rFonts w:ascii="Times New Roman" w:hAnsi="Times New Roman" w:cs="Times New Roman"/>
              </w:rPr>
            </w:pPr>
            <w:r>
              <w:rPr>
                <w:rFonts w:ascii="Times New Roman" w:hAnsi="Times New Roman" w:cs="Times New Roman"/>
              </w:rPr>
              <w:t>Reference frequency</w:t>
            </w:r>
          </w:p>
        </w:tc>
        <w:tc>
          <w:tcPr>
            <w:tcW w:w="1530" w:type="pct"/>
          </w:tcPr>
          <w:p w14:paraId="2B61DE5E" w14:textId="77777777" w:rsidR="00FF5833" w:rsidRDefault="00DD175B" w:rsidP="000C05D9">
            <w:pPr>
              <w:pStyle w:val="BodyText"/>
              <w:snapToGrid w:val="0"/>
              <w:spacing w:before="0" w:after="0"/>
              <w:jc w:val="center"/>
              <w:rPr>
                <w:rFonts w:ascii="Times New Roman" w:hAnsi="Times New Roman" w:cs="Times New Roman"/>
              </w:rPr>
            </w:pPr>
            <w:r>
              <w:rPr>
                <w:rFonts w:ascii="Times New Roman" w:hAnsi="Times New Roman" w:cs="Times New Roman"/>
              </w:rPr>
              <w:t>35 kHz</w:t>
            </w:r>
          </w:p>
        </w:tc>
        <w:tc>
          <w:tcPr>
            <w:tcW w:w="2157" w:type="pct"/>
          </w:tcPr>
          <w:p w14:paraId="649C7F0F" w14:textId="77777777" w:rsidR="00FF5833" w:rsidRDefault="00DD175B" w:rsidP="000C05D9">
            <w:pPr>
              <w:pStyle w:val="BodyText"/>
              <w:snapToGrid w:val="0"/>
              <w:spacing w:before="0" w:after="0"/>
              <w:jc w:val="center"/>
              <w:rPr>
                <w:rFonts w:ascii="Times New Roman" w:hAnsi="Times New Roman" w:cs="Times New Roman"/>
              </w:rPr>
            </w:pPr>
            <w:r>
              <w:rPr>
                <w:rFonts w:ascii="Times New Roman" w:hAnsi="Times New Roman" w:cs="Times New Roman"/>
              </w:rPr>
              <w:t>Default running frequency</w:t>
            </w:r>
          </w:p>
        </w:tc>
      </w:tr>
      <w:tr w:rsidR="00FF5833" w14:paraId="2538629A" w14:textId="77777777" w:rsidTr="000C05D9">
        <w:trPr>
          <w:jc w:val="center"/>
        </w:trPr>
        <w:tc>
          <w:tcPr>
            <w:tcW w:w="1313" w:type="pct"/>
          </w:tcPr>
          <w:p w14:paraId="781A86F9" w14:textId="77777777" w:rsidR="00FF5833" w:rsidRDefault="00DD175B" w:rsidP="000C05D9">
            <w:pPr>
              <w:pStyle w:val="BodyText"/>
              <w:snapToGrid w:val="0"/>
              <w:spacing w:before="0" w:after="0"/>
              <w:rPr>
                <w:rFonts w:ascii="Times New Roman" w:hAnsi="Times New Roman" w:cs="Times New Roman"/>
              </w:rPr>
            </w:pPr>
            <w:r>
              <w:rPr>
                <w:rFonts w:ascii="Times New Roman" w:hAnsi="Times New Roman" w:cs="Times New Roman"/>
              </w:rPr>
              <w:t>Dead time</w:t>
            </w:r>
          </w:p>
        </w:tc>
        <w:tc>
          <w:tcPr>
            <w:tcW w:w="1530" w:type="pct"/>
          </w:tcPr>
          <w:p w14:paraId="2CB8F37F" w14:textId="77777777" w:rsidR="00FF5833" w:rsidRDefault="00DD175B" w:rsidP="000C05D9">
            <w:pPr>
              <w:pStyle w:val="BodyText"/>
              <w:snapToGrid w:val="0"/>
              <w:spacing w:before="0" w:after="0"/>
              <w:jc w:val="center"/>
              <w:rPr>
                <w:rFonts w:ascii="Times New Roman" w:hAnsi="Times New Roman" w:cs="Times New Roman"/>
              </w:rPr>
            </w:pPr>
            <w:r>
              <w:rPr>
                <w:rFonts w:ascii="Times New Roman" w:hAnsi="Times New Roman" w:cs="Times New Roman"/>
              </w:rPr>
              <w:t>Approximately 200 ns</w:t>
            </w:r>
          </w:p>
        </w:tc>
        <w:tc>
          <w:tcPr>
            <w:tcW w:w="2157" w:type="pct"/>
          </w:tcPr>
          <w:p w14:paraId="4E621E7C" w14:textId="77777777" w:rsidR="00FF5833" w:rsidRDefault="00DD175B" w:rsidP="000C05D9">
            <w:pPr>
              <w:pStyle w:val="BodyText"/>
              <w:snapToGrid w:val="0"/>
              <w:spacing w:before="0" w:after="0"/>
              <w:jc w:val="center"/>
              <w:rPr>
                <w:rFonts w:ascii="Times New Roman" w:hAnsi="Times New Roman" w:cs="Times New Roman"/>
                <w:lang w:eastAsia="zh-CN"/>
              </w:rPr>
            </w:pPr>
            <w:r>
              <w:rPr>
                <w:rFonts w:ascii="Times New Roman" w:hAnsi="Times New Roman" w:cs="Times New Roman"/>
                <w:lang w:eastAsia="zh-CN"/>
              </w:rPr>
              <w:t>HRTIM complementary-output dead time</w:t>
            </w:r>
          </w:p>
        </w:tc>
      </w:tr>
      <w:tr w:rsidR="00FF5833" w14:paraId="4052E58C" w14:textId="77777777" w:rsidTr="000C05D9">
        <w:trPr>
          <w:jc w:val="center"/>
        </w:trPr>
        <w:tc>
          <w:tcPr>
            <w:tcW w:w="1313" w:type="pct"/>
          </w:tcPr>
          <w:p w14:paraId="7F2B6277" w14:textId="77777777" w:rsidR="00FF5833" w:rsidRDefault="00DD175B" w:rsidP="000C05D9">
            <w:pPr>
              <w:pStyle w:val="BodyText"/>
              <w:snapToGrid w:val="0"/>
              <w:spacing w:before="0" w:after="0"/>
              <w:rPr>
                <w:rFonts w:ascii="Times New Roman" w:hAnsi="Times New Roman" w:cs="Times New Roman"/>
              </w:rPr>
            </w:pPr>
            <w:r>
              <w:rPr>
                <w:rFonts w:ascii="Times New Roman" w:hAnsi="Times New Roman" w:cs="Times New Roman"/>
              </w:rPr>
              <w:t>Main control chip</w:t>
            </w:r>
          </w:p>
        </w:tc>
        <w:tc>
          <w:tcPr>
            <w:tcW w:w="1530" w:type="pct"/>
          </w:tcPr>
          <w:p w14:paraId="3E6D7C19" w14:textId="77777777" w:rsidR="00FF5833" w:rsidRDefault="00DD175B" w:rsidP="000C05D9">
            <w:pPr>
              <w:pStyle w:val="BodyText"/>
              <w:snapToGrid w:val="0"/>
              <w:spacing w:before="0" w:after="0"/>
              <w:jc w:val="center"/>
              <w:rPr>
                <w:rFonts w:ascii="Times New Roman" w:hAnsi="Times New Roman" w:cs="Times New Roman"/>
              </w:rPr>
            </w:pPr>
            <w:r>
              <w:rPr>
                <w:rFonts w:ascii="Times New Roman" w:hAnsi="Times New Roman" w:cs="Times New Roman"/>
              </w:rPr>
              <w:t>STM32G474CBT6</w:t>
            </w:r>
          </w:p>
        </w:tc>
        <w:tc>
          <w:tcPr>
            <w:tcW w:w="2157" w:type="pct"/>
          </w:tcPr>
          <w:p w14:paraId="093E9125" w14:textId="77777777" w:rsidR="00FF5833" w:rsidRDefault="00DD175B" w:rsidP="000C05D9">
            <w:pPr>
              <w:pStyle w:val="BodyText"/>
              <w:snapToGrid w:val="0"/>
              <w:spacing w:before="0" w:after="0"/>
              <w:jc w:val="center"/>
              <w:rPr>
                <w:rFonts w:ascii="Times New Roman" w:hAnsi="Times New Roman" w:cs="Times New Roman"/>
              </w:rPr>
            </w:pPr>
            <w:r>
              <w:rPr>
                <w:rFonts w:ascii="Times New Roman" w:hAnsi="Times New Roman" w:cs="Times New Roman"/>
              </w:rPr>
              <w:t>HRTIM and multiple ADC sampling</w:t>
            </w:r>
          </w:p>
        </w:tc>
      </w:tr>
      <w:tr w:rsidR="00FF5833" w14:paraId="486AF430" w14:textId="77777777" w:rsidTr="000C05D9">
        <w:trPr>
          <w:jc w:val="center"/>
        </w:trPr>
        <w:tc>
          <w:tcPr>
            <w:tcW w:w="1313" w:type="pct"/>
            <w:tcBorders>
              <w:bottom w:val="single" w:sz="4" w:space="0" w:color="auto"/>
            </w:tcBorders>
          </w:tcPr>
          <w:p w14:paraId="473D1309" w14:textId="77777777" w:rsidR="00FF5833" w:rsidRDefault="00DD175B" w:rsidP="000C05D9">
            <w:pPr>
              <w:pStyle w:val="BodyText"/>
              <w:snapToGrid w:val="0"/>
              <w:spacing w:before="0" w:after="0"/>
              <w:rPr>
                <w:rFonts w:ascii="Times New Roman" w:hAnsi="Times New Roman" w:cs="Times New Roman"/>
              </w:rPr>
            </w:pPr>
            <w:r>
              <w:rPr>
                <w:rFonts w:ascii="Times New Roman" w:hAnsi="Times New Roman" w:cs="Times New Roman"/>
              </w:rPr>
              <w:t>Transformer turns ratio</w:t>
            </w:r>
          </w:p>
        </w:tc>
        <w:tc>
          <w:tcPr>
            <w:tcW w:w="1530" w:type="pct"/>
            <w:tcBorders>
              <w:bottom w:val="single" w:sz="4" w:space="0" w:color="auto"/>
            </w:tcBorders>
          </w:tcPr>
          <w:p w14:paraId="0D101EAF" w14:textId="77777777" w:rsidR="00FF5833" w:rsidRDefault="00DD175B" w:rsidP="000C05D9">
            <w:pPr>
              <w:pStyle w:val="BodyText"/>
              <w:snapToGrid w:val="0"/>
              <w:spacing w:before="0" w:after="0"/>
              <w:jc w:val="center"/>
              <w:rPr>
                <w:rFonts w:ascii="Times New Roman" w:hAnsi="Times New Roman" w:cs="Times New Roman"/>
              </w:rPr>
            </w:pPr>
            <w:r>
              <w:rPr>
                <w:rFonts w:ascii="Times New Roman" w:hAnsi="Times New Roman" w:cs="Times New Roman"/>
              </w:rPr>
              <w:t>1:100</w:t>
            </w:r>
          </w:p>
        </w:tc>
        <w:tc>
          <w:tcPr>
            <w:tcW w:w="2157" w:type="pct"/>
            <w:tcBorders>
              <w:bottom w:val="single" w:sz="4" w:space="0" w:color="auto"/>
            </w:tcBorders>
          </w:tcPr>
          <w:p w14:paraId="3E75CDF5" w14:textId="77777777" w:rsidR="00FF5833" w:rsidRDefault="00DD175B" w:rsidP="000C05D9">
            <w:pPr>
              <w:pStyle w:val="BodyText"/>
              <w:snapToGrid w:val="0"/>
              <w:spacing w:before="0" w:after="0"/>
              <w:jc w:val="center"/>
              <w:rPr>
                <w:rFonts w:ascii="Times New Roman" w:hAnsi="Times New Roman" w:cs="Times New Roman"/>
              </w:rPr>
            </w:pPr>
            <w:r>
              <w:rPr>
                <w:rFonts w:ascii="Times New Roman" w:hAnsi="Times New Roman" w:cs="Times New Roman"/>
              </w:rPr>
              <w:t>Isolation boost</w:t>
            </w:r>
          </w:p>
        </w:tc>
      </w:tr>
    </w:tbl>
    <w:p w14:paraId="37014D6E" w14:textId="77777777" w:rsidR="00E7328D" w:rsidRDefault="00E7328D" w:rsidP="00E7328D">
      <w:pPr>
        <w:pStyle w:val="BodyText"/>
        <w:snapToGrid w:val="0"/>
        <w:spacing w:before="0" w:after="0"/>
        <w:jc w:val="both"/>
        <w:rPr>
          <w:rFonts w:ascii="Times New Roman" w:hAnsi="Times New Roman" w:cs="Times New Roman"/>
          <w:lang w:eastAsia="zh-CN"/>
        </w:rPr>
      </w:pPr>
    </w:p>
    <w:p w14:paraId="4A26BA84" w14:textId="31056505" w:rsidR="00FF5833" w:rsidRDefault="00DD175B" w:rsidP="00E7328D">
      <w:pPr>
        <w:pStyle w:val="BodyText"/>
        <w:snapToGrid w:val="0"/>
        <w:spacing w:before="0" w:after="0"/>
        <w:ind w:firstLine="426"/>
        <w:jc w:val="both"/>
        <w:rPr>
          <w:rFonts w:ascii="Times New Roman" w:hAnsi="Times New Roman" w:cs="Times New Roman"/>
          <w:lang w:eastAsia="zh-CN"/>
        </w:rPr>
      </w:pPr>
      <w:r>
        <w:rPr>
          <w:rFonts w:ascii="Times New Roman" w:hAnsi="Times New Roman" w:cs="Times New Roman"/>
          <w:lang w:eastAsia="zh-CN"/>
        </w:rPr>
        <w:t>The main power supply consists of a low-voltage input, a PSFB full bridge, a high-frequency transformer, a high-voltage rectifier and filter, and an output terminal (</w:t>
      </w:r>
      <w:r w:rsidRPr="000C05D9">
        <w:rPr>
          <w:rFonts w:ascii="Times New Roman" w:hAnsi="Times New Roman" w:cs="Times New Roman"/>
          <w:b/>
          <w:bCs/>
          <w:lang w:eastAsia="zh-CN"/>
        </w:rPr>
        <w:t>Figure 1</w:t>
      </w:r>
      <w:r>
        <w:rPr>
          <w:rFonts w:ascii="Times New Roman" w:hAnsi="Times New Roman" w:cs="Times New Roman"/>
          <w:lang w:eastAsia="zh-CN"/>
        </w:rPr>
        <w:t xml:space="preserve">). It isolates the low-voltage, high-current side from the high-voltage, low-current side, improving user and equipment safety while enabling independent feedback and discharge protection on the high-voltage side. The two bridge </w:t>
      </w:r>
      <w:r>
        <w:rPr>
          <w:rFonts w:ascii="Times New Roman" w:hAnsi="Times New Roman" w:cs="Times New Roman"/>
          <w:lang w:eastAsia="zh-CN"/>
        </w:rPr>
        <w:lastRenderedPageBreak/>
        <w:t xml:space="preserve">arms of the full bridge operate complementarily, and the effective energy-transfer time is adjusted through the phase shift between the leading and lagging bridge arms. The hardware control and protection structure is shown in </w:t>
      </w:r>
      <w:r w:rsidRPr="000C05D9">
        <w:rPr>
          <w:rFonts w:ascii="Times New Roman" w:hAnsi="Times New Roman" w:cs="Times New Roman"/>
          <w:b/>
          <w:bCs/>
          <w:lang w:eastAsia="zh-CN"/>
        </w:rPr>
        <w:t>Figure 2</w:t>
      </w:r>
      <w:r>
        <w:rPr>
          <w:rFonts w:ascii="Times New Roman" w:hAnsi="Times New Roman" w:cs="Times New Roman"/>
          <w:lang w:eastAsia="zh-CN"/>
        </w:rPr>
        <w:t xml:space="preserve">. The MCU performs drive generation, sampling, protection, and communication. The output voltage VSEC, secondary current ISEC, input voltage VPRI, primary </w:t>
      </w:r>
      <w:r w:rsidR="00E7328D">
        <w:rPr>
          <w:rFonts w:ascii="Times New Roman" w:hAnsi="Times New Roman" w:cs="Times New Roman"/>
          <w:lang w:eastAsia="zh-CN"/>
        </w:rPr>
        <w:t>DC</w:t>
      </w:r>
      <w:r>
        <w:rPr>
          <w:rFonts w:ascii="Times New Roman" w:hAnsi="Times New Roman" w:cs="Times New Roman"/>
          <w:lang w:eastAsia="zh-CN"/>
        </w:rPr>
        <w:t xml:space="preserve"> IPRI_DC, primary </w:t>
      </w:r>
      <w:r w:rsidR="00E7328D">
        <w:rPr>
          <w:rFonts w:ascii="Times New Roman" w:hAnsi="Times New Roman" w:cs="Times New Roman"/>
          <w:lang w:eastAsia="zh-CN"/>
        </w:rPr>
        <w:t>AC</w:t>
      </w:r>
      <w:r>
        <w:rPr>
          <w:rFonts w:ascii="Times New Roman" w:hAnsi="Times New Roman" w:cs="Times New Roman"/>
          <w:lang w:eastAsia="zh-CN"/>
        </w:rPr>
        <w:t xml:space="preserve"> IPRI_AC, auxiliary power supply, and temperature signals are collected. Hardware overcurrent protection uses a comparator and an HRTIM Fault input, allowing the drive to be shut down quickly outside the software control cycle.</w:t>
      </w:r>
    </w:p>
    <w:p w14:paraId="09AEA9EE" w14:textId="77777777" w:rsidR="00E7328D" w:rsidRDefault="00E7328D" w:rsidP="000C05D9">
      <w:pPr>
        <w:pStyle w:val="BodyText"/>
        <w:snapToGrid w:val="0"/>
        <w:spacing w:before="0" w:after="0"/>
        <w:ind w:firstLine="426"/>
        <w:jc w:val="both"/>
        <w:rPr>
          <w:rFonts w:ascii="Times New Roman" w:hAnsi="Times New Roman" w:cs="Times New Roman"/>
          <w:lang w:eastAsia="zh-CN"/>
        </w:rPr>
      </w:pPr>
    </w:p>
    <w:p w14:paraId="4ACE3511" w14:textId="77777777" w:rsidR="00FF5833" w:rsidRDefault="00DD175B" w:rsidP="000C05D9">
      <w:pPr>
        <w:pStyle w:val="BodyText"/>
        <w:snapToGrid w:val="0"/>
        <w:spacing w:before="0" w:after="0"/>
        <w:jc w:val="center"/>
        <w:rPr>
          <w:rFonts w:ascii="Times New Roman" w:hAnsi="Times New Roman" w:cs="Times New Roman"/>
        </w:rPr>
      </w:pPr>
      <w:r>
        <w:rPr>
          <w:rFonts w:ascii="Times New Roman" w:hAnsi="Times New Roman" w:cs="Times New Roman"/>
          <w:noProof/>
        </w:rPr>
        <w:drawing>
          <wp:inline distT="0" distB="0" distL="0" distR="0" wp14:anchorId="58075BF8" wp14:editId="2D60115C">
            <wp:extent cx="5486400" cy="2731135"/>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7" cstate="print">
                      <a:extLst>
                        <a:ext uri="{28A0092B-C50C-407E-A947-70E740481C1C}">
                          <a14:useLocalDpi xmlns:a14="http://schemas.microsoft.com/office/drawing/2010/main" val="0"/>
                        </a:ext>
                      </a:extLst>
                    </a:blip>
                    <a:srcRect b="11528"/>
                    <a:stretch>
                      <a:fillRect/>
                    </a:stretch>
                  </pic:blipFill>
                  <pic:spPr>
                    <a:xfrm>
                      <a:off x="0" y="0"/>
                      <a:ext cx="5486400" cy="2731477"/>
                    </a:xfrm>
                    <a:prstGeom prst="rect">
                      <a:avLst/>
                    </a:prstGeom>
                    <a:noFill/>
                    <a:ln>
                      <a:noFill/>
                    </a:ln>
                  </pic:spPr>
                </pic:pic>
              </a:graphicData>
            </a:graphic>
          </wp:inline>
        </w:drawing>
      </w:r>
    </w:p>
    <w:p w14:paraId="63D6A238" w14:textId="69EB2283" w:rsidR="00FF5833" w:rsidRDefault="00DD175B" w:rsidP="00E7328D">
      <w:pPr>
        <w:pStyle w:val="BodyText"/>
        <w:snapToGrid w:val="0"/>
        <w:spacing w:before="0" w:after="0"/>
        <w:jc w:val="center"/>
        <w:rPr>
          <w:rFonts w:ascii="Times New Roman" w:hAnsi="Times New Roman" w:cs="Times New Roman"/>
          <w:sz w:val="20"/>
          <w:szCs w:val="20"/>
        </w:rPr>
      </w:pPr>
      <w:r w:rsidRPr="000C05D9">
        <w:rPr>
          <w:rFonts w:ascii="Times New Roman" w:hAnsi="Times New Roman" w:cs="Times New Roman"/>
          <w:b/>
          <w:bCs/>
          <w:sz w:val="20"/>
          <w:szCs w:val="20"/>
        </w:rPr>
        <w:t>Figure 1</w:t>
      </w:r>
      <w:r w:rsidR="00E7328D" w:rsidRPr="000C05D9">
        <w:rPr>
          <w:rFonts w:ascii="Times New Roman" w:hAnsi="Times New Roman" w:cs="Times New Roman"/>
          <w:b/>
          <w:bCs/>
          <w:sz w:val="20"/>
          <w:szCs w:val="20"/>
        </w:rPr>
        <w:t>.</w:t>
      </w:r>
      <w:r w:rsidRPr="000C05D9">
        <w:rPr>
          <w:rFonts w:ascii="Times New Roman" w:hAnsi="Times New Roman" w:cs="Times New Roman"/>
          <w:sz w:val="20"/>
          <w:szCs w:val="20"/>
        </w:rPr>
        <w:t xml:space="preserve"> Power architecture diagram</w:t>
      </w:r>
      <w:r w:rsidR="00E7328D" w:rsidRPr="000C05D9">
        <w:rPr>
          <w:rFonts w:ascii="Times New Roman" w:hAnsi="Times New Roman" w:cs="Times New Roman"/>
          <w:sz w:val="20"/>
          <w:szCs w:val="20"/>
        </w:rPr>
        <w:t>.</w:t>
      </w:r>
    </w:p>
    <w:p w14:paraId="0C398F92" w14:textId="77777777" w:rsidR="00E7328D" w:rsidRPr="00E7328D" w:rsidRDefault="00E7328D" w:rsidP="000C05D9">
      <w:pPr>
        <w:pStyle w:val="BodyText"/>
        <w:snapToGrid w:val="0"/>
        <w:spacing w:before="0" w:after="0"/>
        <w:jc w:val="center"/>
        <w:rPr>
          <w:rFonts w:ascii="Times New Roman" w:hAnsi="Times New Roman" w:cs="Times New Roman"/>
        </w:rPr>
      </w:pPr>
    </w:p>
    <w:p w14:paraId="3C1A1E67" w14:textId="77777777" w:rsidR="00FF5833" w:rsidRDefault="00DD175B" w:rsidP="000C05D9">
      <w:pPr>
        <w:pStyle w:val="BodyText"/>
        <w:snapToGrid w:val="0"/>
        <w:spacing w:before="0" w:after="0"/>
        <w:jc w:val="center"/>
        <w:rPr>
          <w:rFonts w:ascii="Times New Roman" w:hAnsi="Times New Roman" w:cs="Times New Roman"/>
        </w:rPr>
      </w:pPr>
      <w:r>
        <w:rPr>
          <w:rFonts w:ascii="Times New Roman" w:hAnsi="Times New Roman" w:cs="Times New Roman"/>
          <w:noProof/>
        </w:rPr>
        <w:drawing>
          <wp:inline distT="0" distB="0" distL="0" distR="0" wp14:anchorId="5986CF36" wp14:editId="23C82DD3">
            <wp:extent cx="5486400" cy="308737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5486400" cy="3087370"/>
                    </a:xfrm>
                    <a:prstGeom prst="rect">
                      <a:avLst/>
                    </a:prstGeom>
                    <a:noFill/>
                    <a:ln>
                      <a:noFill/>
                    </a:ln>
                  </pic:spPr>
                </pic:pic>
              </a:graphicData>
            </a:graphic>
          </wp:inline>
        </w:drawing>
      </w:r>
    </w:p>
    <w:p w14:paraId="510D2A03" w14:textId="44B64399" w:rsidR="00FF5833" w:rsidRPr="000C05D9" w:rsidRDefault="00DD175B" w:rsidP="000C05D9">
      <w:pPr>
        <w:pStyle w:val="BodyText"/>
        <w:snapToGrid w:val="0"/>
        <w:spacing w:before="0" w:after="0"/>
        <w:jc w:val="center"/>
        <w:rPr>
          <w:rFonts w:ascii="Times New Roman" w:hAnsi="Times New Roman" w:cs="Times New Roman"/>
          <w:sz w:val="20"/>
          <w:szCs w:val="20"/>
          <w:lang w:eastAsia="zh-CN"/>
        </w:rPr>
      </w:pPr>
      <w:r w:rsidRPr="000C05D9">
        <w:rPr>
          <w:rFonts w:ascii="Times New Roman" w:hAnsi="Times New Roman" w:cs="Times New Roman"/>
          <w:b/>
          <w:bCs/>
          <w:sz w:val="20"/>
          <w:szCs w:val="20"/>
          <w:lang w:eastAsia="zh-CN"/>
        </w:rPr>
        <w:t>Figure 2</w:t>
      </w:r>
      <w:r w:rsidR="00E7328D" w:rsidRPr="000C05D9">
        <w:rPr>
          <w:rFonts w:ascii="Times New Roman" w:hAnsi="Times New Roman" w:cs="Times New Roman"/>
          <w:b/>
          <w:bCs/>
          <w:sz w:val="20"/>
          <w:szCs w:val="20"/>
          <w:lang w:eastAsia="zh-CN"/>
        </w:rPr>
        <w:t>.</w:t>
      </w:r>
      <w:r w:rsidRPr="000C05D9">
        <w:rPr>
          <w:rFonts w:ascii="Times New Roman" w:hAnsi="Times New Roman" w:cs="Times New Roman"/>
          <w:sz w:val="20"/>
          <w:szCs w:val="20"/>
          <w:lang w:eastAsia="zh-CN"/>
        </w:rPr>
        <w:t xml:space="preserve"> Hardware control and protection architecture diagram</w:t>
      </w:r>
      <w:r w:rsidR="00E7328D" w:rsidRPr="000C05D9">
        <w:rPr>
          <w:rFonts w:ascii="Times New Roman" w:hAnsi="Times New Roman" w:cs="Times New Roman"/>
          <w:sz w:val="20"/>
          <w:szCs w:val="20"/>
          <w:lang w:eastAsia="zh-CN"/>
        </w:rPr>
        <w:t>.</w:t>
      </w:r>
    </w:p>
    <w:p w14:paraId="75C02A01" w14:textId="77777777" w:rsidR="00E7328D" w:rsidRDefault="00E7328D" w:rsidP="000C05D9">
      <w:pPr>
        <w:pStyle w:val="BodyText"/>
        <w:snapToGrid w:val="0"/>
        <w:spacing w:before="0" w:after="0"/>
        <w:jc w:val="both"/>
        <w:rPr>
          <w:rFonts w:ascii="Times New Roman" w:hAnsi="Times New Roman" w:cs="Times New Roman"/>
          <w:lang w:eastAsia="zh-CN"/>
        </w:rPr>
      </w:pPr>
    </w:p>
    <w:p w14:paraId="011191B5" w14:textId="77777777" w:rsidR="00FF5833" w:rsidRDefault="00DD175B" w:rsidP="000C05D9">
      <w:pPr>
        <w:pStyle w:val="BodyText"/>
        <w:snapToGrid w:val="0"/>
        <w:spacing w:before="0" w:after="0"/>
        <w:ind w:firstLine="426"/>
        <w:jc w:val="both"/>
        <w:rPr>
          <w:rFonts w:ascii="Times New Roman" w:hAnsi="Times New Roman" w:cs="Times New Roman"/>
          <w:lang w:eastAsia="zh-CN"/>
        </w:rPr>
      </w:pPr>
      <w:r>
        <w:rPr>
          <w:rFonts w:ascii="Times New Roman" w:hAnsi="Times New Roman" w:cs="Times New Roman"/>
          <w:lang w:eastAsia="zh-CN"/>
        </w:rPr>
        <w:t xml:space="preserve">The phase-shift duty cycle is the key control variable of the PSFB. Let the switching period be </w:t>
      </w:r>
      <m:oMath>
        <m:sSub>
          <m:sSubPr>
            <m:ctrlPr>
              <w:rPr>
                <w:rFonts w:ascii="Cambria Math" w:hAnsi="Cambria Math" w:cs="Times New Roman"/>
              </w:rPr>
            </m:ctrlPr>
          </m:sSubPr>
          <m:e>
            <m:r>
              <w:rPr>
                <w:rFonts w:ascii="Cambria Math" w:hAnsi="Cambria Math" w:cs="Times New Roman"/>
              </w:rPr>
              <m:t>T</m:t>
            </m:r>
          </m:e>
          <m:sub>
            <m:r>
              <w:rPr>
                <w:rFonts w:ascii="Cambria Math" w:hAnsi="Cambria Math" w:cs="Times New Roman"/>
              </w:rPr>
              <m:t>s</m:t>
            </m:r>
          </m:sub>
        </m:sSub>
      </m:oMath>
      <w:r>
        <w:rPr>
          <w:rFonts w:ascii="Times New Roman" w:hAnsi="Times New Roman" w:cs="Times New Roman"/>
          <w:lang w:eastAsia="zh-CN"/>
        </w:rPr>
        <w:t xml:space="preserve"> and the effective phase-shift time between the two bridge arms be </w:t>
      </w:r>
      <m:oMath>
        <m:sSub>
          <m:sSubPr>
            <m:ctrlPr>
              <w:rPr>
                <w:rFonts w:ascii="Cambria Math" w:hAnsi="Cambria Math" w:cs="Times New Roman"/>
              </w:rPr>
            </m:ctrlPr>
          </m:sSubPr>
          <m:e>
            <m:r>
              <w:rPr>
                <w:rFonts w:ascii="Cambria Math" w:hAnsi="Cambria Math" w:cs="Times New Roman"/>
                <w:lang w:eastAsia="zh-CN"/>
              </w:rPr>
              <m:t>t</m:t>
            </m:r>
          </m:e>
          <m:sub>
            <m:r>
              <w:rPr>
                <w:rFonts w:ascii="Cambria Math" w:hAnsi="Cambria Math" w:cs="Times New Roman"/>
                <w:lang w:eastAsia="zh-CN"/>
              </w:rPr>
              <m:t>ϕ</m:t>
            </m:r>
          </m:sub>
        </m:sSub>
      </m:oMath>
      <w:r>
        <w:rPr>
          <w:rFonts w:ascii="Times New Roman" w:hAnsi="Times New Roman" w:cs="Times New Roman"/>
          <w:lang w:eastAsia="zh-CN"/>
        </w:rPr>
        <w:t xml:space="preserve">; then, the normalized duty cycle </w:t>
      </w:r>
      <m:oMath>
        <m:r>
          <w:rPr>
            <w:rFonts w:ascii="Cambria Math" w:hAnsi="Cambria Math" w:cs="Times New Roman"/>
            <w:lang w:eastAsia="zh-CN"/>
          </w:rPr>
          <m:t>d</m:t>
        </m:r>
      </m:oMath>
      <w:r>
        <w:rPr>
          <w:rFonts w:ascii="Times New Roman" w:hAnsi="Times New Roman" w:cs="Times New Roman"/>
          <w:lang w:eastAsia="zh-CN"/>
        </w:rPr>
        <w:t xml:space="preserve"> is defined as:</w:t>
      </w:r>
    </w:p>
    <w:p w14:paraId="1A0F6D5A" w14:textId="77777777" w:rsidR="00FF5833" w:rsidRDefault="00DD175B" w:rsidP="000C05D9">
      <w:pPr>
        <w:pStyle w:val="BodyText"/>
        <w:snapToGrid w:val="0"/>
        <w:spacing w:before="0" w:after="0"/>
        <w:jc w:val="right"/>
        <w:rPr>
          <w:rFonts w:ascii="Times New Roman" w:hAnsi="Times New Roman" w:cs="Times New Roman"/>
        </w:rPr>
      </w:pPr>
      <m:oMath>
        <m:r>
          <w:rPr>
            <w:rFonts w:ascii="Cambria Math" w:hAnsi="Cambria Math" w:cs="Times New Roman"/>
          </w:rPr>
          <w:lastRenderedPageBreak/>
          <m:t>d</m:t>
        </m:r>
        <m:r>
          <m:rPr>
            <m:sty m:val="p"/>
          </m:rPr>
          <w:rPr>
            <w:rFonts w:ascii="Cambria Math" w:hAnsi="Cambria Math" w:cs="Times New Roman"/>
          </w:rPr>
          <m:t>=</m:t>
        </m:r>
        <m:f>
          <m:fPr>
            <m:ctrlPr>
              <w:rPr>
                <w:rFonts w:ascii="Cambria Math" w:hAnsi="Cambria Math" w:cs="Times New Roman"/>
              </w:rPr>
            </m:ctrlPr>
          </m:fPr>
          <m:num>
            <m:r>
              <w:rPr>
                <w:rFonts w:ascii="Cambria Math" w:hAnsi="Cambria Math" w:cs="Times New Roman"/>
              </w:rPr>
              <m:t>2</m:t>
            </m:r>
            <m:sSub>
              <m:sSubPr>
                <m:ctrlPr>
                  <w:rPr>
                    <w:rFonts w:ascii="Cambria Math" w:hAnsi="Cambria Math" w:cs="Times New Roman"/>
                  </w:rPr>
                </m:ctrlPr>
              </m:sSubPr>
              <m:e>
                <m:r>
                  <w:rPr>
                    <w:rFonts w:ascii="Cambria Math" w:hAnsi="Cambria Math" w:cs="Times New Roman"/>
                  </w:rPr>
                  <m:t>t</m:t>
                </m:r>
              </m:e>
              <m:sub>
                <m:r>
                  <w:rPr>
                    <w:rFonts w:ascii="Cambria Math" w:hAnsi="Cambria Math" w:cs="Times New Roman"/>
                  </w:rPr>
                  <m:t>ϕ</m:t>
                </m:r>
              </m:sub>
            </m:sSub>
          </m:num>
          <m:den>
            <m:sSub>
              <m:sSubPr>
                <m:ctrlPr>
                  <w:rPr>
                    <w:rFonts w:ascii="Cambria Math" w:hAnsi="Cambria Math" w:cs="Times New Roman"/>
                  </w:rPr>
                </m:ctrlPr>
              </m:sSubPr>
              <m:e>
                <m:r>
                  <w:rPr>
                    <w:rFonts w:ascii="Cambria Math" w:hAnsi="Cambria Math" w:cs="Times New Roman"/>
                  </w:rPr>
                  <m:t>T</m:t>
                </m:r>
              </m:e>
              <m:sub>
                <m:r>
                  <w:rPr>
                    <w:rFonts w:ascii="Cambria Math" w:hAnsi="Cambria Math" w:cs="Times New Roman"/>
                  </w:rPr>
                  <m:t>s</m:t>
                </m:r>
              </m:sub>
            </m:sSub>
          </m:den>
        </m:f>
        <m:r>
          <m:rPr>
            <m:sty m:val="p"/>
          </m:rPr>
          <w:rPr>
            <w:rFonts w:ascii="Cambria Math" w:hAnsi="Cambria Math" w:cs="Times New Roman"/>
          </w:rPr>
          <m:t>=</m:t>
        </m:r>
        <m:f>
          <m:fPr>
            <m:ctrlPr>
              <w:rPr>
                <w:rFonts w:ascii="Cambria Math" w:hAnsi="Cambria Math" w:cs="Times New Roman"/>
              </w:rPr>
            </m:ctrlPr>
          </m:fPr>
          <m:num>
            <m:r>
              <w:rPr>
                <w:rFonts w:ascii="Cambria Math" w:hAnsi="Cambria Math" w:cs="Times New Roman"/>
              </w:rPr>
              <m:t>ϕ</m:t>
            </m:r>
          </m:num>
          <m:den>
            <m:r>
              <w:rPr>
                <w:rFonts w:ascii="Cambria Math" w:hAnsi="Cambria Math" w:cs="Times New Roman"/>
              </w:rPr>
              <m:t>π</m:t>
            </m:r>
          </m:den>
        </m:f>
        <m:r>
          <m:rPr>
            <m:sty m:val="p"/>
          </m:rPr>
          <w:rPr>
            <w:rFonts w:ascii="Cambria Math" w:hAnsi="Cambria Math" w:cs="Times New Roman"/>
          </w:rPr>
          <m:t>,</m:t>
        </m:r>
        <m:r>
          <w:rPr>
            <w:rFonts w:ascii="Cambria Math" w:hAnsi="Cambria Math" w:cs="Times New Roman"/>
          </w:rPr>
          <m:t> </m:t>
        </m:r>
        <m:r>
          <w:rPr>
            <w:rFonts w:ascii="Cambria Math" w:hAnsi="Cambria Math" w:cs="Times New Roman"/>
          </w:rPr>
          <m:t>0</m:t>
        </m:r>
        <m:r>
          <m:rPr>
            <m:sty m:val="p"/>
          </m:rPr>
          <w:rPr>
            <w:rFonts w:ascii="Cambria Math" w:hAnsi="Cambria Math" w:cs="Times New Roman"/>
          </w:rPr>
          <m:t>≤</m:t>
        </m:r>
        <m:r>
          <w:rPr>
            <w:rFonts w:ascii="Cambria Math" w:hAnsi="Cambria Math" w:cs="Times New Roman"/>
          </w:rPr>
          <m:t>d</m:t>
        </m:r>
        <m:r>
          <m:rPr>
            <m:sty m:val="p"/>
          </m:rPr>
          <w:rPr>
            <w:rFonts w:ascii="Cambria Math" w:hAnsi="Cambria Math" w:cs="Times New Roman"/>
          </w:rPr>
          <m:t>≤</m:t>
        </m:r>
        <m:r>
          <w:rPr>
            <w:rFonts w:ascii="Cambria Math" w:hAnsi="Cambria Math" w:cs="Times New Roman"/>
          </w:rPr>
          <m:t>1</m:t>
        </m:r>
      </m:oMath>
      <w:r>
        <w:rPr>
          <w:rFonts w:ascii="Times New Roman" w:hAnsi="Times New Roman" w:cs="Times New Roman" w:hint="eastAsia"/>
          <w:lang w:eastAsia="zh-CN"/>
        </w:rPr>
        <w:t xml:space="preserve">                                  </w:t>
      </w:r>
      <w:r>
        <w:rPr>
          <w:rFonts w:ascii="Times New Roman" w:hAnsi="Times New Roman" w:cs="Times New Roman"/>
          <w:lang w:eastAsia="zh-CN"/>
        </w:rPr>
        <w:t>(1)</w:t>
      </w:r>
    </w:p>
    <w:p w14:paraId="5CE2C9B2" w14:textId="77777777" w:rsidR="00FF5833" w:rsidRDefault="00DD175B" w:rsidP="000C05D9">
      <w:pPr>
        <w:pStyle w:val="BodyText"/>
        <w:snapToGrid w:val="0"/>
        <w:spacing w:before="0" w:after="0"/>
        <w:ind w:firstLine="426"/>
        <w:jc w:val="both"/>
        <w:rPr>
          <w:rFonts w:ascii="Times New Roman" w:hAnsi="Times New Roman" w:cs="Times New Roman"/>
          <w:lang w:eastAsia="zh-CN"/>
        </w:rPr>
      </w:pPr>
      <w:r>
        <w:rPr>
          <w:rFonts w:ascii="Times New Roman" w:hAnsi="Times New Roman" w:cs="Times New Roman"/>
          <w:lang w:eastAsia="zh-CN"/>
        </w:rPr>
        <w:t>For the ideal output side, the output power is determined by the output voltage and output current:</w:t>
      </w:r>
    </w:p>
    <w:p w14:paraId="03609942" w14:textId="77777777" w:rsidR="00FF5833" w:rsidRDefault="00DD175B" w:rsidP="000C05D9">
      <w:pPr>
        <w:pStyle w:val="BodyText"/>
        <w:snapToGrid w:val="0"/>
        <w:spacing w:before="0" w:after="0"/>
        <w:jc w:val="right"/>
        <w:rPr>
          <w:rFonts w:ascii="Times New Roman" w:hAnsi="Times New Roman" w:cs="Times New Roman"/>
        </w:rPr>
      </w:pPr>
      <m:oMath>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o</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o</m:t>
            </m:r>
          </m:sub>
        </m:sSub>
        <m:sSub>
          <m:sSubPr>
            <m:ctrlPr>
              <w:rPr>
                <w:rFonts w:ascii="Cambria Math" w:hAnsi="Cambria Math" w:cs="Times New Roman"/>
              </w:rPr>
            </m:ctrlPr>
          </m:sSubPr>
          <m:e>
            <m:r>
              <w:rPr>
                <w:rFonts w:ascii="Cambria Math" w:hAnsi="Cambria Math" w:cs="Times New Roman"/>
              </w:rPr>
              <m:t>I</m:t>
            </m:r>
          </m:e>
          <m:sub>
            <m:r>
              <w:rPr>
                <w:rFonts w:ascii="Cambria Math" w:hAnsi="Cambria Math" w:cs="Times New Roman"/>
              </w:rPr>
              <m:t>o</m:t>
            </m:r>
          </m:sub>
        </m:sSub>
      </m:oMath>
      <w:r>
        <w:rPr>
          <w:rFonts w:ascii="Times New Roman" w:hAnsi="Times New Roman" w:cs="Times New Roman" w:hint="eastAsia"/>
          <w:lang w:eastAsia="zh-CN"/>
        </w:rPr>
        <w:t xml:space="preserve">                                                             </w:t>
      </w:r>
      <w:r>
        <w:rPr>
          <w:rFonts w:ascii="Times New Roman" w:hAnsi="Times New Roman" w:cs="Times New Roman"/>
          <w:lang w:eastAsia="zh-CN"/>
        </w:rPr>
        <w:t>(2)</w:t>
      </w:r>
    </w:p>
    <w:p w14:paraId="2BE41DD8" w14:textId="77777777" w:rsidR="00FF5833" w:rsidRDefault="00DD175B" w:rsidP="000C05D9">
      <w:pPr>
        <w:pStyle w:val="BodyText"/>
        <w:snapToGrid w:val="0"/>
        <w:spacing w:before="0" w:after="0"/>
        <w:ind w:firstLine="426"/>
        <w:jc w:val="both"/>
        <w:rPr>
          <w:rFonts w:ascii="Times New Roman" w:hAnsi="Times New Roman" w:cs="Times New Roman"/>
          <w:lang w:eastAsia="zh-CN"/>
        </w:rPr>
      </w:pPr>
      <w:r>
        <w:rPr>
          <w:rFonts w:ascii="Times New Roman" w:hAnsi="Times New Roman" w:cs="Times New Roman"/>
          <w:lang w:eastAsia="zh-CN"/>
        </w:rPr>
        <w:t>Because the PSFB provides high-voltage step-up conversion, the transformer turns ratio in this study is large; therefore, the secondary rectifier, capacitor, and sampling voltage-divider network must withstand high voltage. Insulation, output-energy storage, diode reverse stress, and feedback reliability require special attention.</w:t>
      </w:r>
    </w:p>
    <w:p w14:paraId="6959A907" w14:textId="77777777" w:rsidR="00FF5833" w:rsidRDefault="00DD175B" w:rsidP="00E7328D">
      <w:pPr>
        <w:pStyle w:val="BodyText"/>
        <w:snapToGrid w:val="0"/>
        <w:spacing w:before="0" w:after="0"/>
        <w:ind w:firstLine="426"/>
        <w:jc w:val="both"/>
        <w:rPr>
          <w:rFonts w:ascii="Times New Roman" w:hAnsi="Times New Roman" w:cs="Times New Roman"/>
          <w:lang w:eastAsia="zh-CN"/>
        </w:rPr>
      </w:pPr>
      <w:r>
        <w:rPr>
          <w:rFonts w:ascii="Times New Roman" w:hAnsi="Times New Roman" w:cs="Times New Roman"/>
          <w:lang w:eastAsia="zh-CN"/>
        </w:rPr>
        <w:t>In this study, the secondary-side output current is used for constant-current feedback; therefore, current-limit control is applied directly to the high-voltage-side load current rather than to an indirect estimate based on the primary input current.</w:t>
      </w:r>
    </w:p>
    <w:p w14:paraId="652139EB" w14:textId="77777777" w:rsidR="00E7328D" w:rsidRDefault="00E7328D" w:rsidP="000C05D9">
      <w:pPr>
        <w:pStyle w:val="BodyText"/>
        <w:snapToGrid w:val="0"/>
        <w:spacing w:before="0" w:after="0"/>
        <w:ind w:firstLine="426"/>
        <w:jc w:val="both"/>
        <w:rPr>
          <w:rFonts w:ascii="Times New Roman" w:hAnsi="Times New Roman" w:cs="Times New Roman"/>
          <w:lang w:eastAsia="zh-CN"/>
        </w:rPr>
      </w:pPr>
    </w:p>
    <w:p w14:paraId="2FB66F46" w14:textId="0DE475FA" w:rsidR="00FF5833" w:rsidRPr="000C05D9" w:rsidRDefault="00DD175B" w:rsidP="000C05D9">
      <w:pPr>
        <w:pStyle w:val="BodyText"/>
        <w:snapToGrid w:val="0"/>
        <w:spacing w:before="0" w:after="0"/>
        <w:jc w:val="both"/>
        <w:rPr>
          <w:rFonts w:ascii="Times New Roman" w:hAnsi="Times New Roman" w:cs="Times New Roman"/>
          <w:b/>
          <w:bCs/>
        </w:rPr>
      </w:pPr>
      <w:r w:rsidRPr="000C05D9">
        <w:rPr>
          <w:rFonts w:ascii="Times New Roman" w:hAnsi="Times New Roman" w:cs="Times New Roman"/>
          <w:b/>
          <w:bCs/>
        </w:rPr>
        <w:t>3</w:t>
      </w:r>
      <w:r w:rsidR="00E7328D" w:rsidRPr="000C05D9">
        <w:rPr>
          <w:rFonts w:ascii="Times New Roman" w:hAnsi="Times New Roman" w:cs="Times New Roman"/>
          <w:b/>
          <w:bCs/>
        </w:rPr>
        <w:t xml:space="preserve">. </w:t>
      </w:r>
      <w:r w:rsidRPr="000C05D9">
        <w:rPr>
          <w:rFonts w:ascii="Times New Roman" w:hAnsi="Times New Roman" w:cs="Times New Roman"/>
          <w:b/>
          <w:bCs/>
        </w:rPr>
        <w:t xml:space="preserve">Digital </w:t>
      </w:r>
      <w:r w:rsidR="00E7328D" w:rsidRPr="000C05D9">
        <w:rPr>
          <w:rFonts w:ascii="Times New Roman" w:hAnsi="Times New Roman" w:cs="Times New Roman"/>
          <w:b/>
          <w:bCs/>
        </w:rPr>
        <w:t>control method</w:t>
      </w:r>
    </w:p>
    <w:p w14:paraId="04D7A255" w14:textId="77777777" w:rsidR="00FF5833" w:rsidRDefault="00DD175B" w:rsidP="000C05D9">
      <w:pPr>
        <w:pStyle w:val="BodyText"/>
        <w:snapToGrid w:val="0"/>
        <w:spacing w:before="0" w:after="0"/>
        <w:jc w:val="both"/>
        <w:rPr>
          <w:rFonts w:ascii="Times New Roman" w:hAnsi="Times New Roman" w:cs="Times New Roman"/>
        </w:rPr>
      </w:pPr>
      <w:r>
        <w:rPr>
          <w:rFonts w:ascii="Times New Roman" w:hAnsi="Times New Roman" w:cs="Times New Roman"/>
        </w:rPr>
        <w:t>Four complementary phase-shifted gate-drive signals are generated by the HRTIM module of the STM32G474CBT6. The HRTIM uses the master timer as the period reference, while Timer A and Timer B correspond to the two bridge arms. The compare registers define the trigger points for the bridge arms. When the frequency changes, the period register, sampling trigger point, and lagging-arm compare point are recalculated so that the gate drive remains synchronized with sampling. This approach supports variable-freque</w:t>
      </w:r>
      <w:r>
        <w:rPr>
          <w:rFonts w:ascii="Times New Roman" w:hAnsi="Times New Roman" w:cs="Times New Roman"/>
        </w:rPr>
        <w:t>ncy operation between 11 and 45 kHz and makes fixed dead time and fault shutdown straightforward to implement in a high-voltage power supply.</w:t>
      </w:r>
    </w:p>
    <w:p w14:paraId="5F7B3872" w14:textId="77777777" w:rsidR="00FF5833" w:rsidRDefault="00DD175B" w:rsidP="000C05D9">
      <w:pPr>
        <w:pStyle w:val="BodyText"/>
        <w:snapToGrid w:val="0"/>
        <w:spacing w:before="0" w:after="0"/>
        <w:ind w:firstLine="426"/>
        <w:jc w:val="both"/>
        <w:rPr>
          <w:rFonts w:ascii="Times New Roman" w:hAnsi="Times New Roman" w:cs="Times New Roman"/>
        </w:rPr>
      </w:pPr>
      <w:r>
        <w:rPr>
          <w:rFonts w:ascii="Times New Roman" w:hAnsi="Times New Roman" w:cs="Times New Roman"/>
          <w:lang w:eastAsia="zh-CN"/>
        </w:rPr>
        <w:t xml:space="preserve">Feedback sampling uses switching-cycle synchronization. Twenty-four sampling points are collected in each cycle, and the output voltage, secondary current, and primary current are averaged. Let there be M sampling points in the </w:t>
      </w:r>
      <m:oMath>
        <m:r>
          <w:rPr>
            <w:rFonts w:ascii="Cambria Math" w:hAnsi="Cambria Math" w:cs="Times New Roman"/>
            <w:lang w:eastAsia="zh-CN"/>
          </w:rPr>
          <m:t>k</m:t>
        </m:r>
        <m:r>
          <w:rPr>
            <w:rFonts w:ascii="Cambria Math" w:hAnsi="Cambria Math" w:cs="Times New Roman"/>
            <w:lang w:eastAsia="zh-CN"/>
          </w:rPr>
          <m:t xml:space="preserve"> </m:t>
        </m:r>
      </m:oMath>
      <w:r>
        <w:rPr>
          <w:rFonts w:ascii="Times New Roman" w:hAnsi="Times New Roman" w:cs="Times New Roman"/>
          <w:lang w:eastAsia="zh-CN"/>
        </w:rPr>
        <w:t xml:space="preserve">th cycle, and let the </w:t>
      </w:r>
      <m:oMath>
        <m:r>
          <w:rPr>
            <w:rFonts w:ascii="Cambria Math" w:hAnsi="Cambria Math" w:cs="Times New Roman"/>
            <w:lang w:eastAsia="zh-CN"/>
          </w:rPr>
          <m:t>j</m:t>
        </m:r>
        <m:r>
          <w:rPr>
            <w:rFonts w:ascii="Cambria Math" w:hAnsi="Cambria Math" w:cs="Times New Roman"/>
            <w:lang w:eastAsia="zh-CN"/>
          </w:rPr>
          <m:t xml:space="preserve"> </m:t>
        </m:r>
      </m:oMath>
      <w:r>
        <w:rPr>
          <w:rFonts w:ascii="Times New Roman" w:hAnsi="Times New Roman" w:cs="Times New Roman"/>
          <w:lang w:eastAsia="zh-CN"/>
        </w:rPr>
        <w:t xml:space="preserve">th sample of a feedback variable be </w:t>
      </w:r>
      <m:oMath>
        <m:sSub>
          <m:sSubPr>
            <m:ctrlPr>
              <w:rPr>
                <w:rFonts w:ascii="Cambria Math" w:hAnsi="Cambria Math" w:cs="Times New Roman"/>
              </w:rPr>
            </m:ctrlPr>
          </m:sSubPr>
          <m:e>
            <m:r>
              <w:rPr>
                <w:rFonts w:ascii="Cambria Math" w:hAnsi="Cambria Math" w:cs="Times New Roman"/>
                <w:lang w:eastAsia="zh-CN"/>
              </w:rPr>
              <m:t>x</m:t>
            </m:r>
          </m:e>
          <m:sub>
            <m:r>
              <w:rPr>
                <w:rFonts w:ascii="Cambria Math" w:hAnsi="Cambria Math" w:cs="Times New Roman"/>
                <w:lang w:eastAsia="zh-CN"/>
              </w:rPr>
              <m:t>j</m:t>
            </m:r>
          </m:sub>
        </m:sSub>
        <m:r>
          <w:rPr>
            <w:rFonts w:ascii="Cambria Math" w:hAnsi="Cambria Math" w:cs="Times New Roman"/>
            <w:lang w:eastAsia="zh-CN"/>
          </w:rPr>
          <m:t>(</m:t>
        </m:r>
        <m:r>
          <w:rPr>
            <w:rFonts w:ascii="Cambria Math" w:hAnsi="Cambria Math" w:cs="Times New Roman"/>
            <w:lang w:eastAsia="zh-CN"/>
          </w:rPr>
          <m:t>k</m:t>
        </m:r>
        <m:r>
          <w:rPr>
            <w:rFonts w:ascii="Cambria Math" w:hAnsi="Cambria Math" w:cs="Times New Roman"/>
            <w:lang w:eastAsia="zh-CN"/>
          </w:rPr>
          <m:t>)</m:t>
        </m:r>
      </m:oMath>
      <w:r>
        <w:rPr>
          <w:rFonts w:ascii="Times New Roman" w:hAnsi="Times New Roman" w:cs="Times New Roman"/>
          <w:lang w:eastAsia="zh-CN"/>
        </w:rPr>
        <w:t>; the cycle average is:</w:t>
      </w:r>
    </w:p>
    <w:p w14:paraId="153155A4" w14:textId="77777777" w:rsidR="00FF5833" w:rsidRDefault="00DD175B" w:rsidP="000C05D9">
      <w:pPr>
        <w:pStyle w:val="BodyText"/>
        <w:snapToGrid w:val="0"/>
        <w:spacing w:before="0" w:after="0"/>
        <w:jc w:val="right"/>
        <w:rPr>
          <w:rFonts w:ascii="Times New Roman" w:hAnsi="Times New Roman" w:cs="Times New Roman"/>
        </w:rPr>
      </w:pPr>
      <m:oMath>
        <m:sSub>
          <m:sSubPr>
            <m:ctrlPr>
              <w:rPr>
                <w:rFonts w:ascii="Cambria Math" w:hAnsi="Cambria Math" w:cs="Times New Roman"/>
              </w:rPr>
            </m:ctrlPr>
          </m:sSubPr>
          <m:e>
            <m:r>
              <w:rPr>
                <w:rFonts w:ascii="Cambria Math" w:hAnsi="Cambria Math" w:cs="Times New Roman"/>
              </w:rPr>
              <m:t>x</m:t>
            </m:r>
          </m:e>
          <m:sub>
            <m:r>
              <m:rPr>
                <m:sty m:val="p"/>
              </m:rPr>
              <w:rPr>
                <w:rFonts w:ascii="Cambria Math" w:hAnsi="Cambria Math" w:cs="Times New Roman"/>
              </w:rPr>
              <m:t>avg</m:t>
            </m:r>
          </m:sub>
        </m:sSub>
        <m:d>
          <m:dPr>
            <m:ctrlPr>
              <w:rPr>
                <w:rFonts w:ascii="Cambria Math" w:hAnsi="Cambria Math" w:cs="Times New Roman"/>
              </w:rPr>
            </m:ctrlPr>
          </m:dPr>
          <m:e>
            <m:r>
              <w:rPr>
                <w:rFonts w:ascii="Cambria Math" w:hAnsi="Cambria Math" w:cs="Times New Roman"/>
              </w:rPr>
              <m:t>k</m:t>
            </m:r>
          </m:e>
        </m:d>
        <m:r>
          <m:rPr>
            <m:sty m:val="p"/>
          </m:rPr>
          <w:rPr>
            <w:rFonts w:ascii="Cambria Math" w:hAnsi="Cambria Math" w:cs="Times New Roman"/>
          </w:rPr>
          <m:t>=</m:t>
        </m:r>
        <m:f>
          <m:fPr>
            <m:ctrlPr>
              <w:rPr>
                <w:rFonts w:ascii="Cambria Math" w:hAnsi="Cambria Math" w:cs="Times New Roman"/>
              </w:rPr>
            </m:ctrlPr>
          </m:fPr>
          <m:num>
            <m:r>
              <w:rPr>
                <w:rFonts w:ascii="Cambria Math" w:hAnsi="Cambria Math" w:cs="Times New Roman"/>
              </w:rPr>
              <m:t>1</m:t>
            </m:r>
          </m:num>
          <m:den>
            <m:r>
              <w:rPr>
                <w:rFonts w:ascii="Cambria Math" w:hAnsi="Cambria Math" w:cs="Times New Roman"/>
              </w:rPr>
              <m:t>M</m:t>
            </m:r>
          </m:den>
        </m:f>
        <m:nary>
          <m:naryPr>
            <m:chr m:val="∑"/>
            <m:limLoc m:val="undOvr"/>
            <m:ctrlPr>
              <w:rPr>
                <w:rFonts w:ascii="Cambria Math" w:hAnsi="Cambria Math" w:cs="Times New Roman"/>
              </w:rPr>
            </m:ctrlPr>
          </m:naryPr>
          <m:sub>
            <m:r>
              <w:rPr>
                <w:rFonts w:ascii="Cambria Math" w:hAnsi="Cambria Math" w:cs="Times New Roman"/>
              </w:rPr>
              <m:t>j</m:t>
            </m:r>
            <m:r>
              <m:rPr>
                <m:sty m:val="p"/>
              </m:rPr>
              <w:rPr>
                <w:rFonts w:ascii="Cambria Math" w:hAnsi="Cambria Math" w:cs="Times New Roman"/>
              </w:rPr>
              <m:t>=</m:t>
            </m:r>
            <m:r>
              <w:rPr>
                <w:rFonts w:ascii="Cambria Math" w:hAnsi="Cambria Math" w:cs="Times New Roman"/>
              </w:rPr>
              <m:t>1</m:t>
            </m:r>
          </m:sub>
          <m:sup>
            <m:r>
              <w:rPr>
                <w:rFonts w:ascii="Cambria Math" w:hAnsi="Cambria Math" w:cs="Times New Roman"/>
              </w:rPr>
              <m:t>M</m:t>
            </m:r>
          </m:sup>
          <m:e>
            <m:sSub>
              <m:sSubPr>
                <m:ctrlPr>
                  <w:rPr>
                    <w:rFonts w:ascii="Cambria Math" w:hAnsi="Cambria Math" w:cs="Times New Roman"/>
                  </w:rPr>
                </m:ctrlPr>
              </m:sSubPr>
              <m:e>
                <m:r>
                  <w:rPr>
                    <w:rFonts w:ascii="Cambria Math" w:hAnsi="Cambria Math" w:cs="Times New Roman"/>
                  </w:rPr>
                  <m:t>x</m:t>
                </m:r>
              </m:e>
              <m:sub>
                <m:r>
                  <w:rPr>
                    <w:rFonts w:ascii="Cambria Math" w:hAnsi="Cambria Math" w:cs="Times New Roman"/>
                  </w:rPr>
                  <m:t>j</m:t>
                </m:r>
              </m:sub>
            </m:sSub>
          </m:e>
        </m:nary>
        <m:d>
          <m:dPr>
            <m:ctrlPr>
              <w:rPr>
                <w:rFonts w:ascii="Cambria Math" w:hAnsi="Cambria Math" w:cs="Times New Roman"/>
              </w:rPr>
            </m:ctrlPr>
          </m:dPr>
          <m:e>
            <m:r>
              <w:rPr>
                <w:rFonts w:ascii="Cambria Math" w:hAnsi="Cambria Math" w:cs="Times New Roman"/>
              </w:rPr>
              <m:t>k</m:t>
            </m:r>
          </m:e>
        </m:d>
        <m:r>
          <m:rPr>
            <m:sty m:val="p"/>
          </m:rPr>
          <w:rPr>
            <w:rFonts w:ascii="Cambria Math" w:hAnsi="Cambria Math" w:cs="Times New Roman"/>
          </w:rPr>
          <m:t>,</m:t>
        </m:r>
        <m:r>
          <w:rPr>
            <w:rFonts w:ascii="Cambria Math" w:hAnsi="Cambria Math" w:cs="Times New Roman"/>
          </w:rPr>
          <m:t> </m:t>
        </m:r>
        <m:r>
          <w:rPr>
            <w:rFonts w:ascii="Cambria Math" w:hAnsi="Cambria Math" w:cs="Times New Roman"/>
          </w:rPr>
          <m:t>M</m:t>
        </m:r>
        <m:r>
          <m:rPr>
            <m:sty m:val="p"/>
          </m:rPr>
          <w:rPr>
            <w:rFonts w:ascii="Cambria Math" w:hAnsi="Cambria Math" w:cs="Times New Roman"/>
          </w:rPr>
          <m:t>=</m:t>
        </m:r>
        <m:r>
          <w:rPr>
            <w:rFonts w:ascii="Cambria Math" w:hAnsi="Cambria Math" w:cs="Times New Roman"/>
          </w:rPr>
          <m:t>24</m:t>
        </m:r>
      </m:oMath>
      <w:r>
        <w:rPr>
          <w:rFonts w:ascii="Times New Roman" w:hAnsi="Times New Roman" w:cs="Times New Roman" w:hint="eastAsia"/>
          <w:lang w:eastAsia="zh-CN"/>
        </w:rPr>
        <w:t xml:space="preserve">                                  </w:t>
      </w:r>
      <w:r>
        <w:rPr>
          <w:rFonts w:ascii="Times New Roman" w:hAnsi="Times New Roman" w:cs="Times New Roman"/>
          <w:lang w:eastAsia="zh-CN"/>
        </w:rPr>
        <w:t>(3)</w:t>
      </w:r>
    </w:p>
    <w:p w14:paraId="20AF4175" w14:textId="7A3A10FE" w:rsidR="00FF5833" w:rsidRDefault="00DD175B" w:rsidP="000C05D9">
      <w:pPr>
        <w:pStyle w:val="BodyText"/>
        <w:snapToGrid w:val="0"/>
        <w:spacing w:before="0" w:after="0"/>
        <w:ind w:firstLine="426"/>
        <w:jc w:val="both"/>
        <w:rPr>
          <w:rFonts w:ascii="Times New Roman" w:hAnsi="Times New Roman" w:cs="Times New Roman"/>
          <w:lang w:eastAsia="zh-CN"/>
        </w:rPr>
      </w:pPr>
      <w:r>
        <w:rPr>
          <w:rFonts w:ascii="Times New Roman" w:hAnsi="Times New Roman" w:cs="Times New Roman"/>
          <w:lang w:eastAsia="zh-CN"/>
        </w:rPr>
        <w:t xml:space="preserve">This method reduces the effects of switching-node oscillation, rectifier recovery, and high-voltage-divider noise. The output voltage VSEC is periodically averaged to suppress sampling disturbance; the output current ISEC serves as the main feedback signal of the constant-current loop; the primary-side </w:t>
      </w:r>
      <w:r w:rsidR="00E7328D">
        <w:rPr>
          <w:rFonts w:ascii="Times New Roman" w:hAnsi="Times New Roman" w:cs="Times New Roman"/>
          <w:lang w:eastAsia="zh-CN"/>
        </w:rPr>
        <w:t>DC</w:t>
      </w:r>
      <w:r>
        <w:rPr>
          <w:rFonts w:ascii="Times New Roman" w:hAnsi="Times New Roman" w:cs="Times New Roman"/>
          <w:lang w:eastAsia="zh-CN"/>
        </w:rPr>
        <w:t xml:space="preserve"> IPRIDC is used for input-power estimation; and the primary-side </w:t>
      </w:r>
      <w:r w:rsidR="00E7328D">
        <w:rPr>
          <w:rFonts w:ascii="Times New Roman" w:hAnsi="Times New Roman" w:cs="Times New Roman"/>
          <w:lang w:eastAsia="zh-CN"/>
        </w:rPr>
        <w:t>AC</w:t>
      </w:r>
      <w:r>
        <w:rPr>
          <w:rFonts w:ascii="Times New Roman" w:hAnsi="Times New Roman" w:cs="Times New Roman"/>
          <w:lang w:eastAsia="zh-CN"/>
        </w:rPr>
        <w:t xml:space="preserve"> IPRIAC is mainly used for peak monitoring and hardware overcurrent protection.</w:t>
      </w:r>
    </w:p>
    <w:p w14:paraId="7E6EE6EA" w14:textId="77777777" w:rsidR="00FF5833" w:rsidRDefault="00DD175B" w:rsidP="000C05D9">
      <w:pPr>
        <w:pStyle w:val="BodyText"/>
        <w:snapToGrid w:val="0"/>
        <w:spacing w:before="0" w:after="0"/>
        <w:jc w:val="both"/>
        <w:rPr>
          <w:rFonts w:ascii="Times New Roman" w:hAnsi="Times New Roman" w:cs="Times New Roman"/>
          <w:lang w:eastAsia="zh-CN"/>
        </w:rPr>
      </w:pPr>
      <w:r>
        <w:rPr>
          <w:rFonts w:ascii="Times New Roman" w:hAnsi="Times New Roman" w:cs="Times New Roman"/>
          <w:lang w:eastAsia="zh-CN"/>
        </w:rPr>
        <w:t>The control layer consists of three PI loops: constant voltage, constant current, and constant power. The loops compute their respective duty-cycle candidates in parallel, and the smallest candidate is selected as the actual control input.</w:t>
      </w:r>
    </w:p>
    <w:p w14:paraId="7F9D8ECC" w14:textId="77777777" w:rsidR="00FF5833" w:rsidRDefault="00DD175B" w:rsidP="000C05D9">
      <w:pPr>
        <w:pStyle w:val="BodyText"/>
        <w:snapToGrid w:val="0"/>
        <w:spacing w:before="0" w:after="0"/>
        <w:jc w:val="right"/>
        <w:rPr>
          <w:rFonts w:ascii="Times New Roman" w:hAnsi="Times New Roman" w:cs="Times New Roman"/>
        </w:rPr>
      </w:pPr>
      <m:oMath>
        <m:sSub>
          <m:sSubPr>
            <m:ctrlPr>
              <w:rPr>
                <w:rFonts w:ascii="Cambria Math" w:hAnsi="Cambria Math" w:cs="Times New Roman"/>
              </w:rPr>
            </m:ctrlPr>
          </m:sSubPr>
          <m:e>
            <m:r>
              <w:rPr>
                <w:rFonts w:ascii="Cambria Math" w:hAnsi="Cambria Math" w:cs="Times New Roman"/>
              </w:rPr>
              <m:t>d</m:t>
            </m:r>
          </m:e>
          <m:sub>
            <m:r>
              <m:rPr>
                <m:sty m:val="p"/>
              </m:rPr>
              <w:rPr>
                <w:rFonts w:ascii="Cambria Math" w:hAnsi="Cambria Math" w:cs="Times New Roman"/>
              </w:rPr>
              <m:t>cmd</m:t>
            </m:r>
          </m:sub>
        </m:sSub>
        <m:d>
          <m:dPr>
            <m:ctrlPr>
              <w:rPr>
                <w:rFonts w:ascii="Cambria Math" w:hAnsi="Cambria Math" w:cs="Times New Roman"/>
              </w:rPr>
            </m:ctrlPr>
          </m:dPr>
          <m:e>
            <m:r>
              <w:rPr>
                <w:rFonts w:ascii="Cambria Math" w:hAnsi="Cambria Math" w:cs="Times New Roman"/>
              </w:rPr>
              <m:t>k</m:t>
            </m:r>
          </m:e>
        </m:d>
        <m:r>
          <m:rPr>
            <m:sty m:val="p"/>
          </m:rPr>
          <w:rPr>
            <w:rFonts w:ascii="Cambria Math" w:hAnsi="Cambria Math" w:cs="Times New Roman"/>
          </w:rPr>
          <m:t>=min</m:t>
        </m:r>
        <m:d>
          <m:dPr>
            <m:begChr m:val="{"/>
            <m:endChr m:val="}"/>
            <m:ctrlPr>
              <w:rPr>
                <w:rFonts w:ascii="Cambria Math" w:hAnsi="Cambria Math" w:cs="Times New Roman"/>
              </w:rPr>
            </m:ctrlPr>
          </m:dPr>
          <m:e>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rPr>
                  <m:t>CV</m:t>
                </m:r>
              </m:sub>
            </m:sSub>
            <m:d>
              <m:dPr>
                <m:ctrlPr>
                  <w:rPr>
                    <w:rFonts w:ascii="Cambria Math" w:hAnsi="Cambria Math" w:cs="Times New Roman"/>
                  </w:rPr>
                </m:ctrlPr>
              </m:dPr>
              <m:e>
                <m:r>
                  <w:rPr>
                    <w:rFonts w:ascii="Cambria Math" w:hAnsi="Cambria Math" w:cs="Times New Roman"/>
                  </w:rPr>
                  <m:t>k</m:t>
                </m:r>
              </m:e>
            </m:d>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rPr>
                  <m:t>CC</m:t>
                </m:r>
              </m:sub>
            </m:sSub>
            <m:d>
              <m:dPr>
                <m:ctrlPr>
                  <w:rPr>
                    <w:rFonts w:ascii="Cambria Math" w:hAnsi="Cambria Math" w:cs="Times New Roman"/>
                  </w:rPr>
                </m:ctrlPr>
              </m:dPr>
              <m:e>
                <m:r>
                  <w:rPr>
                    <w:rFonts w:ascii="Cambria Math" w:hAnsi="Cambria Math" w:cs="Times New Roman"/>
                  </w:rPr>
                  <m:t>k</m:t>
                </m:r>
              </m:e>
            </m:d>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rPr>
                  <m:t>CP</m:t>
                </m:r>
              </m:sub>
            </m:sSub>
            <m:d>
              <m:dPr>
                <m:ctrlPr>
                  <w:rPr>
                    <w:rFonts w:ascii="Cambria Math" w:hAnsi="Cambria Math" w:cs="Times New Roman"/>
                  </w:rPr>
                </m:ctrlPr>
              </m:dPr>
              <m:e>
                <m:r>
                  <w:rPr>
                    <w:rFonts w:ascii="Cambria Math" w:hAnsi="Cambria Math" w:cs="Times New Roman"/>
                  </w:rPr>
                  <m:t>k</m:t>
                </m:r>
              </m:e>
            </m:d>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rPr>
                  <m:t>max</m:t>
                </m:r>
              </m:sub>
            </m:sSub>
          </m:e>
        </m:d>
      </m:oMath>
      <w:r>
        <w:rPr>
          <w:rFonts w:ascii="Times New Roman" w:hAnsi="Times New Roman" w:cs="Times New Roman" w:hint="eastAsia"/>
          <w:lang w:eastAsia="zh-CN"/>
        </w:rPr>
        <w:t xml:space="preserve">                          </w:t>
      </w:r>
      <w:r>
        <w:rPr>
          <w:rFonts w:ascii="Times New Roman" w:hAnsi="Times New Roman" w:cs="Times New Roman"/>
          <w:lang w:eastAsia="zh-CN"/>
        </w:rPr>
        <w:t>(4)</w:t>
      </w:r>
    </w:p>
    <w:p w14:paraId="5A7C289C" w14:textId="0F4031FA" w:rsidR="00FF5833" w:rsidRDefault="00DD175B" w:rsidP="00FD0F52">
      <w:pPr>
        <w:pStyle w:val="BodyText"/>
        <w:snapToGrid w:val="0"/>
        <w:spacing w:before="0" w:after="0"/>
        <w:ind w:firstLine="426"/>
        <w:jc w:val="both"/>
        <w:rPr>
          <w:rFonts w:ascii="Times New Roman" w:hAnsi="Times New Roman" w:cs="Times New Roman"/>
          <w:lang w:eastAsia="zh-CN"/>
        </w:rPr>
      </w:pPr>
      <w:r>
        <w:rPr>
          <w:rFonts w:ascii="Times New Roman" w:hAnsi="Times New Roman" w:cs="Times New Roman"/>
          <w:lang w:eastAsia="zh-CN"/>
        </w:rPr>
        <w:t xml:space="preserve">The underlying rule is </w:t>
      </w:r>
      <w:r w:rsidR="00FD0F52">
        <w:rPr>
          <w:rFonts w:ascii="Times New Roman" w:hAnsi="Times New Roman" w:cs="Times New Roman"/>
          <w:lang w:eastAsia="zh-CN"/>
        </w:rPr>
        <w:t>“</w:t>
      </w:r>
      <w:r>
        <w:rPr>
          <w:rFonts w:ascii="Times New Roman" w:hAnsi="Times New Roman" w:cs="Times New Roman"/>
          <w:lang w:eastAsia="zh-CN"/>
        </w:rPr>
        <w:t>priority to the most restrictive constraint</w:t>
      </w:r>
      <w:r w:rsidR="00FD0F52">
        <w:rPr>
          <w:rFonts w:ascii="Times New Roman" w:hAnsi="Times New Roman" w:cs="Times New Roman"/>
          <w:lang w:eastAsia="zh-CN"/>
        </w:rPr>
        <w:t>”.</w:t>
      </w:r>
      <w:r>
        <w:rPr>
          <w:rFonts w:ascii="Times New Roman" w:hAnsi="Times New Roman" w:cs="Times New Roman"/>
          <w:lang w:eastAsia="zh-CN"/>
        </w:rPr>
        <w:t xml:space="preserve"> If the load current exceeds the set value, the constant-current loop reduces the duty cycle and takes over control; if the output approaches the target voltage, the constant-voltage loop takes over; and if the input or output power reaches its limit, the constant-power loop reduces the duty cycle. The system freezes the integrals of inactive loops to prevent drift. During soft start, the duty-cycle increase rate is limited, whereas the decrease rate is not, which balances smooth startup with a fast protect</w:t>
      </w:r>
      <w:r>
        <w:rPr>
          <w:rFonts w:ascii="Times New Roman" w:hAnsi="Times New Roman" w:cs="Times New Roman"/>
          <w:lang w:eastAsia="zh-CN"/>
        </w:rPr>
        <w:t>ion response.</w:t>
      </w:r>
    </w:p>
    <w:p w14:paraId="32FCC819" w14:textId="77777777" w:rsidR="00FD0F52" w:rsidRDefault="00FD0F52" w:rsidP="000C05D9">
      <w:pPr>
        <w:pStyle w:val="BodyText"/>
        <w:snapToGrid w:val="0"/>
        <w:spacing w:before="0" w:after="0"/>
        <w:ind w:firstLine="426"/>
        <w:jc w:val="both"/>
        <w:rPr>
          <w:rFonts w:ascii="Times New Roman" w:hAnsi="Times New Roman" w:cs="Times New Roman"/>
          <w:lang w:eastAsia="zh-CN"/>
        </w:rPr>
      </w:pPr>
    </w:p>
    <w:p w14:paraId="682ED64A" w14:textId="4ECD62F8" w:rsidR="00FF5833" w:rsidRPr="000C05D9" w:rsidRDefault="00DD175B" w:rsidP="000C05D9">
      <w:pPr>
        <w:pStyle w:val="BodyText"/>
        <w:snapToGrid w:val="0"/>
        <w:spacing w:before="0" w:after="0"/>
        <w:jc w:val="both"/>
        <w:rPr>
          <w:rFonts w:ascii="Times New Roman" w:hAnsi="Times New Roman" w:cs="Times New Roman"/>
          <w:b/>
          <w:bCs/>
          <w:lang w:eastAsia="zh-CN"/>
        </w:rPr>
      </w:pPr>
      <w:r w:rsidRPr="000C05D9">
        <w:rPr>
          <w:rFonts w:ascii="Times New Roman" w:hAnsi="Times New Roman" w:cs="Times New Roman"/>
          <w:b/>
          <w:bCs/>
          <w:lang w:eastAsia="zh-CN"/>
        </w:rPr>
        <w:t>4</w:t>
      </w:r>
      <w:r w:rsidR="00FD0F52" w:rsidRPr="000C05D9">
        <w:rPr>
          <w:rFonts w:ascii="Times New Roman" w:hAnsi="Times New Roman" w:cs="Times New Roman"/>
          <w:b/>
          <w:bCs/>
          <w:lang w:eastAsia="zh-CN"/>
        </w:rPr>
        <w:t>.</w:t>
      </w:r>
      <w:r w:rsidRPr="000C05D9">
        <w:rPr>
          <w:rFonts w:ascii="Times New Roman" w:hAnsi="Times New Roman" w:cs="Times New Roman"/>
          <w:b/>
          <w:bCs/>
          <w:lang w:eastAsia="zh-CN"/>
        </w:rPr>
        <w:t xml:space="preserve"> Automatic </w:t>
      </w:r>
      <w:r w:rsidR="00FD0F52" w:rsidRPr="000C05D9">
        <w:rPr>
          <w:rFonts w:ascii="Times New Roman" w:hAnsi="Times New Roman" w:cs="Times New Roman"/>
          <w:b/>
          <w:bCs/>
          <w:lang w:eastAsia="zh-CN"/>
        </w:rPr>
        <w:t>frequency-conversion strategy</w:t>
      </w:r>
    </w:p>
    <w:p w14:paraId="67DFCB1E" w14:textId="77777777" w:rsidR="00FF5833" w:rsidRDefault="00DD175B" w:rsidP="000C05D9">
      <w:pPr>
        <w:pStyle w:val="BodyText"/>
        <w:snapToGrid w:val="0"/>
        <w:spacing w:before="0" w:after="0"/>
        <w:jc w:val="both"/>
        <w:rPr>
          <w:rFonts w:ascii="Times New Roman" w:hAnsi="Times New Roman" w:cs="Times New Roman"/>
          <w:lang w:eastAsia="zh-CN"/>
        </w:rPr>
      </w:pPr>
      <w:r>
        <w:rPr>
          <w:rFonts w:ascii="Times New Roman" w:hAnsi="Times New Roman" w:cs="Times New Roman"/>
          <w:lang w:eastAsia="zh-CN"/>
        </w:rPr>
        <w:t>The fixed-frequency control structure is simple; however, it cannot cover the full high-efficiency operating range of an adjustable high-voltage output. Under low-output or light-load conditions, the duty cycle is low and little energy is transferred, while drive and magnetization losses remain. Under high-output or heavy-load conditions, the duty cycle approaches its upper limit and leaves insufficient control margin. The automatic frequency-conversion strategy uses the filtered duty cycle as the state var</w:t>
      </w:r>
      <w:r>
        <w:rPr>
          <w:rFonts w:ascii="Times New Roman" w:hAnsi="Times New Roman" w:cs="Times New Roman"/>
          <w:lang w:eastAsia="zh-CN"/>
        </w:rPr>
        <w:t xml:space="preserve">iable. If the duty cycle is too low, the frequency is increased so that the operating point leaves the low-duty-cycle </w:t>
      </w:r>
      <w:r>
        <w:rPr>
          <w:rFonts w:ascii="Times New Roman" w:hAnsi="Times New Roman" w:cs="Times New Roman"/>
          <w:lang w:eastAsia="zh-CN"/>
        </w:rPr>
        <w:lastRenderedPageBreak/>
        <w:t xml:space="preserve">region; if the duty cycle is too high, the frequency is reduced so that the energy-transfer time per cycle increases. This logic is consistent with conclusions reported in a study on frequency-conversion-based PSFB efficiency optimization </w:t>
      </w:r>
      <w:r w:rsidRPr="000C05D9">
        <w:rPr>
          <w:rFonts w:ascii="Times New Roman" w:hAnsi="Times New Roman" w:cs="Times New Roman"/>
          <w:vertAlign w:val="superscript"/>
          <w:lang w:eastAsia="zh-CN"/>
        </w:rPr>
        <w:t>[5]</w:t>
      </w:r>
      <w:r>
        <w:rPr>
          <w:rFonts w:ascii="Times New Roman" w:hAnsi="Times New Roman" w:cs="Times New Roman"/>
          <w:lang w:eastAsia="zh-CN"/>
        </w:rPr>
        <w:t>.</w:t>
      </w:r>
    </w:p>
    <w:p w14:paraId="0F802FDE" w14:textId="49F49CEC" w:rsidR="00FF5833" w:rsidRDefault="00DD175B" w:rsidP="00FD0F52">
      <w:pPr>
        <w:pStyle w:val="BodyText"/>
        <w:snapToGrid w:val="0"/>
        <w:spacing w:before="0" w:after="0"/>
        <w:ind w:firstLine="426"/>
        <w:jc w:val="both"/>
        <w:rPr>
          <w:rFonts w:ascii="Times New Roman" w:hAnsi="Times New Roman" w:cs="Times New Roman"/>
          <w:lang w:eastAsia="zh-CN"/>
        </w:rPr>
      </w:pPr>
      <w:r>
        <w:rPr>
          <w:rFonts w:ascii="Times New Roman" w:hAnsi="Times New Roman" w:cs="Times New Roman"/>
          <w:lang w:eastAsia="zh-CN"/>
        </w:rPr>
        <w:t xml:space="preserve">The automatic frequency-conversion parameters are listed in </w:t>
      </w:r>
      <w:r w:rsidRPr="000C05D9">
        <w:rPr>
          <w:rFonts w:ascii="Times New Roman" w:hAnsi="Times New Roman" w:cs="Times New Roman"/>
          <w:b/>
          <w:bCs/>
          <w:lang w:eastAsia="zh-CN"/>
        </w:rPr>
        <w:t>Table 2</w:t>
      </w:r>
      <w:r>
        <w:rPr>
          <w:rFonts w:ascii="Times New Roman" w:hAnsi="Times New Roman" w:cs="Times New Roman"/>
          <w:lang w:eastAsia="zh-CN"/>
        </w:rPr>
        <w:t>. The system reference frequency is set to 35 kHz, with an adjustment range of 11–45 kHz, and each adjustment step is limited to 1–4 kHz. Frequency reduction is triggered when the duty cycle exceeds 95%, with the target of reducing the predicted duty cycle to approximately 90%. The frequency-increase boundary depends on the current switching frequency so that low-duty-cycle operation does not persist for too long. To avoid frequent frequency jumps near the boundary, frequency-increase and frequency-reductio</w:t>
      </w:r>
      <w:r>
        <w:rPr>
          <w:rFonts w:ascii="Times New Roman" w:hAnsi="Times New Roman" w:cs="Times New Roman"/>
          <w:lang w:eastAsia="zh-CN"/>
        </w:rPr>
        <w:t>n score counters and a lockout window are introduced. The system reloads the frequency only when the duty cycle remains in the corresponding region</w:t>
      </w:r>
      <w:r w:rsidR="00FD0F52">
        <w:rPr>
          <w:rFonts w:ascii="Times New Roman" w:hAnsi="Times New Roman" w:cs="Times New Roman"/>
          <w:lang w:eastAsia="zh-CN"/>
        </w:rPr>
        <w:t>,</w:t>
      </w:r>
      <w:r>
        <w:rPr>
          <w:rFonts w:ascii="Times New Roman" w:hAnsi="Times New Roman" w:cs="Times New Roman"/>
          <w:lang w:eastAsia="zh-CN"/>
        </w:rPr>
        <w:t xml:space="preserve"> and the score exceeds the threshold; it then enters a short lockout period during which no further frequency-conversion action is triggered.</w:t>
      </w:r>
    </w:p>
    <w:p w14:paraId="0F7D30E8" w14:textId="4C49A145" w:rsidR="00FD0F52" w:rsidRDefault="00FD0F52" w:rsidP="000C05D9">
      <w:pPr>
        <w:pStyle w:val="BodyText"/>
        <w:snapToGrid w:val="0"/>
        <w:spacing w:before="0" w:after="0"/>
        <w:ind w:firstLine="426"/>
        <w:jc w:val="both"/>
        <w:rPr>
          <w:rFonts w:ascii="Times New Roman" w:hAnsi="Times New Roman" w:cs="Times New Roman"/>
          <w:lang w:eastAsia="zh-CN"/>
        </w:rPr>
      </w:pPr>
    </w:p>
    <w:p w14:paraId="43B915B0" w14:textId="24E3B1C7" w:rsidR="00FF5833" w:rsidRDefault="00DD175B" w:rsidP="000C05D9">
      <w:pPr>
        <w:pStyle w:val="BodyText"/>
        <w:snapToGrid w:val="0"/>
        <w:spacing w:before="0" w:after="0"/>
        <w:jc w:val="both"/>
        <w:rPr>
          <w:rFonts w:ascii="Times New Roman" w:hAnsi="Times New Roman" w:cs="Times New Roman"/>
        </w:rPr>
      </w:pPr>
      <w:r w:rsidRPr="000C05D9">
        <w:rPr>
          <w:rFonts w:ascii="Times New Roman" w:hAnsi="Times New Roman" w:cs="Times New Roman"/>
          <w:b/>
          <w:bCs/>
        </w:rPr>
        <w:t>Table 2</w:t>
      </w:r>
      <w:r w:rsidR="00FD0F52" w:rsidRPr="000C05D9">
        <w:rPr>
          <w:rFonts w:ascii="Times New Roman" w:hAnsi="Times New Roman" w:cs="Times New Roman"/>
          <w:b/>
          <w:bCs/>
        </w:rPr>
        <w:t>.</w:t>
      </w:r>
      <w:r>
        <w:rPr>
          <w:rFonts w:ascii="Times New Roman" w:hAnsi="Times New Roman" w:cs="Times New Roman"/>
        </w:rPr>
        <w:t xml:space="preserve"> Automatic </w:t>
      </w:r>
      <w:r w:rsidR="00FD0F52">
        <w:rPr>
          <w:rFonts w:ascii="Times New Roman" w:hAnsi="Times New Roman" w:cs="Times New Roman"/>
        </w:rPr>
        <w:t>variable frequency control parameters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7"/>
        <w:gridCol w:w="2837"/>
        <w:gridCol w:w="4868"/>
      </w:tblGrid>
      <w:tr w:rsidR="00FF5833" w14:paraId="7876E2D9" w14:textId="77777777" w:rsidTr="000C05D9">
        <w:tc>
          <w:tcPr>
            <w:tcW w:w="1136" w:type="pct"/>
            <w:tcBorders>
              <w:top w:val="single" w:sz="4" w:space="0" w:color="auto"/>
              <w:bottom w:val="single" w:sz="4" w:space="0" w:color="auto"/>
            </w:tcBorders>
          </w:tcPr>
          <w:p w14:paraId="2E81EA10" w14:textId="77777777" w:rsidR="00FF5833" w:rsidRPr="000C05D9" w:rsidRDefault="00DD175B" w:rsidP="000C05D9">
            <w:pPr>
              <w:pStyle w:val="BodyText"/>
              <w:snapToGrid w:val="0"/>
              <w:spacing w:before="0" w:after="0"/>
              <w:rPr>
                <w:rFonts w:ascii="Times New Roman" w:hAnsi="Times New Roman" w:cs="Times New Roman"/>
                <w:b/>
                <w:bCs/>
              </w:rPr>
            </w:pPr>
            <w:r w:rsidRPr="000C05D9">
              <w:rPr>
                <w:rFonts w:ascii="Times New Roman" w:hAnsi="Times New Roman" w:cs="Times New Roman"/>
                <w:b/>
                <w:bCs/>
              </w:rPr>
              <w:t>Parameter</w:t>
            </w:r>
          </w:p>
        </w:tc>
        <w:tc>
          <w:tcPr>
            <w:tcW w:w="1422" w:type="pct"/>
            <w:tcBorders>
              <w:top w:val="single" w:sz="4" w:space="0" w:color="auto"/>
              <w:bottom w:val="single" w:sz="4" w:space="0" w:color="auto"/>
            </w:tcBorders>
          </w:tcPr>
          <w:p w14:paraId="48FD3B95" w14:textId="77777777" w:rsidR="00FF5833" w:rsidRPr="000C05D9" w:rsidRDefault="00DD175B" w:rsidP="000C05D9">
            <w:pPr>
              <w:pStyle w:val="BodyText"/>
              <w:snapToGrid w:val="0"/>
              <w:spacing w:before="0" w:after="0"/>
              <w:jc w:val="center"/>
              <w:rPr>
                <w:rFonts w:ascii="Times New Roman" w:hAnsi="Times New Roman" w:cs="Times New Roman"/>
                <w:b/>
                <w:bCs/>
              </w:rPr>
            </w:pPr>
            <w:r w:rsidRPr="000C05D9">
              <w:rPr>
                <w:rFonts w:ascii="Times New Roman" w:hAnsi="Times New Roman" w:cs="Times New Roman"/>
                <w:b/>
                <w:bCs/>
              </w:rPr>
              <w:t>Numerical value or rule</w:t>
            </w:r>
          </w:p>
        </w:tc>
        <w:tc>
          <w:tcPr>
            <w:tcW w:w="2441" w:type="pct"/>
            <w:tcBorders>
              <w:top w:val="single" w:sz="4" w:space="0" w:color="auto"/>
              <w:bottom w:val="single" w:sz="4" w:space="0" w:color="auto"/>
            </w:tcBorders>
          </w:tcPr>
          <w:p w14:paraId="35E39FD1" w14:textId="77777777" w:rsidR="00FF5833" w:rsidRPr="000C05D9" w:rsidRDefault="00DD175B" w:rsidP="000C05D9">
            <w:pPr>
              <w:pStyle w:val="BodyText"/>
              <w:snapToGrid w:val="0"/>
              <w:spacing w:before="0" w:after="0"/>
              <w:jc w:val="center"/>
              <w:rPr>
                <w:rFonts w:ascii="Times New Roman" w:hAnsi="Times New Roman" w:cs="Times New Roman"/>
                <w:b/>
                <w:bCs/>
              </w:rPr>
            </w:pPr>
            <w:r w:rsidRPr="000C05D9">
              <w:rPr>
                <w:rFonts w:ascii="Times New Roman" w:hAnsi="Times New Roman" w:cs="Times New Roman"/>
                <w:b/>
                <w:bCs/>
              </w:rPr>
              <w:t>Function</w:t>
            </w:r>
          </w:p>
        </w:tc>
      </w:tr>
      <w:tr w:rsidR="00FF5833" w14:paraId="3E5EBEEF" w14:textId="77777777" w:rsidTr="000C05D9">
        <w:tc>
          <w:tcPr>
            <w:tcW w:w="1136" w:type="pct"/>
            <w:tcBorders>
              <w:top w:val="single" w:sz="4" w:space="0" w:color="auto"/>
            </w:tcBorders>
          </w:tcPr>
          <w:p w14:paraId="03E99B71" w14:textId="77777777" w:rsidR="00FF5833" w:rsidRDefault="00DD175B" w:rsidP="000C05D9">
            <w:pPr>
              <w:pStyle w:val="BodyText"/>
              <w:snapToGrid w:val="0"/>
              <w:spacing w:before="0" w:after="0"/>
              <w:rPr>
                <w:rFonts w:ascii="Times New Roman" w:hAnsi="Times New Roman" w:cs="Times New Roman"/>
              </w:rPr>
            </w:pPr>
            <w:r>
              <w:rPr>
                <w:rFonts w:ascii="Times New Roman" w:hAnsi="Times New Roman" w:cs="Times New Roman"/>
              </w:rPr>
              <w:t>Reference frequency</w:t>
            </w:r>
          </w:p>
        </w:tc>
        <w:tc>
          <w:tcPr>
            <w:tcW w:w="1422" w:type="pct"/>
            <w:tcBorders>
              <w:top w:val="single" w:sz="4" w:space="0" w:color="auto"/>
            </w:tcBorders>
          </w:tcPr>
          <w:p w14:paraId="33FCF43A" w14:textId="77777777" w:rsidR="00FF5833" w:rsidRDefault="00DD175B" w:rsidP="000C05D9">
            <w:pPr>
              <w:pStyle w:val="BodyText"/>
              <w:snapToGrid w:val="0"/>
              <w:spacing w:before="0" w:after="0"/>
              <w:jc w:val="center"/>
              <w:rPr>
                <w:rFonts w:ascii="Times New Roman" w:hAnsi="Times New Roman" w:cs="Times New Roman"/>
              </w:rPr>
            </w:pPr>
            <w:r>
              <w:rPr>
                <w:rFonts w:ascii="Times New Roman" w:hAnsi="Times New Roman" w:cs="Times New Roman"/>
              </w:rPr>
              <w:t>35 kHz</w:t>
            </w:r>
          </w:p>
        </w:tc>
        <w:tc>
          <w:tcPr>
            <w:tcW w:w="2441" w:type="pct"/>
            <w:tcBorders>
              <w:top w:val="single" w:sz="4" w:space="0" w:color="auto"/>
            </w:tcBorders>
          </w:tcPr>
          <w:p w14:paraId="0A321510" w14:textId="77777777" w:rsidR="00FF5833" w:rsidRDefault="00DD175B" w:rsidP="000C05D9">
            <w:pPr>
              <w:pStyle w:val="BodyText"/>
              <w:snapToGrid w:val="0"/>
              <w:spacing w:before="0" w:after="0"/>
              <w:jc w:val="center"/>
              <w:rPr>
                <w:rFonts w:ascii="Times New Roman" w:hAnsi="Times New Roman" w:cs="Times New Roman"/>
              </w:rPr>
            </w:pPr>
            <w:r>
              <w:rPr>
                <w:rFonts w:ascii="Times New Roman" w:hAnsi="Times New Roman" w:cs="Times New Roman"/>
              </w:rPr>
              <w:t>Default running frequency</w:t>
            </w:r>
          </w:p>
        </w:tc>
      </w:tr>
      <w:tr w:rsidR="00FF5833" w14:paraId="21D253FE" w14:textId="77777777" w:rsidTr="000C05D9">
        <w:tc>
          <w:tcPr>
            <w:tcW w:w="1136" w:type="pct"/>
          </w:tcPr>
          <w:p w14:paraId="53CFB289" w14:textId="77777777" w:rsidR="00FF5833" w:rsidRDefault="00DD175B" w:rsidP="000C05D9">
            <w:pPr>
              <w:pStyle w:val="BodyText"/>
              <w:snapToGrid w:val="0"/>
              <w:spacing w:before="0" w:after="0"/>
              <w:rPr>
                <w:rFonts w:ascii="Times New Roman" w:hAnsi="Times New Roman" w:cs="Times New Roman"/>
              </w:rPr>
            </w:pPr>
            <w:r>
              <w:rPr>
                <w:rFonts w:ascii="Times New Roman" w:hAnsi="Times New Roman" w:cs="Times New Roman"/>
              </w:rPr>
              <w:t>Frequency range</w:t>
            </w:r>
          </w:p>
        </w:tc>
        <w:tc>
          <w:tcPr>
            <w:tcW w:w="1422" w:type="pct"/>
          </w:tcPr>
          <w:p w14:paraId="62011832" w14:textId="77777777" w:rsidR="00FF5833" w:rsidRDefault="00DD175B" w:rsidP="000C05D9">
            <w:pPr>
              <w:pStyle w:val="BodyText"/>
              <w:snapToGrid w:val="0"/>
              <w:spacing w:before="0" w:after="0"/>
              <w:jc w:val="center"/>
              <w:rPr>
                <w:rFonts w:ascii="Times New Roman" w:hAnsi="Times New Roman" w:cs="Times New Roman"/>
              </w:rPr>
            </w:pPr>
            <w:r>
              <w:rPr>
                <w:rFonts w:ascii="Times New Roman" w:hAnsi="Times New Roman" w:cs="Times New Roman"/>
              </w:rPr>
              <w:t>11–45 kHz</w:t>
            </w:r>
          </w:p>
        </w:tc>
        <w:tc>
          <w:tcPr>
            <w:tcW w:w="2441" w:type="pct"/>
          </w:tcPr>
          <w:p w14:paraId="5F0A1B9E" w14:textId="77777777" w:rsidR="00FF5833" w:rsidRDefault="00DD175B" w:rsidP="000C05D9">
            <w:pPr>
              <w:pStyle w:val="BodyText"/>
              <w:snapToGrid w:val="0"/>
              <w:spacing w:before="0" w:after="0"/>
              <w:jc w:val="center"/>
              <w:rPr>
                <w:rFonts w:ascii="Times New Roman" w:hAnsi="Times New Roman" w:cs="Times New Roman"/>
              </w:rPr>
            </w:pPr>
            <w:r>
              <w:rPr>
                <w:rFonts w:ascii="Times New Roman" w:hAnsi="Times New Roman" w:cs="Times New Roman"/>
              </w:rPr>
              <w:t>Variable-frequency limit</w:t>
            </w:r>
          </w:p>
        </w:tc>
      </w:tr>
      <w:tr w:rsidR="00FF5833" w14:paraId="3506046E" w14:textId="77777777" w:rsidTr="000C05D9">
        <w:tc>
          <w:tcPr>
            <w:tcW w:w="1136" w:type="pct"/>
          </w:tcPr>
          <w:p w14:paraId="1CECF7B7" w14:textId="77777777" w:rsidR="00FF5833" w:rsidRDefault="00DD175B" w:rsidP="000C05D9">
            <w:pPr>
              <w:pStyle w:val="BodyText"/>
              <w:snapToGrid w:val="0"/>
              <w:spacing w:before="0" w:after="0"/>
              <w:rPr>
                <w:rFonts w:ascii="Times New Roman" w:hAnsi="Times New Roman" w:cs="Times New Roman"/>
              </w:rPr>
            </w:pPr>
            <w:r>
              <w:rPr>
                <w:rFonts w:ascii="Times New Roman" w:hAnsi="Times New Roman" w:cs="Times New Roman"/>
              </w:rPr>
              <w:t>Frequency step size</w:t>
            </w:r>
          </w:p>
        </w:tc>
        <w:tc>
          <w:tcPr>
            <w:tcW w:w="1422" w:type="pct"/>
          </w:tcPr>
          <w:p w14:paraId="49E7E30C" w14:textId="77777777" w:rsidR="00FF5833" w:rsidRDefault="00DD175B" w:rsidP="000C05D9">
            <w:pPr>
              <w:pStyle w:val="BodyText"/>
              <w:snapToGrid w:val="0"/>
              <w:spacing w:before="0" w:after="0"/>
              <w:jc w:val="center"/>
              <w:rPr>
                <w:rFonts w:ascii="Times New Roman" w:hAnsi="Times New Roman" w:cs="Times New Roman"/>
              </w:rPr>
            </w:pPr>
            <w:r>
              <w:rPr>
                <w:rFonts w:ascii="Times New Roman" w:hAnsi="Times New Roman" w:cs="Times New Roman"/>
              </w:rPr>
              <w:t>1–4 kHz</w:t>
            </w:r>
          </w:p>
        </w:tc>
        <w:tc>
          <w:tcPr>
            <w:tcW w:w="2441" w:type="pct"/>
          </w:tcPr>
          <w:p w14:paraId="5FFE2CB5" w14:textId="77777777" w:rsidR="00FF5833" w:rsidRDefault="00DD175B" w:rsidP="000C05D9">
            <w:pPr>
              <w:pStyle w:val="BodyText"/>
              <w:snapToGrid w:val="0"/>
              <w:spacing w:before="0" w:after="0"/>
              <w:jc w:val="center"/>
              <w:rPr>
                <w:rFonts w:ascii="Times New Roman" w:hAnsi="Times New Roman" w:cs="Times New Roman"/>
              </w:rPr>
            </w:pPr>
            <w:r>
              <w:rPr>
                <w:rFonts w:ascii="Times New Roman" w:hAnsi="Times New Roman" w:cs="Times New Roman"/>
              </w:rPr>
              <w:t>Single-step adjustment limit</w:t>
            </w:r>
          </w:p>
        </w:tc>
      </w:tr>
      <w:tr w:rsidR="00FF5833" w14:paraId="2F688ADB" w14:textId="77777777" w:rsidTr="000C05D9">
        <w:tc>
          <w:tcPr>
            <w:tcW w:w="1136" w:type="pct"/>
          </w:tcPr>
          <w:p w14:paraId="42E4C049" w14:textId="77777777" w:rsidR="00FF5833" w:rsidRDefault="00DD175B" w:rsidP="000C05D9">
            <w:pPr>
              <w:pStyle w:val="BodyText"/>
              <w:snapToGrid w:val="0"/>
              <w:spacing w:before="0" w:after="0"/>
              <w:rPr>
                <w:rFonts w:ascii="Times New Roman" w:hAnsi="Times New Roman" w:cs="Times New Roman"/>
              </w:rPr>
            </w:pPr>
            <w:r>
              <w:rPr>
                <w:rFonts w:ascii="Times New Roman" w:hAnsi="Times New Roman" w:cs="Times New Roman"/>
              </w:rPr>
              <w:t>Frequency-reduction trigger</w:t>
            </w:r>
          </w:p>
        </w:tc>
        <w:tc>
          <w:tcPr>
            <w:tcW w:w="1422" w:type="pct"/>
          </w:tcPr>
          <w:p w14:paraId="5CB17F91" w14:textId="77777777" w:rsidR="00FF5833" w:rsidRDefault="00DD175B" w:rsidP="000C05D9">
            <w:pPr>
              <w:pStyle w:val="BodyText"/>
              <w:snapToGrid w:val="0"/>
              <w:spacing w:before="0" w:after="0"/>
              <w:jc w:val="center"/>
              <w:rPr>
                <w:rFonts w:ascii="Times New Roman" w:hAnsi="Times New Roman" w:cs="Times New Roman"/>
              </w:rPr>
            </w:pPr>
            <w:r>
              <w:rPr>
                <w:rFonts w:ascii="Times New Roman" w:hAnsi="Times New Roman" w:cs="Times New Roman"/>
              </w:rPr>
              <w:t>d &gt; 95%</w:t>
            </w:r>
          </w:p>
        </w:tc>
        <w:tc>
          <w:tcPr>
            <w:tcW w:w="2441" w:type="pct"/>
          </w:tcPr>
          <w:p w14:paraId="2077CFB8" w14:textId="77777777" w:rsidR="00FF5833" w:rsidRDefault="00DD175B" w:rsidP="000C05D9">
            <w:pPr>
              <w:pStyle w:val="BodyText"/>
              <w:snapToGrid w:val="0"/>
              <w:spacing w:before="0" w:after="0"/>
              <w:jc w:val="center"/>
              <w:rPr>
                <w:rFonts w:ascii="Times New Roman" w:hAnsi="Times New Roman" w:cs="Times New Roman"/>
              </w:rPr>
            </w:pPr>
            <w:r>
              <w:rPr>
                <w:rFonts w:ascii="Times New Roman" w:hAnsi="Times New Roman" w:cs="Times New Roman"/>
              </w:rPr>
              <w:t>Avoid high-duty-cycle saturation</w:t>
            </w:r>
          </w:p>
        </w:tc>
      </w:tr>
      <w:tr w:rsidR="00FF5833" w14:paraId="6FB434FC" w14:textId="77777777" w:rsidTr="000C05D9">
        <w:tc>
          <w:tcPr>
            <w:tcW w:w="1136" w:type="pct"/>
          </w:tcPr>
          <w:p w14:paraId="58A3B233" w14:textId="77777777" w:rsidR="00FF5833" w:rsidRDefault="00DD175B" w:rsidP="000C05D9">
            <w:pPr>
              <w:pStyle w:val="BodyText"/>
              <w:snapToGrid w:val="0"/>
              <w:spacing w:before="0" w:after="0"/>
              <w:rPr>
                <w:rFonts w:ascii="Times New Roman" w:hAnsi="Times New Roman" w:cs="Times New Roman"/>
              </w:rPr>
            </w:pPr>
            <w:r>
              <w:rPr>
                <w:rFonts w:ascii="Times New Roman" w:hAnsi="Times New Roman" w:cs="Times New Roman"/>
              </w:rPr>
              <w:t>Frequency-reduction target</w:t>
            </w:r>
          </w:p>
        </w:tc>
        <w:tc>
          <w:tcPr>
            <w:tcW w:w="1422" w:type="pct"/>
          </w:tcPr>
          <w:p w14:paraId="1AF822AD" w14:textId="77777777" w:rsidR="00FF5833" w:rsidRDefault="00DD175B" w:rsidP="000C05D9">
            <w:pPr>
              <w:pStyle w:val="BodyText"/>
              <w:snapToGrid w:val="0"/>
              <w:spacing w:before="0" w:after="0"/>
              <w:jc w:val="center"/>
              <w:rPr>
                <w:rFonts w:ascii="Times New Roman" w:hAnsi="Times New Roman" w:cs="Times New Roman"/>
              </w:rPr>
            </w:pPr>
            <w:r>
              <w:rPr>
                <w:rFonts w:ascii="Times New Roman" w:hAnsi="Times New Roman" w:cs="Times New Roman"/>
              </w:rPr>
              <w:t>Approximately d &lt; 90%</w:t>
            </w:r>
          </w:p>
        </w:tc>
        <w:tc>
          <w:tcPr>
            <w:tcW w:w="2441" w:type="pct"/>
          </w:tcPr>
          <w:p w14:paraId="3C56F9A6" w14:textId="77777777" w:rsidR="00FF5833" w:rsidRDefault="00DD175B" w:rsidP="000C05D9">
            <w:pPr>
              <w:pStyle w:val="BodyText"/>
              <w:snapToGrid w:val="0"/>
              <w:spacing w:before="0" w:after="0"/>
              <w:jc w:val="center"/>
              <w:rPr>
                <w:rFonts w:ascii="Times New Roman" w:hAnsi="Times New Roman" w:cs="Times New Roman"/>
              </w:rPr>
            </w:pPr>
            <w:r>
              <w:rPr>
                <w:rFonts w:ascii="Times New Roman" w:hAnsi="Times New Roman" w:cs="Times New Roman"/>
              </w:rPr>
              <w:t>Restore adjustment margin</w:t>
            </w:r>
          </w:p>
        </w:tc>
      </w:tr>
      <w:tr w:rsidR="00FF5833" w14:paraId="458B2D8F" w14:textId="77777777" w:rsidTr="000C05D9">
        <w:tc>
          <w:tcPr>
            <w:tcW w:w="1136" w:type="pct"/>
          </w:tcPr>
          <w:p w14:paraId="6F61A606" w14:textId="77777777" w:rsidR="00FF5833" w:rsidRDefault="00DD175B" w:rsidP="000C05D9">
            <w:pPr>
              <w:pStyle w:val="BodyText"/>
              <w:snapToGrid w:val="0"/>
              <w:spacing w:before="0" w:after="0"/>
              <w:rPr>
                <w:rFonts w:ascii="Times New Roman" w:hAnsi="Times New Roman" w:cs="Times New Roman"/>
              </w:rPr>
            </w:pPr>
            <w:r>
              <w:rPr>
                <w:rFonts w:ascii="Times New Roman" w:hAnsi="Times New Roman" w:cs="Times New Roman"/>
              </w:rPr>
              <w:t>Frequency-increase trigger</w:t>
            </w:r>
          </w:p>
        </w:tc>
        <w:tc>
          <w:tcPr>
            <w:tcW w:w="1422" w:type="pct"/>
          </w:tcPr>
          <w:p w14:paraId="102B2566" w14:textId="77777777" w:rsidR="00FF5833" w:rsidRDefault="00DD175B" w:rsidP="000C05D9">
            <w:pPr>
              <w:pStyle w:val="BodyText"/>
              <w:snapToGrid w:val="0"/>
              <w:spacing w:before="0" w:after="0"/>
              <w:jc w:val="center"/>
              <w:rPr>
                <w:rFonts w:ascii="Times New Roman" w:hAnsi="Times New Roman" w:cs="Times New Roman"/>
              </w:rPr>
            </w:pPr>
            <w:r>
              <w:rPr>
                <w:rFonts w:ascii="Times New Roman" w:hAnsi="Times New Roman" w:cs="Times New Roman"/>
              </w:rPr>
              <w:t>Low-duty-cycle region</w:t>
            </w:r>
          </w:p>
        </w:tc>
        <w:tc>
          <w:tcPr>
            <w:tcW w:w="2441" w:type="pct"/>
          </w:tcPr>
          <w:p w14:paraId="62467F36" w14:textId="77777777" w:rsidR="00FF5833" w:rsidRDefault="00DD175B" w:rsidP="000C05D9">
            <w:pPr>
              <w:pStyle w:val="BodyText"/>
              <w:snapToGrid w:val="0"/>
              <w:spacing w:before="0" w:after="0"/>
              <w:jc w:val="center"/>
              <w:rPr>
                <w:rFonts w:ascii="Times New Roman" w:hAnsi="Times New Roman" w:cs="Times New Roman"/>
              </w:rPr>
            </w:pPr>
            <w:r>
              <w:rPr>
                <w:rFonts w:ascii="Times New Roman" w:hAnsi="Times New Roman" w:cs="Times New Roman"/>
              </w:rPr>
              <w:t>Extend the light-load regulation range</w:t>
            </w:r>
          </w:p>
        </w:tc>
      </w:tr>
      <w:tr w:rsidR="00FF5833" w14:paraId="49B4E9E8" w14:textId="77777777" w:rsidTr="000C05D9">
        <w:tc>
          <w:tcPr>
            <w:tcW w:w="1136" w:type="pct"/>
          </w:tcPr>
          <w:p w14:paraId="075F92DB" w14:textId="77777777" w:rsidR="00FF5833" w:rsidRDefault="00DD175B" w:rsidP="000C05D9">
            <w:pPr>
              <w:pStyle w:val="BodyText"/>
              <w:snapToGrid w:val="0"/>
              <w:spacing w:before="0" w:after="0"/>
              <w:rPr>
                <w:rFonts w:ascii="Times New Roman" w:hAnsi="Times New Roman" w:cs="Times New Roman"/>
              </w:rPr>
            </w:pPr>
            <w:r>
              <w:rPr>
                <w:rFonts w:ascii="Times New Roman" w:hAnsi="Times New Roman" w:cs="Times New Roman"/>
              </w:rPr>
              <w:t>Lockout window</w:t>
            </w:r>
          </w:p>
        </w:tc>
        <w:tc>
          <w:tcPr>
            <w:tcW w:w="1422" w:type="pct"/>
          </w:tcPr>
          <w:p w14:paraId="78918F1B" w14:textId="77777777" w:rsidR="00FF5833" w:rsidRDefault="00DD175B" w:rsidP="000C05D9">
            <w:pPr>
              <w:pStyle w:val="BodyText"/>
              <w:snapToGrid w:val="0"/>
              <w:spacing w:before="0" w:after="0"/>
              <w:jc w:val="center"/>
              <w:rPr>
                <w:rFonts w:ascii="Times New Roman" w:hAnsi="Times New Roman" w:cs="Times New Roman"/>
              </w:rPr>
            </w:pPr>
            <w:r>
              <w:rPr>
                <w:rFonts w:ascii="Times New Roman" w:hAnsi="Times New Roman" w:cs="Times New Roman"/>
              </w:rPr>
              <w:t xml:space="preserve">100–200 </w:t>
            </w:r>
            <w:proofErr w:type="spellStart"/>
            <w:r>
              <w:rPr>
                <w:rFonts w:ascii="Times New Roman" w:hAnsi="Times New Roman" w:cs="Times New Roman"/>
              </w:rPr>
              <w:t>ms</w:t>
            </w:r>
            <w:proofErr w:type="spellEnd"/>
          </w:p>
        </w:tc>
        <w:tc>
          <w:tcPr>
            <w:tcW w:w="2441" w:type="pct"/>
          </w:tcPr>
          <w:p w14:paraId="032BFDD1" w14:textId="77777777" w:rsidR="00FF5833" w:rsidRDefault="00DD175B" w:rsidP="000C05D9">
            <w:pPr>
              <w:pStyle w:val="BodyText"/>
              <w:snapToGrid w:val="0"/>
              <w:spacing w:before="0" w:after="0"/>
              <w:jc w:val="center"/>
              <w:rPr>
                <w:rFonts w:ascii="Times New Roman" w:hAnsi="Times New Roman" w:cs="Times New Roman"/>
              </w:rPr>
            </w:pPr>
            <w:r>
              <w:rPr>
                <w:rFonts w:ascii="Times New Roman" w:hAnsi="Times New Roman" w:cs="Times New Roman"/>
              </w:rPr>
              <w:t>Suppress frequent switching</w:t>
            </w:r>
          </w:p>
        </w:tc>
      </w:tr>
      <w:tr w:rsidR="00FF5833" w14:paraId="7214E414" w14:textId="77777777" w:rsidTr="000C05D9">
        <w:tc>
          <w:tcPr>
            <w:tcW w:w="1136" w:type="pct"/>
            <w:tcBorders>
              <w:bottom w:val="single" w:sz="4" w:space="0" w:color="auto"/>
            </w:tcBorders>
          </w:tcPr>
          <w:p w14:paraId="3C7E3EDA" w14:textId="77777777" w:rsidR="00FF5833" w:rsidRDefault="00DD175B" w:rsidP="000C05D9">
            <w:pPr>
              <w:pStyle w:val="BodyText"/>
              <w:snapToGrid w:val="0"/>
              <w:spacing w:before="0" w:after="0"/>
              <w:rPr>
                <w:rFonts w:ascii="Times New Roman" w:hAnsi="Times New Roman" w:cs="Times New Roman"/>
              </w:rPr>
            </w:pPr>
            <w:r>
              <w:rPr>
                <w:rFonts w:ascii="Times New Roman" w:hAnsi="Times New Roman" w:cs="Times New Roman"/>
              </w:rPr>
              <w:t>Feedforward exponent</w:t>
            </w:r>
          </w:p>
        </w:tc>
        <w:tc>
          <w:tcPr>
            <w:tcW w:w="1422" w:type="pct"/>
            <w:tcBorders>
              <w:bottom w:val="single" w:sz="4" w:space="0" w:color="auto"/>
            </w:tcBorders>
          </w:tcPr>
          <w:p w14:paraId="523E0C4F" w14:textId="77777777" w:rsidR="00FF5833" w:rsidRDefault="00DD175B" w:rsidP="000C05D9">
            <w:pPr>
              <w:pStyle w:val="BodyText"/>
              <w:snapToGrid w:val="0"/>
              <w:spacing w:before="0" w:after="0"/>
              <w:jc w:val="center"/>
              <w:rPr>
                <w:rFonts w:ascii="Times New Roman" w:hAnsi="Times New Roman" w:cs="Times New Roman"/>
              </w:rPr>
            </w:pPr>
            <w:r>
              <w:rPr>
                <w:rFonts w:ascii="Times New Roman" w:hAnsi="Times New Roman" w:cs="Times New Roman"/>
              </w:rPr>
              <w:t>γ = 0.924</w:t>
            </w:r>
          </w:p>
        </w:tc>
        <w:tc>
          <w:tcPr>
            <w:tcW w:w="2441" w:type="pct"/>
            <w:tcBorders>
              <w:bottom w:val="single" w:sz="4" w:space="0" w:color="auto"/>
            </w:tcBorders>
          </w:tcPr>
          <w:p w14:paraId="316B07BE" w14:textId="77777777" w:rsidR="00FF5833" w:rsidRDefault="00DD175B" w:rsidP="000C05D9">
            <w:pPr>
              <w:pStyle w:val="BodyText"/>
              <w:snapToGrid w:val="0"/>
              <w:spacing w:before="0" w:after="0"/>
              <w:jc w:val="center"/>
              <w:rPr>
                <w:rFonts w:ascii="Times New Roman" w:hAnsi="Times New Roman" w:cs="Times New Roman"/>
              </w:rPr>
            </w:pPr>
            <w:r>
              <w:rPr>
                <w:rFonts w:ascii="Times New Roman" w:hAnsi="Times New Roman" w:cs="Times New Roman"/>
              </w:rPr>
              <w:t>Correct the duty cycle after frequency conversion</w:t>
            </w:r>
          </w:p>
        </w:tc>
      </w:tr>
    </w:tbl>
    <w:p w14:paraId="42EAE05D" w14:textId="77777777" w:rsidR="00FD0F52" w:rsidRDefault="00FD0F52" w:rsidP="00E7328D">
      <w:pPr>
        <w:pStyle w:val="BodyText"/>
        <w:snapToGrid w:val="0"/>
        <w:spacing w:before="0" w:after="0"/>
        <w:jc w:val="both"/>
        <w:rPr>
          <w:rFonts w:ascii="Times New Roman" w:hAnsi="Times New Roman" w:cs="Times New Roman"/>
          <w:lang w:eastAsia="zh-CN"/>
        </w:rPr>
      </w:pPr>
    </w:p>
    <w:p w14:paraId="267ECE3A" w14:textId="0D459ED4" w:rsidR="00FF5833" w:rsidRDefault="00DD175B" w:rsidP="000C05D9">
      <w:pPr>
        <w:pStyle w:val="BodyText"/>
        <w:snapToGrid w:val="0"/>
        <w:spacing w:before="0" w:after="0"/>
        <w:ind w:firstLine="426"/>
        <w:jc w:val="both"/>
        <w:rPr>
          <w:rFonts w:ascii="Times New Roman" w:hAnsi="Times New Roman" w:cs="Times New Roman"/>
          <w:lang w:eastAsia="zh-CN"/>
        </w:rPr>
      </w:pPr>
      <w:r>
        <w:rPr>
          <w:rFonts w:ascii="Times New Roman" w:hAnsi="Times New Roman" w:cs="Times New Roman"/>
          <w:lang w:eastAsia="zh-CN"/>
        </w:rPr>
        <w:t>Changes in frequency affect the energy-transfer capability associated with a given duty cycle. If the frequency is changed while the duty cycle is kept unchanged, disturbances may appear in the output voltage and current. Therefore, this study uses feedforward duty-cycle correction to map the duty cycle at the old frequency to the initial duty cycle at the new frequency:</w:t>
      </w:r>
    </w:p>
    <w:p w14:paraId="69BA3D64" w14:textId="77777777" w:rsidR="00FF5833" w:rsidRDefault="00DD175B" w:rsidP="000C05D9">
      <w:pPr>
        <w:pStyle w:val="BodyText"/>
        <w:snapToGrid w:val="0"/>
        <w:spacing w:before="0" w:after="0"/>
        <w:jc w:val="right"/>
        <w:rPr>
          <w:rFonts w:ascii="Times New Roman" w:hAnsi="Times New Roman" w:cs="Times New Roman"/>
          <w:lang w:eastAsia="zh-CN"/>
        </w:rPr>
      </w:pPr>
      <m:oMath>
        <m:sSub>
          <m:sSubPr>
            <m:ctrlPr>
              <w:rPr>
                <w:rFonts w:ascii="Cambria Math" w:hAnsi="Cambria Math" w:cs="Times New Roman"/>
              </w:rPr>
            </m:ctrlPr>
          </m:sSubPr>
          <m:e>
            <m:r>
              <w:rPr>
                <w:rFonts w:ascii="Cambria Math" w:hAnsi="Cambria Math" w:cs="Times New Roman"/>
              </w:rPr>
              <m:t>d</m:t>
            </m:r>
          </m:e>
          <m:sub>
            <m:r>
              <m:rPr>
                <m:sty m:val="p"/>
              </m:rPr>
              <w:rPr>
                <w:rFonts w:ascii="Cambria Math" w:hAnsi="Cambria Math" w:cs="Times New Roman"/>
              </w:rPr>
              <m:t>ff</m:t>
            </m:r>
          </m:sub>
        </m:sSub>
        <m:r>
          <m:rPr>
            <m:sty m:val="p"/>
          </m:rPr>
          <w:rPr>
            <w:rFonts w:ascii="Cambria Math" w:hAnsi="Cambria Math" w:cs="Times New Roman"/>
          </w:rPr>
          <m:t>=</m:t>
        </m:r>
        <m:f>
          <m:fPr>
            <m:ctrlPr>
              <w:rPr>
                <w:rFonts w:ascii="Cambria Math" w:hAnsi="Cambria Math" w:cs="Times New Roman"/>
              </w:rPr>
            </m:ctrlPr>
          </m:fPr>
          <m:num>
            <m:r>
              <w:rPr>
                <w:rFonts w:ascii="Cambria Math" w:hAnsi="Cambria Math" w:cs="Times New Roman"/>
              </w:rPr>
              <m:t>2</m:t>
            </m:r>
          </m:num>
          <m:den>
            <m:r>
              <w:rPr>
                <w:rFonts w:ascii="Cambria Math" w:hAnsi="Cambria Math" w:cs="Times New Roman"/>
              </w:rPr>
              <m:t>π</m:t>
            </m:r>
          </m:den>
        </m:f>
        <m:r>
          <m:rPr>
            <m:sty m:val="p"/>
          </m:rPr>
          <w:rPr>
            <w:rFonts w:ascii="Cambria Math" w:hAnsi="Cambria Math" w:cs="Times New Roman"/>
          </w:rPr>
          <m:t>arcsin</m:t>
        </m:r>
        <m:d>
          <m:dPr>
            <m:begChr m:val="["/>
            <m:endChr m:val="]"/>
            <m:ctrlPr>
              <w:rPr>
                <w:rFonts w:ascii="Cambria Math" w:hAnsi="Cambria Math" w:cs="Times New Roman"/>
              </w:rPr>
            </m:ctrlPr>
          </m:dPr>
          <m:e>
            <m:r>
              <m:rPr>
                <m:sty m:val="p"/>
              </m:rPr>
              <w:rPr>
                <w:rFonts w:ascii="Cambria Math" w:hAnsi="Cambria Math" w:cs="Times New Roman"/>
              </w:rPr>
              <m:t>clamp</m:t>
            </m:r>
            <m:d>
              <m:dPr>
                <m:ctrlPr>
                  <w:rPr>
                    <w:rFonts w:ascii="Cambria Math" w:hAnsi="Cambria Math" w:cs="Times New Roman"/>
                  </w:rPr>
                </m:ctrlPr>
              </m:dPr>
              <m:e>
                <m:r>
                  <m:rPr>
                    <m:sty m:val="p"/>
                  </m:rPr>
                  <w:rPr>
                    <w:rFonts w:ascii="Cambria Math" w:hAnsi="Cambria Math" w:cs="Times New Roman"/>
                  </w:rPr>
                  <m:t>sin</m:t>
                </m:r>
                <m:d>
                  <m:dPr>
                    <m:ctrlPr>
                      <w:rPr>
                        <w:rFonts w:ascii="Cambria Math" w:hAnsi="Cambria Math" w:cs="Times New Roman"/>
                      </w:rPr>
                    </m:ctrlPr>
                  </m:dPr>
                  <m:e>
                    <m:f>
                      <m:fPr>
                        <m:ctrlPr>
                          <w:rPr>
                            <w:rFonts w:ascii="Cambria Math" w:hAnsi="Cambria Math" w:cs="Times New Roman"/>
                          </w:rPr>
                        </m:ctrlPr>
                      </m:fPr>
                      <m:num>
                        <m:r>
                          <w:rPr>
                            <w:rFonts w:ascii="Cambria Math" w:hAnsi="Cambria Math" w:cs="Times New Roman"/>
                          </w:rPr>
                          <m:t>πd</m:t>
                        </m:r>
                      </m:num>
                      <m:den>
                        <m:r>
                          <w:rPr>
                            <w:rFonts w:ascii="Cambria Math" w:hAnsi="Cambria Math" w:cs="Times New Roman"/>
                          </w:rPr>
                          <m:t>2</m:t>
                        </m:r>
                      </m:den>
                    </m:f>
                  </m:e>
                </m:d>
                <m:sSup>
                  <m:sSupPr>
                    <m:ctrlPr>
                      <w:rPr>
                        <w:rFonts w:ascii="Cambria Math" w:hAnsi="Cambria Math" w:cs="Times New Roman"/>
                      </w:rPr>
                    </m:ctrlPr>
                  </m:sSupPr>
                  <m:e>
                    <m:d>
                      <m:dPr>
                        <m:ctrlPr>
                          <w:rPr>
                            <w:rFonts w:ascii="Cambria Math" w:hAnsi="Cambria Math" w:cs="Times New Roman"/>
                          </w:rPr>
                        </m:ctrlPr>
                      </m:dPr>
                      <m:e>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f</m:t>
                                </m:r>
                              </m:e>
                              <m:sub>
                                <m:r>
                                  <w:rPr>
                                    <w:rFonts w:ascii="Cambria Math" w:hAnsi="Cambria Math" w:cs="Times New Roman"/>
                                  </w:rPr>
                                  <m:t>new</m:t>
                                </m:r>
                              </m:sub>
                            </m:sSub>
                          </m:num>
                          <m:den>
                            <m:sSub>
                              <m:sSubPr>
                                <m:ctrlPr>
                                  <w:rPr>
                                    <w:rFonts w:ascii="Cambria Math" w:hAnsi="Cambria Math" w:cs="Times New Roman"/>
                                  </w:rPr>
                                </m:ctrlPr>
                              </m:sSubPr>
                              <m:e>
                                <m:r>
                                  <w:rPr>
                                    <w:rFonts w:ascii="Cambria Math" w:hAnsi="Cambria Math" w:cs="Times New Roman"/>
                                  </w:rPr>
                                  <m:t>f</m:t>
                                </m:r>
                              </m:e>
                              <m:sub>
                                <m:r>
                                  <w:rPr>
                                    <w:rFonts w:ascii="Cambria Math" w:hAnsi="Cambria Math" w:cs="Times New Roman"/>
                                  </w:rPr>
                                  <m:t>old</m:t>
                                </m:r>
                              </m:sub>
                            </m:sSub>
                          </m:den>
                        </m:f>
                      </m:e>
                    </m:d>
                  </m:e>
                  <m:sup>
                    <m:r>
                      <w:rPr>
                        <w:rFonts w:ascii="Cambria Math" w:hAnsi="Cambria Math" w:cs="Times New Roman"/>
                      </w:rPr>
                      <m:t>γ</m:t>
                    </m:r>
                  </m:sup>
                </m:sSup>
                <m:r>
                  <m:rPr>
                    <m:sty m:val="p"/>
                  </m:rPr>
                  <w:rPr>
                    <w:rFonts w:ascii="Cambria Math" w:hAnsi="Cambria Math" w:cs="Times New Roman"/>
                  </w:rPr>
                  <m:t>,</m:t>
                </m:r>
                <m:r>
                  <w:rPr>
                    <w:rFonts w:ascii="Cambria Math" w:hAnsi="Cambria Math" w:cs="Times New Roman"/>
                  </w:rPr>
                  <m:t>0</m:t>
                </m:r>
                <m:r>
                  <m:rPr>
                    <m:sty m:val="p"/>
                  </m:rPr>
                  <w:rPr>
                    <w:rFonts w:ascii="Cambria Math" w:hAnsi="Cambria Math" w:cs="Times New Roman"/>
                  </w:rPr>
                  <m:t>,</m:t>
                </m:r>
                <m:r>
                  <w:rPr>
                    <w:rFonts w:ascii="Cambria Math" w:hAnsi="Cambria Math" w:cs="Times New Roman"/>
                  </w:rPr>
                  <m:t>1</m:t>
                </m:r>
              </m:e>
            </m:d>
          </m:e>
        </m:d>
      </m:oMath>
      <w:r>
        <w:rPr>
          <w:rFonts w:ascii="Times New Roman" w:hAnsi="Times New Roman" w:cs="Times New Roman" w:hint="eastAsia"/>
          <w:lang w:eastAsia="zh-CN"/>
        </w:rPr>
        <w:t xml:space="preserve">                               </w:t>
      </w:r>
      <w:r>
        <w:rPr>
          <w:rFonts w:ascii="Times New Roman" w:hAnsi="Times New Roman" w:cs="Times New Roman"/>
          <w:lang w:eastAsia="zh-CN"/>
        </w:rPr>
        <w:t>(5)</w:t>
      </w:r>
    </w:p>
    <w:p w14:paraId="28D2199E" w14:textId="77777777" w:rsidR="00FF5833" w:rsidRDefault="00DD175B" w:rsidP="00E7328D">
      <w:pPr>
        <w:pStyle w:val="BodyText"/>
        <w:snapToGrid w:val="0"/>
        <w:spacing w:before="0" w:after="0"/>
        <w:jc w:val="both"/>
        <w:rPr>
          <w:rFonts w:ascii="Times New Roman" w:hAnsi="Times New Roman" w:cs="Times New Roman"/>
        </w:rPr>
      </w:pPr>
      <w:r>
        <w:rPr>
          <w:rFonts w:ascii="Times New Roman" w:hAnsi="Times New Roman" w:cs="Times New Roman"/>
        </w:rPr>
        <w:t xml:space="preserve">In this expression, </w:t>
      </w:r>
      <m:oMath>
        <m:sSub>
          <m:sSubPr>
            <m:ctrlPr>
              <w:rPr>
                <w:rFonts w:ascii="Cambria Math" w:hAnsi="Cambria Math" w:cs="Times New Roman"/>
              </w:rPr>
            </m:ctrlPr>
          </m:sSubPr>
          <m:e>
            <m:r>
              <w:rPr>
                <w:rFonts w:ascii="Cambria Math" w:hAnsi="Cambria Math" w:cs="Times New Roman"/>
                <w:lang w:eastAsia="zh-CN"/>
              </w:rPr>
              <m:t>f</m:t>
            </m:r>
          </m:e>
          <m:sub>
            <m:r>
              <w:rPr>
                <w:rFonts w:ascii="Cambria Math" w:hAnsi="Cambria Math" w:cs="Times New Roman"/>
                <w:lang w:eastAsia="zh-CN"/>
              </w:rPr>
              <m:t>old</m:t>
            </m:r>
          </m:sub>
        </m:sSub>
      </m:oMath>
      <w:r>
        <w:rPr>
          <w:rFonts w:ascii="Times New Roman" w:hAnsi="Times New Roman" w:cs="Times New Roman"/>
        </w:rPr>
        <w:t xml:space="preserve"> is the frequency before conversion, </w:t>
      </w:r>
      <m:oMath>
        <m:sSub>
          <m:sSubPr>
            <m:ctrlPr>
              <w:rPr>
                <w:rFonts w:ascii="Cambria Math" w:hAnsi="Cambria Math" w:cs="Times New Roman"/>
              </w:rPr>
            </m:ctrlPr>
          </m:sSubPr>
          <m:e>
            <m:r>
              <w:rPr>
                <w:rFonts w:ascii="Cambria Math" w:hAnsi="Cambria Math" w:cs="Times New Roman"/>
                <w:lang w:eastAsia="zh-CN"/>
              </w:rPr>
              <m:t>f</m:t>
            </m:r>
          </m:e>
          <m:sub>
            <m:r>
              <w:rPr>
                <w:rFonts w:ascii="Cambria Math" w:hAnsi="Cambria Math" w:cs="Times New Roman"/>
                <w:lang w:eastAsia="zh-CN"/>
              </w:rPr>
              <m:t>new</m:t>
            </m:r>
          </m:sub>
        </m:sSub>
      </m:oMath>
      <w:r>
        <w:rPr>
          <w:rFonts w:ascii="Times New Roman" w:hAnsi="Times New Roman" w:cs="Times New Roman"/>
        </w:rPr>
        <w:t xml:space="preserve"> is the target frequency, and </w:t>
      </w:r>
      <m:oMath>
        <m:r>
          <w:rPr>
            <w:rFonts w:ascii="Cambria Math" w:hAnsi="Cambria Math" w:cs="Times New Roman"/>
          </w:rPr>
          <m:t>γ</m:t>
        </m:r>
      </m:oMath>
      <w:r>
        <w:rPr>
          <w:rFonts w:ascii="Times New Roman" w:hAnsi="Times New Roman" w:cs="Times New Roman"/>
        </w:rPr>
        <w:t xml:space="preserve"> is the feedforward exponent. After the frequency is reloaded, the integral term of the PI loop currently in control is synchronized near the feedforward duty cycle, reducing the transient disturbance caused by re-establishing the feedback loop. The benefit of feedforward compensation for the dynamic response of PSFB converters has also been verified in related studies </w:t>
      </w:r>
      <w:r w:rsidRPr="000C05D9">
        <w:rPr>
          <w:rFonts w:ascii="Times New Roman" w:hAnsi="Times New Roman" w:cs="Times New Roman"/>
          <w:vertAlign w:val="superscript"/>
        </w:rPr>
        <w:t>[6]</w:t>
      </w:r>
      <w:r>
        <w:rPr>
          <w:rFonts w:ascii="Times New Roman" w:hAnsi="Times New Roman" w:cs="Times New Roman"/>
        </w:rPr>
        <w:t>.</w:t>
      </w:r>
    </w:p>
    <w:p w14:paraId="13E2D3E4" w14:textId="77777777" w:rsidR="00FD0F52" w:rsidRDefault="00FD0F52" w:rsidP="000C05D9">
      <w:pPr>
        <w:pStyle w:val="BodyText"/>
        <w:snapToGrid w:val="0"/>
        <w:spacing w:before="0" w:after="0"/>
        <w:jc w:val="both"/>
        <w:rPr>
          <w:rFonts w:ascii="Times New Roman" w:hAnsi="Times New Roman" w:cs="Times New Roman"/>
        </w:rPr>
      </w:pPr>
    </w:p>
    <w:p w14:paraId="1F2D98A5" w14:textId="44CD70B0" w:rsidR="00FF5833" w:rsidRPr="000C05D9" w:rsidRDefault="00DD175B" w:rsidP="000C05D9">
      <w:pPr>
        <w:pStyle w:val="BodyText"/>
        <w:snapToGrid w:val="0"/>
        <w:spacing w:before="0" w:after="0"/>
        <w:jc w:val="both"/>
        <w:rPr>
          <w:rFonts w:ascii="Times New Roman" w:hAnsi="Times New Roman" w:cs="Times New Roman"/>
          <w:b/>
          <w:bCs/>
          <w:lang w:eastAsia="zh-CN"/>
        </w:rPr>
      </w:pPr>
      <w:r w:rsidRPr="000C05D9">
        <w:rPr>
          <w:rFonts w:ascii="Times New Roman" w:hAnsi="Times New Roman" w:cs="Times New Roman"/>
          <w:b/>
          <w:bCs/>
          <w:lang w:eastAsia="zh-CN"/>
        </w:rPr>
        <w:t>5</w:t>
      </w:r>
      <w:r w:rsidR="00FD0F52" w:rsidRPr="000C05D9">
        <w:rPr>
          <w:rFonts w:ascii="Times New Roman" w:hAnsi="Times New Roman" w:cs="Times New Roman"/>
          <w:b/>
          <w:bCs/>
          <w:lang w:eastAsia="zh-CN"/>
        </w:rPr>
        <w:t>.</w:t>
      </w:r>
      <w:r w:rsidRPr="000C05D9">
        <w:rPr>
          <w:rFonts w:ascii="Times New Roman" w:hAnsi="Times New Roman" w:cs="Times New Roman"/>
          <w:b/>
          <w:bCs/>
          <w:lang w:eastAsia="zh-CN"/>
        </w:rPr>
        <w:t xml:space="preserve"> Firmware and </w:t>
      </w:r>
      <w:r w:rsidR="00FD0F52" w:rsidRPr="000C05D9">
        <w:rPr>
          <w:rFonts w:ascii="Times New Roman" w:hAnsi="Times New Roman" w:cs="Times New Roman"/>
          <w:b/>
          <w:bCs/>
          <w:lang w:eastAsia="zh-CN"/>
        </w:rPr>
        <w:t>monitoring implementation</w:t>
      </w:r>
    </w:p>
    <w:p w14:paraId="3345A80A" w14:textId="167BE62D" w:rsidR="00FF5833" w:rsidRDefault="00DD175B" w:rsidP="000C05D9">
      <w:pPr>
        <w:pStyle w:val="BodyText"/>
        <w:snapToGrid w:val="0"/>
        <w:spacing w:before="0" w:after="0"/>
        <w:jc w:val="both"/>
        <w:rPr>
          <w:rFonts w:ascii="Times New Roman" w:hAnsi="Times New Roman" w:cs="Times New Roman"/>
          <w:lang w:eastAsia="zh-CN"/>
        </w:rPr>
      </w:pPr>
      <w:r>
        <w:rPr>
          <w:rFonts w:ascii="Times New Roman" w:hAnsi="Times New Roman" w:cs="Times New Roman"/>
          <w:lang w:eastAsia="zh-CN"/>
        </w:rPr>
        <w:t>The system firmware consists of six modules: sampling, drive generation, control, configuration, protection, and communication. The sampling module triggers the ADC and aggregates data. The drive module provides HRTIM output, dead time, fault input, and periodic reload functions. The control module performs CV/CC/CP arbitration, soft start, and automatic frequency conversion. The configuration module stores PI parameters, frequency limits, soft-start step size, and calibration coefficients. The protection m</w:t>
      </w:r>
      <w:r>
        <w:rPr>
          <w:rFonts w:ascii="Times New Roman" w:hAnsi="Times New Roman" w:cs="Times New Roman"/>
          <w:lang w:eastAsia="zh-CN"/>
        </w:rPr>
        <w:t>odule manages hardware OCP, auxiliary-supply faults, overtemperature protection, and the watchdog timer</w:t>
      </w:r>
      <w:r w:rsidR="00E7328D">
        <w:rPr>
          <w:rFonts w:ascii="Times New Roman" w:hAnsi="Times New Roman" w:cs="Times New Roman"/>
          <w:lang w:eastAsia="zh-CN"/>
        </w:rPr>
        <w:t>; the</w:t>
      </w:r>
      <w:r>
        <w:rPr>
          <w:rFonts w:ascii="Times New Roman" w:hAnsi="Times New Roman" w:cs="Times New Roman"/>
          <w:lang w:eastAsia="zh-CN"/>
        </w:rPr>
        <w:t xml:space="preserve"> communication module exchanges operating settings and telemetry data with the host computer through the serial port.</w:t>
      </w:r>
    </w:p>
    <w:p w14:paraId="124C6705" w14:textId="77777777" w:rsidR="00FF5833" w:rsidRDefault="00DD175B" w:rsidP="00FD0F52">
      <w:pPr>
        <w:pStyle w:val="BodyText"/>
        <w:snapToGrid w:val="0"/>
        <w:spacing w:before="0" w:after="0"/>
        <w:ind w:firstLine="426"/>
        <w:jc w:val="both"/>
        <w:rPr>
          <w:rFonts w:ascii="Times New Roman" w:hAnsi="Times New Roman" w:cs="Times New Roman"/>
          <w:lang w:eastAsia="zh-CN"/>
        </w:rPr>
      </w:pPr>
      <w:r>
        <w:rPr>
          <w:rFonts w:ascii="Times New Roman" w:hAnsi="Times New Roman" w:cs="Times New Roman"/>
          <w:lang w:eastAsia="zh-CN"/>
        </w:rPr>
        <w:lastRenderedPageBreak/>
        <w:t>The host computer sets the target voltage, current limit, power limit, and running time, and reads the output voltage, output current, primary voltage, primary current, switching frequency, phase-shift duty cycle, operating mode, and protection flags. It does not participate in real-time closed-loop control; it is used only for parameter tuning and status monitoring. Real-time control is performed by the MCU, allowing the system to operate independently according to the stored parameters if communication is</w:t>
      </w:r>
      <w:r>
        <w:rPr>
          <w:rFonts w:ascii="Times New Roman" w:hAnsi="Times New Roman" w:cs="Times New Roman"/>
          <w:lang w:eastAsia="zh-CN"/>
        </w:rPr>
        <w:t xml:space="preserve"> lost.</w:t>
      </w:r>
    </w:p>
    <w:p w14:paraId="78D19F96" w14:textId="77777777" w:rsidR="00FD0F52" w:rsidRDefault="00FD0F52" w:rsidP="000C05D9">
      <w:pPr>
        <w:pStyle w:val="BodyText"/>
        <w:snapToGrid w:val="0"/>
        <w:spacing w:before="0" w:after="0"/>
        <w:ind w:firstLine="426"/>
        <w:jc w:val="both"/>
        <w:rPr>
          <w:rFonts w:ascii="Times New Roman" w:hAnsi="Times New Roman" w:cs="Times New Roman"/>
          <w:lang w:eastAsia="zh-CN"/>
        </w:rPr>
      </w:pPr>
    </w:p>
    <w:p w14:paraId="1818E710" w14:textId="7B9C5426" w:rsidR="00FF5833" w:rsidRPr="000C05D9" w:rsidRDefault="00DD175B" w:rsidP="000C05D9">
      <w:pPr>
        <w:pStyle w:val="BodyText"/>
        <w:snapToGrid w:val="0"/>
        <w:spacing w:before="0" w:after="0"/>
        <w:jc w:val="both"/>
        <w:rPr>
          <w:rFonts w:ascii="Times New Roman" w:hAnsi="Times New Roman" w:cs="Times New Roman"/>
          <w:b/>
          <w:bCs/>
          <w:lang w:eastAsia="zh-CN"/>
        </w:rPr>
      </w:pPr>
      <w:r w:rsidRPr="000C05D9">
        <w:rPr>
          <w:rFonts w:ascii="Times New Roman" w:hAnsi="Times New Roman" w:cs="Times New Roman"/>
          <w:b/>
          <w:bCs/>
          <w:lang w:eastAsia="zh-CN"/>
        </w:rPr>
        <w:t>6</w:t>
      </w:r>
      <w:r w:rsidR="00FD0F52" w:rsidRPr="000C05D9">
        <w:rPr>
          <w:rFonts w:ascii="Times New Roman" w:hAnsi="Times New Roman" w:cs="Times New Roman"/>
          <w:b/>
          <w:bCs/>
          <w:lang w:eastAsia="zh-CN"/>
        </w:rPr>
        <w:t>.</w:t>
      </w:r>
      <w:r w:rsidRPr="000C05D9">
        <w:rPr>
          <w:rFonts w:ascii="Times New Roman" w:hAnsi="Times New Roman" w:cs="Times New Roman"/>
          <w:b/>
          <w:bCs/>
          <w:lang w:eastAsia="zh-CN"/>
        </w:rPr>
        <w:t xml:space="preserve"> Simulation and </w:t>
      </w:r>
      <w:r w:rsidR="00FD0F52" w:rsidRPr="000C05D9">
        <w:rPr>
          <w:rFonts w:ascii="Times New Roman" w:hAnsi="Times New Roman" w:cs="Times New Roman"/>
          <w:b/>
          <w:bCs/>
          <w:lang w:eastAsia="zh-CN"/>
        </w:rPr>
        <w:t>experimental verification</w:t>
      </w:r>
    </w:p>
    <w:p w14:paraId="0E6505CA" w14:textId="2CCA0862" w:rsidR="00FF5833" w:rsidRDefault="00DD175B" w:rsidP="00E7328D">
      <w:pPr>
        <w:pStyle w:val="BodyText"/>
        <w:snapToGrid w:val="0"/>
        <w:spacing w:before="0" w:after="0"/>
        <w:jc w:val="both"/>
        <w:rPr>
          <w:rFonts w:ascii="Times New Roman" w:hAnsi="Times New Roman" w:cs="Times New Roman"/>
          <w:lang w:eastAsia="zh-CN"/>
        </w:rPr>
      </w:pPr>
      <w:r w:rsidRPr="000C05D9">
        <w:rPr>
          <w:rFonts w:ascii="Times New Roman" w:hAnsi="Times New Roman" w:cs="Times New Roman"/>
          <w:lang w:eastAsia="zh-CN"/>
        </w:rPr>
        <w:t>To confirm that the power stage can operate across the automatic frequency-conversion range, a PSFB high-voltage step-up model was established for operating-characteristic analysis, including a low-voltage full bridge, step-up transformer, secondary high-voltage rectifier, and output filter network. In addition, experimental efficiency tests were carried out on the developed prototype, and 309 valid measured datasets were obtained. The tested frequencies covered approximately 10–50 kHz, while the designed o</w:t>
      </w:r>
      <w:r w:rsidRPr="000C05D9">
        <w:rPr>
          <w:rFonts w:ascii="Times New Roman" w:hAnsi="Times New Roman" w:cs="Times New Roman"/>
          <w:lang w:eastAsia="zh-CN"/>
        </w:rPr>
        <w:t>perating range of this project was 11–45 kHz. The duty cycles covered 5</w:t>
      </w:r>
      <w:r w:rsidRPr="000C05D9">
        <w:rPr>
          <w:rFonts w:ascii="Times New Roman" w:hAnsi="Times New Roman" w:cs="Times New Roman"/>
          <w:lang w:eastAsia="zh-CN"/>
        </w:rPr>
        <w:t>–100%, the secondary voltages covered approximately 48.95–981.3 V, and the secondary currents covered approximately 10–198.8 mA. Since the primary-side current was acquired using an onboard Hall sensor, zero-offset and bandwidth-related errors may exist; therefore, the measured efficiency results were used mainly to analyze variation trends rather than as metrology-grade efficiency data.</w:t>
      </w:r>
      <w:r>
        <w:rPr>
          <w:rFonts w:ascii="Times New Roman" w:hAnsi="Times New Roman" w:cs="Times New Roman"/>
          <w:lang w:eastAsia="zh-CN"/>
        </w:rPr>
        <w:t xml:space="preserve">  </w:t>
      </w:r>
      <w:r w:rsidRPr="000C05D9">
        <w:rPr>
          <w:rFonts w:ascii="Times New Roman" w:hAnsi="Times New Roman" w:cs="Times New Roman"/>
          <w:b/>
          <w:bCs/>
          <w:lang w:eastAsia="zh-CN"/>
        </w:rPr>
        <w:t>Figure 3</w:t>
      </w:r>
      <w:r>
        <w:rPr>
          <w:rFonts w:ascii="Times New Roman" w:hAnsi="Times New Roman" w:cs="Times New Roman"/>
          <w:lang w:eastAsia="zh-CN"/>
        </w:rPr>
        <w:t xml:space="preserve"> shows that efficiency is strongly correlated with frequency and duty cycle. Lower efficiency appears in the low-duty-cycle region, while a large cluster of high-efficiency points appears in the medium- to high-duty-cycle region. </w:t>
      </w:r>
      <w:r w:rsidRPr="000C05D9">
        <w:rPr>
          <w:rFonts w:ascii="Times New Roman" w:hAnsi="Times New Roman" w:cs="Times New Roman"/>
          <w:b/>
          <w:bCs/>
          <w:lang w:eastAsia="zh-CN"/>
        </w:rPr>
        <w:t>Figure 4</w:t>
      </w:r>
      <w:r>
        <w:rPr>
          <w:rFonts w:ascii="Times New Roman" w:hAnsi="Times New Roman" w:cs="Times New Roman"/>
          <w:lang w:eastAsia="zh-CN"/>
        </w:rPr>
        <w:t xml:space="preserve"> shows the partitioning of the automatic frequency-conversion strategy. The boundaries among the frequency-increase zone, stable zone, frequency-decrease maintenance zone, and frequency-decrease zone are clearly defined, preventing the system from remaining for long periods in unfavorable low- or high-duty-cycle regions.</w:t>
      </w:r>
    </w:p>
    <w:p w14:paraId="3DD9E097" w14:textId="77777777" w:rsidR="00FD0F52" w:rsidRDefault="00FD0F52" w:rsidP="000C05D9">
      <w:pPr>
        <w:pStyle w:val="BodyText"/>
        <w:snapToGrid w:val="0"/>
        <w:spacing w:before="0" w:after="0"/>
        <w:jc w:val="both"/>
        <w:rPr>
          <w:rFonts w:ascii="Times New Roman" w:hAnsi="Times New Roman" w:cs="Times New Roman"/>
          <w:lang w:eastAsia="zh-CN"/>
        </w:rPr>
      </w:pPr>
    </w:p>
    <w:p w14:paraId="549BD9F8" w14:textId="77777777" w:rsidR="00FF5833" w:rsidRDefault="00DD175B" w:rsidP="000C05D9">
      <w:pPr>
        <w:pStyle w:val="BodyText"/>
        <w:snapToGrid w:val="0"/>
        <w:spacing w:before="0" w:after="0"/>
        <w:jc w:val="center"/>
        <w:rPr>
          <w:rFonts w:ascii="Times New Roman" w:hAnsi="Times New Roman" w:cs="Times New Roman"/>
        </w:rPr>
      </w:pPr>
      <w:r>
        <w:rPr>
          <w:rFonts w:ascii="Times New Roman" w:hAnsi="Times New Roman" w:cs="Times New Roman"/>
          <w:noProof/>
        </w:rPr>
        <w:drawing>
          <wp:inline distT="0" distB="0" distL="0" distR="0" wp14:anchorId="5192BE02" wp14:editId="05904213">
            <wp:extent cx="4318635" cy="2108200"/>
            <wp:effectExtent l="0" t="0" r="5715" b="6350"/>
            <wp:docPr id="42" name="Picture" descr="图 6 频率—占空比效率热力图及运行分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descr="图 6 频率—占空比效率热力图及运行分区"/>
                    <pic:cNvPicPr>
                      <a:picLocks noChangeAspect="1" noChangeArrowheads="1"/>
                    </pic:cNvPicPr>
                  </pic:nvPicPr>
                  <pic:blipFill>
                    <a:blip r:embed="rId9"/>
                    <a:stretch>
                      <a:fillRect/>
                    </a:stretch>
                  </pic:blipFill>
                  <pic:spPr>
                    <a:xfrm>
                      <a:off x="0" y="0"/>
                      <a:ext cx="4323784" cy="2110637"/>
                    </a:xfrm>
                    <a:prstGeom prst="rect">
                      <a:avLst/>
                    </a:prstGeom>
                    <a:noFill/>
                    <a:ln w="9525">
                      <a:noFill/>
                    </a:ln>
                  </pic:spPr>
                </pic:pic>
              </a:graphicData>
            </a:graphic>
          </wp:inline>
        </w:drawing>
      </w:r>
    </w:p>
    <w:p w14:paraId="7A05D2C9" w14:textId="41FA2121" w:rsidR="00FF5833" w:rsidRDefault="00DD175B" w:rsidP="00FD0F52">
      <w:pPr>
        <w:pStyle w:val="BodyText"/>
        <w:snapToGrid w:val="0"/>
        <w:spacing w:before="0" w:after="0"/>
        <w:jc w:val="center"/>
        <w:rPr>
          <w:rFonts w:ascii="Times New Roman" w:hAnsi="Times New Roman" w:cs="Times New Roman"/>
          <w:sz w:val="20"/>
          <w:szCs w:val="20"/>
          <w:lang w:eastAsia="zh-CN"/>
        </w:rPr>
      </w:pPr>
      <w:r w:rsidRPr="000C05D9">
        <w:rPr>
          <w:rFonts w:ascii="Times New Roman" w:hAnsi="Times New Roman" w:cs="Times New Roman"/>
          <w:b/>
          <w:bCs/>
          <w:sz w:val="20"/>
          <w:szCs w:val="20"/>
          <w:lang w:eastAsia="zh-CN"/>
        </w:rPr>
        <w:t>Figure 3</w:t>
      </w:r>
      <w:r w:rsidR="00FD0F52" w:rsidRPr="000C05D9">
        <w:rPr>
          <w:rFonts w:ascii="Times New Roman" w:hAnsi="Times New Roman" w:cs="Times New Roman"/>
          <w:b/>
          <w:bCs/>
          <w:sz w:val="20"/>
          <w:szCs w:val="20"/>
          <w:lang w:eastAsia="zh-CN"/>
        </w:rPr>
        <w:t>.</w:t>
      </w:r>
      <w:r w:rsidRPr="000C05D9">
        <w:rPr>
          <w:rFonts w:ascii="Times New Roman" w:hAnsi="Times New Roman" w:cs="Times New Roman"/>
          <w:sz w:val="20"/>
          <w:szCs w:val="20"/>
          <w:lang w:eastAsia="zh-CN"/>
        </w:rPr>
        <w:t xml:space="preserve"> Frequency-</w:t>
      </w:r>
      <w:r w:rsidR="00FD0F52" w:rsidRPr="000C05D9">
        <w:rPr>
          <w:rFonts w:ascii="Times New Roman" w:hAnsi="Times New Roman" w:cs="Times New Roman"/>
          <w:sz w:val="20"/>
          <w:szCs w:val="20"/>
          <w:lang w:eastAsia="zh-CN"/>
        </w:rPr>
        <w:t>duty cycle efficiency heat map and operating zones.</w:t>
      </w:r>
    </w:p>
    <w:p w14:paraId="6BF01DB3" w14:textId="77777777" w:rsidR="00FD0F52" w:rsidRPr="00FD0F52" w:rsidRDefault="00FD0F52" w:rsidP="000C05D9">
      <w:pPr>
        <w:pStyle w:val="BodyText"/>
        <w:snapToGrid w:val="0"/>
        <w:spacing w:before="0" w:after="0"/>
        <w:jc w:val="center"/>
        <w:rPr>
          <w:rFonts w:ascii="Times New Roman" w:hAnsi="Times New Roman" w:cs="Times New Roman"/>
          <w:lang w:eastAsia="zh-CN"/>
        </w:rPr>
      </w:pPr>
    </w:p>
    <w:p w14:paraId="4C74651A" w14:textId="77777777" w:rsidR="00FF5833" w:rsidRDefault="00DD175B" w:rsidP="000C05D9">
      <w:pPr>
        <w:pStyle w:val="BodyText"/>
        <w:snapToGrid w:val="0"/>
        <w:spacing w:before="0" w:after="0"/>
        <w:jc w:val="center"/>
        <w:rPr>
          <w:rFonts w:ascii="Times New Roman" w:hAnsi="Times New Roman" w:cs="Times New Roman"/>
        </w:rPr>
      </w:pPr>
      <w:r>
        <w:rPr>
          <w:rFonts w:ascii="Times New Roman" w:hAnsi="Times New Roman" w:cs="Times New Roman"/>
          <w:noProof/>
        </w:rPr>
        <w:lastRenderedPageBreak/>
        <w:drawing>
          <wp:inline distT="0" distB="0" distL="0" distR="0" wp14:anchorId="0A43833C" wp14:editId="5B0E4E57">
            <wp:extent cx="4319270" cy="3700145"/>
            <wp:effectExtent l="0" t="0" r="5080" b="0"/>
            <wp:docPr id="45" name="Picture" descr="图 7 自动变频策略分区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descr="图 7 自动变频策略分区图"/>
                    <pic:cNvPicPr>
                      <a:picLocks noChangeAspect="1" noChangeArrowheads="1"/>
                    </pic:cNvPicPr>
                  </pic:nvPicPr>
                  <pic:blipFill>
                    <a:blip r:embed="rId10"/>
                    <a:stretch>
                      <a:fillRect/>
                    </a:stretch>
                  </pic:blipFill>
                  <pic:spPr>
                    <a:xfrm>
                      <a:off x="0" y="0"/>
                      <a:ext cx="4323628" cy="3703788"/>
                    </a:xfrm>
                    <a:prstGeom prst="rect">
                      <a:avLst/>
                    </a:prstGeom>
                    <a:noFill/>
                    <a:ln w="9525">
                      <a:noFill/>
                    </a:ln>
                  </pic:spPr>
                </pic:pic>
              </a:graphicData>
            </a:graphic>
          </wp:inline>
        </w:drawing>
      </w:r>
    </w:p>
    <w:p w14:paraId="2857687E" w14:textId="599133FE" w:rsidR="00FF5833" w:rsidRPr="000C05D9" w:rsidRDefault="00DD175B" w:rsidP="000C05D9">
      <w:pPr>
        <w:pStyle w:val="BodyText"/>
        <w:snapToGrid w:val="0"/>
        <w:spacing w:before="0" w:after="0"/>
        <w:jc w:val="center"/>
        <w:rPr>
          <w:rFonts w:ascii="Times New Roman" w:hAnsi="Times New Roman" w:cs="Times New Roman"/>
          <w:sz w:val="20"/>
          <w:szCs w:val="20"/>
          <w:lang w:eastAsia="zh-CN"/>
        </w:rPr>
      </w:pPr>
      <w:r w:rsidRPr="000C05D9">
        <w:rPr>
          <w:rFonts w:ascii="Times New Roman" w:hAnsi="Times New Roman" w:cs="Times New Roman"/>
          <w:b/>
          <w:bCs/>
          <w:sz w:val="20"/>
          <w:szCs w:val="20"/>
          <w:lang w:eastAsia="zh-CN"/>
        </w:rPr>
        <w:t>Figure 4</w:t>
      </w:r>
      <w:r w:rsidR="00FD0F52" w:rsidRPr="000C05D9">
        <w:rPr>
          <w:rFonts w:ascii="Times New Roman" w:hAnsi="Times New Roman" w:cs="Times New Roman"/>
          <w:b/>
          <w:bCs/>
          <w:sz w:val="20"/>
          <w:szCs w:val="20"/>
          <w:lang w:eastAsia="zh-CN"/>
        </w:rPr>
        <w:t>.</w:t>
      </w:r>
      <w:r w:rsidRPr="000C05D9">
        <w:rPr>
          <w:rFonts w:ascii="Times New Roman" w:hAnsi="Times New Roman" w:cs="Times New Roman"/>
          <w:sz w:val="20"/>
          <w:szCs w:val="20"/>
          <w:lang w:eastAsia="zh-CN"/>
        </w:rPr>
        <w:t xml:space="preserve"> Automatic </w:t>
      </w:r>
      <w:r w:rsidR="00B20D1B" w:rsidRPr="000C05D9">
        <w:rPr>
          <w:rFonts w:ascii="Times New Roman" w:hAnsi="Times New Roman" w:cs="Times New Roman"/>
          <w:sz w:val="20"/>
          <w:szCs w:val="20"/>
          <w:lang w:eastAsia="zh-CN"/>
        </w:rPr>
        <w:t>frequency conversion strategy zoning diagram</w:t>
      </w:r>
      <w:r w:rsidR="00FD0F52" w:rsidRPr="000C05D9">
        <w:rPr>
          <w:rFonts w:ascii="Times New Roman" w:hAnsi="Times New Roman" w:cs="Times New Roman"/>
          <w:sz w:val="20"/>
          <w:szCs w:val="20"/>
          <w:lang w:eastAsia="zh-CN"/>
        </w:rPr>
        <w:t>.</w:t>
      </w:r>
    </w:p>
    <w:p w14:paraId="262E8F76" w14:textId="77777777" w:rsidR="00FD0F52" w:rsidRDefault="00FD0F52" w:rsidP="000C05D9">
      <w:pPr>
        <w:pStyle w:val="BodyText"/>
        <w:snapToGrid w:val="0"/>
        <w:spacing w:before="0" w:after="0"/>
        <w:jc w:val="both"/>
        <w:rPr>
          <w:rFonts w:ascii="Times New Roman" w:hAnsi="Times New Roman" w:cs="Times New Roman"/>
          <w:lang w:eastAsia="zh-CN"/>
        </w:rPr>
      </w:pPr>
    </w:p>
    <w:p w14:paraId="3C507FA4" w14:textId="77777777" w:rsidR="00FF5833" w:rsidRDefault="00DD175B" w:rsidP="00FD0F52">
      <w:pPr>
        <w:pStyle w:val="BodyText"/>
        <w:snapToGrid w:val="0"/>
        <w:spacing w:before="0" w:after="0"/>
        <w:ind w:firstLine="426"/>
        <w:jc w:val="both"/>
        <w:rPr>
          <w:rFonts w:ascii="Times New Roman" w:hAnsi="Times New Roman" w:cs="Times New Roman"/>
          <w:lang w:eastAsia="zh-CN"/>
        </w:rPr>
      </w:pPr>
      <w:r>
        <w:rPr>
          <w:rFonts w:ascii="Times New Roman" w:hAnsi="Times New Roman" w:cs="Times New Roman"/>
          <w:lang w:eastAsia="zh-CN"/>
        </w:rPr>
        <w:t xml:space="preserve">ZVS is important for reducing switching loss in the PSFB. A previous study on full-bridge converters with a wide ZVS range indicates that the soft-switching range and filter requirements in variable-output applications affect efficiency and power density </w:t>
      </w:r>
      <w:r w:rsidRPr="000C05D9">
        <w:rPr>
          <w:rFonts w:ascii="Times New Roman" w:hAnsi="Times New Roman" w:cs="Times New Roman"/>
          <w:vertAlign w:val="superscript"/>
          <w:lang w:eastAsia="zh-CN"/>
        </w:rPr>
        <w:t>[10]</w:t>
      </w:r>
      <w:r>
        <w:rPr>
          <w:rFonts w:ascii="Times New Roman" w:hAnsi="Times New Roman" w:cs="Times New Roman"/>
          <w:lang w:eastAsia="zh-CN"/>
        </w:rPr>
        <w:t xml:space="preserve">. </w:t>
      </w:r>
      <w:r w:rsidRPr="000C05D9">
        <w:rPr>
          <w:rFonts w:ascii="Times New Roman" w:hAnsi="Times New Roman" w:cs="Times New Roman"/>
          <w:b/>
          <w:bCs/>
          <w:lang w:eastAsia="zh-CN"/>
        </w:rPr>
        <w:t>Figure 5</w:t>
      </w:r>
      <w:r>
        <w:rPr>
          <w:rFonts w:ascii="Times New Roman" w:hAnsi="Times New Roman" w:cs="Times New Roman"/>
          <w:lang w:eastAsia="zh-CN"/>
        </w:rPr>
        <w:t xml:space="preserve"> shows the measured switching waveform of the prototype. Before the gate-drive signal arrives, the switching-node voltage falls close to zero, indicating that the MOSFET achieves near-zero-voltage turn-on under the tested conditions. This result shows that the designed power stage supports soft-switching operation and can operate over a wide frequency range under the automatic frequency-conversion strategy.</w:t>
      </w:r>
    </w:p>
    <w:p w14:paraId="18BD4182" w14:textId="77777777" w:rsidR="00FD0F52" w:rsidRDefault="00FD0F52" w:rsidP="000C05D9">
      <w:pPr>
        <w:pStyle w:val="BodyText"/>
        <w:snapToGrid w:val="0"/>
        <w:spacing w:before="0" w:after="0"/>
        <w:ind w:firstLine="426"/>
        <w:jc w:val="both"/>
        <w:rPr>
          <w:rFonts w:ascii="Times New Roman" w:hAnsi="Times New Roman" w:cs="Times New Roman"/>
          <w:lang w:eastAsia="zh-CN"/>
        </w:rPr>
      </w:pPr>
    </w:p>
    <w:p w14:paraId="773D968F" w14:textId="77777777" w:rsidR="00FF5833" w:rsidRDefault="00DD175B" w:rsidP="000C05D9">
      <w:pPr>
        <w:pStyle w:val="BodyText"/>
        <w:snapToGrid w:val="0"/>
        <w:spacing w:before="0" w:after="0"/>
        <w:jc w:val="center"/>
        <w:rPr>
          <w:rFonts w:ascii="Times New Roman" w:hAnsi="Times New Roman" w:cs="Times New Roman"/>
        </w:rPr>
      </w:pPr>
      <w:r>
        <w:rPr>
          <w:rFonts w:ascii="Times New Roman" w:hAnsi="Times New Roman" w:cs="Times New Roman"/>
          <w:noProof/>
        </w:rPr>
        <w:drawing>
          <wp:inline distT="0" distB="0" distL="0" distR="0" wp14:anchorId="4EE04CA0" wp14:editId="0DE87AFB">
            <wp:extent cx="4319905" cy="2531745"/>
            <wp:effectExtent l="0" t="0" r="4445" b="190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4320000" cy="2532000"/>
                    </a:xfrm>
                    <a:prstGeom prst="rect">
                      <a:avLst/>
                    </a:prstGeom>
                    <a:noFill/>
                    <a:ln>
                      <a:noFill/>
                    </a:ln>
                  </pic:spPr>
                </pic:pic>
              </a:graphicData>
            </a:graphic>
          </wp:inline>
        </w:drawing>
      </w:r>
    </w:p>
    <w:p w14:paraId="10C5DFF1" w14:textId="20AFCCB0" w:rsidR="00FF5833" w:rsidRPr="000C05D9" w:rsidRDefault="00DD175B" w:rsidP="000C05D9">
      <w:pPr>
        <w:pStyle w:val="BodyText"/>
        <w:snapToGrid w:val="0"/>
        <w:spacing w:before="0" w:after="0"/>
        <w:jc w:val="center"/>
        <w:rPr>
          <w:rFonts w:ascii="Times New Roman" w:hAnsi="Times New Roman" w:cs="Times New Roman"/>
          <w:sz w:val="20"/>
          <w:szCs w:val="20"/>
          <w:lang w:eastAsia="zh-CN"/>
        </w:rPr>
      </w:pPr>
      <w:r w:rsidRPr="000C05D9">
        <w:rPr>
          <w:rFonts w:ascii="Times New Roman" w:hAnsi="Times New Roman" w:cs="Times New Roman"/>
          <w:b/>
          <w:bCs/>
          <w:sz w:val="20"/>
          <w:szCs w:val="20"/>
          <w:lang w:eastAsia="zh-CN"/>
        </w:rPr>
        <w:t>Figure 5</w:t>
      </w:r>
      <w:r w:rsidR="00FD0F52" w:rsidRPr="000C05D9">
        <w:rPr>
          <w:rFonts w:ascii="Times New Roman" w:hAnsi="Times New Roman" w:cs="Times New Roman"/>
          <w:b/>
          <w:bCs/>
          <w:sz w:val="20"/>
          <w:szCs w:val="20"/>
          <w:lang w:eastAsia="zh-CN"/>
        </w:rPr>
        <w:t>.</w:t>
      </w:r>
      <w:r w:rsidRPr="000C05D9">
        <w:rPr>
          <w:rFonts w:ascii="Times New Roman" w:hAnsi="Times New Roman" w:cs="Times New Roman"/>
          <w:sz w:val="20"/>
          <w:szCs w:val="20"/>
          <w:lang w:eastAsia="zh-CN"/>
        </w:rPr>
        <w:t xml:space="preserve"> Measured waveform of ZVS on PSFB bridge arm</w:t>
      </w:r>
      <w:r w:rsidR="00FD0F52" w:rsidRPr="000C05D9">
        <w:rPr>
          <w:rFonts w:ascii="Times New Roman" w:hAnsi="Times New Roman" w:cs="Times New Roman"/>
          <w:sz w:val="20"/>
          <w:szCs w:val="20"/>
          <w:lang w:eastAsia="zh-CN"/>
        </w:rPr>
        <w:t>.</w:t>
      </w:r>
    </w:p>
    <w:p w14:paraId="35BE87BB" w14:textId="77777777" w:rsidR="00FD0F52" w:rsidRDefault="00FD0F52" w:rsidP="000C05D9">
      <w:pPr>
        <w:pStyle w:val="BodyText"/>
        <w:snapToGrid w:val="0"/>
        <w:spacing w:before="0" w:after="0"/>
        <w:jc w:val="both"/>
        <w:rPr>
          <w:rFonts w:ascii="Times New Roman" w:hAnsi="Times New Roman" w:cs="Times New Roman"/>
          <w:lang w:eastAsia="zh-CN"/>
        </w:rPr>
      </w:pPr>
    </w:p>
    <w:p w14:paraId="122CDAEC" w14:textId="02AD4D09" w:rsidR="00FF5833" w:rsidRDefault="00DD175B" w:rsidP="00FD0F52">
      <w:pPr>
        <w:pStyle w:val="BodyText"/>
        <w:snapToGrid w:val="0"/>
        <w:spacing w:before="0" w:after="0"/>
        <w:ind w:firstLine="426"/>
        <w:jc w:val="both"/>
        <w:rPr>
          <w:rFonts w:ascii="Times New Roman" w:hAnsi="Times New Roman" w:cs="Times New Roman"/>
          <w:lang w:eastAsia="zh-CN"/>
        </w:rPr>
      </w:pPr>
      <w:r>
        <w:rPr>
          <w:rFonts w:ascii="Times New Roman" w:hAnsi="Times New Roman" w:cs="Times New Roman"/>
          <w:lang w:eastAsia="zh-CN"/>
        </w:rPr>
        <w:lastRenderedPageBreak/>
        <w:t xml:space="preserve">The startup test confirmed the coordination between soft start and closed-loop control. </w:t>
      </w:r>
      <w:r w:rsidRPr="000C05D9">
        <w:rPr>
          <w:rFonts w:ascii="Times New Roman" w:hAnsi="Times New Roman" w:cs="Times New Roman"/>
          <w:b/>
          <w:bCs/>
          <w:lang w:eastAsia="zh-CN"/>
        </w:rPr>
        <w:t>Figure</w:t>
      </w:r>
      <w:r w:rsidRPr="000C05D9">
        <w:rPr>
          <w:rFonts w:ascii="Times New Roman" w:hAnsi="Times New Roman" w:cs="Times New Roman"/>
          <w:b/>
          <w:bCs/>
          <w:lang w:eastAsia="zh-CN"/>
        </w:rPr>
        <w:t xml:space="preserve"> </w:t>
      </w:r>
      <w:r w:rsidR="00E50D62" w:rsidRPr="000C05D9">
        <w:rPr>
          <w:rFonts w:ascii="Times New Roman" w:hAnsi="Times New Roman" w:cs="Times New Roman"/>
          <w:b/>
          <w:bCs/>
          <w:lang w:eastAsia="zh-CN"/>
        </w:rPr>
        <w:t>6</w:t>
      </w:r>
      <w:r>
        <w:rPr>
          <w:rFonts w:ascii="Times New Roman" w:hAnsi="Times New Roman" w:cs="Times New Roman"/>
          <w:lang w:eastAsia="zh-CN"/>
        </w:rPr>
        <w:t xml:space="preserve"> and </w:t>
      </w:r>
      <w:r w:rsidRPr="000C05D9">
        <w:rPr>
          <w:rFonts w:ascii="Times New Roman" w:hAnsi="Times New Roman" w:cs="Times New Roman"/>
          <w:b/>
          <w:bCs/>
          <w:lang w:eastAsia="zh-CN"/>
        </w:rPr>
        <w:t>7</w:t>
      </w:r>
      <w:r>
        <w:rPr>
          <w:rFonts w:ascii="Times New Roman" w:hAnsi="Times New Roman" w:cs="Times New Roman"/>
          <w:lang w:eastAsia="zh-CN"/>
        </w:rPr>
        <w:t xml:space="preserve"> present the startup waveforms for 150 V and 230 V outputs, respectively; the output voltage rises along a controlled slope and settles near the target value. </w:t>
      </w:r>
      <w:r w:rsidRPr="000C05D9">
        <w:rPr>
          <w:rFonts w:ascii="Times New Roman" w:hAnsi="Times New Roman" w:cs="Times New Roman"/>
          <w:b/>
          <w:bCs/>
          <w:lang w:eastAsia="zh-CN"/>
        </w:rPr>
        <w:t>Figure</w:t>
      </w:r>
      <w:r w:rsidRPr="000C05D9">
        <w:rPr>
          <w:rFonts w:ascii="Times New Roman" w:hAnsi="Times New Roman" w:cs="Times New Roman"/>
          <w:b/>
          <w:bCs/>
          <w:lang w:eastAsia="zh-CN"/>
        </w:rPr>
        <w:t xml:space="preserve"> </w:t>
      </w:r>
      <w:r w:rsidR="00E50D62">
        <w:rPr>
          <w:rFonts w:ascii="Times New Roman" w:hAnsi="Times New Roman" w:cs="Times New Roman"/>
          <w:b/>
          <w:bCs/>
          <w:lang w:eastAsia="zh-CN"/>
        </w:rPr>
        <w:t>8</w:t>
      </w:r>
      <w:r>
        <w:rPr>
          <w:rFonts w:ascii="Times New Roman" w:hAnsi="Times New Roman" w:cs="Times New Roman"/>
          <w:lang w:eastAsia="zh-CN"/>
        </w:rPr>
        <w:t xml:space="preserve"> and </w:t>
      </w:r>
      <w:r w:rsidR="00E50D62">
        <w:rPr>
          <w:rFonts w:ascii="Times New Roman" w:hAnsi="Times New Roman" w:cs="Times New Roman"/>
          <w:b/>
          <w:bCs/>
          <w:lang w:eastAsia="zh-CN"/>
        </w:rPr>
        <w:t>9</w:t>
      </w:r>
      <w:r>
        <w:rPr>
          <w:rFonts w:ascii="Times New Roman" w:hAnsi="Times New Roman" w:cs="Times New Roman"/>
          <w:lang w:eastAsia="zh-CN"/>
        </w:rPr>
        <w:t xml:space="preserve"> show the ripple waveforms at these voltages, indicating that the system can maintain continuous voltage regulation under representative loads. Because of high-voltage safety requirements and probe limitations, full-scale ripple at kilovolt levels should be verified using a high-voltage differential probe.</w:t>
      </w:r>
    </w:p>
    <w:p w14:paraId="7C93D9A9" w14:textId="77777777" w:rsidR="00FD0F52" w:rsidRDefault="00FD0F52" w:rsidP="000C05D9">
      <w:pPr>
        <w:pStyle w:val="BodyText"/>
        <w:snapToGrid w:val="0"/>
        <w:spacing w:before="0" w:after="0"/>
        <w:ind w:firstLine="426"/>
        <w:jc w:val="both"/>
        <w:rPr>
          <w:rFonts w:ascii="Times New Roman" w:hAnsi="Times New Roman" w:cs="Times New Roman"/>
          <w:lang w:eastAsia="zh-CN"/>
        </w:rPr>
      </w:pPr>
    </w:p>
    <w:p w14:paraId="5DD75651" w14:textId="77777777" w:rsidR="00FF5833" w:rsidRDefault="00DD175B" w:rsidP="000C05D9">
      <w:pPr>
        <w:pStyle w:val="BodyText"/>
        <w:snapToGrid w:val="0"/>
        <w:spacing w:before="0" w:after="0"/>
        <w:jc w:val="center"/>
        <w:rPr>
          <w:rFonts w:ascii="Times New Roman" w:hAnsi="Times New Roman" w:cs="Times New Roman"/>
        </w:rPr>
      </w:pPr>
      <w:r>
        <w:rPr>
          <w:rFonts w:ascii="Times New Roman" w:hAnsi="Times New Roman" w:cs="Times New Roman"/>
          <w:noProof/>
        </w:rPr>
        <w:drawing>
          <wp:inline distT="0" distB="0" distL="0" distR="0" wp14:anchorId="2AC2B565" wp14:editId="0AB59EBD">
            <wp:extent cx="4319905" cy="2533015"/>
            <wp:effectExtent l="0" t="0" r="4445" b="63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4320000" cy="2533500"/>
                    </a:xfrm>
                    <a:prstGeom prst="rect">
                      <a:avLst/>
                    </a:prstGeom>
                    <a:noFill/>
                    <a:ln>
                      <a:noFill/>
                    </a:ln>
                  </pic:spPr>
                </pic:pic>
              </a:graphicData>
            </a:graphic>
          </wp:inline>
        </w:drawing>
      </w:r>
    </w:p>
    <w:p w14:paraId="29173F50" w14:textId="283FF3EB" w:rsidR="00FF5833" w:rsidRPr="000C05D9" w:rsidRDefault="00DD175B" w:rsidP="000C05D9">
      <w:pPr>
        <w:pStyle w:val="BodyText"/>
        <w:snapToGrid w:val="0"/>
        <w:spacing w:before="0" w:after="0"/>
        <w:jc w:val="center"/>
        <w:rPr>
          <w:rFonts w:ascii="Times New Roman" w:hAnsi="Times New Roman" w:cs="Times New Roman"/>
          <w:sz w:val="20"/>
          <w:szCs w:val="20"/>
          <w:lang w:eastAsia="zh-CN"/>
        </w:rPr>
      </w:pPr>
      <w:r w:rsidRPr="000C05D9">
        <w:rPr>
          <w:rFonts w:ascii="Times New Roman" w:hAnsi="Times New Roman" w:cs="Times New Roman"/>
          <w:b/>
          <w:bCs/>
          <w:sz w:val="20"/>
          <w:szCs w:val="20"/>
          <w:lang w:eastAsia="zh-CN"/>
        </w:rPr>
        <w:t>Figure 6</w:t>
      </w:r>
      <w:r w:rsidR="00E7328D" w:rsidRPr="000C05D9">
        <w:rPr>
          <w:rFonts w:ascii="Times New Roman" w:hAnsi="Times New Roman" w:cs="Times New Roman"/>
          <w:b/>
          <w:bCs/>
          <w:sz w:val="20"/>
          <w:szCs w:val="20"/>
          <w:lang w:eastAsia="zh-CN"/>
        </w:rPr>
        <w:t>.</w:t>
      </w:r>
      <w:r w:rsidRPr="000C05D9">
        <w:rPr>
          <w:rFonts w:ascii="Times New Roman" w:hAnsi="Times New Roman" w:cs="Times New Roman"/>
          <w:sz w:val="20"/>
          <w:szCs w:val="20"/>
          <w:lang w:eastAsia="zh-CN"/>
        </w:rPr>
        <w:t xml:space="preserve"> Startup waveform under 150 V output setting</w:t>
      </w:r>
      <w:r w:rsidR="00FD0F52" w:rsidRPr="000C05D9">
        <w:rPr>
          <w:rFonts w:ascii="Times New Roman" w:hAnsi="Times New Roman" w:cs="Times New Roman"/>
          <w:sz w:val="20"/>
          <w:szCs w:val="20"/>
          <w:lang w:eastAsia="zh-CN"/>
        </w:rPr>
        <w:t>.</w:t>
      </w:r>
    </w:p>
    <w:p w14:paraId="06972F02" w14:textId="77777777" w:rsidR="00FD0F52" w:rsidRDefault="00FD0F52" w:rsidP="000C05D9">
      <w:pPr>
        <w:pStyle w:val="BodyText"/>
        <w:snapToGrid w:val="0"/>
        <w:spacing w:before="0" w:after="0"/>
        <w:jc w:val="both"/>
        <w:rPr>
          <w:rFonts w:ascii="Times New Roman" w:hAnsi="Times New Roman" w:cs="Times New Roman"/>
          <w:lang w:eastAsia="zh-CN"/>
        </w:rPr>
      </w:pPr>
    </w:p>
    <w:p w14:paraId="7BE4AA63" w14:textId="77777777" w:rsidR="00FF5833" w:rsidRDefault="00DD175B" w:rsidP="000C05D9">
      <w:pPr>
        <w:pStyle w:val="BodyText"/>
        <w:snapToGrid w:val="0"/>
        <w:spacing w:before="0" w:after="0"/>
        <w:jc w:val="center"/>
        <w:rPr>
          <w:rFonts w:ascii="Times New Roman" w:hAnsi="Times New Roman" w:cs="Times New Roman"/>
        </w:rPr>
      </w:pPr>
      <w:r>
        <w:rPr>
          <w:rFonts w:ascii="Times New Roman" w:hAnsi="Times New Roman" w:cs="Times New Roman"/>
          <w:noProof/>
        </w:rPr>
        <w:drawing>
          <wp:inline distT="0" distB="0" distL="0" distR="0" wp14:anchorId="7497713A" wp14:editId="70DFC397">
            <wp:extent cx="4319905" cy="2590165"/>
            <wp:effectExtent l="0" t="0" r="4445" b="63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4320000" cy="2590500"/>
                    </a:xfrm>
                    <a:prstGeom prst="rect">
                      <a:avLst/>
                    </a:prstGeom>
                    <a:noFill/>
                    <a:ln>
                      <a:noFill/>
                    </a:ln>
                  </pic:spPr>
                </pic:pic>
              </a:graphicData>
            </a:graphic>
          </wp:inline>
        </w:drawing>
      </w:r>
    </w:p>
    <w:p w14:paraId="0E699F5D" w14:textId="60912642" w:rsidR="00FF5833" w:rsidRDefault="00DD175B" w:rsidP="00FD0F52">
      <w:pPr>
        <w:pStyle w:val="BodyText"/>
        <w:snapToGrid w:val="0"/>
        <w:spacing w:before="0" w:after="0"/>
        <w:jc w:val="center"/>
        <w:rPr>
          <w:rFonts w:ascii="Times New Roman" w:hAnsi="Times New Roman" w:cs="Times New Roman"/>
          <w:sz w:val="20"/>
          <w:szCs w:val="20"/>
          <w:lang w:eastAsia="zh-CN"/>
        </w:rPr>
      </w:pPr>
      <w:r w:rsidRPr="000C05D9">
        <w:rPr>
          <w:rFonts w:ascii="Times New Roman" w:hAnsi="Times New Roman" w:cs="Times New Roman"/>
          <w:b/>
          <w:bCs/>
          <w:sz w:val="20"/>
          <w:szCs w:val="20"/>
          <w:lang w:eastAsia="zh-CN"/>
        </w:rPr>
        <w:t>Figure 7</w:t>
      </w:r>
      <w:r w:rsidR="00E7328D" w:rsidRPr="000C05D9">
        <w:rPr>
          <w:rFonts w:ascii="Times New Roman" w:hAnsi="Times New Roman" w:cs="Times New Roman"/>
          <w:b/>
          <w:bCs/>
          <w:sz w:val="20"/>
          <w:szCs w:val="20"/>
          <w:lang w:eastAsia="zh-CN"/>
        </w:rPr>
        <w:t>.</w:t>
      </w:r>
      <w:r w:rsidRPr="000C05D9">
        <w:rPr>
          <w:rFonts w:ascii="Times New Roman" w:hAnsi="Times New Roman" w:cs="Times New Roman"/>
          <w:sz w:val="20"/>
          <w:szCs w:val="20"/>
          <w:lang w:eastAsia="zh-CN"/>
        </w:rPr>
        <w:t xml:space="preserve"> Startup waveform under 230 V output setting</w:t>
      </w:r>
      <w:r w:rsidR="00FD0F52" w:rsidRPr="000C05D9">
        <w:rPr>
          <w:rFonts w:ascii="Times New Roman" w:hAnsi="Times New Roman" w:cs="Times New Roman"/>
          <w:sz w:val="20"/>
          <w:szCs w:val="20"/>
          <w:lang w:eastAsia="zh-CN"/>
        </w:rPr>
        <w:t>.</w:t>
      </w:r>
    </w:p>
    <w:p w14:paraId="1B850D73" w14:textId="77777777" w:rsidR="00E50D62" w:rsidRPr="00E50D62" w:rsidRDefault="00E50D62" w:rsidP="000C05D9">
      <w:pPr>
        <w:pStyle w:val="BodyText"/>
        <w:snapToGrid w:val="0"/>
        <w:spacing w:before="0" w:after="0"/>
        <w:jc w:val="center"/>
        <w:rPr>
          <w:rFonts w:ascii="Times New Roman" w:hAnsi="Times New Roman" w:cs="Times New Roman"/>
          <w:lang w:eastAsia="zh-CN"/>
        </w:rPr>
      </w:pPr>
    </w:p>
    <w:p w14:paraId="05136EF5" w14:textId="77777777" w:rsidR="00FF5833" w:rsidRDefault="00DD175B" w:rsidP="000C05D9">
      <w:pPr>
        <w:pStyle w:val="BodyText"/>
        <w:snapToGrid w:val="0"/>
        <w:spacing w:before="0" w:after="0"/>
        <w:jc w:val="center"/>
        <w:rPr>
          <w:rFonts w:ascii="Times New Roman" w:hAnsi="Times New Roman" w:cs="Times New Roman"/>
        </w:rPr>
      </w:pPr>
      <w:r>
        <w:rPr>
          <w:rFonts w:ascii="Times New Roman" w:hAnsi="Times New Roman" w:cs="Times New Roman"/>
          <w:noProof/>
        </w:rPr>
        <w:lastRenderedPageBreak/>
        <w:drawing>
          <wp:inline distT="0" distB="0" distL="0" distR="0" wp14:anchorId="535F6C12" wp14:editId="0EC1BDE4">
            <wp:extent cx="4319905" cy="2590165"/>
            <wp:effectExtent l="0" t="0" r="4445" b="63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4320000" cy="2590500"/>
                    </a:xfrm>
                    <a:prstGeom prst="rect">
                      <a:avLst/>
                    </a:prstGeom>
                    <a:noFill/>
                    <a:ln>
                      <a:noFill/>
                    </a:ln>
                  </pic:spPr>
                </pic:pic>
              </a:graphicData>
            </a:graphic>
          </wp:inline>
        </w:drawing>
      </w:r>
    </w:p>
    <w:p w14:paraId="55945B02" w14:textId="78615E9F" w:rsidR="00FF5833" w:rsidRPr="000C05D9" w:rsidRDefault="00DD175B" w:rsidP="000C05D9">
      <w:pPr>
        <w:pStyle w:val="BodyText"/>
        <w:snapToGrid w:val="0"/>
        <w:spacing w:before="0" w:after="0"/>
        <w:jc w:val="center"/>
        <w:rPr>
          <w:rFonts w:ascii="Times New Roman" w:hAnsi="Times New Roman" w:cs="Times New Roman"/>
          <w:sz w:val="20"/>
          <w:szCs w:val="20"/>
          <w:lang w:eastAsia="zh-CN"/>
        </w:rPr>
      </w:pPr>
      <w:r w:rsidRPr="000C05D9">
        <w:rPr>
          <w:rFonts w:ascii="Times New Roman" w:hAnsi="Times New Roman" w:cs="Times New Roman"/>
          <w:b/>
          <w:bCs/>
          <w:sz w:val="20"/>
          <w:szCs w:val="20"/>
          <w:lang w:eastAsia="zh-CN"/>
        </w:rPr>
        <w:t>Figure 8.</w:t>
      </w:r>
      <w:r w:rsidRPr="000C05D9">
        <w:rPr>
          <w:rFonts w:ascii="Times New Roman" w:hAnsi="Times New Roman" w:cs="Times New Roman"/>
          <w:sz w:val="20"/>
          <w:szCs w:val="20"/>
          <w:lang w:eastAsia="zh-CN"/>
        </w:rPr>
        <w:t xml:space="preserve"> Voltage ripple waveform under 150 V output setting</w:t>
      </w:r>
      <w:r w:rsidR="00E50D62" w:rsidRPr="000C05D9">
        <w:rPr>
          <w:rFonts w:ascii="Times New Roman" w:hAnsi="Times New Roman" w:cs="Times New Roman"/>
          <w:sz w:val="20"/>
          <w:szCs w:val="20"/>
          <w:lang w:eastAsia="zh-CN"/>
        </w:rPr>
        <w:t>.</w:t>
      </w:r>
    </w:p>
    <w:p w14:paraId="15D21E6C" w14:textId="77777777" w:rsidR="00E50D62" w:rsidRDefault="00E50D62" w:rsidP="000C05D9">
      <w:pPr>
        <w:pStyle w:val="BodyText"/>
        <w:snapToGrid w:val="0"/>
        <w:spacing w:before="0" w:after="0"/>
        <w:jc w:val="both"/>
        <w:rPr>
          <w:rFonts w:ascii="Times New Roman" w:hAnsi="Times New Roman" w:cs="Times New Roman"/>
          <w:lang w:eastAsia="zh-CN"/>
        </w:rPr>
      </w:pPr>
    </w:p>
    <w:p w14:paraId="377449CC" w14:textId="77777777" w:rsidR="00FF5833" w:rsidRDefault="00DD175B" w:rsidP="000C05D9">
      <w:pPr>
        <w:pStyle w:val="BodyText"/>
        <w:snapToGrid w:val="0"/>
        <w:spacing w:before="0" w:after="0"/>
        <w:jc w:val="center"/>
        <w:rPr>
          <w:rFonts w:ascii="Times New Roman" w:hAnsi="Times New Roman" w:cs="Times New Roman"/>
        </w:rPr>
      </w:pPr>
      <w:r>
        <w:rPr>
          <w:rFonts w:ascii="Times New Roman" w:hAnsi="Times New Roman" w:cs="Times New Roman"/>
          <w:noProof/>
        </w:rPr>
        <w:drawing>
          <wp:inline distT="0" distB="0" distL="0" distR="0" wp14:anchorId="399E9504" wp14:editId="13C79558">
            <wp:extent cx="4319905" cy="2590165"/>
            <wp:effectExtent l="0" t="0" r="4445" b="63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4320000" cy="2590500"/>
                    </a:xfrm>
                    <a:prstGeom prst="rect">
                      <a:avLst/>
                    </a:prstGeom>
                    <a:noFill/>
                    <a:ln>
                      <a:noFill/>
                    </a:ln>
                  </pic:spPr>
                </pic:pic>
              </a:graphicData>
            </a:graphic>
          </wp:inline>
        </w:drawing>
      </w:r>
    </w:p>
    <w:p w14:paraId="033FEA6F" w14:textId="6AC8C021" w:rsidR="00FF5833" w:rsidRPr="000C05D9" w:rsidRDefault="00DD175B" w:rsidP="000C05D9">
      <w:pPr>
        <w:pStyle w:val="BodyText"/>
        <w:snapToGrid w:val="0"/>
        <w:spacing w:before="0" w:after="0"/>
        <w:jc w:val="center"/>
        <w:rPr>
          <w:rFonts w:ascii="Times New Roman" w:hAnsi="Times New Roman" w:cs="Times New Roman"/>
          <w:sz w:val="20"/>
          <w:szCs w:val="20"/>
          <w:lang w:eastAsia="zh-CN"/>
        </w:rPr>
      </w:pPr>
      <w:r w:rsidRPr="000C05D9">
        <w:rPr>
          <w:rFonts w:ascii="Times New Roman" w:hAnsi="Times New Roman" w:cs="Times New Roman"/>
          <w:b/>
          <w:bCs/>
          <w:sz w:val="20"/>
          <w:szCs w:val="20"/>
          <w:lang w:eastAsia="zh-CN"/>
        </w:rPr>
        <w:t>Figure 9</w:t>
      </w:r>
      <w:r w:rsidR="00E7328D" w:rsidRPr="000C05D9">
        <w:rPr>
          <w:rFonts w:ascii="Times New Roman" w:hAnsi="Times New Roman" w:cs="Times New Roman"/>
          <w:b/>
          <w:bCs/>
          <w:sz w:val="20"/>
          <w:szCs w:val="20"/>
          <w:lang w:eastAsia="zh-CN"/>
        </w:rPr>
        <w:t>.</w:t>
      </w:r>
      <w:r w:rsidRPr="000C05D9">
        <w:rPr>
          <w:rFonts w:ascii="Times New Roman" w:hAnsi="Times New Roman" w:cs="Times New Roman"/>
          <w:sz w:val="20"/>
          <w:szCs w:val="20"/>
          <w:lang w:eastAsia="zh-CN"/>
        </w:rPr>
        <w:t xml:space="preserve"> Voltage ripple waveform under 230 V output setting</w:t>
      </w:r>
      <w:r w:rsidR="00E50D62" w:rsidRPr="000C05D9">
        <w:rPr>
          <w:rFonts w:ascii="Times New Roman" w:hAnsi="Times New Roman" w:cs="Times New Roman"/>
          <w:sz w:val="20"/>
          <w:szCs w:val="20"/>
          <w:lang w:eastAsia="zh-CN"/>
        </w:rPr>
        <w:t>.</w:t>
      </w:r>
    </w:p>
    <w:p w14:paraId="5E5C1B7A" w14:textId="77777777" w:rsidR="00E50D62" w:rsidRDefault="00E50D62" w:rsidP="000C05D9">
      <w:pPr>
        <w:pStyle w:val="BodyText"/>
        <w:snapToGrid w:val="0"/>
        <w:spacing w:before="0" w:after="0"/>
        <w:jc w:val="both"/>
        <w:rPr>
          <w:rFonts w:ascii="Times New Roman" w:hAnsi="Times New Roman" w:cs="Times New Roman"/>
          <w:lang w:eastAsia="zh-CN"/>
        </w:rPr>
      </w:pPr>
    </w:p>
    <w:p w14:paraId="46115733" w14:textId="77777777" w:rsidR="00FF5833" w:rsidRDefault="00DD175B" w:rsidP="00E50D62">
      <w:pPr>
        <w:pStyle w:val="BodyText"/>
        <w:snapToGrid w:val="0"/>
        <w:spacing w:before="0" w:after="0"/>
        <w:ind w:firstLine="426"/>
        <w:jc w:val="both"/>
        <w:rPr>
          <w:rFonts w:ascii="Times New Roman" w:hAnsi="Times New Roman" w:cs="Times New Roman"/>
          <w:lang w:eastAsia="zh-CN"/>
        </w:rPr>
      </w:pPr>
      <w:r>
        <w:rPr>
          <w:rFonts w:ascii="Times New Roman" w:hAnsi="Times New Roman" w:cs="Times New Roman"/>
          <w:lang w:eastAsia="zh-CN"/>
        </w:rPr>
        <w:t xml:space="preserve">To verify the constant-current capability, two 1100 </w:t>
      </w:r>
      <w:proofErr w:type="spellStart"/>
      <w:r>
        <w:rPr>
          <w:rFonts w:ascii="Times New Roman" w:hAnsi="Times New Roman" w:cs="Times New Roman"/>
          <w:lang w:eastAsia="zh-CN"/>
        </w:rPr>
        <w:t>μF</w:t>
      </w:r>
      <w:proofErr w:type="spellEnd"/>
      <w:r>
        <w:rPr>
          <w:rFonts w:ascii="Times New Roman" w:hAnsi="Times New Roman" w:cs="Times New Roman"/>
          <w:lang w:eastAsia="zh-CN"/>
        </w:rPr>
        <w:t xml:space="preserve"> capacitors were connected to obtain an equivalent capacitance of approximately 550 </w:t>
      </w:r>
      <w:proofErr w:type="spellStart"/>
      <w:r>
        <w:rPr>
          <w:rFonts w:ascii="Times New Roman" w:hAnsi="Times New Roman" w:cs="Times New Roman"/>
          <w:lang w:eastAsia="zh-CN"/>
        </w:rPr>
        <w:t>μF</w:t>
      </w:r>
      <w:proofErr w:type="spellEnd"/>
      <w:r>
        <w:rPr>
          <w:rFonts w:ascii="Times New Roman" w:hAnsi="Times New Roman" w:cs="Times New Roman"/>
          <w:lang w:eastAsia="zh-CN"/>
        </w:rPr>
        <w:t xml:space="preserve">. The target voltage was set to 2000 V, and the current limit was set to 200 mA. The test results are shown in </w:t>
      </w:r>
      <w:r w:rsidRPr="000C05D9">
        <w:rPr>
          <w:rFonts w:ascii="Times New Roman" w:hAnsi="Times New Roman" w:cs="Times New Roman"/>
          <w:b/>
          <w:bCs/>
          <w:lang w:eastAsia="zh-CN"/>
        </w:rPr>
        <w:t>Figure 10</w:t>
      </w:r>
      <w:r>
        <w:rPr>
          <w:rFonts w:ascii="Times New Roman" w:hAnsi="Times New Roman" w:cs="Times New Roman"/>
          <w:lang w:eastAsia="zh-CN"/>
        </w:rPr>
        <w:t xml:space="preserve">. The charging process took approximately 5.6 s, and the maximum output power was approximately 390 W, indicating that the CC loop can take over during the charging phase of the energy-storage load and transition smoothly as the output approaches the target voltage. To verify the constant-voltage capability, a 5 </w:t>
      </w:r>
      <w:proofErr w:type="spellStart"/>
      <w:r>
        <w:rPr>
          <w:rFonts w:ascii="Times New Roman" w:hAnsi="Times New Roman" w:cs="Times New Roman"/>
          <w:lang w:eastAsia="zh-CN"/>
        </w:rPr>
        <w:t>kΩ</w:t>
      </w:r>
      <w:proofErr w:type="spellEnd"/>
      <w:r>
        <w:rPr>
          <w:rFonts w:ascii="Times New Roman" w:hAnsi="Times New Roman" w:cs="Times New Roman"/>
          <w:lang w:eastAsia="zh-CN"/>
        </w:rPr>
        <w:t xml:space="preserve"> resistive load was used and the output voltage was set to 800 V. The test results are presented in </w:t>
      </w:r>
      <w:r w:rsidRPr="000C05D9">
        <w:rPr>
          <w:rFonts w:ascii="Times New Roman" w:hAnsi="Times New Roman" w:cs="Times New Roman"/>
          <w:b/>
          <w:bCs/>
          <w:lang w:eastAsia="zh-CN"/>
        </w:rPr>
        <w:t>Figure 11</w:t>
      </w:r>
      <w:r>
        <w:rPr>
          <w:rFonts w:ascii="Times New Roman" w:hAnsi="Times New Roman" w:cs="Times New Roman"/>
          <w:lang w:eastAsia="zh-CN"/>
        </w:rPr>
        <w:t>. The system can continuously provide a stable high-voltage output under load.</w:t>
      </w:r>
    </w:p>
    <w:p w14:paraId="349FDC3F" w14:textId="77777777" w:rsidR="00E50D62" w:rsidRDefault="00E50D62" w:rsidP="000C05D9">
      <w:pPr>
        <w:pStyle w:val="BodyText"/>
        <w:snapToGrid w:val="0"/>
        <w:spacing w:before="0" w:after="0"/>
        <w:ind w:firstLine="426"/>
        <w:jc w:val="both"/>
        <w:rPr>
          <w:rFonts w:ascii="Times New Roman" w:hAnsi="Times New Roman" w:cs="Times New Roman"/>
          <w:lang w:eastAsia="zh-CN"/>
        </w:rPr>
      </w:pPr>
    </w:p>
    <w:p w14:paraId="224B262F" w14:textId="77777777" w:rsidR="00FF5833" w:rsidRDefault="00DD175B" w:rsidP="000C05D9">
      <w:pPr>
        <w:pStyle w:val="BodyText"/>
        <w:snapToGrid w:val="0"/>
        <w:spacing w:before="0" w:after="0"/>
        <w:jc w:val="center"/>
        <w:rPr>
          <w:rFonts w:ascii="Times New Roman" w:hAnsi="Times New Roman" w:cs="Times New Roman"/>
        </w:rPr>
      </w:pPr>
      <w:r>
        <w:rPr>
          <w:rFonts w:ascii="Times New Roman" w:hAnsi="Times New Roman" w:cs="Times New Roman"/>
          <w:noProof/>
        </w:rPr>
        <w:lastRenderedPageBreak/>
        <w:drawing>
          <wp:inline distT="0" distB="0" distL="0" distR="0" wp14:anchorId="6AB9111B" wp14:editId="58D2253B">
            <wp:extent cx="2773680" cy="1849120"/>
            <wp:effectExtent l="0" t="0" r="0" b="0"/>
            <wp:docPr id="63" name="Picture" descr="图 13 高压电容恒流充电测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descr="图 13 高压电容恒流充电测试"/>
                    <pic:cNvPicPr>
                      <a:picLocks noChangeAspect="1" noChangeArrowheads="1"/>
                    </pic:cNvPicPr>
                  </pic:nvPicPr>
                  <pic:blipFill>
                    <a:blip r:embed="rId16"/>
                    <a:stretch>
                      <a:fillRect/>
                    </a:stretch>
                  </pic:blipFill>
                  <pic:spPr>
                    <a:xfrm>
                      <a:off x="0" y="0"/>
                      <a:ext cx="2773680" cy="1849120"/>
                    </a:xfrm>
                    <a:prstGeom prst="rect">
                      <a:avLst/>
                    </a:prstGeom>
                    <a:noFill/>
                    <a:ln w="9525">
                      <a:noFill/>
                    </a:ln>
                  </pic:spPr>
                </pic:pic>
              </a:graphicData>
            </a:graphic>
          </wp:inline>
        </w:drawing>
      </w:r>
    </w:p>
    <w:p w14:paraId="38049DB6" w14:textId="1D687DDB" w:rsidR="00FF5833" w:rsidRPr="000C05D9" w:rsidRDefault="00DD175B" w:rsidP="000C05D9">
      <w:pPr>
        <w:pStyle w:val="BodyText"/>
        <w:snapToGrid w:val="0"/>
        <w:spacing w:before="0" w:after="0"/>
        <w:jc w:val="center"/>
        <w:rPr>
          <w:rFonts w:ascii="Times New Roman" w:hAnsi="Times New Roman" w:cs="Times New Roman"/>
          <w:sz w:val="20"/>
          <w:szCs w:val="20"/>
          <w:lang w:eastAsia="zh-CN"/>
        </w:rPr>
      </w:pPr>
      <w:r w:rsidRPr="000C05D9">
        <w:rPr>
          <w:rFonts w:ascii="Times New Roman" w:hAnsi="Times New Roman" w:cs="Times New Roman"/>
          <w:b/>
          <w:bCs/>
          <w:sz w:val="20"/>
          <w:szCs w:val="20"/>
          <w:lang w:eastAsia="zh-CN"/>
        </w:rPr>
        <w:t>Figure 10</w:t>
      </w:r>
      <w:r w:rsidR="00E50D62" w:rsidRPr="000C05D9">
        <w:rPr>
          <w:rFonts w:ascii="Times New Roman" w:hAnsi="Times New Roman" w:cs="Times New Roman"/>
          <w:b/>
          <w:bCs/>
          <w:sz w:val="20"/>
          <w:szCs w:val="20"/>
          <w:lang w:eastAsia="zh-CN"/>
        </w:rPr>
        <w:t>.</w:t>
      </w:r>
      <w:r w:rsidRPr="000C05D9">
        <w:rPr>
          <w:rFonts w:ascii="Times New Roman" w:hAnsi="Times New Roman" w:cs="Times New Roman"/>
          <w:sz w:val="20"/>
          <w:szCs w:val="20"/>
          <w:lang w:eastAsia="zh-CN"/>
        </w:rPr>
        <w:t xml:space="preserve"> High-voltage capacitor constant current charging test</w:t>
      </w:r>
      <w:r w:rsidR="00E50D62" w:rsidRPr="000C05D9">
        <w:rPr>
          <w:rFonts w:ascii="Times New Roman" w:hAnsi="Times New Roman" w:cs="Times New Roman"/>
          <w:sz w:val="20"/>
          <w:szCs w:val="20"/>
          <w:lang w:eastAsia="zh-CN"/>
        </w:rPr>
        <w:t>.</w:t>
      </w:r>
    </w:p>
    <w:p w14:paraId="4F5ECD19" w14:textId="77777777" w:rsidR="00E50D62" w:rsidRDefault="00E50D62" w:rsidP="000C05D9">
      <w:pPr>
        <w:pStyle w:val="BodyText"/>
        <w:snapToGrid w:val="0"/>
        <w:spacing w:before="0" w:after="0"/>
        <w:jc w:val="both"/>
        <w:rPr>
          <w:rFonts w:ascii="Times New Roman" w:hAnsi="Times New Roman" w:cs="Times New Roman"/>
          <w:lang w:eastAsia="zh-CN"/>
        </w:rPr>
      </w:pPr>
    </w:p>
    <w:p w14:paraId="24231148" w14:textId="77777777" w:rsidR="00FF5833" w:rsidRDefault="00DD175B" w:rsidP="000C05D9">
      <w:pPr>
        <w:pStyle w:val="BodyText"/>
        <w:snapToGrid w:val="0"/>
        <w:spacing w:before="0" w:after="0"/>
        <w:jc w:val="center"/>
        <w:rPr>
          <w:rFonts w:ascii="Times New Roman" w:hAnsi="Times New Roman" w:cs="Times New Roman"/>
        </w:rPr>
      </w:pPr>
      <w:r>
        <w:rPr>
          <w:rFonts w:ascii="Times New Roman" w:hAnsi="Times New Roman" w:cs="Times New Roman"/>
          <w:noProof/>
        </w:rPr>
        <w:drawing>
          <wp:inline distT="0" distB="0" distL="0" distR="0" wp14:anchorId="10EB1BE8" wp14:editId="269A5419">
            <wp:extent cx="2773680" cy="1849120"/>
            <wp:effectExtent l="0" t="0" r="0" b="0"/>
            <wp:docPr id="66" name="Picture" descr="图 14 阻性负载恒压输出测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descr="图 14 阻性负载恒压输出测试"/>
                    <pic:cNvPicPr>
                      <a:picLocks noChangeAspect="1" noChangeArrowheads="1"/>
                    </pic:cNvPicPr>
                  </pic:nvPicPr>
                  <pic:blipFill>
                    <a:blip r:embed="rId17"/>
                    <a:stretch>
                      <a:fillRect/>
                    </a:stretch>
                  </pic:blipFill>
                  <pic:spPr>
                    <a:xfrm>
                      <a:off x="0" y="0"/>
                      <a:ext cx="2773680" cy="1849120"/>
                    </a:xfrm>
                    <a:prstGeom prst="rect">
                      <a:avLst/>
                    </a:prstGeom>
                    <a:noFill/>
                    <a:ln w="9525">
                      <a:noFill/>
                    </a:ln>
                  </pic:spPr>
                </pic:pic>
              </a:graphicData>
            </a:graphic>
          </wp:inline>
        </w:drawing>
      </w:r>
    </w:p>
    <w:p w14:paraId="705AB98A" w14:textId="3085D383" w:rsidR="00FF5833" w:rsidRPr="000C05D9" w:rsidRDefault="00DD175B" w:rsidP="000C05D9">
      <w:pPr>
        <w:pStyle w:val="BodyText"/>
        <w:snapToGrid w:val="0"/>
        <w:spacing w:before="0" w:after="0"/>
        <w:jc w:val="center"/>
        <w:rPr>
          <w:rFonts w:ascii="Times New Roman" w:hAnsi="Times New Roman" w:cs="Times New Roman"/>
          <w:sz w:val="20"/>
          <w:szCs w:val="20"/>
          <w:lang w:eastAsia="zh-CN"/>
        </w:rPr>
      </w:pPr>
      <w:bookmarkStart w:id="0" w:name="结论"/>
      <w:r w:rsidRPr="000C05D9">
        <w:rPr>
          <w:rFonts w:ascii="Times New Roman" w:hAnsi="Times New Roman" w:cs="Times New Roman"/>
          <w:b/>
          <w:bCs/>
          <w:sz w:val="20"/>
          <w:szCs w:val="20"/>
          <w:lang w:eastAsia="zh-CN"/>
        </w:rPr>
        <w:t>Figure 11</w:t>
      </w:r>
      <w:r w:rsidR="00E50D62" w:rsidRPr="000C05D9">
        <w:rPr>
          <w:rFonts w:ascii="Times New Roman" w:hAnsi="Times New Roman" w:cs="Times New Roman"/>
          <w:b/>
          <w:bCs/>
          <w:sz w:val="20"/>
          <w:szCs w:val="20"/>
          <w:lang w:eastAsia="zh-CN"/>
        </w:rPr>
        <w:t>.</w:t>
      </w:r>
      <w:r w:rsidRPr="000C05D9">
        <w:rPr>
          <w:rFonts w:ascii="Times New Roman" w:hAnsi="Times New Roman" w:cs="Times New Roman"/>
          <w:sz w:val="20"/>
          <w:szCs w:val="20"/>
          <w:lang w:eastAsia="zh-CN"/>
        </w:rPr>
        <w:t xml:space="preserve"> Constant voltage output test under resistive load</w:t>
      </w:r>
      <w:r w:rsidR="00E50D62" w:rsidRPr="000C05D9">
        <w:rPr>
          <w:rFonts w:ascii="Times New Roman" w:hAnsi="Times New Roman" w:cs="Times New Roman"/>
          <w:sz w:val="20"/>
          <w:szCs w:val="20"/>
          <w:lang w:eastAsia="zh-CN"/>
        </w:rPr>
        <w:t>.</w:t>
      </w:r>
    </w:p>
    <w:p w14:paraId="12459B31" w14:textId="77777777" w:rsidR="00E50D62" w:rsidRDefault="00E50D62" w:rsidP="000C05D9">
      <w:pPr>
        <w:pStyle w:val="BodyText"/>
        <w:snapToGrid w:val="0"/>
        <w:spacing w:before="0" w:after="0"/>
        <w:jc w:val="both"/>
        <w:rPr>
          <w:rFonts w:ascii="Times New Roman" w:hAnsi="Times New Roman" w:cs="Times New Roman"/>
          <w:lang w:eastAsia="zh-CN"/>
        </w:rPr>
      </w:pPr>
    </w:p>
    <w:p w14:paraId="638CE0C9" w14:textId="77A3C638" w:rsidR="00FF5833" w:rsidRPr="000C05D9" w:rsidRDefault="00DD175B" w:rsidP="000C05D9">
      <w:pPr>
        <w:pStyle w:val="BodyText"/>
        <w:snapToGrid w:val="0"/>
        <w:spacing w:before="0" w:after="0"/>
        <w:jc w:val="both"/>
        <w:rPr>
          <w:rFonts w:ascii="Times New Roman" w:hAnsi="Times New Roman" w:cs="Times New Roman"/>
          <w:b/>
          <w:bCs/>
          <w:lang w:eastAsia="zh-CN"/>
        </w:rPr>
      </w:pPr>
      <w:r w:rsidRPr="000C05D9">
        <w:rPr>
          <w:rFonts w:ascii="Times New Roman" w:hAnsi="Times New Roman" w:cs="Times New Roman"/>
          <w:b/>
          <w:bCs/>
          <w:lang w:eastAsia="zh-CN"/>
        </w:rPr>
        <w:t>7</w:t>
      </w:r>
      <w:r w:rsidR="00E50D62" w:rsidRPr="000C05D9">
        <w:rPr>
          <w:rFonts w:ascii="Times New Roman" w:hAnsi="Times New Roman" w:cs="Times New Roman"/>
          <w:b/>
          <w:bCs/>
          <w:lang w:eastAsia="zh-CN"/>
        </w:rPr>
        <w:t>.</w:t>
      </w:r>
      <w:r w:rsidRPr="000C05D9">
        <w:rPr>
          <w:rFonts w:ascii="Times New Roman" w:hAnsi="Times New Roman" w:cs="Times New Roman"/>
          <w:b/>
          <w:bCs/>
          <w:lang w:eastAsia="zh-CN"/>
        </w:rPr>
        <w:t xml:space="preserve"> Conclusion</w:t>
      </w:r>
    </w:p>
    <w:bookmarkEnd w:id="0"/>
    <w:p w14:paraId="2E987063" w14:textId="4D7111E2" w:rsidR="00FF5833" w:rsidRDefault="00DD175B" w:rsidP="00E7328D">
      <w:pPr>
        <w:pStyle w:val="BodyText"/>
        <w:snapToGrid w:val="0"/>
        <w:spacing w:before="0" w:after="0"/>
        <w:jc w:val="both"/>
        <w:rPr>
          <w:rFonts w:ascii="Times New Roman" w:hAnsi="Times New Roman" w:cs="Times New Roman"/>
          <w:lang w:eastAsia="zh-CN"/>
        </w:rPr>
      </w:pPr>
      <w:r>
        <w:rPr>
          <w:rFonts w:ascii="Times New Roman" w:hAnsi="Times New Roman" w:cs="Times New Roman"/>
          <w:lang w:eastAsia="zh-CN"/>
        </w:rPr>
        <w:t xml:space="preserve">This study designed a high-voltage constant-voltage/constant-current power supply based on a PSFB topology and an automatic frequency-conversion strategy. A typical 24 V low-voltage input and a 1:100 high-frequency transformer </w:t>
      </w:r>
      <w:proofErr w:type="gramStart"/>
      <w:r w:rsidR="00E50D62">
        <w:rPr>
          <w:rFonts w:ascii="Times New Roman" w:hAnsi="Times New Roman" w:cs="Times New Roman"/>
          <w:lang w:eastAsia="zh-CN"/>
        </w:rPr>
        <w:t>are</w:t>
      </w:r>
      <w:proofErr w:type="gramEnd"/>
      <w:r>
        <w:rPr>
          <w:rFonts w:ascii="Times New Roman" w:hAnsi="Times New Roman" w:cs="Times New Roman"/>
          <w:lang w:eastAsia="zh-CN"/>
        </w:rPr>
        <w:t xml:space="preserve"> used to achieve a maximum high-voltage output of 2200 V at 200 mA, with a 400 W power limit. Using the STM32G474CBT6 HRTIM module, the system generates four complementary phase-shifted gate-drive signals and performs periodic synchronous ADC sampling for voltage, current, auxiliary-supply, and temperature feedback. The parallel three-loop PI controller (CV, CC, and CP), minimum-duty-cycle arbitration, soft-start limiting, and integral freezing improve startup and mode-switching stability. To address the la</w:t>
      </w:r>
      <w:r>
        <w:rPr>
          <w:rFonts w:ascii="Times New Roman" w:hAnsi="Times New Roman" w:cs="Times New Roman"/>
          <w:lang w:eastAsia="zh-CN"/>
        </w:rPr>
        <w:t>rge variation in efficiency and regulation margin of fixed-frequency PSFB operation across a wide output range, an automatic frequency-conversion strategy based on duty-cycle status is proposed, with frequency ramp-up or ramp-down over 11–45 kHz. Disturbance during frequency conversion is reduced through score-counter hysteresis, lockout-window control, and feedforward duty-cycle correction. Simulations and experiments demonstrate stable high-voltage constant-voltage output, constant-current capacitor charg</w:t>
      </w:r>
      <w:r>
        <w:rPr>
          <w:rFonts w:ascii="Times New Roman" w:hAnsi="Times New Roman" w:cs="Times New Roman"/>
          <w:lang w:eastAsia="zh-CN"/>
        </w:rPr>
        <w:t>ing, ZVS turn-on, and low-ripple operation under representative working conditions. The system provides a digital control scheme with clear structure, configurable parameters, and good reproducibility for high-voltage capacitor charging and laboratory high-voltage power-supply applications.</w:t>
      </w:r>
    </w:p>
    <w:p w14:paraId="3CD2C1F9" w14:textId="77777777" w:rsidR="00E50D62" w:rsidRPr="00E50D62" w:rsidRDefault="00E50D62" w:rsidP="00E50D62">
      <w:pPr>
        <w:pStyle w:val="BodyText"/>
        <w:snapToGrid w:val="0"/>
        <w:spacing w:before="0" w:after="0"/>
        <w:jc w:val="both"/>
        <w:rPr>
          <w:rFonts w:ascii="Times New Roman" w:hAnsi="Times New Roman" w:cs="Times New Roman"/>
          <w:lang w:eastAsia="zh-CN"/>
        </w:rPr>
      </w:pPr>
    </w:p>
    <w:p w14:paraId="266BDA27" w14:textId="77777777" w:rsidR="00E50D62" w:rsidRPr="000C05D9" w:rsidRDefault="00E50D62" w:rsidP="000C05D9">
      <w:pPr>
        <w:snapToGrid w:val="0"/>
        <w:spacing w:after="0"/>
        <w:rPr>
          <w:rFonts w:ascii="Times New Roman" w:hAnsi="Times New Roman" w:cs="Times New Roman"/>
          <w:b/>
          <w:bCs/>
        </w:rPr>
      </w:pPr>
      <w:bookmarkStart w:id="1" w:name="_Hlk181689731"/>
      <w:r w:rsidRPr="000C05D9">
        <w:rPr>
          <w:rFonts w:ascii="Times New Roman" w:hAnsi="Times New Roman" w:cs="Times New Roman"/>
          <w:b/>
          <w:bCs/>
        </w:rPr>
        <w:t>Disclosure statement</w:t>
      </w:r>
    </w:p>
    <w:p w14:paraId="129CC18B" w14:textId="77777777" w:rsidR="00E50D62" w:rsidRPr="000C05D9" w:rsidRDefault="00E50D62" w:rsidP="000C05D9">
      <w:pPr>
        <w:snapToGrid w:val="0"/>
        <w:spacing w:after="0"/>
        <w:rPr>
          <w:rFonts w:ascii="Times New Roman" w:hAnsi="Times New Roman" w:cs="Times New Roman"/>
        </w:rPr>
      </w:pPr>
      <w:r w:rsidRPr="000C05D9">
        <w:rPr>
          <w:rFonts w:ascii="Times New Roman" w:hAnsi="Times New Roman" w:cs="Times New Roman"/>
        </w:rPr>
        <w:t xml:space="preserve">The author declares no conflict of interest. </w:t>
      </w:r>
      <w:bookmarkEnd w:id="1"/>
    </w:p>
    <w:p w14:paraId="2124E554" w14:textId="77777777" w:rsidR="00E50D62" w:rsidRPr="00E50D62" w:rsidRDefault="00E50D62" w:rsidP="000C05D9">
      <w:pPr>
        <w:pStyle w:val="BodyText"/>
        <w:snapToGrid w:val="0"/>
        <w:spacing w:before="0" w:after="0"/>
        <w:jc w:val="both"/>
        <w:rPr>
          <w:rFonts w:ascii="Times New Roman" w:hAnsi="Times New Roman" w:cs="Times New Roman"/>
          <w:lang w:eastAsia="zh-CN"/>
        </w:rPr>
      </w:pPr>
    </w:p>
    <w:p w14:paraId="291C58FD" w14:textId="77777777" w:rsidR="00FF5833" w:rsidRPr="000C05D9" w:rsidRDefault="00DD175B" w:rsidP="000C05D9">
      <w:pPr>
        <w:pStyle w:val="BodyText"/>
        <w:snapToGrid w:val="0"/>
        <w:spacing w:before="0" w:after="0"/>
        <w:jc w:val="both"/>
        <w:rPr>
          <w:rFonts w:ascii="Times New Roman" w:hAnsi="Times New Roman" w:cs="Times New Roman"/>
          <w:b/>
          <w:bCs/>
        </w:rPr>
      </w:pPr>
      <w:r w:rsidRPr="000C05D9">
        <w:rPr>
          <w:rFonts w:ascii="Times New Roman" w:hAnsi="Times New Roman" w:cs="Times New Roman"/>
          <w:b/>
          <w:bCs/>
        </w:rPr>
        <w:t xml:space="preserve">References </w:t>
      </w:r>
    </w:p>
    <w:p w14:paraId="6E7D5E7D" w14:textId="77777777" w:rsidR="00E50D62" w:rsidRDefault="00E50D62" w:rsidP="00E50D62">
      <w:pPr>
        <w:pStyle w:val="BodyText"/>
        <w:snapToGrid w:val="0"/>
        <w:spacing w:before="0" w:after="0"/>
        <w:ind w:left="709" w:hanging="709"/>
        <w:jc w:val="both"/>
        <w:rPr>
          <w:rFonts w:ascii="Times New Roman" w:hAnsi="Times New Roman" w:cs="Times New Roman"/>
          <w:lang w:val="en-MY"/>
        </w:rPr>
      </w:pPr>
      <w:r w:rsidRPr="00E50D62">
        <w:rPr>
          <w:rFonts w:ascii="Times New Roman" w:hAnsi="Times New Roman" w:cs="Times New Roman"/>
          <w:lang w:val="en-MY"/>
        </w:rPr>
        <w:lastRenderedPageBreak/>
        <w:t xml:space="preserve">[1] </w:t>
      </w:r>
      <w:r>
        <w:rPr>
          <w:rFonts w:ascii="Times New Roman" w:hAnsi="Times New Roman" w:cs="Times New Roman"/>
          <w:lang w:val="en-MY"/>
        </w:rPr>
        <w:tab/>
      </w:r>
      <w:r w:rsidRPr="00E50D62">
        <w:rPr>
          <w:rFonts w:ascii="Times New Roman" w:hAnsi="Times New Roman" w:cs="Times New Roman"/>
          <w:lang w:val="en-MY"/>
        </w:rPr>
        <w:t>Lyu D, Soeiro T, Bauer P, 2023, Design and Implementation of a Reconfigurable Phase Shift Full-Bridge Converter for Wide Voltage Range EV Charging Application. IEEE Transactions on Transportation Electrification, 9(1): 1200–1214.</w:t>
      </w:r>
    </w:p>
    <w:p w14:paraId="10C5F52C" w14:textId="77777777" w:rsidR="00E50D62" w:rsidRDefault="00E50D62" w:rsidP="00E50D62">
      <w:pPr>
        <w:pStyle w:val="BodyText"/>
        <w:snapToGrid w:val="0"/>
        <w:spacing w:before="0" w:after="0"/>
        <w:ind w:left="709" w:hanging="709"/>
        <w:jc w:val="both"/>
        <w:rPr>
          <w:rFonts w:ascii="Times New Roman" w:hAnsi="Times New Roman" w:cs="Times New Roman"/>
          <w:lang w:val="en-MY"/>
        </w:rPr>
      </w:pPr>
      <w:r w:rsidRPr="00E50D62">
        <w:rPr>
          <w:rFonts w:ascii="Times New Roman" w:hAnsi="Times New Roman" w:cs="Times New Roman"/>
          <w:lang w:val="en-MY"/>
        </w:rPr>
        <w:t xml:space="preserve">[2] </w:t>
      </w:r>
      <w:r>
        <w:rPr>
          <w:rFonts w:ascii="Times New Roman" w:hAnsi="Times New Roman" w:cs="Times New Roman"/>
          <w:lang w:val="en-MY"/>
        </w:rPr>
        <w:tab/>
      </w:r>
      <w:r w:rsidRPr="00E50D62">
        <w:rPr>
          <w:rFonts w:ascii="Times New Roman" w:hAnsi="Times New Roman" w:cs="Times New Roman"/>
          <w:lang w:val="en-MY"/>
        </w:rPr>
        <w:t>Gao Y, Tang Y, Yao F, et al., 2024, Paralleled Variable Inductor Phase-Shifted Full-Bridge Converter with Full-Load Range ZVS and Low Duty Cycle Loss. IEEE Transactions on Industrial Electronics, 71(5): 4673–4684.</w:t>
      </w:r>
    </w:p>
    <w:p w14:paraId="54B5CDC7" w14:textId="77777777" w:rsidR="00E50D62" w:rsidRDefault="00E50D62" w:rsidP="00E50D62">
      <w:pPr>
        <w:pStyle w:val="BodyText"/>
        <w:snapToGrid w:val="0"/>
        <w:spacing w:before="0" w:after="0"/>
        <w:ind w:left="709" w:hanging="709"/>
        <w:jc w:val="both"/>
        <w:rPr>
          <w:rFonts w:ascii="Times New Roman" w:hAnsi="Times New Roman" w:cs="Times New Roman"/>
          <w:lang w:val="en-MY"/>
        </w:rPr>
      </w:pPr>
      <w:r w:rsidRPr="00E50D62">
        <w:rPr>
          <w:rFonts w:ascii="Times New Roman" w:hAnsi="Times New Roman" w:cs="Times New Roman"/>
          <w:lang w:val="en-MY"/>
        </w:rPr>
        <w:t xml:space="preserve">[3] </w:t>
      </w:r>
      <w:r>
        <w:rPr>
          <w:rFonts w:ascii="Times New Roman" w:hAnsi="Times New Roman" w:cs="Times New Roman"/>
          <w:lang w:val="en-MY"/>
        </w:rPr>
        <w:tab/>
      </w:r>
      <w:r w:rsidRPr="00E50D62">
        <w:rPr>
          <w:rFonts w:ascii="Times New Roman" w:hAnsi="Times New Roman" w:cs="Times New Roman"/>
          <w:lang w:val="en-MY"/>
        </w:rPr>
        <w:t>Lee S, Park J, 2021, A New Control for Synchronous Rectifier of Phase-Shifted Full-Bridge Converter to Improve Efficiency in Light-Load Condition. IEEE Transactions on Industry Applications, 57(4): 3822–3831.</w:t>
      </w:r>
    </w:p>
    <w:p w14:paraId="0BFEC43E" w14:textId="77777777" w:rsidR="00E50D62" w:rsidRDefault="00E50D62" w:rsidP="00E50D62">
      <w:pPr>
        <w:pStyle w:val="BodyText"/>
        <w:snapToGrid w:val="0"/>
        <w:spacing w:before="0" w:after="0"/>
        <w:ind w:left="709" w:hanging="709"/>
        <w:jc w:val="both"/>
        <w:rPr>
          <w:rFonts w:ascii="Times New Roman" w:hAnsi="Times New Roman" w:cs="Times New Roman"/>
          <w:lang w:val="en-MY"/>
        </w:rPr>
      </w:pPr>
      <w:r w:rsidRPr="00E50D62">
        <w:rPr>
          <w:rFonts w:ascii="Times New Roman" w:hAnsi="Times New Roman" w:cs="Times New Roman"/>
          <w:lang w:val="en-MY"/>
        </w:rPr>
        <w:t xml:space="preserve">[4] </w:t>
      </w:r>
      <w:r>
        <w:rPr>
          <w:rFonts w:ascii="Times New Roman" w:hAnsi="Times New Roman" w:cs="Times New Roman"/>
          <w:lang w:val="en-MY"/>
        </w:rPr>
        <w:tab/>
      </w:r>
      <w:r w:rsidRPr="00E50D62">
        <w:rPr>
          <w:rFonts w:ascii="Times New Roman" w:hAnsi="Times New Roman" w:cs="Times New Roman"/>
          <w:lang w:val="en-MY"/>
        </w:rPr>
        <w:t>Liu G, Wang B, Liu F, et al., 2023, An Improved Zero-Voltage and Zero-Current-Switching Phase-Shift Full-Bridge PWM Converter with Low Output Current Ripple. IEEE Transactions on Power Electronics, 38(3): 3419–3432.</w:t>
      </w:r>
    </w:p>
    <w:p w14:paraId="5CB6D12D" w14:textId="77777777" w:rsidR="00E50D62" w:rsidRDefault="00E50D62" w:rsidP="00E50D62">
      <w:pPr>
        <w:pStyle w:val="BodyText"/>
        <w:snapToGrid w:val="0"/>
        <w:spacing w:before="0" w:after="0"/>
        <w:ind w:left="709" w:hanging="709"/>
        <w:jc w:val="both"/>
        <w:rPr>
          <w:rFonts w:ascii="Times New Roman" w:hAnsi="Times New Roman" w:cs="Times New Roman"/>
          <w:lang w:val="en-MY"/>
        </w:rPr>
      </w:pPr>
      <w:r w:rsidRPr="00E50D62">
        <w:rPr>
          <w:rFonts w:ascii="Times New Roman" w:hAnsi="Times New Roman" w:cs="Times New Roman"/>
          <w:lang w:val="en-MY"/>
        </w:rPr>
        <w:t xml:space="preserve">[5] </w:t>
      </w:r>
      <w:r>
        <w:rPr>
          <w:rFonts w:ascii="Times New Roman" w:hAnsi="Times New Roman" w:cs="Times New Roman"/>
          <w:lang w:val="en-MY"/>
        </w:rPr>
        <w:tab/>
      </w:r>
      <w:r w:rsidRPr="00E50D62">
        <w:rPr>
          <w:rFonts w:ascii="Times New Roman" w:hAnsi="Times New Roman" w:cs="Times New Roman"/>
          <w:lang w:val="en-MY"/>
        </w:rPr>
        <w:t>Tang Y, Liu B, Ji D, et al., 2024, Efficiency Optimization for Phase-Shifted Full-Bridge Converter with Variable Frequency Control. International Journal of Circuit Theory and Applications, 52(6): 2724–2740.</w:t>
      </w:r>
    </w:p>
    <w:p w14:paraId="73B8C811" w14:textId="77777777" w:rsidR="00E50D62" w:rsidRDefault="00E50D62" w:rsidP="00E50D62">
      <w:pPr>
        <w:pStyle w:val="BodyText"/>
        <w:snapToGrid w:val="0"/>
        <w:spacing w:before="0" w:after="0"/>
        <w:ind w:left="709" w:hanging="709"/>
        <w:jc w:val="both"/>
        <w:rPr>
          <w:rFonts w:ascii="Times New Roman" w:hAnsi="Times New Roman" w:cs="Times New Roman"/>
          <w:lang w:val="en-MY"/>
        </w:rPr>
      </w:pPr>
      <w:r w:rsidRPr="00E50D62">
        <w:rPr>
          <w:rFonts w:ascii="Times New Roman" w:hAnsi="Times New Roman" w:cs="Times New Roman"/>
          <w:lang w:val="en-MY"/>
        </w:rPr>
        <w:t xml:space="preserve">[6] </w:t>
      </w:r>
      <w:r>
        <w:rPr>
          <w:rFonts w:ascii="Times New Roman" w:hAnsi="Times New Roman" w:cs="Times New Roman"/>
          <w:lang w:val="en-MY"/>
        </w:rPr>
        <w:tab/>
      </w:r>
      <w:r w:rsidRPr="00E50D62">
        <w:rPr>
          <w:rFonts w:ascii="Times New Roman" w:hAnsi="Times New Roman" w:cs="Times New Roman"/>
          <w:lang w:val="en-MY"/>
        </w:rPr>
        <w:t>Liu B, Tang Y, Ge L, et al., 2024, Feedforward Compensation for Phase-Shifted Full-Bridge DC–DC Converter under Peak Current Mode Control. IEEE Transactions on Power Electronics, 39(6): 6840–6851.</w:t>
      </w:r>
    </w:p>
    <w:p w14:paraId="488E6EB7" w14:textId="77777777" w:rsidR="00E50D62" w:rsidRDefault="00E50D62" w:rsidP="00E50D62">
      <w:pPr>
        <w:pStyle w:val="BodyText"/>
        <w:snapToGrid w:val="0"/>
        <w:spacing w:before="0" w:after="0"/>
        <w:ind w:left="709" w:hanging="709"/>
        <w:jc w:val="both"/>
        <w:rPr>
          <w:rFonts w:ascii="Times New Roman" w:hAnsi="Times New Roman" w:cs="Times New Roman"/>
          <w:lang w:val="en-MY"/>
        </w:rPr>
      </w:pPr>
      <w:r w:rsidRPr="00E50D62">
        <w:rPr>
          <w:rFonts w:ascii="Times New Roman" w:hAnsi="Times New Roman" w:cs="Times New Roman"/>
          <w:lang w:val="en-MY"/>
        </w:rPr>
        <w:t xml:space="preserve">[7] </w:t>
      </w:r>
      <w:r>
        <w:rPr>
          <w:rFonts w:ascii="Times New Roman" w:hAnsi="Times New Roman" w:cs="Times New Roman"/>
          <w:lang w:val="en-MY"/>
        </w:rPr>
        <w:tab/>
      </w:r>
      <w:r w:rsidRPr="00E50D62">
        <w:rPr>
          <w:rFonts w:ascii="Times New Roman" w:hAnsi="Times New Roman" w:cs="Times New Roman"/>
          <w:lang w:val="en-MY"/>
        </w:rPr>
        <w:t xml:space="preserve">Bak Y, Lee Y, Lee K, 2022, Dynamic Characteristic Improvement of Phase-Shift Full-Bridge </w:t>
      </w:r>
      <w:proofErr w:type="spellStart"/>
      <w:r w:rsidRPr="00E50D62">
        <w:rPr>
          <w:rFonts w:ascii="Times New Roman" w:hAnsi="Times New Roman" w:cs="Times New Roman"/>
          <w:lang w:val="en-MY"/>
        </w:rPr>
        <w:t>Center</w:t>
      </w:r>
      <w:proofErr w:type="spellEnd"/>
      <w:r w:rsidRPr="00E50D62">
        <w:rPr>
          <w:rFonts w:ascii="Times New Roman" w:hAnsi="Times New Roman" w:cs="Times New Roman"/>
          <w:lang w:val="en-MY"/>
        </w:rPr>
        <w:t>-Tapped Converters Using a Model Predictive Control. IEEE Transactions on Industrial Electronics, 69(2): 1488–1497.</w:t>
      </w:r>
    </w:p>
    <w:p w14:paraId="4CF9DC54" w14:textId="77777777" w:rsidR="00E50D62" w:rsidRDefault="00E50D62" w:rsidP="00E50D62">
      <w:pPr>
        <w:pStyle w:val="BodyText"/>
        <w:snapToGrid w:val="0"/>
        <w:spacing w:before="0" w:after="0"/>
        <w:ind w:left="709" w:hanging="709"/>
        <w:jc w:val="both"/>
        <w:rPr>
          <w:rFonts w:ascii="Times New Roman" w:hAnsi="Times New Roman" w:cs="Times New Roman"/>
          <w:lang w:val="en-MY"/>
        </w:rPr>
      </w:pPr>
      <w:r w:rsidRPr="00E50D62">
        <w:rPr>
          <w:rFonts w:ascii="Times New Roman" w:hAnsi="Times New Roman" w:cs="Times New Roman"/>
          <w:lang w:val="en-MY"/>
        </w:rPr>
        <w:t xml:space="preserve">[8] </w:t>
      </w:r>
      <w:r>
        <w:rPr>
          <w:rFonts w:ascii="Times New Roman" w:hAnsi="Times New Roman" w:cs="Times New Roman"/>
          <w:lang w:val="en-MY"/>
        </w:rPr>
        <w:tab/>
      </w:r>
      <w:r w:rsidRPr="00E50D62">
        <w:rPr>
          <w:rFonts w:ascii="Times New Roman" w:hAnsi="Times New Roman" w:cs="Times New Roman"/>
          <w:lang w:val="en-MY"/>
        </w:rPr>
        <w:t>Zhu Y, Xiao M, Ouyang H, et al., 2023, Predictive Deadbeat Average Model Control for Phase-Shifted Full-Bridge DC/DC Converter. IET Power Electronics, 16(3): 388–401.</w:t>
      </w:r>
    </w:p>
    <w:p w14:paraId="06773DC0" w14:textId="77777777" w:rsidR="00E50D62" w:rsidRDefault="00E50D62" w:rsidP="00E50D62">
      <w:pPr>
        <w:pStyle w:val="BodyText"/>
        <w:snapToGrid w:val="0"/>
        <w:spacing w:before="0" w:after="0"/>
        <w:ind w:left="709" w:hanging="709"/>
        <w:jc w:val="both"/>
        <w:rPr>
          <w:rFonts w:ascii="Times New Roman" w:hAnsi="Times New Roman" w:cs="Times New Roman"/>
          <w:lang w:val="en-MY"/>
        </w:rPr>
      </w:pPr>
      <w:r w:rsidRPr="00E50D62">
        <w:rPr>
          <w:rFonts w:ascii="Times New Roman" w:hAnsi="Times New Roman" w:cs="Times New Roman"/>
          <w:lang w:val="en-MY"/>
        </w:rPr>
        <w:t xml:space="preserve">[9] </w:t>
      </w:r>
      <w:r>
        <w:rPr>
          <w:rFonts w:ascii="Times New Roman" w:hAnsi="Times New Roman" w:cs="Times New Roman"/>
          <w:lang w:val="en-MY"/>
        </w:rPr>
        <w:tab/>
      </w:r>
      <w:r w:rsidRPr="00E50D62">
        <w:rPr>
          <w:rFonts w:ascii="Times New Roman" w:hAnsi="Times New Roman" w:cs="Times New Roman"/>
          <w:lang w:val="en-MY"/>
        </w:rPr>
        <w:t>Yang Y, Li H, Wu C, et al., 2022, An Improved Control Scheme for Reducing Circulating Current and Reverse Power of Bidirectional Phase-Shifted Full-Bridge Converter. IEEE Transactions on Power Electronics, 37(10): 11620–11635.</w:t>
      </w:r>
    </w:p>
    <w:p w14:paraId="75424853" w14:textId="61A95957" w:rsidR="00E50D62" w:rsidRPr="00E50D62" w:rsidRDefault="00E50D62" w:rsidP="000C05D9">
      <w:pPr>
        <w:pStyle w:val="BodyText"/>
        <w:snapToGrid w:val="0"/>
        <w:spacing w:before="0" w:after="0"/>
        <w:ind w:left="709" w:hanging="709"/>
        <w:jc w:val="both"/>
        <w:rPr>
          <w:rFonts w:ascii="Times New Roman" w:hAnsi="Times New Roman" w:cs="Times New Roman"/>
          <w:lang w:val="en-MY"/>
        </w:rPr>
      </w:pPr>
      <w:r w:rsidRPr="00E50D62">
        <w:rPr>
          <w:rFonts w:ascii="Times New Roman" w:hAnsi="Times New Roman" w:cs="Times New Roman"/>
          <w:lang w:val="en-MY"/>
        </w:rPr>
        <w:t xml:space="preserve">[10] </w:t>
      </w:r>
      <w:r>
        <w:rPr>
          <w:rFonts w:ascii="Times New Roman" w:hAnsi="Times New Roman" w:cs="Times New Roman"/>
          <w:lang w:val="en-MY"/>
        </w:rPr>
        <w:tab/>
      </w:r>
      <w:r w:rsidRPr="00E50D62">
        <w:rPr>
          <w:rFonts w:ascii="Times New Roman" w:hAnsi="Times New Roman" w:cs="Times New Roman"/>
          <w:lang w:val="en-MY"/>
        </w:rPr>
        <w:t>Chen J, Liu C, Liu H, et al., 2022, Zero-Voltage Switching Full-Bridge Converter with Reduced Filter Requirement and Wide ZVS Range for Variable Output Application. IEEE Transactions on Industrial Electronics, 69(7): 6805–6816.</w:t>
      </w:r>
    </w:p>
    <w:p w14:paraId="0163A31B" w14:textId="77777777" w:rsidR="00E50D62" w:rsidRDefault="00E50D62" w:rsidP="00E50D62">
      <w:pPr>
        <w:pStyle w:val="BodyText"/>
        <w:snapToGrid w:val="0"/>
        <w:spacing w:before="0" w:after="0"/>
        <w:jc w:val="both"/>
        <w:rPr>
          <w:rFonts w:ascii="Times New Roman" w:hAnsi="Times New Roman" w:cs="Times New Roman"/>
        </w:rPr>
      </w:pPr>
    </w:p>
    <w:p w14:paraId="7424568E" w14:textId="77777777" w:rsidR="00E50D62" w:rsidRPr="00E50D62" w:rsidRDefault="00E50D62" w:rsidP="00E50D62">
      <w:pPr>
        <w:pStyle w:val="References"/>
        <w:numPr>
          <w:ilvl w:val="0"/>
          <w:numId w:val="0"/>
        </w:numPr>
        <w:snapToGrid w:val="0"/>
        <w:rPr>
          <w:b/>
          <w:bCs/>
          <w:sz w:val="20"/>
          <w:szCs w:val="20"/>
        </w:rPr>
      </w:pPr>
      <w:r w:rsidRPr="00E50D62">
        <w:rPr>
          <w:b/>
          <w:bCs/>
          <w:sz w:val="20"/>
          <w:szCs w:val="20"/>
        </w:rPr>
        <w:t>Publisher’s note</w:t>
      </w:r>
    </w:p>
    <w:p w14:paraId="311980D8" w14:textId="77777777" w:rsidR="00E50D62" w:rsidRPr="000C05D9" w:rsidRDefault="00E50D62" w:rsidP="000C05D9">
      <w:pPr>
        <w:snapToGrid w:val="0"/>
        <w:spacing w:after="0"/>
        <w:jc w:val="both"/>
        <w:rPr>
          <w:rFonts w:ascii="Times New Roman" w:hAnsi="Times New Roman" w:cs="Times New Roman"/>
          <w:bCs/>
          <w:sz w:val="20"/>
          <w:szCs w:val="20"/>
        </w:rPr>
      </w:pPr>
      <w:r w:rsidRPr="000C05D9">
        <w:rPr>
          <w:rFonts w:ascii="Times New Roman" w:hAnsi="Times New Roman" w:cs="Times New Roman"/>
          <w:bCs/>
          <w:sz w:val="20"/>
          <w:szCs w:val="20"/>
        </w:rPr>
        <w:t xml:space="preserve">Bio-Byword Scientific Publishing remains neutral with regard to jurisdictional claims in published maps and institutional affiliations. </w:t>
      </w:r>
    </w:p>
    <w:p w14:paraId="57CBB10F" w14:textId="77777777" w:rsidR="00E50D62" w:rsidRDefault="00E50D62" w:rsidP="000C05D9">
      <w:pPr>
        <w:pStyle w:val="BodyText"/>
        <w:snapToGrid w:val="0"/>
        <w:spacing w:before="0" w:after="0"/>
        <w:jc w:val="both"/>
        <w:rPr>
          <w:rFonts w:ascii="Times New Roman" w:hAnsi="Times New Roman" w:cs="Times New Roman"/>
        </w:rPr>
      </w:pPr>
    </w:p>
    <w:p w14:paraId="4680D8BB" w14:textId="77777777" w:rsidR="00FF5833" w:rsidRDefault="00FF5833" w:rsidP="000C05D9">
      <w:pPr>
        <w:pStyle w:val="BodyText"/>
        <w:snapToGrid w:val="0"/>
        <w:spacing w:before="0" w:after="0"/>
        <w:jc w:val="both"/>
        <w:rPr>
          <w:rFonts w:ascii="Times New Roman" w:hAnsi="Times New Roman" w:cs="Times New Roman"/>
        </w:rPr>
      </w:pPr>
    </w:p>
    <w:sectPr w:rsidR="00FF5833" w:rsidSect="000C05D9">
      <w:pgSz w:w="12240" w:h="15840"/>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EF50B" w14:textId="77777777" w:rsidR="00DD175B" w:rsidRDefault="00DD175B">
      <w:pPr>
        <w:spacing w:after="0"/>
      </w:pPr>
      <w:r>
        <w:separator/>
      </w:r>
    </w:p>
  </w:endnote>
  <w:endnote w:type="continuationSeparator" w:id="0">
    <w:p w14:paraId="5816FADC" w14:textId="77777777" w:rsidR="00DD175B" w:rsidRDefault="00DD175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PMingLiU">
    <w:panose1 w:val="02010601000101010101"/>
    <w:charset w:val="88"/>
    <w:family w:val="roman"/>
    <w:pitch w:val="variable"/>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F6342" w14:textId="77777777" w:rsidR="00DD175B" w:rsidRDefault="00DD175B">
      <w:pPr>
        <w:spacing w:after="0"/>
      </w:pPr>
      <w:r>
        <w:separator/>
      </w:r>
    </w:p>
  </w:footnote>
  <w:footnote w:type="continuationSeparator" w:id="0">
    <w:p w14:paraId="76269614" w14:textId="77777777" w:rsidR="00DD175B" w:rsidRDefault="00DD175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877D64"/>
    <w:multiLevelType w:val="singleLevel"/>
    <w:tmpl w:val="3A877D64"/>
    <w:lvl w:ilvl="0">
      <w:start w:val="1"/>
      <w:numFmt w:val="decimal"/>
      <w:pStyle w:val="References"/>
      <w:lvlText w:val="[%1]"/>
      <w:lvlJc w:val="left"/>
      <w:pPr>
        <w:tabs>
          <w:tab w:val="left" w:pos="360"/>
        </w:tabs>
        <w:ind w:left="360" w:hanging="360"/>
      </w:pPr>
      <w:rPr>
        <w:rFonts w:hint="eastAsia"/>
      </w:rPr>
    </w:lvl>
  </w:abstractNum>
  <w:num w:numId="1" w16cid:durableId="20235121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418"/>
    <w:rsid w:val="00027EDC"/>
    <w:rsid w:val="000A1B21"/>
    <w:rsid w:val="000C05D9"/>
    <w:rsid w:val="00156F9A"/>
    <w:rsid w:val="001814FD"/>
    <w:rsid w:val="00196B82"/>
    <w:rsid w:val="001B74B3"/>
    <w:rsid w:val="001C4F91"/>
    <w:rsid w:val="00262BFE"/>
    <w:rsid w:val="002A4C1C"/>
    <w:rsid w:val="002A5309"/>
    <w:rsid w:val="00337C34"/>
    <w:rsid w:val="003626D5"/>
    <w:rsid w:val="0036690A"/>
    <w:rsid w:val="0042479D"/>
    <w:rsid w:val="00433AEE"/>
    <w:rsid w:val="004A552C"/>
    <w:rsid w:val="00504911"/>
    <w:rsid w:val="005106F2"/>
    <w:rsid w:val="00541471"/>
    <w:rsid w:val="00556341"/>
    <w:rsid w:val="00606663"/>
    <w:rsid w:val="00632E96"/>
    <w:rsid w:val="006727C9"/>
    <w:rsid w:val="006F3DB6"/>
    <w:rsid w:val="00803C4C"/>
    <w:rsid w:val="008062B9"/>
    <w:rsid w:val="00844AF9"/>
    <w:rsid w:val="00900013"/>
    <w:rsid w:val="0093576E"/>
    <w:rsid w:val="009C5418"/>
    <w:rsid w:val="009F5D81"/>
    <w:rsid w:val="00A91C5F"/>
    <w:rsid w:val="00AC481E"/>
    <w:rsid w:val="00AD4128"/>
    <w:rsid w:val="00B10353"/>
    <w:rsid w:val="00B20D1B"/>
    <w:rsid w:val="00BC6E62"/>
    <w:rsid w:val="00C81B4D"/>
    <w:rsid w:val="00CB5253"/>
    <w:rsid w:val="00DD175B"/>
    <w:rsid w:val="00DF5D02"/>
    <w:rsid w:val="00E50D62"/>
    <w:rsid w:val="00E53D9D"/>
    <w:rsid w:val="00E7328D"/>
    <w:rsid w:val="00E86C3D"/>
    <w:rsid w:val="00EA46BE"/>
    <w:rsid w:val="00EF236B"/>
    <w:rsid w:val="00FD0F52"/>
    <w:rsid w:val="00FE3AD4"/>
    <w:rsid w:val="00FF5833"/>
    <w:rsid w:val="4BE73AE7"/>
    <w:rsid w:val="501147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3C35F"/>
  <w15:docId w15:val="{F94D9212-91C9-44E4-A1DA-5AEA87CC7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MY"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footnote text" w:uiPriority="9" w:unhideWhenUsed="1" w:qFormat="1"/>
    <w:lsdException w:name="header" w:qFormat="1"/>
    <w:lsdException w:name="footer" w:qFormat="1"/>
    <w:lsdException w:name="caption" w:qFormat="1"/>
    <w:lsdException w:name="footnote reference" w:qFormat="1"/>
    <w:lsdException w:name="Title" w:qFormat="1"/>
    <w:lsdException w:name="Default Paragraph Font" w:uiPriority="1" w:unhideWhenUsed="1" w:qFormat="1"/>
    <w:lsdException w:name="Body Text" w:qFormat="1"/>
    <w:lsdException w:name="Subtitle" w:qFormat="1"/>
    <w:lsdException w:name="Date" w:qFormat="1"/>
    <w:lsdException w:name="Block Text" w:uiPriority="9" w:unhideWhenUsed="1" w:qFormat="1"/>
    <w:lsdException w:name="Hyperlink"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qFormat="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pPr>
    <w:rPr>
      <w:sz w:val="24"/>
      <w:szCs w:val="24"/>
      <w:lang w:val="en-US" w:eastAsia="en-US"/>
    </w:r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styleId="Caption">
    <w:name w:val="caption"/>
    <w:basedOn w:val="Normal"/>
    <w:link w:val="CaptionChar"/>
    <w:qFormat/>
    <w:pPr>
      <w:spacing w:after="120"/>
    </w:pPr>
    <w:rPr>
      <w:i/>
    </w:rPr>
  </w:style>
  <w:style w:type="paragraph" w:styleId="BlockText">
    <w:name w:val="Block Text"/>
    <w:basedOn w:val="BodyText"/>
    <w:next w:val="BodyText"/>
    <w:uiPriority w:val="9"/>
    <w:unhideWhenUsed/>
    <w:qFormat/>
    <w:pPr>
      <w:spacing w:before="100" w:after="100"/>
      <w:ind w:left="480" w:right="480"/>
    </w:pPr>
  </w:style>
  <w:style w:type="paragraph" w:styleId="Date">
    <w:name w:val="Date"/>
    <w:next w:val="BodyText"/>
    <w:qFormat/>
    <w:pPr>
      <w:keepNext/>
      <w:keepLines/>
      <w:spacing w:after="200"/>
      <w:jc w:val="center"/>
    </w:pPr>
    <w:rPr>
      <w:sz w:val="24"/>
      <w:szCs w:val="24"/>
      <w:lang w:val="en-US" w:eastAsia="en-US"/>
    </w:rPr>
  </w:style>
  <w:style w:type="paragraph" w:styleId="Footer">
    <w:name w:val="footer"/>
    <w:basedOn w:val="Normal"/>
    <w:link w:val="FooterChar"/>
    <w:qFormat/>
    <w:pPr>
      <w:tabs>
        <w:tab w:val="center" w:pos="4153"/>
        <w:tab w:val="right" w:pos="8306"/>
      </w:tabs>
      <w:snapToGrid w:val="0"/>
    </w:pPr>
    <w:rPr>
      <w:sz w:val="18"/>
      <w:szCs w:val="18"/>
    </w:rPr>
  </w:style>
  <w:style w:type="paragraph" w:styleId="Header">
    <w:name w:val="header"/>
    <w:basedOn w:val="Normal"/>
    <w:link w:val="HeaderChar"/>
    <w:qFormat/>
    <w:pPr>
      <w:tabs>
        <w:tab w:val="center" w:pos="4153"/>
        <w:tab w:val="right" w:pos="8306"/>
      </w:tabs>
      <w:snapToGrid w:val="0"/>
      <w:jc w:val="center"/>
    </w:pPr>
    <w:rPr>
      <w:sz w:val="18"/>
      <w:szCs w:val="18"/>
    </w:rPr>
  </w:style>
  <w:style w:type="paragraph" w:styleId="Subtitle">
    <w:name w:val="Subtitle"/>
    <w:basedOn w:val="Title"/>
    <w:next w:val="BodyText"/>
    <w:qFormat/>
    <w:pPr>
      <w:spacing w:before="240"/>
    </w:pPr>
    <w:rPr>
      <w:sz w:val="30"/>
      <w:szCs w:val="30"/>
    </w:r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FootnoteText">
    <w:name w:val="footnote text"/>
    <w:basedOn w:val="Normal"/>
    <w:uiPriority w:val="9"/>
    <w:unhideWhenUsed/>
    <w:qFormat/>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CaptionChar"/>
    <w:qFormat/>
    <w:rPr>
      <w:color w:val="4F81BD" w:themeColor="accent1"/>
    </w:rPr>
  </w:style>
  <w:style w:type="character" w:customStyle="1" w:styleId="CaptionChar">
    <w:name w:val="Caption Char"/>
    <w:basedOn w:val="DefaultParagraphFont"/>
    <w:link w:val="Caption"/>
    <w:qFormat/>
  </w:style>
  <w:style w:type="character" w:styleId="FootnoteReference">
    <w:name w:val="footnote reference"/>
    <w:basedOn w:val="CaptionChar"/>
    <w:qFormat/>
    <w:rPr>
      <w:vertAlign w:val="superscript"/>
    </w:r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customStyle="1" w:styleId="Author">
    <w:name w:val="Author"/>
    <w:next w:val="BodyText"/>
    <w:qFormat/>
    <w:pPr>
      <w:keepNext/>
      <w:keepLines/>
      <w:spacing w:after="200"/>
      <w:jc w:val="center"/>
    </w:pPr>
    <w:rPr>
      <w:sz w:val="24"/>
      <w:szCs w:val="24"/>
      <w:lang w:val="en-US" w:eastAsia="en-US"/>
    </w:rPr>
  </w:style>
  <w:style w:type="paragraph" w:customStyle="1" w:styleId="AbstractTitle">
    <w:name w:val="Abstract Title"/>
    <w:basedOn w:val="Normal"/>
    <w:next w:val="Abstract"/>
    <w:qFormat/>
    <w:pPr>
      <w:keepNext/>
      <w:keepLines/>
      <w:spacing w:before="300" w:after="0"/>
      <w:jc w:val="center"/>
    </w:pPr>
    <w:rPr>
      <w:b/>
      <w:color w:val="345A8A"/>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customStyle="1" w:styleId="Bibliography1">
    <w:name w:val="Bibliography1"/>
    <w:basedOn w:val="Normal"/>
    <w:qFormat/>
  </w:style>
  <w:style w:type="paragraph" w:customStyle="1" w:styleId="FootnoteBlockText">
    <w:name w:val="Footnote Block Text"/>
    <w:uiPriority w:val="9"/>
    <w:unhideWhenUsed/>
    <w:qFormat/>
    <w:pPr>
      <w:spacing w:before="100" w:after="100"/>
      <w:ind w:left="480" w:right="480"/>
    </w:pPr>
    <w:rPr>
      <w:sz w:val="24"/>
      <w:szCs w:val="24"/>
      <w:lang w:val="en-US" w:eastAsia="en-US"/>
    </w:rPr>
  </w:style>
  <w:style w:type="table" w:customStyle="1" w:styleId="Table">
    <w:name w:val="Table"/>
    <w:semiHidden/>
    <w:unhideWhenUsed/>
    <w:qFormat/>
    <w:tblPr>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Normal"/>
    <w:next w:val="Definition"/>
    <w:qFormat/>
    <w:pPr>
      <w:keepNext/>
      <w:keepLines/>
      <w:spacing w:after="0"/>
    </w:pPr>
    <w:rPr>
      <w:b/>
    </w:rPr>
  </w:style>
  <w:style w:type="paragraph" w:customStyle="1" w:styleId="Definition">
    <w:name w:val="Definition"/>
    <w:basedOn w:val="Normal"/>
    <w:qFormat/>
  </w:style>
  <w:style w:type="paragraph" w:customStyle="1" w:styleId="TableCaption">
    <w:name w:val="Table Caption"/>
    <w:basedOn w:val="Caption"/>
    <w:qFormat/>
    <w:pPr>
      <w:keepNext/>
    </w:pPr>
  </w:style>
  <w:style w:type="paragraph" w:customStyle="1" w:styleId="ImageCaption">
    <w:name w:val="Image Caption"/>
    <w:basedOn w:val="Caption"/>
    <w:qFormat/>
  </w:style>
  <w:style w:type="paragraph" w:customStyle="1" w:styleId="Figure">
    <w:name w:val="Figure"/>
    <w:basedOn w:val="Normal"/>
    <w:qFormat/>
  </w:style>
  <w:style w:type="paragraph" w:customStyle="1" w:styleId="CaptionedFigure">
    <w:name w:val="Captioned Figure"/>
    <w:basedOn w:val="Figure"/>
    <w:qFormat/>
    <w:pPr>
      <w:keepNext/>
    </w:pPr>
  </w:style>
  <w:style w:type="character" w:customStyle="1" w:styleId="VerbatimChar">
    <w:name w:val="Verbatim Char"/>
    <w:basedOn w:val="CaptionChar"/>
    <w:link w:val="SourceCode"/>
    <w:qFormat/>
    <w:rPr>
      <w:rFonts w:ascii="Consolas" w:hAnsi="Consolas"/>
      <w:sz w:val="22"/>
    </w:rPr>
  </w:style>
  <w:style w:type="paragraph" w:customStyle="1" w:styleId="SourceCode">
    <w:name w:val="Source Code"/>
    <w:basedOn w:val="Normal"/>
    <w:link w:val="VerbatimChar"/>
    <w:qFormat/>
    <w:pPr>
      <w:wordWrap w:val="0"/>
    </w:pPr>
  </w:style>
  <w:style w:type="character" w:customStyle="1" w:styleId="SectionNumber">
    <w:name w:val="Section Number"/>
    <w:basedOn w:val="CaptionChar"/>
    <w:qFormat/>
  </w:style>
  <w:style w:type="paragraph" w:customStyle="1" w:styleId="TOCHeading1">
    <w:name w:val="TOC Heading1"/>
    <w:basedOn w:val="Heading1"/>
    <w:next w:val="BodyText"/>
    <w:uiPriority w:val="39"/>
    <w:unhideWhenUsed/>
    <w:qFormat/>
    <w:pPr>
      <w:spacing w:before="240" w:line="259" w:lineRule="auto"/>
      <w:outlineLvl w:val="9"/>
    </w:pPr>
    <w:rPr>
      <w:b w:val="0"/>
      <w:bCs w:val="0"/>
      <w:color w:val="365F91" w:themeColor="accent1" w:themeShade="BF"/>
    </w:rPr>
  </w:style>
  <w:style w:type="character" w:customStyle="1" w:styleId="KeywordTok">
    <w:name w:val="KeywordTok"/>
    <w:basedOn w:val="VerbatimChar"/>
    <w:qFormat/>
    <w:rPr>
      <w:rFonts w:ascii="Consolas" w:hAnsi="Consolas"/>
      <w:b/>
      <w:color w:val="007020"/>
      <w:sz w:val="22"/>
    </w:rPr>
  </w:style>
  <w:style w:type="character" w:customStyle="1" w:styleId="DataTypeTok">
    <w:name w:val="DataTypeTok"/>
    <w:basedOn w:val="VerbatimChar"/>
    <w:qFormat/>
    <w:rPr>
      <w:rFonts w:ascii="Consolas" w:hAnsi="Consolas"/>
      <w:color w:val="902000"/>
      <w:sz w:val="22"/>
    </w:rPr>
  </w:style>
  <w:style w:type="character" w:customStyle="1" w:styleId="DecValTok">
    <w:name w:val="DecValTok"/>
    <w:basedOn w:val="VerbatimChar"/>
    <w:qFormat/>
    <w:rPr>
      <w:rFonts w:ascii="Consolas" w:hAnsi="Consolas"/>
      <w:color w:val="40A070"/>
      <w:sz w:val="22"/>
    </w:rPr>
  </w:style>
  <w:style w:type="character" w:customStyle="1" w:styleId="BaseNTok">
    <w:name w:val="BaseNTok"/>
    <w:basedOn w:val="VerbatimChar"/>
    <w:qFormat/>
    <w:rPr>
      <w:rFonts w:ascii="Consolas" w:hAnsi="Consolas"/>
      <w:color w:val="40A070"/>
      <w:sz w:val="22"/>
    </w:rPr>
  </w:style>
  <w:style w:type="character" w:customStyle="1" w:styleId="FloatTok">
    <w:name w:val="FloatTok"/>
    <w:basedOn w:val="VerbatimChar"/>
    <w:qFormat/>
    <w:rPr>
      <w:rFonts w:ascii="Consolas" w:hAnsi="Consolas"/>
      <w:color w:val="40A070"/>
      <w:sz w:val="22"/>
    </w:rPr>
  </w:style>
  <w:style w:type="character" w:customStyle="1" w:styleId="ConstantTok">
    <w:name w:val="ConstantTok"/>
    <w:basedOn w:val="VerbatimChar"/>
    <w:qFormat/>
    <w:rPr>
      <w:rFonts w:ascii="Consolas" w:hAnsi="Consolas"/>
      <w:color w:val="880000"/>
      <w:sz w:val="22"/>
    </w:rPr>
  </w:style>
  <w:style w:type="character" w:customStyle="1" w:styleId="CharTok">
    <w:name w:val="CharTok"/>
    <w:basedOn w:val="VerbatimChar"/>
    <w:qFormat/>
    <w:rPr>
      <w:rFonts w:ascii="Consolas" w:hAnsi="Consolas"/>
      <w:color w:val="4070A0"/>
      <w:sz w:val="22"/>
    </w:rPr>
  </w:style>
  <w:style w:type="character" w:customStyle="1" w:styleId="SpecialCharTok">
    <w:name w:val="SpecialCharTok"/>
    <w:basedOn w:val="VerbatimChar"/>
    <w:qFormat/>
    <w:rPr>
      <w:rFonts w:ascii="Consolas" w:hAnsi="Consolas"/>
      <w:color w:val="4070A0"/>
      <w:sz w:val="22"/>
    </w:rPr>
  </w:style>
  <w:style w:type="character" w:customStyle="1" w:styleId="StringTok">
    <w:name w:val="StringTok"/>
    <w:basedOn w:val="VerbatimChar"/>
    <w:qFormat/>
    <w:rPr>
      <w:rFonts w:ascii="Consolas" w:hAnsi="Consolas"/>
      <w:color w:val="4070A0"/>
      <w:sz w:val="22"/>
    </w:rPr>
  </w:style>
  <w:style w:type="character" w:customStyle="1" w:styleId="VerbatimStringTok">
    <w:name w:val="VerbatimStringTok"/>
    <w:basedOn w:val="VerbatimChar"/>
    <w:qFormat/>
    <w:rPr>
      <w:rFonts w:ascii="Consolas" w:hAnsi="Consolas"/>
      <w:color w:val="4070A0"/>
      <w:sz w:val="22"/>
    </w:rPr>
  </w:style>
  <w:style w:type="character" w:customStyle="1" w:styleId="SpecialStringTok">
    <w:name w:val="SpecialStringTok"/>
    <w:basedOn w:val="VerbatimChar"/>
    <w:qFormat/>
    <w:rPr>
      <w:rFonts w:ascii="Consolas" w:hAnsi="Consolas"/>
      <w:color w:val="BB6688"/>
      <w:sz w:val="22"/>
    </w:rPr>
  </w:style>
  <w:style w:type="character" w:customStyle="1" w:styleId="ImportTok">
    <w:name w:val="ImportTok"/>
    <w:basedOn w:val="VerbatimChar"/>
    <w:qFormat/>
    <w:rPr>
      <w:rFonts w:ascii="Consolas" w:hAnsi="Consolas"/>
      <w:b/>
      <w:color w:val="008000"/>
      <w:sz w:val="22"/>
    </w:rPr>
  </w:style>
  <w:style w:type="character" w:customStyle="1" w:styleId="CommentTok">
    <w:name w:val="CommentTok"/>
    <w:basedOn w:val="VerbatimChar"/>
    <w:qFormat/>
    <w:rPr>
      <w:rFonts w:ascii="Consolas" w:hAnsi="Consolas"/>
      <w:i/>
      <w:color w:val="60A0B0"/>
      <w:sz w:val="22"/>
    </w:rPr>
  </w:style>
  <w:style w:type="character" w:customStyle="1" w:styleId="DocumentationTok">
    <w:name w:val="DocumentationTok"/>
    <w:basedOn w:val="VerbatimChar"/>
    <w:qFormat/>
    <w:rPr>
      <w:rFonts w:ascii="Consolas" w:hAnsi="Consolas"/>
      <w:i/>
      <w:color w:val="BA2121"/>
      <w:sz w:val="22"/>
    </w:rPr>
  </w:style>
  <w:style w:type="character" w:customStyle="1" w:styleId="AnnotationTok">
    <w:name w:val="AnnotationTok"/>
    <w:basedOn w:val="VerbatimChar"/>
    <w:qFormat/>
    <w:rPr>
      <w:rFonts w:ascii="Consolas" w:hAnsi="Consolas"/>
      <w:b/>
      <w:i/>
      <w:color w:val="60A0B0"/>
      <w:sz w:val="22"/>
    </w:rPr>
  </w:style>
  <w:style w:type="character" w:customStyle="1" w:styleId="CommentVarTok">
    <w:name w:val="CommentVarTok"/>
    <w:basedOn w:val="VerbatimChar"/>
    <w:qFormat/>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qFormat/>
    <w:rPr>
      <w:rFonts w:ascii="Consolas" w:hAnsi="Consolas"/>
      <w:color w:val="06287E"/>
      <w:sz w:val="22"/>
    </w:rPr>
  </w:style>
  <w:style w:type="character" w:customStyle="1" w:styleId="VariableTok">
    <w:name w:val="VariableTok"/>
    <w:basedOn w:val="VerbatimChar"/>
    <w:qFormat/>
    <w:rPr>
      <w:rFonts w:ascii="Consolas" w:hAnsi="Consolas"/>
      <w:color w:val="19177C"/>
      <w:sz w:val="22"/>
    </w:rPr>
  </w:style>
  <w:style w:type="character" w:customStyle="1" w:styleId="ControlFlowTok">
    <w:name w:val="ControlFlowTok"/>
    <w:basedOn w:val="VerbatimChar"/>
    <w:qFormat/>
    <w:rPr>
      <w:rFonts w:ascii="Consolas" w:hAnsi="Consolas"/>
      <w:b/>
      <w:color w:val="007020"/>
      <w:sz w:val="22"/>
    </w:rPr>
  </w:style>
  <w:style w:type="character" w:customStyle="1" w:styleId="OperatorTok">
    <w:name w:val="OperatorTok"/>
    <w:basedOn w:val="VerbatimChar"/>
    <w:qFormat/>
    <w:rPr>
      <w:rFonts w:ascii="Consolas" w:hAnsi="Consolas"/>
      <w:color w:val="666666"/>
      <w:sz w:val="22"/>
    </w:rPr>
  </w:style>
  <w:style w:type="character" w:customStyle="1" w:styleId="BuiltInTok">
    <w:name w:val="BuiltInTok"/>
    <w:basedOn w:val="VerbatimChar"/>
    <w:qFormat/>
    <w:rPr>
      <w:rFonts w:ascii="Consolas" w:hAnsi="Consolas"/>
      <w:color w:val="008000"/>
      <w:sz w:val="22"/>
    </w:rPr>
  </w:style>
  <w:style w:type="character" w:customStyle="1" w:styleId="ExtensionTok">
    <w:name w:val="ExtensionTok"/>
    <w:basedOn w:val="VerbatimChar"/>
    <w:qFormat/>
    <w:rPr>
      <w:rFonts w:ascii="Consolas" w:hAnsi="Consolas"/>
      <w:sz w:val="22"/>
    </w:rPr>
  </w:style>
  <w:style w:type="character" w:customStyle="1" w:styleId="PreprocessorTok">
    <w:name w:val="PreprocessorTok"/>
    <w:basedOn w:val="VerbatimChar"/>
    <w:qFormat/>
    <w:rPr>
      <w:rFonts w:ascii="Consolas" w:hAnsi="Consolas"/>
      <w:color w:val="BC7A00"/>
      <w:sz w:val="22"/>
    </w:rPr>
  </w:style>
  <w:style w:type="character" w:customStyle="1" w:styleId="AttributeTok">
    <w:name w:val="AttributeTok"/>
    <w:basedOn w:val="VerbatimChar"/>
    <w:qFormat/>
    <w:rPr>
      <w:rFonts w:ascii="Consolas" w:hAnsi="Consolas"/>
      <w:color w:val="7D9029"/>
      <w:sz w:val="22"/>
    </w:rPr>
  </w:style>
  <w:style w:type="character" w:customStyle="1" w:styleId="RegionMarkerTok">
    <w:name w:val="RegionMarkerTok"/>
    <w:basedOn w:val="VerbatimChar"/>
    <w:qFormat/>
    <w:rPr>
      <w:rFonts w:ascii="Consolas" w:hAnsi="Consolas"/>
      <w:sz w:val="22"/>
    </w:rPr>
  </w:style>
  <w:style w:type="character" w:customStyle="1" w:styleId="InformationTok">
    <w:name w:val="InformationTok"/>
    <w:basedOn w:val="VerbatimChar"/>
    <w:qFormat/>
    <w:rPr>
      <w:rFonts w:ascii="Consolas" w:hAnsi="Consolas"/>
      <w:b/>
      <w:i/>
      <w:color w:val="60A0B0"/>
      <w:sz w:val="22"/>
    </w:rPr>
  </w:style>
  <w:style w:type="character" w:customStyle="1" w:styleId="WarningTok">
    <w:name w:val="WarningTok"/>
    <w:basedOn w:val="VerbatimChar"/>
    <w:qFormat/>
    <w:rPr>
      <w:rFonts w:ascii="Consolas" w:hAnsi="Consolas"/>
      <w:b/>
      <w:i/>
      <w:color w:val="60A0B0"/>
      <w:sz w:val="22"/>
    </w:rPr>
  </w:style>
  <w:style w:type="character" w:customStyle="1" w:styleId="AlertTok">
    <w:name w:val="AlertTok"/>
    <w:basedOn w:val="VerbatimChar"/>
    <w:qFormat/>
    <w:rPr>
      <w:rFonts w:ascii="Consolas" w:hAnsi="Consolas"/>
      <w:b/>
      <w:color w:val="FF0000"/>
      <w:sz w:val="22"/>
    </w:rPr>
  </w:style>
  <w:style w:type="character" w:customStyle="1" w:styleId="ErrorTok">
    <w:name w:val="ErrorTok"/>
    <w:basedOn w:val="VerbatimChar"/>
    <w:qFormat/>
    <w:rPr>
      <w:rFonts w:ascii="Consolas" w:hAnsi="Consolas"/>
      <w:b/>
      <w:color w:val="FF0000"/>
      <w:sz w:val="22"/>
    </w:rPr>
  </w:style>
  <w:style w:type="character" w:customStyle="1" w:styleId="NormalTok">
    <w:name w:val="NormalTok"/>
    <w:basedOn w:val="VerbatimChar"/>
    <w:qFormat/>
    <w:rPr>
      <w:rFonts w:ascii="Consolas" w:hAnsi="Consolas"/>
      <w:sz w:val="22"/>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styleId="PlaceholderText">
    <w:name w:val="Placeholder Text"/>
    <w:basedOn w:val="DefaultParagraphFont"/>
    <w:qFormat/>
    <w:rPr>
      <w:color w:val="666666"/>
    </w:rPr>
  </w:style>
  <w:style w:type="character" w:customStyle="1" w:styleId="HeaderChar">
    <w:name w:val="Header Char"/>
    <w:basedOn w:val="DefaultParagraphFont"/>
    <w:link w:val="Header"/>
    <w:qFormat/>
    <w:rPr>
      <w:sz w:val="18"/>
      <w:szCs w:val="18"/>
    </w:rPr>
  </w:style>
  <w:style w:type="character" w:customStyle="1" w:styleId="FooterChar">
    <w:name w:val="Footer Char"/>
    <w:basedOn w:val="DefaultParagraphFont"/>
    <w:link w:val="Footer"/>
    <w:qFormat/>
    <w:rPr>
      <w:sz w:val="18"/>
      <w:szCs w:val="18"/>
    </w:rPr>
  </w:style>
  <w:style w:type="paragraph" w:styleId="Revision">
    <w:name w:val="Revision"/>
    <w:hidden/>
    <w:uiPriority w:val="99"/>
    <w:unhideWhenUsed/>
    <w:rsid w:val="00E7328D"/>
    <w:rPr>
      <w:sz w:val="24"/>
      <w:szCs w:val="24"/>
      <w:lang w:val="en-US" w:eastAsia="en-US"/>
    </w:rPr>
  </w:style>
  <w:style w:type="paragraph" w:customStyle="1" w:styleId="References">
    <w:name w:val="References"/>
    <w:basedOn w:val="Normal"/>
    <w:qFormat/>
    <w:rsid w:val="00E50D62"/>
    <w:pPr>
      <w:numPr>
        <w:numId w:val="1"/>
      </w:numPr>
      <w:autoSpaceDE w:val="0"/>
      <w:autoSpaceDN w:val="0"/>
      <w:spacing w:after="0"/>
      <w:jc w:val="both"/>
    </w:pPr>
    <w:rPr>
      <w:rFonts w:ascii="Times New Roman" w:eastAsia="PMingLiU"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3655</Words>
  <Characters>20837</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基于 PSFB 拓扑与自动变频策略的高压恒压恒流电源设计</vt:lpstr>
    </vt:vector>
  </TitlesOfParts>
  <Company/>
  <LinksUpToDate>false</LinksUpToDate>
  <CharactersWithSpaces>24444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基于 PSFB 拓扑与自动变频策略的高压恒压恒流电源设计</dc:title>
  <dc:creator>作者姓名、作者单位（投稿前替换）</dc:creator>
  <cp:lastModifiedBy>Acer NB1</cp:lastModifiedBy>
  <cp:revision>3</cp:revision>
  <dcterms:created xsi:type="dcterms:W3CDTF">2026-07-14T08:57:00Z</dcterms:created>
  <dcterms:modified xsi:type="dcterms:W3CDTF">2026-07-14T08:58:00Z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eyJoZGlkIjoiYzEzOWZlYzFlNTk2MmQzMDQwMDE5MjliMjM5ODUzNjEiLCJ1c2VySWQiOiI2NTQ2OTg3NDEifQ==</vt:lpwstr>
  </property>
  <property fmtid="{D5CDD505-2E9C-101B-9397-08002B2CF9AE}" pid="3" name="KSOProductBuildVer">
    <vt:lpwstr>2052-12.1.0.26895</vt:lpwstr>
  </property>
  <property fmtid="{D5CDD505-2E9C-101B-9397-08002B2CF9AE}" pid="4" name="ICV">
    <vt:lpwstr>9B992CBB7FFF46AA91125CC27A2FFF28_12</vt:lpwstr>
  </property>
  <property fmtid="{D5CDD505-2E9C-101B-9397-08002B2CF9AE}" pid="5" name="GrammarlyDocumentId">
    <vt:lpwstr>d621650a-e82e-400e-aa5f-4c9d9a8d3efa</vt:lpwstr>
  </property>
</Properties>
</file>