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DD671" w14:textId="77777777" w:rsidR="00883C5E" w:rsidRPr="005A0E0C" w:rsidRDefault="001769B0" w:rsidP="005A0E0C">
      <w:pPr>
        <w:snapToGrid w:val="0"/>
        <w:jc w:val="left"/>
        <w:rPr>
          <w:rFonts w:ascii="Times New Roman" w:hAnsi="Times New Roman" w:cs="Times New Roman"/>
          <w:sz w:val="44"/>
          <w:szCs w:val="44"/>
        </w:rPr>
      </w:pPr>
      <w:r w:rsidRPr="005A0E0C">
        <w:rPr>
          <w:rFonts w:ascii="Times New Roman" w:eastAsia="DengXian" w:hAnsi="Times New Roman" w:cs="Times New Roman"/>
          <w:b/>
          <w:sz w:val="44"/>
          <w:szCs w:val="44"/>
        </w:rPr>
        <w:t>Research on the Construction of a Digital Credit Bank System for Vocational Education Students Based on Blockchain Technology</w:t>
      </w:r>
    </w:p>
    <w:p w14:paraId="27A254C9" w14:textId="77777777" w:rsidR="00883C5E" w:rsidRPr="005A0E0C" w:rsidRDefault="001769B0" w:rsidP="005A0E0C">
      <w:pPr>
        <w:snapToGrid w:val="0"/>
        <w:jc w:val="left"/>
        <w:rPr>
          <w:rFonts w:ascii="Times New Roman" w:eastAsia="DengXian" w:hAnsi="Times New Roman" w:cs="Times New Roman"/>
          <w:sz w:val="24"/>
          <w:szCs w:val="24"/>
        </w:rPr>
      </w:pPr>
      <w:proofErr w:type="spellStart"/>
      <w:r w:rsidRPr="005A0E0C">
        <w:rPr>
          <w:rFonts w:ascii="Times New Roman" w:eastAsia="DengXian" w:hAnsi="Times New Roman" w:cs="Times New Roman"/>
          <w:b/>
          <w:bCs/>
          <w:sz w:val="24"/>
          <w:szCs w:val="24"/>
        </w:rPr>
        <w:t>Quanwei</w:t>
      </w:r>
      <w:proofErr w:type="spellEnd"/>
      <w:r w:rsidRPr="005A0E0C">
        <w:rPr>
          <w:rFonts w:ascii="Times New Roman" w:eastAsia="DengXian" w:hAnsi="Times New Roman" w:cs="Times New Roman" w:hint="eastAsia"/>
          <w:b/>
          <w:bCs/>
          <w:sz w:val="24"/>
          <w:szCs w:val="24"/>
          <w:lang w:val="en-US"/>
        </w:rPr>
        <w:t xml:space="preserve"> </w:t>
      </w:r>
      <w:r w:rsidRPr="005A0E0C">
        <w:rPr>
          <w:rFonts w:ascii="Times New Roman" w:eastAsia="DengXian" w:hAnsi="Times New Roman" w:cs="Times New Roman"/>
          <w:b/>
          <w:bCs/>
          <w:sz w:val="24"/>
          <w:szCs w:val="24"/>
        </w:rPr>
        <w:t>Zeng</w:t>
      </w:r>
      <w:r w:rsidRPr="005A0E0C">
        <w:rPr>
          <w:rFonts w:ascii="Times New Roman" w:eastAsia="DengXian" w:hAnsi="Times New Roman" w:cs="Times New Roman"/>
          <w:sz w:val="24"/>
          <w:szCs w:val="24"/>
        </w:rPr>
        <w:t xml:space="preserve"> </w:t>
      </w:r>
      <w:r w:rsidRPr="005A0E0C">
        <w:rPr>
          <w:rFonts w:ascii="Times New Roman" w:eastAsia="DengXian" w:hAnsi="Times New Roman" w:cs="Times New Roman"/>
          <w:sz w:val="24"/>
          <w:szCs w:val="24"/>
        </w:rPr>
        <w:br/>
        <w:t>Guangzhou Huanan Business College, Guangzhou</w:t>
      </w:r>
      <w:r w:rsidRPr="005A0E0C">
        <w:rPr>
          <w:rFonts w:ascii="Times New Roman" w:eastAsia="DengXian" w:hAnsi="Times New Roman" w:cs="Times New Roman" w:hint="eastAsia"/>
          <w:sz w:val="24"/>
          <w:szCs w:val="24"/>
          <w:lang w:val="en-US"/>
        </w:rPr>
        <w:t xml:space="preserve"> </w:t>
      </w:r>
      <w:r w:rsidRPr="005A0E0C">
        <w:rPr>
          <w:rFonts w:ascii="Times New Roman" w:eastAsia="DengXian" w:hAnsi="Times New Roman" w:cs="Times New Roman"/>
          <w:sz w:val="24"/>
          <w:szCs w:val="24"/>
        </w:rPr>
        <w:t>511300, Guangdong, China</w:t>
      </w:r>
    </w:p>
    <w:p w14:paraId="3943744A" w14:textId="77777777" w:rsidR="00883C5E" w:rsidRDefault="00883C5E" w:rsidP="001D698B">
      <w:pPr>
        <w:snapToGrid w:val="0"/>
        <w:rPr>
          <w:rFonts w:ascii="Times New Roman" w:eastAsia="DengXian" w:hAnsi="Times New Roman" w:cs="Times New Roman"/>
          <w:sz w:val="24"/>
          <w:szCs w:val="24"/>
        </w:rPr>
      </w:pPr>
    </w:p>
    <w:p w14:paraId="6408EAF9" w14:textId="77777777" w:rsidR="001D698B" w:rsidRPr="000C05D9" w:rsidRDefault="001D698B" w:rsidP="001D698B">
      <w:pPr>
        <w:snapToGrid w:val="0"/>
        <w:rPr>
          <w:rFonts w:ascii="Times New Roman" w:hAnsi="Times New Roman" w:cs="Times New Roman"/>
          <w:sz w:val="20"/>
          <w:szCs w:val="20"/>
        </w:rPr>
      </w:pPr>
      <w:r w:rsidRPr="000C05D9">
        <w:rPr>
          <w:rFonts w:ascii="Times New Roman" w:hAnsi="Times New Roman" w:cs="Times New Roman"/>
          <w:b/>
          <w:bCs/>
          <w:sz w:val="20"/>
          <w:szCs w:val="20"/>
        </w:rPr>
        <w:t>Copyright:</w:t>
      </w:r>
      <w:r w:rsidRPr="000C05D9">
        <w:rPr>
          <w:rFonts w:ascii="Times New Roman" w:hAnsi="Times New Roman" w:cs="Times New Roman"/>
          <w:sz w:val="20"/>
          <w:szCs w:val="20"/>
        </w:rPr>
        <w:t xml:space="preserve"> © 2026 Author(s). This is an open-access article distributed under the terms of the Creative Commons Attribution License (CC BY 4.0), permitting distribution and reproduction in any medium, provided the original work is cited.</w:t>
      </w:r>
    </w:p>
    <w:p w14:paraId="6B3A2DF6" w14:textId="77777777" w:rsidR="001D698B" w:rsidRPr="005A0E0C" w:rsidRDefault="001D698B" w:rsidP="005A0E0C">
      <w:pPr>
        <w:snapToGrid w:val="0"/>
        <w:rPr>
          <w:rFonts w:ascii="Times New Roman" w:eastAsia="DengXian" w:hAnsi="Times New Roman" w:cs="Times New Roman"/>
          <w:sz w:val="24"/>
          <w:szCs w:val="24"/>
        </w:rPr>
      </w:pPr>
    </w:p>
    <w:p w14:paraId="6966F426" w14:textId="1D6FF76E" w:rsidR="00883C5E" w:rsidRPr="005A0E0C" w:rsidRDefault="001769B0" w:rsidP="005A0E0C">
      <w:pPr>
        <w:snapToGrid w:val="0"/>
        <w:outlineLvl w:val="1"/>
        <w:rPr>
          <w:rFonts w:ascii="Times New Roman" w:hAnsi="Times New Roman" w:cs="Times New Roman"/>
          <w:sz w:val="24"/>
          <w:szCs w:val="24"/>
        </w:rPr>
      </w:pPr>
      <w:bookmarkStart w:id="0" w:name="heading_0"/>
      <w:r w:rsidRPr="005A0E0C">
        <w:rPr>
          <w:rFonts w:ascii="Times New Roman" w:eastAsia="DengXian" w:hAnsi="Times New Roman" w:cs="Times New Roman"/>
          <w:b/>
          <w:sz w:val="24"/>
          <w:szCs w:val="24"/>
        </w:rPr>
        <w:t>Abstract</w:t>
      </w:r>
      <w:bookmarkEnd w:id="0"/>
      <w:r w:rsidR="001D698B" w:rsidRPr="005A0E0C">
        <w:rPr>
          <w:rFonts w:ascii="Times New Roman" w:eastAsia="DengXian" w:hAnsi="Times New Roman" w:cs="Times New Roman"/>
          <w:b/>
          <w:bCs/>
          <w:sz w:val="24"/>
          <w:szCs w:val="24"/>
        </w:rPr>
        <w:t>:</w:t>
      </w:r>
      <w:r w:rsidR="001D698B">
        <w:rPr>
          <w:rFonts w:ascii="Times New Roman" w:eastAsia="DengXian" w:hAnsi="Times New Roman" w:cs="Times New Roman"/>
          <w:sz w:val="24"/>
          <w:szCs w:val="24"/>
        </w:rPr>
        <w:t xml:space="preserve"> </w:t>
      </w:r>
      <w:r w:rsidRPr="005A0E0C">
        <w:rPr>
          <w:rFonts w:ascii="Times New Roman" w:eastAsia="DengXian" w:hAnsi="Times New Roman" w:cs="Times New Roman"/>
          <w:sz w:val="24"/>
          <w:szCs w:val="24"/>
        </w:rPr>
        <w:t>Against the backdrop of building a country strong in education, promoting high-quality development of vocational education stands as a core task. The credit bank serves as a critical institutional carrier linking academic education, non-academic training</w:t>
      </w:r>
      <w:r w:rsidR="001D698B">
        <w:rPr>
          <w:rFonts w:ascii="Times New Roman" w:eastAsia="DengXian" w:hAnsi="Times New Roman" w:cs="Times New Roman"/>
          <w:sz w:val="24"/>
          <w:szCs w:val="24"/>
        </w:rPr>
        <w:t>,</w:t>
      </w:r>
      <w:r w:rsidRPr="005A0E0C">
        <w:rPr>
          <w:rFonts w:ascii="Times New Roman" w:eastAsia="DengXian" w:hAnsi="Times New Roman" w:cs="Times New Roman"/>
          <w:sz w:val="24"/>
          <w:szCs w:val="24"/>
        </w:rPr>
        <w:t xml:space="preserve"> and</w:t>
      </w:r>
      <w:r w:rsidRPr="005A0E0C">
        <w:rPr>
          <w:rFonts w:ascii="Times New Roman" w:eastAsia="DengXian" w:hAnsi="Times New Roman" w:cs="Times New Roman"/>
          <w:sz w:val="24"/>
          <w:szCs w:val="24"/>
        </w:rPr>
        <w:t xml:space="preserve"> lifelong learning. China has completed the construction of basic platforms and pilot promotion for vocational education credits, yet practical operation is still plagued by inconsistent credit recognition standards, security risks of student information and credit data, and cumbersome cross-institutional credit mutual recognition procedures. Featuring distributed ledgers, cryptographic protection, consensus verification</w:t>
      </w:r>
      <w:r w:rsidR="001D698B">
        <w:rPr>
          <w:rFonts w:ascii="Times New Roman" w:eastAsia="DengXian" w:hAnsi="Times New Roman" w:cs="Times New Roman"/>
          <w:sz w:val="24"/>
          <w:szCs w:val="24"/>
        </w:rPr>
        <w:t>, and automatic execution via smart contracts, blockchain technology can target</w:t>
      </w:r>
      <w:r w:rsidRPr="005A0E0C">
        <w:rPr>
          <w:rFonts w:ascii="Times New Roman" w:eastAsia="DengXian" w:hAnsi="Times New Roman" w:cs="Times New Roman"/>
          <w:sz w:val="24"/>
          <w:szCs w:val="24"/>
        </w:rPr>
        <w:t xml:space="preserve"> the operational drawbacks of traditional credit banks. On this basis, grounded in the national strategy for digital education development, this paper defines core concepts, sorts out the current status and dilemmas of credit bank construction, and explores the establishment of a blockchain-based digital credit bank system for vocational education students, aiming to provide valuable references for the development of vocational education credit banks.</w:t>
      </w:r>
    </w:p>
    <w:p w14:paraId="4B4FEA7C" w14:textId="1D526D62" w:rsidR="00883C5E" w:rsidRDefault="001769B0" w:rsidP="001D698B">
      <w:pPr>
        <w:snapToGrid w:val="0"/>
        <w:outlineLvl w:val="1"/>
        <w:rPr>
          <w:rFonts w:ascii="Times New Roman" w:eastAsia="DengXian" w:hAnsi="Times New Roman" w:cs="Times New Roman"/>
          <w:sz w:val="24"/>
          <w:szCs w:val="24"/>
        </w:rPr>
      </w:pPr>
      <w:bookmarkStart w:id="1" w:name="heading_1"/>
      <w:r w:rsidRPr="005A0E0C">
        <w:rPr>
          <w:rFonts w:ascii="Times New Roman" w:eastAsia="DengXian" w:hAnsi="Times New Roman" w:cs="Times New Roman"/>
          <w:b/>
          <w:sz w:val="24"/>
          <w:szCs w:val="24"/>
        </w:rPr>
        <w:t>Keywords</w:t>
      </w:r>
      <w:bookmarkEnd w:id="1"/>
      <w:r w:rsidR="001D698B">
        <w:rPr>
          <w:rFonts w:ascii="Times New Roman" w:eastAsia="DengXian" w:hAnsi="Times New Roman" w:cs="Times New Roman"/>
          <w:sz w:val="24"/>
          <w:szCs w:val="24"/>
        </w:rPr>
        <w:t>: Bl</w:t>
      </w:r>
      <w:r w:rsidRPr="005A0E0C">
        <w:rPr>
          <w:rFonts w:ascii="Times New Roman" w:eastAsia="DengXian" w:hAnsi="Times New Roman" w:cs="Times New Roman"/>
          <w:sz w:val="24"/>
          <w:szCs w:val="24"/>
        </w:rPr>
        <w:t xml:space="preserve">ockchain technology; </w:t>
      </w:r>
      <w:r w:rsidR="001D698B">
        <w:rPr>
          <w:rFonts w:ascii="Times New Roman" w:eastAsia="DengXian" w:hAnsi="Times New Roman" w:cs="Times New Roman"/>
          <w:sz w:val="24"/>
          <w:szCs w:val="24"/>
        </w:rPr>
        <w:t>V</w:t>
      </w:r>
      <w:r w:rsidRPr="005A0E0C">
        <w:rPr>
          <w:rFonts w:ascii="Times New Roman" w:eastAsia="DengXian" w:hAnsi="Times New Roman" w:cs="Times New Roman"/>
          <w:sz w:val="24"/>
          <w:szCs w:val="24"/>
        </w:rPr>
        <w:t xml:space="preserve">ocational education; </w:t>
      </w:r>
      <w:r w:rsidR="001D698B">
        <w:rPr>
          <w:rFonts w:ascii="Times New Roman" w:eastAsia="DengXian" w:hAnsi="Times New Roman" w:cs="Times New Roman"/>
          <w:sz w:val="24"/>
          <w:szCs w:val="24"/>
        </w:rPr>
        <w:t>D</w:t>
      </w:r>
      <w:r w:rsidRPr="005A0E0C">
        <w:rPr>
          <w:rFonts w:ascii="Times New Roman" w:eastAsia="DengXian" w:hAnsi="Times New Roman" w:cs="Times New Roman"/>
          <w:sz w:val="24"/>
          <w:szCs w:val="24"/>
        </w:rPr>
        <w:t xml:space="preserve">igital credit bank; </w:t>
      </w:r>
      <w:r w:rsidR="001D698B">
        <w:rPr>
          <w:rFonts w:ascii="Times New Roman" w:eastAsia="DengXian" w:hAnsi="Times New Roman" w:cs="Times New Roman"/>
          <w:sz w:val="24"/>
          <w:szCs w:val="24"/>
        </w:rPr>
        <w:t>S</w:t>
      </w:r>
      <w:r w:rsidRPr="005A0E0C">
        <w:rPr>
          <w:rFonts w:ascii="Times New Roman" w:eastAsia="DengXian" w:hAnsi="Times New Roman" w:cs="Times New Roman"/>
          <w:sz w:val="24"/>
          <w:szCs w:val="24"/>
        </w:rPr>
        <w:t xml:space="preserve">ystem construction; </w:t>
      </w:r>
      <w:r w:rsidR="001D698B">
        <w:rPr>
          <w:rFonts w:ascii="Times New Roman" w:eastAsia="DengXian" w:hAnsi="Times New Roman" w:cs="Times New Roman"/>
          <w:sz w:val="24"/>
          <w:szCs w:val="24"/>
        </w:rPr>
        <w:t>L</w:t>
      </w:r>
      <w:r w:rsidRPr="005A0E0C">
        <w:rPr>
          <w:rFonts w:ascii="Times New Roman" w:eastAsia="DengXian" w:hAnsi="Times New Roman" w:cs="Times New Roman"/>
          <w:sz w:val="24"/>
          <w:szCs w:val="24"/>
        </w:rPr>
        <w:t>earning outcome certification</w:t>
      </w:r>
    </w:p>
    <w:p w14:paraId="01DE69A3" w14:textId="77777777" w:rsidR="001D698B" w:rsidRDefault="001D698B" w:rsidP="001D698B">
      <w:pPr>
        <w:snapToGrid w:val="0"/>
        <w:outlineLvl w:val="1"/>
        <w:rPr>
          <w:rFonts w:ascii="Times New Roman" w:eastAsia="DengXian" w:hAnsi="Times New Roman" w:cs="Times New Roman"/>
          <w:sz w:val="24"/>
          <w:szCs w:val="24"/>
        </w:rPr>
      </w:pPr>
    </w:p>
    <w:p w14:paraId="6E79B5E7" w14:textId="0146869E" w:rsidR="001D698B" w:rsidRPr="005A0E0C" w:rsidRDefault="001D698B" w:rsidP="001D698B">
      <w:pPr>
        <w:snapToGrid w:val="0"/>
        <w:outlineLvl w:val="1"/>
        <w:rPr>
          <w:rFonts w:ascii="Times New Roman" w:eastAsia="DengXian" w:hAnsi="Times New Roman" w:cs="Times New Roman"/>
          <w:b/>
          <w:bCs/>
          <w:sz w:val="24"/>
          <w:szCs w:val="24"/>
        </w:rPr>
      </w:pPr>
      <w:r w:rsidRPr="005A0E0C">
        <w:rPr>
          <w:rFonts w:ascii="Times New Roman" w:eastAsia="DengXian" w:hAnsi="Times New Roman" w:cs="Times New Roman"/>
          <w:b/>
          <w:bCs/>
          <w:sz w:val="24"/>
          <w:szCs w:val="24"/>
        </w:rPr>
        <w:t>Online publication:</w:t>
      </w:r>
    </w:p>
    <w:p w14:paraId="33D6E3AB" w14:textId="77777777" w:rsidR="001D698B" w:rsidRPr="005A0E0C" w:rsidRDefault="001D698B" w:rsidP="005A0E0C">
      <w:pPr>
        <w:snapToGrid w:val="0"/>
        <w:outlineLvl w:val="1"/>
        <w:rPr>
          <w:rFonts w:ascii="Times New Roman" w:hAnsi="Times New Roman" w:cs="Times New Roman"/>
          <w:sz w:val="24"/>
          <w:szCs w:val="24"/>
        </w:rPr>
      </w:pPr>
    </w:p>
    <w:p w14:paraId="62F9D1CE" w14:textId="7E3B0FC8" w:rsidR="00883C5E" w:rsidRPr="005A0E0C" w:rsidRDefault="001769B0" w:rsidP="005A0E0C">
      <w:pPr>
        <w:snapToGrid w:val="0"/>
        <w:outlineLvl w:val="1"/>
        <w:rPr>
          <w:rFonts w:ascii="Times New Roman" w:hAnsi="Times New Roman" w:cs="Times New Roman"/>
          <w:sz w:val="24"/>
          <w:szCs w:val="24"/>
        </w:rPr>
      </w:pPr>
      <w:bookmarkStart w:id="2" w:name="heading_2"/>
      <w:r w:rsidRPr="005A0E0C">
        <w:rPr>
          <w:rFonts w:ascii="Times New Roman" w:eastAsia="DengXian" w:hAnsi="Times New Roman" w:cs="Times New Roman"/>
          <w:b/>
          <w:sz w:val="24"/>
          <w:szCs w:val="24"/>
        </w:rPr>
        <w:t>1</w:t>
      </w:r>
      <w:r w:rsidR="001D698B">
        <w:rPr>
          <w:rFonts w:ascii="Times New Roman" w:eastAsia="DengXian" w:hAnsi="Times New Roman" w:cs="Times New Roman"/>
          <w:b/>
          <w:sz w:val="24"/>
          <w:szCs w:val="24"/>
        </w:rPr>
        <w:t xml:space="preserve">. </w:t>
      </w:r>
      <w:r w:rsidRPr="005A0E0C">
        <w:rPr>
          <w:rFonts w:ascii="Times New Roman" w:eastAsia="DengXian" w:hAnsi="Times New Roman" w:cs="Times New Roman"/>
          <w:b/>
          <w:sz w:val="24"/>
          <w:szCs w:val="24"/>
        </w:rPr>
        <w:t>Introduction</w:t>
      </w:r>
      <w:bookmarkEnd w:id="2"/>
    </w:p>
    <w:p w14:paraId="798EF981" w14:textId="7A290D30" w:rsidR="00883C5E" w:rsidRDefault="001769B0" w:rsidP="001D698B">
      <w:pPr>
        <w:snapToGrid w:val="0"/>
        <w:rPr>
          <w:rFonts w:ascii="Times New Roman" w:eastAsia="DengXian" w:hAnsi="Times New Roman" w:cs="Times New Roman"/>
          <w:sz w:val="24"/>
          <w:szCs w:val="24"/>
        </w:rPr>
      </w:pPr>
      <w:r w:rsidRPr="005A0E0C">
        <w:rPr>
          <w:rFonts w:ascii="Times New Roman" w:eastAsia="DengXian" w:hAnsi="Times New Roman" w:cs="Times New Roman"/>
          <w:sz w:val="24"/>
          <w:szCs w:val="24"/>
        </w:rPr>
        <w:t xml:space="preserve">The National Implementation Plan for Vocational Education Reform has arranged the construction of a national </w:t>
      </w:r>
      <w:r w:rsidR="001D698B">
        <w:rPr>
          <w:rFonts w:ascii="Times New Roman" w:eastAsia="DengXian" w:hAnsi="Times New Roman" w:cs="Times New Roman"/>
          <w:sz w:val="24"/>
          <w:szCs w:val="24"/>
        </w:rPr>
        <w:t>“</w:t>
      </w:r>
      <w:r w:rsidRPr="005A0E0C">
        <w:rPr>
          <w:rFonts w:ascii="Times New Roman" w:eastAsia="DengXian" w:hAnsi="Times New Roman" w:cs="Times New Roman"/>
          <w:sz w:val="24"/>
          <w:szCs w:val="24"/>
        </w:rPr>
        <w:t>credit bank</w:t>
      </w:r>
      <w:r w:rsidR="001D698B">
        <w:rPr>
          <w:rFonts w:ascii="Times New Roman" w:eastAsia="DengXian" w:hAnsi="Times New Roman" w:cs="Times New Roman"/>
          <w:sz w:val="24"/>
          <w:szCs w:val="24"/>
        </w:rPr>
        <w:t>”</w:t>
      </w:r>
      <w:r w:rsidRPr="005A0E0C">
        <w:rPr>
          <w:rFonts w:ascii="Times New Roman" w:eastAsia="DengXian" w:hAnsi="Times New Roman" w:cs="Times New Roman"/>
          <w:sz w:val="24"/>
          <w:szCs w:val="24"/>
        </w:rPr>
        <w:t xml:space="preserve"> for vocational education, laying a fundamental foundation for tracing, querying</w:t>
      </w:r>
      <w:r w:rsidR="001D698B">
        <w:rPr>
          <w:rFonts w:ascii="Times New Roman" w:eastAsia="DengXian" w:hAnsi="Times New Roman" w:cs="Times New Roman"/>
          <w:sz w:val="24"/>
          <w:szCs w:val="24"/>
        </w:rPr>
        <w:t>,</w:t>
      </w:r>
      <w:r w:rsidRPr="005A0E0C">
        <w:rPr>
          <w:rFonts w:ascii="Times New Roman" w:eastAsia="DengXian" w:hAnsi="Times New Roman" w:cs="Times New Roman"/>
          <w:sz w:val="24"/>
          <w:szCs w:val="24"/>
        </w:rPr>
        <w:t xml:space="preserve"> and converting learning outcomes. The Outline for Building a Country Strong in Education (2024–2035) further clarifies the establishment of a lifelong learning system based on qualification frameworks, </w:t>
      </w:r>
      <w:proofErr w:type="spellStart"/>
      <w:r w:rsidRPr="005A0E0C">
        <w:rPr>
          <w:rFonts w:ascii="Times New Roman" w:eastAsia="DengXian" w:hAnsi="Times New Roman" w:cs="Times New Roman"/>
          <w:sz w:val="24"/>
          <w:szCs w:val="24"/>
        </w:rPr>
        <w:t>centered</w:t>
      </w:r>
      <w:proofErr w:type="spellEnd"/>
      <w:r w:rsidRPr="005A0E0C">
        <w:rPr>
          <w:rFonts w:ascii="Times New Roman" w:eastAsia="DengXian" w:hAnsi="Times New Roman" w:cs="Times New Roman"/>
          <w:sz w:val="24"/>
          <w:szCs w:val="24"/>
        </w:rPr>
        <w:t xml:space="preserve"> on credit bank platforms and learning outcome certification. Traditional credit banks operate under a centralized management model, which creates numerous obstacles for centralized administration of diversified learning outcomes. Vocational institutions and training providers adopt inconsistent crit</w:t>
      </w:r>
      <w:r w:rsidRPr="005A0E0C">
        <w:rPr>
          <w:rFonts w:ascii="Times New Roman" w:eastAsia="DengXian" w:hAnsi="Times New Roman" w:cs="Times New Roman"/>
          <w:sz w:val="24"/>
          <w:szCs w:val="24"/>
        </w:rPr>
        <w:t xml:space="preserve">eria for credit recognition; data storage and circulation entail security risks; cross-agency credit mutual recognition lacks corresponding technical support, leading to unsatisfactory practical outcomes of credit banks. </w:t>
      </w:r>
      <w:r w:rsidR="001D698B">
        <w:rPr>
          <w:rFonts w:ascii="Times New Roman" w:eastAsia="DengXian" w:hAnsi="Times New Roman" w:cs="Times New Roman"/>
          <w:sz w:val="24"/>
          <w:szCs w:val="24"/>
        </w:rPr>
        <w:t>By adopting distributed bookkeeping and blockchain technology, credit banks can build multi-stakeholder trust and offer new solutions for the management, certification,</w:t>
      </w:r>
      <w:r w:rsidRPr="005A0E0C">
        <w:rPr>
          <w:rFonts w:ascii="Times New Roman" w:eastAsia="DengXian" w:hAnsi="Times New Roman" w:cs="Times New Roman"/>
          <w:sz w:val="24"/>
          <w:szCs w:val="24"/>
        </w:rPr>
        <w:t xml:space="preserve"> and mutual recognition of credit data. Targeting vocational education students, this paper explores approaches to constructing a digital credit bank system supported by blockchain technology to drive the digitalization and credibility transformation of credit banks.</w:t>
      </w:r>
    </w:p>
    <w:p w14:paraId="6D3955ED" w14:textId="77777777" w:rsidR="001D698B" w:rsidRPr="005A0E0C" w:rsidRDefault="001D698B" w:rsidP="005A0E0C">
      <w:pPr>
        <w:snapToGrid w:val="0"/>
        <w:rPr>
          <w:rFonts w:ascii="Times New Roman" w:hAnsi="Times New Roman" w:cs="Times New Roman"/>
          <w:sz w:val="24"/>
          <w:szCs w:val="24"/>
        </w:rPr>
      </w:pPr>
    </w:p>
    <w:p w14:paraId="6D338398" w14:textId="13EBD2F7" w:rsidR="00883C5E" w:rsidRPr="005A0E0C" w:rsidRDefault="001769B0" w:rsidP="005A0E0C">
      <w:pPr>
        <w:snapToGrid w:val="0"/>
        <w:outlineLvl w:val="1"/>
        <w:rPr>
          <w:rFonts w:ascii="Times New Roman" w:hAnsi="Times New Roman" w:cs="Times New Roman"/>
          <w:sz w:val="24"/>
          <w:szCs w:val="24"/>
        </w:rPr>
      </w:pPr>
      <w:bookmarkStart w:id="3" w:name="heading_3"/>
      <w:r w:rsidRPr="005A0E0C">
        <w:rPr>
          <w:rFonts w:ascii="Times New Roman" w:eastAsia="DengXian" w:hAnsi="Times New Roman" w:cs="Times New Roman"/>
          <w:b/>
          <w:sz w:val="24"/>
          <w:szCs w:val="24"/>
        </w:rPr>
        <w:t>2</w:t>
      </w:r>
      <w:r w:rsidR="001D698B">
        <w:rPr>
          <w:rFonts w:ascii="Times New Roman" w:eastAsia="DengXian" w:hAnsi="Times New Roman" w:cs="Times New Roman"/>
          <w:b/>
          <w:sz w:val="24"/>
          <w:szCs w:val="24"/>
        </w:rPr>
        <w:t xml:space="preserve">. </w:t>
      </w:r>
      <w:r w:rsidRPr="005A0E0C">
        <w:rPr>
          <w:rFonts w:ascii="Times New Roman" w:eastAsia="DengXian" w:hAnsi="Times New Roman" w:cs="Times New Roman"/>
          <w:b/>
          <w:sz w:val="24"/>
          <w:szCs w:val="24"/>
        </w:rPr>
        <w:t xml:space="preserve">Definition of </w:t>
      </w:r>
      <w:r w:rsidR="001D698B" w:rsidRPr="001D698B">
        <w:rPr>
          <w:rFonts w:ascii="Times New Roman" w:eastAsia="DengXian" w:hAnsi="Times New Roman" w:cs="Times New Roman"/>
          <w:b/>
          <w:sz w:val="24"/>
          <w:szCs w:val="24"/>
        </w:rPr>
        <w:t>core concepts</w:t>
      </w:r>
      <w:bookmarkEnd w:id="3"/>
    </w:p>
    <w:p w14:paraId="33B3D418" w14:textId="746AF8D6" w:rsidR="00883C5E" w:rsidRPr="005A0E0C" w:rsidRDefault="001769B0" w:rsidP="005A0E0C">
      <w:pPr>
        <w:snapToGrid w:val="0"/>
        <w:outlineLvl w:val="2"/>
        <w:rPr>
          <w:rFonts w:ascii="Times New Roman" w:hAnsi="Times New Roman" w:cs="Times New Roman"/>
          <w:sz w:val="24"/>
          <w:szCs w:val="24"/>
        </w:rPr>
      </w:pPr>
      <w:bookmarkStart w:id="4" w:name="heading_4"/>
      <w:r w:rsidRPr="005A0E0C">
        <w:rPr>
          <w:rFonts w:ascii="Times New Roman" w:eastAsia="DengXian" w:hAnsi="Times New Roman" w:cs="Times New Roman"/>
          <w:b/>
          <w:sz w:val="24"/>
          <w:szCs w:val="24"/>
        </w:rPr>
        <w:t>2.1</w:t>
      </w:r>
      <w:r w:rsidR="001D698B">
        <w:rPr>
          <w:rFonts w:ascii="Times New Roman" w:eastAsia="DengXian" w:hAnsi="Times New Roman" w:cs="Times New Roman"/>
          <w:b/>
          <w:sz w:val="24"/>
          <w:szCs w:val="24"/>
        </w:rPr>
        <w:t>.</w:t>
      </w:r>
      <w:r w:rsidRPr="005A0E0C">
        <w:rPr>
          <w:rFonts w:ascii="Times New Roman" w:eastAsia="DengXian" w:hAnsi="Times New Roman" w:cs="Times New Roman"/>
          <w:b/>
          <w:sz w:val="24"/>
          <w:szCs w:val="24"/>
        </w:rPr>
        <w:t xml:space="preserve"> Vocational </w:t>
      </w:r>
      <w:r w:rsidR="001D698B" w:rsidRPr="001D698B">
        <w:rPr>
          <w:rFonts w:ascii="Times New Roman" w:eastAsia="DengXian" w:hAnsi="Times New Roman" w:cs="Times New Roman"/>
          <w:b/>
          <w:sz w:val="24"/>
          <w:szCs w:val="24"/>
        </w:rPr>
        <w:t>education credit bank</w:t>
      </w:r>
      <w:bookmarkEnd w:id="4"/>
    </w:p>
    <w:p w14:paraId="5FD2B800" w14:textId="59091031" w:rsidR="00883C5E" w:rsidRDefault="001769B0" w:rsidP="001D698B">
      <w:pPr>
        <w:snapToGrid w:val="0"/>
        <w:rPr>
          <w:rFonts w:ascii="Times New Roman" w:eastAsia="DengXian" w:hAnsi="Times New Roman" w:cs="Times New Roman"/>
          <w:sz w:val="24"/>
          <w:szCs w:val="24"/>
        </w:rPr>
      </w:pPr>
      <w:r w:rsidRPr="005A0E0C">
        <w:rPr>
          <w:rFonts w:ascii="Times New Roman" w:eastAsia="DengXian" w:hAnsi="Times New Roman" w:cs="Times New Roman"/>
          <w:sz w:val="24"/>
          <w:szCs w:val="24"/>
        </w:rPr>
        <w:t>Drawing on the management logic of financial savings, vocational education credit banks take credits as measurement units to uniformly register, archive, convert</w:t>
      </w:r>
      <w:r w:rsidR="001D698B">
        <w:rPr>
          <w:rFonts w:ascii="Times New Roman" w:eastAsia="DengXian" w:hAnsi="Times New Roman" w:cs="Times New Roman"/>
          <w:sz w:val="24"/>
          <w:szCs w:val="24"/>
        </w:rPr>
        <w:t>, and exchange various learning outcomes of vocational college students, including course learning, practical training, skill certificate acquisition,</w:t>
      </w:r>
      <w:r w:rsidRPr="005A0E0C">
        <w:rPr>
          <w:rFonts w:ascii="Times New Roman" w:eastAsia="DengXian" w:hAnsi="Times New Roman" w:cs="Times New Roman"/>
          <w:sz w:val="24"/>
          <w:szCs w:val="24"/>
        </w:rPr>
        <w:t xml:space="preserve"> and competition awards</w:t>
      </w:r>
      <w:r w:rsidR="001D698B">
        <w:rPr>
          <w:rFonts w:ascii="Times New Roman" w:eastAsia="DengXian" w:hAnsi="Times New Roman" w:cs="Times New Roman"/>
          <w:sz w:val="24"/>
          <w:szCs w:val="24"/>
        </w:rPr>
        <w:t xml:space="preserve"> </w:t>
      </w:r>
      <w:r w:rsidRPr="005A0E0C">
        <w:rPr>
          <w:rFonts w:ascii="Times New Roman" w:eastAsia="DengXian" w:hAnsi="Times New Roman" w:cs="Times New Roman"/>
          <w:sz w:val="24"/>
          <w:szCs w:val="24"/>
          <w:vertAlign w:val="superscript"/>
        </w:rPr>
        <w:t>[1]</w:t>
      </w:r>
      <w:r w:rsidRPr="005A0E0C">
        <w:rPr>
          <w:rFonts w:ascii="Times New Roman" w:eastAsia="DengXian" w:hAnsi="Times New Roman" w:cs="Times New Roman"/>
          <w:sz w:val="24"/>
          <w:szCs w:val="24"/>
        </w:rPr>
        <w:t xml:space="preserve">. This system breaks the restrictions of traditional vocational </w:t>
      </w:r>
      <w:r w:rsidRPr="005A0E0C">
        <w:rPr>
          <w:rFonts w:ascii="Times New Roman" w:eastAsia="DengXian" w:hAnsi="Times New Roman" w:cs="Times New Roman"/>
          <w:sz w:val="24"/>
          <w:szCs w:val="24"/>
        </w:rPr>
        <w:lastRenderedPageBreak/>
        <w:t>education in learning time, space</w:t>
      </w:r>
      <w:r w:rsidR="001D698B">
        <w:rPr>
          <w:rFonts w:ascii="Times New Roman" w:eastAsia="DengXian" w:hAnsi="Times New Roman" w:cs="Times New Roman"/>
          <w:sz w:val="24"/>
          <w:szCs w:val="24"/>
        </w:rPr>
        <w:t>,</w:t>
      </w:r>
      <w:r w:rsidRPr="005A0E0C">
        <w:rPr>
          <w:rFonts w:ascii="Times New Roman" w:eastAsia="DengXian" w:hAnsi="Times New Roman" w:cs="Times New Roman"/>
          <w:sz w:val="24"/>
          <w:szCs w:val="24"/>
        </w:rPr>
        <w:t xml:space="preserve"> and forms, and bridges academic education and non-academic training. Students can accumulate credits according to their own learning progress, and accumulated credits can be used for course exemption, certificate exchange</w:t>
      </w:r>
      <w:r w:rsidR="001D698B">
        <w:rPr>
          <w:rFonts w:ascii="Times New Roman" w:eastAsia="DengXian" w:hAnsi="Times New Roman" w:cs="Times New Roman"/>
          <w:sz w:val="24"/>
          <w:szCs w:val="24"/>
        </w:rPr>
        <w:t>,</w:t>
      </w:r>
      <w:r w:rsidRPr="005A0E0C">
        <w:rPr>
          <w:rFonts w:ascii="Times New Roman" w:eastAsia="DengXian" w:hAnsi="Times New Roman" w:cs="Times New Roman"/>
          <w:sz w:val="24"/>
          <w:szCs w:val="24"/>
        </w:rPr>
        <w:t xml:space="preserve"> and academic promotion. It acts as an important institutional tool to build talent development pathways in vocational education</w:t>
      </w:r>
      <w:r w:rsidR="001D698B">
        <w:rPr>
          <w:rFonts w:ascii="Times New Roman" w:eastAsia="DengXian" w:hAnsi="Times New Roman" w:cs="Times New Roman"/>
          <w:sz w:val="24"/>
          <w:szCs w:val="24"/>
        </w:rPr>
        <w:t xml:space="preserve"> </w:t>
      </w:r>
      <w:r w:rsidRPr="005A0E0C">
        <w:rPr>
          <w:rFonts w:ascii="Times New Roman" w:eastAsia="DengXian" w:hAnsi="Times New Roman" w:cs="Times New Roman"/>
          <w:sz w:val="24"/>
          <w:szCs w:val="24"/>
          <w:vertAlign w:val="superscript"/>
        </w:rPr>
        <w:t>[2]</w:t>
      </w:r>
      <w:r w:rsidRPr="005A0E0C">
        <w:rPr>
          <w:rFonts w:ascii="Times New Roman" w:eastAsia="DengXian" w:hAnsi="Times New Roman" w:cs="Times New Roman"/>
          <w:sz w:val="24"/>
          <w:szCs w:val="24"/>
        </w:rPr>
        <w:t>.</w:t>
      </w:r>
    </w:p>
    <w:p w14:paraId="0562E1DC" w14:textId="77777777" w:rsidR="001D698B" w:rsidRPr="005A0E0C" w:rsidRDefault="001D698B" w:rsidP="005A0E0C">
      <w:pPr>
        <w:snapToGrid w:val="0"/>
        <w:rPr>
          <w:rFonts w:ascii="Times New Roman" w:hAnsi="Times New Roman" w:cs="Times New Roman"/>
          <w:sz w:val="24"/>
          <w:szCs w:val="24"/>
        </w:rPr>
      </w:pPr>
    </w:p>
    <w:p w14:paraId="096277D4" w14:textId="12ABB5A8" w:rsidR="00883C5E" w:rsidRPr="005A0E0C" w:rsidRDefault="001769B0" w:rsidP="005A0E0C">
      <w:pPr>
        <w:snapToGrid w:val="0"/>
        <w:outlineLvl w:val="2"/>
        <w:rPr>
          <w:rFonts w:ascii="Times New Roman" w:hAnsi="Times New Roman" w:cs="Times New Roman"/>
          <w:sz w:val="24"/>
          <w:szCs w:val="24"/>
        </w:rPr>
      </w:pPr>
      <w:bookmarkStart w:id="5" w:name="heading_5"/>
      <w:r w:rsidRPr="005A0E0C">
        <w:rPr>
          <w:rFonts w:ascii="Times New Roman" w:eastAsia="DengXian" w:hAnsi="Times New Roman" w:cs="Times New Roman"/>
          <w:b/>
          <w:sz w:val="24"/>
          <w:szCs w:val="24"/>
        </w:rPr>
        <w:t>2.2</w:t>
      </w:r>
      <w:r w:rsidR="001D698B">
        <w:rPr>
          <w:rFonts w:ascii="Times New Roman" w:eastAsia="DengXian" w:hAnsi="Times New Roman" w:cs="Times New Roman"/>
          <w:b/>
          <w:sz w:val="24"/>
          <w:szCs w:val="24"/>
        </w:rPr>
        <w:t>.</w:t>
      </w:r>
      <w:r w:rsidRPr="005A0E0C">
        <w:rPr>
          <w:rFonts w:ascii="Times New Roman" w:eastAsia="DengXian" w:hAnsi="Times New Roman" w:cs="Times New Roman"/>
          <w:b/>
          <w:sz w:val="24"/>
          <w:szCs w:val="24"/>
        </w:rPr>
        <w:t xml:space="preserve"> Core </w:t>
      </w:r>
      <w:r w:rsidR="001D698B" w:rsidRPr="001D698B">
        <w:rPr>
          <w:rFonts w:ascii="Times New Roman" w:eastAsia="DengXian" w:hAnsi="Times New Roman" w:cs="Times New Roman"/>
          <w:b/>
          <w:sz w:val="24"/>
          <w:szCs w:val="24"/>
        </w:rPr>
        <w:t>characteristics of blockchain technology</w:t>
      </w:r>
      <w:bookmarkEnd w:id="5"/>
    </w:p>
    <w:p w14:paraId="6260EF3C" w14:textId="7F819830" w:rsidR="00883C5E" w:rsidRPr="005A0E0C" w:rsidRDefault="001769B0" w:rsidP="005A0E0C">
      <w:pPr>
        <w:snapToGrid w:val="0"/>
        <w:rPr>
          <w:rFonts w:ascii="Times New Roman" w:hAnsi="Times New Roman" w:cs="Times New Roman"/>
          <w:sz w:val="24"/>
          <w:szCs w:val="24"/>
        </w:rPr>
      </w:pPr>
      <w:r w:rsidRPr="005A0E0C">
        <w:rPr>
          <w:rFonts w:ascii="Times New Roman" w:eastAsia="DengXian" w:hAnsi="Times New Roman" w:cs="Times New Roman"/>
          <w:sz w:val="24"/>
          <w:szCs w:val="24"/>
        </w:rPr>
        <w:t>Blockchain is a distributed ledger technology (DLT) integrating distributed ledgers, point-to-point transmission, consensus mechanisms, cryptography</w:t>
      </w:r>
      <w:r w:rsidR="001D698B">
        <w:rPr>
          <w:rFonts w:ascii="Times New Roman" w:eastAsia="DengXian" w:hAnsi="Times New Roman" w:cs="Times New Roman"/>
          <w:sz w:val="24"/>
          <w:szCs w:val="24"/>
        </w:rPr>
        <w:t>,</w:t>
      </w:r>
      <w:r w:rsidRPr="005A0E0C">
        <w:rPr>
          <w:rFonts w:ascii="Times New Roman" w:eastAsia="DengXian" w:hAnsi="Times New Roman" w:cs="Times New Roman"/>
          <w:sz w:val="24"/>
          <w:szCs w:val="24"/>
        </w:rPr>
        <w:t xml:space="preserve"> and smart contracts, maintained by multiple nodes with tamper-proof data.</w:t>
      </w:r>
    </w:p>
    <w:p w14:paraId="1E345407" w14:textId="77777777" w:rsidR="00883C5E" w:rsidRDefault="001769B0" w:rsidP="001D698B">
      <w:pPr>
        <w:snapToGrid w:val="0"/>
        <w:ind w:firstLine="426"/>
        <w:rPr>
          <w:rFonts w:ascii="Times New Roman" w:eastAsia="DengXian" w:hAnsi="Times New Roman" w:cs="Times New Roman"/>
          <w:sz w:val="24"/>
          <w:szCs w:val="24"/>
        </w:rPr>
      </w:pPr>
      <w:r w:rsidRPr="005A0E0C">
        <w:rPr>
          <w:rFonts w:ascii="Times New Roman" w:eastAsia="DengXian" w:hAnsi="Times New Roman" w:cs="Times New Roman"/>
          <w:sz w:val="24"/>
          <w:szCs w:val="24"/>
        </w:rPr>
        <w:t>Its core technical characteristics fall into five categories: First, data is stored across multiple nodes without a single centralized administrator. Second, once data is encrypted and uploaded to the chain, individual nodes cannot alter content arbitrarily. Third, public-private key paired encryption is adopted for identity verification and data protection. Fourth, multiple nodes jointly judge data validity. Fifth, preset code protocols can automatically execute corresponding processes once specific condit</w:t>
      </w:r>
      <w:r w:rsidRPr="005A0E0C">
        <w:rPr>
          <w:rFonts w:ascii="Times New Roman" w:eastAsia="DengXian" w:hAnsi="Times New Roman" w:cs="Times New Roman"/>
          <w:sz w:val="24"/>
          <w:szCs w:val="24"/>
        </w:rPr>
        <w:t>ions are met.</w:t>
      </w:r>
    </w:p>
    <w:p w14:paraId="35C709DA" w14:textId="77777777" w:rsidR="001D698B" w:rsidRPr="005A0E0C" w:rsidRDefault="001D698B" w:rsidP="005A0E0C">
      <w:pPr>
        <w:snapToGrid w:val="0"/>
        <w:ind w:firstLine="426"/>
        <w:rPr>
          <w:rFonts w:ascii="Times New Roman" w:hAnsi="Times New Roman" w:cs="Times New Roman"/>
          <w:sz w:val="24"/>
          <w:szCs w:val="24"/>
        </w:rPr>
      </w:pPr>
    </w:p>
    <w:p w14:paraId="1437400C" w14:textId="4BBF060F" w:rsidR="00883C5E" w:rsidRPr="005A0E0C" w:rsidRDefault="001769B0" w:rsidP="005A0E0C">
      <w:pPr>
        <w:snapToGrid w:val="0"/>
        <w:outlineLvl w:val="1"/>
        <w:rPr>
          <w:rFonts w:ascii="Times New Roman" w:hAnsi="Times New Roman" w:cs="Times New Roman"/>
          <w:sz w:val="24"/>
          <w:szCs w:val="24"/>
        </w:rPr>
      </w:pPr>
      <w:bookmarkStart w:id="6" w:name="heading_6"/>
      <w:r w:rsidRPr="005A0E0C">
        <w:rPr>
          <w:rFonts w:ascii="Times New Roman" w:eastAsia="DengXian" w:hAnsi="Times New Roman" w:cs="Times New Roman"/>
          <w:b/>
          <w:sz w:val="24"/>
          <w:szCs w:val="24"/>
        </w:rPr>
        <w:t>3</w:t>
      </w:r>
      <w:r w:rsidR="001D698B">
        <w:rPr>
          <w:rFonts w:ascii="Times New Roman" w:eastAsia="DengXian" w:hAnsi="Times New Roman" w:cs="Times New Roman"/>
          <w:b/>
          <w:sz w:val="24"/>
          <w:szCs w:val="24"/>
        </w:rPr>
        <w:t xml:space="preserve">. </w:t>
      </w:r>
      <w:r w:rsidRPr="005A0E0C">
        <w:rPr>
          <w:rFonts w:ascii="Times New Roman" w:eastAsia="DengXian" w:hAnsi="Times New Roman" w:cs="Times New Roman"/>
          <w:b/>
          <w:sz w:val="24"/>
          <w:szCs w:val="24"/>
        </w:rPr>
        <w:t xml:space="preserve">Current </w:t>
      </w:r>
      <w:r w:rsidR="001D698B" w:rsidRPr="001D698B">
        <w:rPr>
          <w:rFonts w:ascii="Times New Roman" w:eastAsia="DengXian" w:hAnsi="Times New Roman" w:cs="Times New Roman"/>
          <w:b/>
          <w:sz w:val="24"/>
          <w:szCs w:val="24"/>
        </w:rPr>
        <w:t>status and practical dilemmas of vocational education credit bank construction</w:t>
      </w:r>
      <w:bookmarkEnd w:id="6"/>
    </w:p>
    <w:p w14:paraId="2B651CC0" w14:textId="4C1EB0E3" w:rsidR="00883C5E" w:rsidRPr="005A0E0C" w:rsidRDefault="001769B0" w:rsidP="005A0E0C">
      <w:pPr>
        <w:snapToGrid w:val="0"/>
        <w:outlineLvl w:val="2"/>
        <w:rPr>
          <w:rFonts w:ascii="Times New Roman" w:hAnsi="Times New Roman" w:cs="Times New Roman"/>
          <w:sz w:val="24"/>
          <w:szCs w:val="24"/>
        </w:rPr>
      </w:pPr>
      <w:bookmarkStart w:id="7" w:name="heading_7"/>
      <w:r w:rsidRPr="005A0E0C">
        <w:rPr>
          <w:rFonts w:ascii="Times New Roman" w:eastAsia="DengXian" w:hAnsi="Times New Roman" w:cs="Times New Roman"/>
          <w:b/>
          <w:sz w:val="24"/>
          <w:szCs w:val="24"/>
        </w:rPr>
        <w:t>3.1</w:t>
      </w:r>
      <w:r w:rsidR="001D698B">
        <w:rPr>
          <w:rFonts w:ascii="Times New Roman" w:eastAsia="DengXian" w:hAnsi="Times New Roman" w:cs="Times New Roman"/>
          <w:b/>
          <w:sz w:val="24"/>
          <w:szCs w:val="24"/>
        </w:rPr>
        <w:t>.</w:t>
      </w:r>
      <w:r w:rsidRPr="005A0E0C">
        <w:rPr>
          <w:rFonts w:ascii="Times New Roman" w:eastAsia="DengXian" w:hAnsi="Times New Roman" w:cs="Times New Roman"/>
          <w:b/>
          <w:sz w:val="24"/>
          <w:szCs w:val="24"/>
        </w:rPr>
        <w:t xml:space="preserve"> Significant </w:t>
      </w:r>
      <w:r w:rsidR="001D698B" w:rsidRPr="001D698B">
        <w:rPr>
          <w:rFonts w:ascii="Times New Roman" w:eastAsia="DengXian" w:hAnsi="Times New Roman" w:cs="Times New Roman"/>
          <w:b/>
          <w:sz w:val="24"/>
          <w:szCs w:val="24"/>
        </w:rPr>
        <w:t>differences in credit recognition standards impede cross-agency mutual recognition</w:t>
      </w:r>
      <w:bookmarkEnd w:id="7"/>
    </w:p>
    <w:p w14:paraId="432083D8" w14:textId="7A585A9E" w:rsidR="00883C5E" w:rsidRDefault="001769B0" w:rsidP="001D698B">
      <w:pPr>
        <w:snapToGrid w:val="0"/>
        <w:rPr>
          <w:rFonts w:ascii="Times New Roman" w:eastAsia="DengXian" w:hAnsi="Times New Roman" w:cs="Times New Roman"/>
          <w:sz w:val="24"/>
          <w:szCs w:val="24"/>
        </w:rPr>
      </w:pPr>
      <w:r w:rsidRPr="005A0E0C">
        <w:rPr>
          <w:rFonts w:ascii="Times New Roman" w:eastAsia="DengXian" w:hAnsi="Times New Roman" w:cs="Times New Roman"/>
          <w:sz w:val="24"/>
          <w:szCs w:val="24"/>
        </w:rPr>
        <w:t>Vocational colleges differ in talent training programs, curriculum settings</w:t>
      </w:r>
      <w:r w:rsidR="001D698B">
        <w:rPr>
          <w:rFonts w:ascii="Times New Roman" w:eastAsia="DengXian" w:hAnsi="Times New Roman" w:cs="Times New Roman"/>
          <w:sz w:val="24"/>
          <w:szCs w:val="24"/>
        </w:rPr>
        <w:t>,</w:t>
      </w:r>
      <w:r w:rsidRPr="005A0E0C">
        <w:rPr>
          <w:rFonts w:ascii="Times New Roman" w:eastAsia="DengXian" w:hAnsi="Times New Roman" w:cs="Times New Roman"/>
          <w:sz w:val="24"/>
          <w:szCs w:val="24"/>
        </w:rPr>
        <w:t xml:space="preserve"> and credit accounting methods. As a result, identical learning outcomes are assigned distinct recognition standards and credit values across different colleges or training institutions. No universal reference framework for credit conversion has been formed between colleges</w:t>
      </w:r>
      <w:r w:rsidRPr="005A0E0C">
        <w:rPr>
          <w:rFonts w:ascii="Times New Roman" w:eastAsia="DengXian" w:hAnsi="Times New Roman" w:cs="Times New Roman"/>
          <w:sz w:val="24"/>
          <w:szCs w:val="24"/>
        </w:rPr>
        <w:t xml:space="preserve"> or between colleges and vocational skill training institutions. Many educational entities hold low recognition of credits issued by external organizations due to curriculum resource protection and internal teaching management</w:t>
      </w:r>
      <w:r w:rsidR="001D698B">
        <w:rPr>
          <w:rFonts w:ascii="Times New Roman" w:eastAsia="DengXian" w:hAnsi="Times New Roman" w:cs="Times New Roman"/>
          <w:sz w:val="24"/>
          <w:szCs w:val="24"/>
        </w:rPr>
        <w:t xml:space="preserve"> </w:t>
      </w:r>
      <w:r w:rsidRPr="005A0E0C">
        <w:rPr>
          <w:rFonts w:ascii="Times New Roman" w:eastAsia="DengXian" w:hAnsi="Times New Roman" w:cs="Times New Roman"/>
          <w:sz w:val="24"/>
          <w:szCs w:val="24"/>
          <w:vertAlign w:val="superscript"/>
        </w:rPr>
        <w:t>[3]</w:t>
      </w:r>
      <w:r w:rsidRPr="005A0E0C">
        <w:rPr>
          <w:rFonts w:ascii="Times New Roman" w:eastAsia="DengXian" w:hAnsi="Times New Roman" w:cs="Times New Roman"/>
          <w:sz w:val="24"/>
          <w:szCs w:val="24"/>
        </w:rPr>
        <w:t>. Independent credit systems operate separately among all educational providers. After students take courses across colleges or participate in training at external institutions, their accumulated credits cannot be smoothly recognized across entities, resulting in poor implementation of credit mutual recognition.</w:t>
      </w:r>
    </w:p>
    <w:p w14:paraId="10EF9CC7" w14:textId="6FEB9A83" w:rsidR="001D698B" w:rsidRPr="005A0E0C" w:rsidRDefault="001D698B" w:rsidP="005A0E0C">
      <w:pPr>
        <w:snapToGrid w:val="0"/>
        <w:rPr>
          <w:rFonts w:ascii="Times New Roman" w:hAnsi="Times New Roman" w:cs="Times New Roman"/>
          <w:sz w:val="24"/>
          <w:szCs w:val="24"/>
        </w:rPr>
      </w:pPr>
      <w:r>
        <w:rPr>
          <w:rFonts w:ascii="Times New Roman" w:eastAsia="DengXian" w:hAnsi="Times New Roman" w:cs="Times New Roman"/>
          <w:sz w:val="24"/>
          <w:szCs w:val="24"/>
        </w:rPr>
        <w:t xml:space="preserve"> </w:t>
      </w:r>
    </w:p>
    <w:p w14:paraId="30AE4258" w14:textId="0B3D4F46" w:rsidR="00883C5E" w:rsidRPr="005A0E0C" w:rsidRDefault="001769B0" w:rsidP="005A0E0C">
      <w:pPr>
        <w:snapToGrid w:val="0"/>
        <w:outlineLvl w:val="2"/>
        <w:rPr>
          <w:rFonts w:ascii="Times New Roman" w:hAnsi="Times New Roman" w:cs="Times New Roman"/>
          <w:sz w:val="24"/>
          <w:szCs w:val="24"/>
        </w:rPr>
      </w:pPr>
      <w:bookmarkStart w:id="8" w:name="heading_8"/>
      <w:r w:rsidRPr="005A0E0C">
        <w:rPr>
          <w:rFonts w:ascii="Times New Roman" w:eastAsia="DengXian" w:hAnsi="Times New Roman" w:cs="Times New Roman"/>
          <w:b/>
          <w:sz w:val="24"/>
          <w:szCs w:val="24"/>
        </w:rPr>
        <w:t>3.2</w:t>
      </w:r>
      <w:r w:rsidR="001D698B">
        <w:rPr>
          <w:rFonts w:ascii="Times New Roman" w:eastAsia="DengXian" w:hAnsi="Times New Roman" w:cs="Times New Roman"/>
          <w:b/>
          <w:sz w:val="24"/>
          <w:szCs w:val="24"/>
        </w:rPr>
        <w:t>.</w:t>
      </w:r>
      <w:r w:rsidRPr="005A0E0C">
        <w:rPr>
          <w:rFonts w:ascii="Times New Roman" w:eastAsia="DengXian" w:hAnsi="Times New Roman" w:cs="Times New Roman"/>
          <w:b/>
          <w:sz w:val="24"/>
          <w:szCs w:val="24"/>
        </w:rPr>
        <w:t xml:space="preserve"> Security </w:t>
      </w:r>
      <w:r w:rsidR="001D698B" w:rsidRPr="001D698B">
        <w:rPr>
          <w:rFonts w:ascii="Times New Roman" w:eastAsia="DengXian" w:hAnsi="Times New Roman" w:cs="Times New Roman"/>
          <w:b/>
          <w:sz w:val="24"/>
          <w:szCs w:val="24"/>
        </w:rPr>
        <w:t>risks exist in data storage and circulation</w:t>
      </w:r>
      <w:bookmarkEnd w:id="8"/>
    </w:p>
    <w:p w14:paraId="4E7BBA9D" w14:textId="2A995231" w:rsidR="00883C5E" w:rsidRDefault="001769B0" w:rsidP="001D698B">
      <w:pPr>
        <w:snapToGrid w:val="0"/>
        <w:rPr>
          <w:rFonts w:ascii="Times New Roman" w:eastAsia="DengXian" w:hAnsi="Times New Roman" w:cs="Times New Roman"/>
          <w:sz w:val="24"/>
          <w:szCs w:val="24"/>
        </w:rPr>
      </w:pPr>
      <w:r w:rsidRPr="005A0E0C">
        <w:rPr>
          <w:rFonts w:ascii="Times New Roman" w:eastAsia="DengXian" w:hAnsi="Times New Roman" w:cs="Times New Roman"/>
          <w:sz w:val="24"/>
          <w:szCs w:val="24"/>
        </w:rPr>
        <w:t>Most traditional vocational education credit banks adopt centralized servers for data storage. Sensitive data such as student identity information and credit acquisition/transformation records are aggregated in a single location. This storage mode easily triggers privacy leakage and malicious tampering of credit data in cases of cyberattacks, hardware failures</w:t>
      </w:r>
      <w:r w:rsidR="001D698B">
        <w:rPr>
          <w:rFonts w:ascii="Times New Roman" w:eastAsia="DengXian" w:hAnsi="Times New Roman" w:cs="Times New Roman"/>
          <w:sz w:val="24"/>
          <w:szCs w:val="24"/>
        </w:rPr>
        <w:t>,</w:t>
      </w:r>
      <w:r w:rsidRPr="005A0E0C">
        <w:rPr>
          <w:rFonts w:ascii="Times New Roman" w:eastAsia="DengXian" w:hAnsi="Times New Roman" w:cs="Times New Roman"/>
          <w:sz w:val="24"/>
          <w:szCs w:val="24"/>
        </w:rPr>
        <w:t xml:space="preserve"> or human operational errors. Stakeholders of vocational education include higher vocational colleges, social training institutions</w:t>
      </w:r>
      <w:r w:rsidR="001D698B">
        <w:rPr>
          <w:rFonts w:ascii="Times New Roman" w:eastAsia="DengXian" w:hAnsi="Times New Roman" w:cs="Times New Roman"/>
          <w:sz w:val="24"/>
          <w:szCs w:val="24"/>
        </w:rPr>
        <w:t>,</w:t>
      </w:r>
      <w:r w:rsidRPr="005A0E0C">
        <w:rPr>
          <w:rFonts w:ascii="Times New Roman" w:eastAsia="DengXian" w:hAnsi="Times New Roman" w:cs="Times New Roman"/>
          <w:sz w:val="24"/>
          <w:szCs w:val="24"/>
        </w:rPr>
        <w:t xml:space="preserve"> and skill evaluation agencies, whose management systems and data formats vary widely, hindering cross-platform data docking and causing delays in credit data circulation and updates</w:t>
      </w:r>
      <w:r w:rsidR="001D698B">
        <w:rPr>
          <w:rFonts w:ascii="Times New Roman" w:eastAsia="DengXian" w:hAnsi="Times New Roman" w:cs="Times New Roman"/>
          <w:sz w:val="24"/>
          <w:szCs w:val="24"/>
        </w:rPr>
        <w:t xml:space="preserve"> </w:t>
      </w:r>
      <w:r w:rsidRPr="005A0E0C">
        <w:rPr>
          <w:rFonts w:ascii="Times New Roman" w:eastAsia="DengXian" w:hAnsi="Times New Roman" w:cs="Times New Roman"/>
          <w:sz w:val="24"/>
          <w:szCs w:val="24"/>
          <w:vertAlign w:val="superscript"/>
        </w:rPr>
        <w:t>[4]</w:t>
      </w:r>
      <w:r w:rsidRPr="005A0E0C">
        <w:rPr>
          <w:rFonts w:ascii="Times New Roman" w:eastAsia="DengXian" w:hAnsi="Times New Roman" w:cs="Times New Roman"/>
          <w:sz w:val="24"/>
          <w:szCs w:val="24"/>
        </w:rPr>
        <w:t xml:space="preserve">. Student information must be transmitted and verified across platforms during credit certification and cross-institutional conversion, while current workflows lack comprehensive security protection, failing </w:t>
      </w:r>
      <w:r w:rsidR="001D698B">
        <w:rPr>
          <w:rFonts w:ascii="Times New Roman" w:eastAsia="DengXian" w:hAnsi="Times New Roman" w:cs="Times New Roman"/>
          <w:sz w:val="24"/>
          <w:szCs w:val="24"/>
        </w:rPr>
        <w:t>to safeguard personal privacy fully</w:t>
      </w:r>
      <w:r w:rsidRPr="005A0E0C">
        <w:rPr>
          <w:rFonts w:ascii="Times New Roman" w:eastAsia="DengXian" w:hAnsi="Times New Roman" w:cs="Times New Roman"/>
          <w:sz w:val="24"/>
          <w:szCs w:val="24"/>
        </w:rPr>
        <w:t>.</w:t>
      </w:r>
    </w:p>
    <w:p w14:paraId="45D014D1" w14:textId="77777777" w:rsidR="001D698B" w:rsidRPr="005A0E0C" w:rsidRDefault="001D698B" w:rsidP="005A0E0C">
      <w:pPr>
        <w:snapToGrid w:val="0"/>
        <w:rPr>
          <w:rFonts w:ascii="Times New Roman" w:hAnsi="Times New Roman" w:cs="Times New Roman"/>
          <w:sz w:val="24"/>
          <w:szCs w:val="24"/>
        </w:rPr>
      </w:pPr>
    </w:p>
    <w:p w14:paraId="7EE531F1" w14:textId="71CDCE18" w:rsidR="00883C5E" w:rsidRPr="005A0E0C" w:rsidRDefault="001769B0" w:rsidP="005A0E0C">
      <w:pPr>
        <w:snapToGrid w:val="0"/>
        <w:outlineLvl w:val="2"/>
        <w:rPr>
          <w:rFonts w:ascii="Times New Roman" w:hAnsi="Times New Roman" w:cs="Times New Roman"/>
          <w:sz w:val="24"/>
          <w:szCs w:val="24"/>
        </w:rPr>
      </w:pPr>
      <w:bookmarkStart w:id="9" w:name="heading_9"/>
      <w:r w:rsidRPr="005A0E0C">
        <w:rPr>
          <w:rFonts w:ascii="Times New Roman" w:eastAsia="DengXian" w:hAnsi="Times New Roman" w:cs="Times New Roman"/>
          <w:b/>
          <w:sz w:val="24"/>
          <w:szCs w:val="24"/>
        </w:rPr>
        <w:t>3.3</w:t>
      </w:r>
      <w:r w:rsidR="001D698B">
        <w:rPr>
          <w:rFonts w:ascii="Times New Roman" w:eastAsia="DengXian" w:hAnsi="Times New Roman" w:cs="Times New Roman"/>
          <w:b/>
          <w:sz w:val="24"/>
          <w:szCs w:val="24"/>
        </w:rPr>
        <w:t>.</w:t>
      </w:r>
      <w:r w:rsidRPr="005A0E0C">
        <w:rPr>
          <w:rFonts w:ascii="Times New Roman" w:eastAsia="DengXian" w:hAnsi="Times New Roman" w:cs="Times New Roman"/>
          <w:b/>
          <w:sz w:val="24"/>
          <w:szCs w:val="24"/>
        </w:rPr>
        <w:t xml:space="preserve"> Cumbersome </w:t>
      </w:r>
      <w:r w:rsidR="001D698B" w:rsidRPr="001D698B">
        <w:rPr>
          <w:rFonts w:ascii="Times New Roman" w:eastAsia="DengXian" w:hAnsi="Times New Roman" w:cs="Times New Roman"/>
          <w:b/>
          <w:sz w:val="24"/>
          <w:szCs w:val="24"/>
        </w:rPr>
        <w:t>procedures for credit certification and verification</w:t>
      </w:r>
      <w:bookmarkEnd w:id="9"/>
    </w:p>
    <w:p w14:paraId="3C749674" w14:textId="56F2DFC4" w:rsidR="00883C5E" w:rsidRDefault="001769B0" w:rsidP="001D698B">
      <w:pPr>
        <w:snapToGrid w:val="0"/>
        <w:rPr>
          <w:rFonts w:ascii="Times New Roman" w:eastAsia="DengXian" w:hAnsi="Times New Roman" w:cs="Times New Roman"/>
          <w:sz w:val="24"/>
          <w:szCs w:val="24"/>
        </w:rPr>
      </w:pPr>
      <w:r w:rsidRPr="005A0E0C">
        <w:rPr>
          <w:rFonts w:ascii="Times New Roman" w:eastAsia="DengXian" w:hAnsi="Times New Roman" w:cs="Times New Roman"/>
          <w:sz w:val="24"/>
          <w:szCs w:val="24"/>
        </w:rPr>
        <w:t>Credit recognition, conversion</w:t>
      </w:r>
      <w:r w:rsidR="001D698B">
        <w:rPr>
          <w:rFonts w:ascii="Times New Roman" w:eastAsia="DengXian" w:hAnsi="Times New Roman" w:cs="Times New Roman"/>
          <w:sz w:val="24"/>
          <w:szCs w:val="24"/>
        </w:rPr>
        <w:t>,</w:t>
      </w:r>
      <w:r w:rsidRPr="005A0E0C">
        <w:rPr>
          <w:rFonts w:ascii="Times New Roman" w:eastAsia="DengXian" w:hAnsi="Times New Roman" w:cs="Times New Roman"/>
          <w:sz w:val="24"/>
          <w:szCs w:val="24"/>
        </w:rPr>
        <w:t xml:space="preserve"> and inspection still rely heavily on offline manual workflows. Students need to prepare paper or electronic materials including transcripts, skill certificates</w:t>
      </w:r>
      <w:r w:rsidR="001D698B">
        <w:rPr>
          <w:rFonts w:ascii="Times New Roman" w:eastAsia="DengXian" w:hAnsi="Times New Roman" w:cs="Times New Roman"/>
          <w:sz w:val="24"/>
          <w:szCs w:val="24"/>
        </w:rPr>
        <w:t>,</w:t>
      </w:r>
      <w:r w:rsidRPr="005A0E0C">
        <w:rPr>
          <w:rFonts w:ascii="Times New Roman" w:eastAsia="DengXian" w:hAnsi="Times New Roman" w:cs="Times New Roman"/>
          <w:sz w:val="24"/>
          <w:szCs w:val="24"/>
        </w:rPr>
        <w:t xml:space="preserve"> and training certificates on their own, while educational institutions conduct offline communication and multi-level approval for reviews, leading to lengthy and complicated overall procedures</w:t>
      </w:r>
      <w:r w:rsidR="001D698B">
        <w:rPr>
          <w:rFonts w:ascii="Times New Roman" w:eastAsia="DengXian" w:hAnsi="Times New Roman" w:cs="Times New Roman"/>
          <w:sz w:val="24"/>
          <w:szCs w:val="24"/>
        </w:rPr>
        <w:t xml:space="preserve"> </w:t>
      </w:r>
      <w:r w:rsidRPr="005A0E0C">
        <w:rPr>
          <w:rFonts w:ascii="Times New Roman" w:eastAsia="DengXian" w:hAnsi="Times New Roman" w:cs="Times New Roman"/>
          <w:sz w:val="24"/>
          <w:szCs w:val="24"/>
          <w:vertAlign w:val="superscript"/>
        </w:rPr>
        <w:t>[5]</w:t>
      </w:r>
      <w:r w:rsidRPr="005A0E0C">
        <w:rPr>
          <w:rFonts w:ascii="Times New Roman" w:eastAsia="DengXian" w:hAnsi="Times New Roman" w:cs="Times New Roman"/>
          <w:sz w:val="24"/>
          <w:szCs w:val="24"/>
        </w:rPr>
        <w:t xml:space="preserve">. Manual review is also susceptible to subjective judgment of staff and inconsistent operational standards. Furthermore, there is no unified and complete channel to archive historical records of learning outcomes and credits, making it difficult for external parties such as employers and further education colleges </w:t>
      </w:r>
      <w:r w:rsidR="001D698B">
        <w:rPr>
          <w:rFonts w:ascii="Times New Roman" w:eastAsia="DengXian" w:hAnsi="Times New Roman" w:cs="Times New Roman"/>
          <w:sz w:val="24"/>
          <w:szCs w:val="24"/>
        </w:rPr>
        <w:t>to verify the authenticity and validity of credits rapidly</w:t>
      </w:r>
      <w:r w:rsidRPr="005A0E0C">
        <w:rPr>
          <w:rFonts w:ascii="Times New Roman" w:eastAsia="DengXian" w:hAnsi="Times New Roman" w:cs="Times New Roman"/>
          <w:sz w:val="24"/>
          <w:szCs w:val="24"/>
        </w:rPr>
        <w:t>.</w:t>
      </w:r>
    </w:p>
    <w:p w14:paraId="156432D7" w14:textId="77777777" w:rsidR="001D698B" w:rsidRPr="005A0E0C" w:rsidRDefault="001D698B" w:rsidP="005A0E0C">
      <w:pPr>
        <w:snapToGrid w:val="0"/>
        <w:rPr>
          <w:rFonts w:ascii="Times New Roman" w:hAnsi="Times New Roman" w:cs="Times New Roman"/>
          <w:sz w:val="24"/>
          <w:szCs w:val="24"/>
        </w:rPr>
      </w:pPr>
    </w:p>
    <w:p w14:paraId="41E6EDC9" w14:textId="2C240BE8" w:rsidR="00883C5E" w:rsidRPr="005A0E0C" w:rsidRDefault="001769B0" w:rsidP="005A0E0C">
      <w:pPr>
        <w:snapToGrid w:val="0"/>
        <w:outlineLvl w:val="2"/>
        <w:rPr>
          <w:rFonts w:ascii="Times New Roman" w:hAnsi="Times New Roman" w:cs="Times New Roman"/>
          <w:sz w:val="24"/>
          <w:szCs w:val="24"/>
        </w:rPr>
      </w:pPr>
      <w:bookmarkStart w:id="10" w:name="heading_10"/>
      <w:r w:rsidRPr="005A0E0C">
        <w:rPr>
          <w:rFonts w:ascii="Times New Roman" w:eastAsia="DengXian" w:hAnsi="Times New Roman" w:cs="Times New Roman"/>
          <w:b/>
          <w:sz w:val="24"/>
          <w:szCs w:val="24"/>
        </w:rPr>
        <w:lastRenderedPageBreak/>
        <w:t>3.4</w:t>
      </w:r>
      <w:r w:rsidR="001D698B">
        <w:rPr>
          <w:rFonts w:ascii="Times New Roman" w:eastAsia="DengXian" w:hAnsi="Times New Roman" w:cs="Times New Roman"/>
          <w:b/>
          <w:sz w:val="24"/>
          <w:szCs w:val="24"/>
        </w:rPr>
        <w:t>.</w:t>
      </w:r>
      <w:r w:rsidRPr="005A0E0C">
        <w:rPr>
          <w:rFonts w:ascii="Times New Roman" w:eastAsia="DengXian" w:hAnsi="Times New Roman" w:cs="Times New Roman"/>
          <w:b/>
          <w:sz w:val="24"/>
          <w:szCs w:val="24"/>
        </w:rPr>
        <w:t xml:space="preserve"> Insufficient </w:t>
      </w:r>
      <w:r w:rsidR="001D698B" w:rsidRPr="001D698B">
        <w:rPr>
          <w:rFonts w:ascii="Times New Roman" w:eastAsia="DengXian" w:hAnsi="Times New Roman" w:cs="Times New Roman"/>
          <w:b/>
          <w:sz w:val="24"/>
          <w:szCs w:val="24"/>
        </w:rPr>
        <w:t>application scenarios and social recognition</w:t>
      </w:r>
      <w:bookmarkEnd w:id="10"/>
    </w:p>
    <w:p w14:paraId="449F4DF8" w14:textId="3E7F445C" w:rsidR="00883C5E" w:rsidRDefault="001769B0" w:rsidP="001D698B">
      <w:pPr>
        <w:snapToGrid w:val="0"/>
        <w:rPr>
          <w:rFonts w:ascii="Times New Roman" w:eastAsia="DengXian" w:hAnsi="Times New Roman" w:cs="Times New Roman"/>
          <w:sz w:val="24"/>
          <w:szCs w:val="24"/>
        </w:rPr>
      </w:pPr>
      <w:r w:rsidRPr="005A0E0C">
        <w:rPr>
          <w:rFonts w:ascii="Times New Roman" w:eastAsia="DengXian" w:hAnsi="Times New Roman" w:cs="Times New Roman"/>
          <w:sz w:val="24"/>
          <w:szCs w:val="24"/>
        </w:rPr>
        <w:t xml:space="preserve">When recruiting </w:t>
      </w:r>
      <w:r w:rsidR="001D698B">
        <w:rPr>
          <w:rFonts w:ascii="Times New Roman" w:eastAsia="DengXian" w:hAnsi="Times New Roman" w:cs="Times New Roman"/>
          <w:sz w:val="24"/>
          <w:szCs w:val="24"/>
        </w:rPr>
        <w:t>talent</w:t>
      </w:r>
      <w:r w:rsidRPr="005A0E0C">
        <w:rPr>
          <w:rFonts w:ascii="Times New Roman" w:eastAsia="DengXian" w:hAnsi="Times New Roman" w:cs="Times New Roman"/>
          <w:sz w:val="24"/>
          <w:szCs w:val="24"/>
        </w:rPr>
        <w:t xml:space="preserve">, employers prioritize academic diplomas and traditional vocational qualification certificates, paying little attention to credit outcomes from credit banks. Credit banks are mainly participated </w:t>
      </w:r>
      <w:r w:rsidR="001D698B">
        <w:rPr>
          <w:rFonts w:ascii="Times New Roman" w:eastAsia="DengXian" w:hAnsi="Times New Roman" w:cs="Times New Roman"/>
          <w:sz w:val="24"/>
          <w:szCs w:val="24"/>
        </w:rPr>
        <w:t xml:space="preserve">in </w:t>
      </w:r>
      <w:r w:rsidRPr="005A0E0C">
        <w:rPr>
          <w:rFonts w:ascii="Times New Roman" w:eastAsia="DengXian" w:hAnsi="Times New Roman" w:cs="Times New Roman"/>
          <w:sz w:val="24"/>
          <w:szCs w:val="24"/>
        </w:rPr>
        <w:t>by vocational colleges, with limited involvement from enterprises and industry associations. The scope of learning outcome recognition fails to cover all learning scenarios of vocational education. Some regional and institutional platforms only complete registration without launching actual credit conversion services, leaving the application value of platforms untapped.</w:t>
      </w:r>
    </w:p>
    <w:p w14:paraId="4EB33095" w14:textId="77777777" w:rsidR="001D698B" w:rsidRPr="005A0E0C" w:rsidRDefault="001D698B" w:rsidP="005A0E0C">
      <w:pPr>
        <w:snapToGrid w:val="0"/>
        <w:rPr>
          <w:rFonts w:ascii="Times New Roman" w:hAnsi="Times New Roman" w:cs="Times New Roman"/>
          <w:sz w:val="24"/>
          <w:szCs w:val="24"/>
        </w:rPr>
      </w:pPr>
    </w:p>
    <w:p w14:paraId="1CEC1072" w14:textId="0F0C32A3" w:rsidR="00883C5E" w:rsidRPr="005A0E0C" w:rsidRDefault="001769B0" w:rsidP="005A0E0C">
      <w:pPr>
        <w:snapToGrid w:val="0"/>
        <w:outlineLvl w:val="1"/>
        <w:rPr>
          <w:rFonts w:ascii="Times New Roman" w:hAnsi="Times New Roman" w:cs="Times New Roman"/>
          <w:sz w:val="24"/>
          <w:szCs w:val="24"/>
        </w:rPr>
      </w:pPr>
      <w:bookmarkStart w:id="11" w:name="heading_11"/>
      <w:r w:rsidRPr="005A0E0C">
        <w:rPr>
          <w:rFonts w:ascii="Times New Roman" w:eastAsia="DengXian" w:hAnsi="Times New Roman" w:cs="Times New Roman"/>
          <w:b/>
          <w:sz w:val="24"/>
          <w:szCs w:val="24"/>
        </w:rPr>
        <w:t>4</w:t>
      </w:r>
      <w:r w:rsidR="001D698B">
        <w:rPr>
          <w:rFonts w:ascii="Times New Roman" w:eastAsia="DengXian" w:hAnsi="Times New Roman" w:cs="Times New Roman"/>
          <w:b/>
          <w:sz w:val="24"/>
          <w:szCs w:val="24"/>
        </w:rPr>
        <w:t>.</w:t>
      </w:r>
      <w:r w:rsidRPr="005A0E0C">
        <w:rPr>
          <w:rFonts w:ascii="Times New Roman" w:eastAsia="DengXian" w:hAnsi="Times New Roman" w:cs="Times New Roman"/>
          <w:b/>
          <w:sz w:val="24"/>
          <w:szCs w:val="24"/>
        </w:rPr>
        <w:t xml:space="preserve"> Construction of </w:t>
      </w:r>
      <w:r w:rsidR="001D698B" w:rsidRPr="001D698B">
        <w:rPr>
          <w:rFonts w:ascii="Times New Roman" w:eastAsia="DengXian" w:hAnsi="Times New Roman" w:cs="Times New Roman"/>
          <w:b/>
          <w:sz w:val="24"/>
          <w:szCs w:val="24"/>
        </w:rPr>
        <w:t>blockchain-based digital credit bank system for vocational education students</w:t>
      </w:r>
      <w:bookmarkEnd w:id="11"/>
    </w:p>
    <w:p w14:paraId="463CC0C3" w14:textId="600FE0ED" w:rsidR="00883C5E" w:rsidRPr="005A0E0C" w:rsidRDefault="001769B0" w:rsidP="005A0E0C">
      <w:pPr>
        <w:snapToGrid w:val="0"/>
        <w:outlineLvl w:val="2"/>
        <w:rPr>
          <w:rFonts w:ascii="Times New Roman" w:hAnsi="Times New Roman" w:cs="Times New Roman"/>
          <w:sz w:val="24"/>
          <w:szCs w:val="24"/>
        </w:rPr>
      </w:pPr>
      <w:bookmarkStart w:id="12" w:name="heading_12"/>
      <w:r w:rsidRPr="005A0E0C">
        <w:rPr>
          <w:rFonts w:ascii="Times New Roman" w:eastAsia="DengXian" w:hAnsi="Times New Roman" w:cs="Times New Roman"/>
          <w:b/>
          <w:sz w:val="24"/>
          <w:szCs w:val="24"/>
        </w:rPr>
        <w:t>4.1</w:t>
      </w:r>
      <w:r w:rsidR="001D698B">
        <w:rPr>
          <w:rFonts w:ascii="Times New Roman" w:eastAsia="DengXian" w:hAnsi="Times New Roman" w:cs="Times New Roman"/>
          <w:b/>
          <w:sz w:val="24"/>
          <w:szCs w:val="24"/>
        </w:rPr>
        <w:t>.</w:t>
      </w:r>
      <w:r w:rsidRPr="005A0E0C">
        <w:rPr>
          <w:rFonts w:ascii="Times New Roman" w:eastAsia="DengXian" w:hAnsi="Times New Roman" w:cs="Times New Roman"/>
          <w:b/>
          <w:sz w:val="24"/>
          <w:szCs w:val="24"/>
        </w:rPr>
        <w:t xml:space="preserve"> Technical </w:t>
      </w:r>
      <w:r w:rsidR="001D698B" w:rsidRPr="001D698B">
        <w:rPr>
          <w:rFonts w:ascii="Times New Roman" w:eastAsia="DengXian" w:hAnsi="Times New Roman" w:cs="Times New Roman"/>
          <w:b/>
          <w:sz w:val="24"/>
          <w:szCs w:val="24"/>
        </w:rPr>
        <w:t>construction of layered architecture</w:t>
      </w:r>
      <w:bookmarkEnd w:id="12"/>
    </w:p>
    <w:p w14:paraId="42589368" w14:textId="6BACB387" w:rsidR="00883C5E" w:rsidRPr="005A0E0C" w:rsidRDefault="001769B0" w:rsidP="005A0E0C">
      <w:pPr>
        <w:snapToGrid w:val="0"/>
        <w:rPr>
          <w:rFonts w:ascii="Times New Roman" w:hAnsi="Times New Roman" w:cs="Times New Roman"/>
          <w:sz w:val="24"/>
          <w:szCs w:val="24"/>
        </w:rPr>
      </w:pPr>
      <w:r w:rsidRPr="005A0E0C">
        <w:rPr>
          <w:rFonts w:ascii="Times New Roman" w:eastAsia="DengXian" w:hAnsi="Times New Roman" w:cs="Times New Roman"/>
          <w:sz w:val="24"/>
          <w:szCs w:val="24"/>
        </w:rPr>
        <w:t>The network layer serves as the basic operational carrier of the whole system, adopting a P2P distributed networking model and building node networks based on Peer nodes of Hyperledger Fabric. Connecting provincial education authorities, vocational colleges, skill training and evaluation institutions, cooperative enterprises</w:t>
      </w:r>
      <w:r w:rsidR="001D698B">
        <w:rPr>
          <w:rFonts w:ascii="Times New Roman" w:eastAsia="DengXian" w:hAnsi="Times New Roman" w:cs="Times New Roman"/>
          <w:sz w:val="24"/>
          <w:szCs w:val="24"/>
        </w:rPr>
        <w:t>,</w:t>
      </w:r>
      <w:r w:rsidRPr="005A0E0C">
        <w:rPr>
          <w:rFonts w:ascii="Times New Roman" w:eastAsia="DengXian" w:hAnsi="Times New Roman" w:cs="Times New Roman"/>
          <w:sz w:val="24"/>
          <w:szCs w:val="24"/>
        </w:rPr>
        <w:t xml:space="preserve"> and other participants, the network layer establishes exclusive channels for data interaction between different platforms</w:t>
      </w:r>
      <w:r w:rsidR="001D698B">
        <w:rPr>
          <w:rFonts w:ascii="Times New Roman" w:eastAsia="DengXian" w:hAnsi="Times New Roman" w:cs="Times New Roman"/>
          <w:sz w:val="24"/>
          <w:szCs w:val="24"/>
        </w:rPr>
        <w:t xml:space="preserve"> </w:t>
      </w:r>
      <w:r w:rsidRPr="005A0E0C">
        <w:rPr>
          <w:rFonts w:ascii="Times New Roman" w:eastAsia="DengXian" w:hAnsi="Times New Roman" w:cs="Times New Roman"/>
          <w:sz w:val="24"/>
          <w:szCs w:val="24"/>
          <w:vertAlign w:val="superscript"/>
        </w:rPr>
        <w:t>[6]</w:t>
      </w:r>
      <w:r w:rsidRPr="005A0E0C">
        <w:rPr>
          <w:rFonts w:ascii="Times New Roman" w:eastAsia="DengXian" w:hAnsi="Times New Roman" w:cs="Times New Roman"/>
          <w:sz w:val="24"/>
          <w:szCs w:val="24"/>
        </w:rPr>
        <w:t>. Operated under distributed logic, a single node failure will not disrupt the entire network, providing a stable underlying environment for credit data transmission and interaction.</w:t>
      </w:r>
    </w:p>
    <w:p w14:paraId="76069DAF" w14:textId="35E6A9CC" w:rsidR="00883C5E" w:rsidRPr="005A0E0C" w:rsidRDefault="001769B0" w:rsidP="005A0E0C">
      <w:pPr>
        <w:snapToGrid w:val="0"/>
        <w:ind w:firstLine="426"/>
        <w:rPr>
          <w:rFonts w:ascii="Times New Roman" w:hAnsi="Times New Roman" w:cs="Times New Roman"/>
          <w:sz w:val="24"/>
          <w:szCs w:val="24"/>
        </w:rPr>
      </w:pPr>
      <w:r w:rsidRPr="005A0E0C">
        <w:rPr>
          <w:rFonts w:ascii="Times New Roman" w:eastAsia="DengXian" w:hAnsi="Times New Roman" w:cs="Times New Roman"/>
          <w:sz w:val="24"/>
          <w:szCs w:val="24"/>
        </w:rPr>
        <w:t>The data layer acts as the core storage of credit data, constructing a distributed credit ledger via the SHA-256 hash algorithm and RSA asymmetric encryption technology. It stores student identity information, detailed learning outcomes, credit accounting records</w:t>
      </w:r>
      <w:r w:rsidR="001D698B">
        <w:rPr>
          <w:rFonts w:ascii="Times New Roman" w:eastAsia="DengXian" w:hAnsi="Times New Roman" w:cs="Times New Roman"/>
          <w:sz w:val="24"/>
          <w:szCs w:val="24"/>
        </w:rPr>
        <w:t>,</w:t>
      </w:r>
      <w:r w:rsidRPr="005A0E0C">
        <w:rPr>
          <w:rFonts w:ascii="Times New Roman" w:eastAsia="DengXian" w:hAnsi="Times New Roman" w:cs="Times New Roman"/>
          <w:sz w:val="24"/>
          <w:szCs w:val="24"/>
        </w:rPr>
        <w:t xml:space="preserve"> and conversion histories. All data is encrypted via hash functions to generate blocks connected in chronological order to form a chain structure. Authorized nodes within the consortium chain can access data within their permission scope, while sensitive information is encrypted for access only by authorized entities, balancing data transparency and privacy protection.</w:t>
      </w:r>
    </w:p>
    <w:p w14:paraId="4D5F6500" w14:textId="5826AA25" w:rsidR="00883C5E" w:rsidRPr="005A0E0C" w:rsidRDefault="001769B0" w:rsidP="005A0E0C">
      <w:pPr>
        <w:snapToGrid w:val="0"/>
        <w:rPr>
          <w:rFonts w:ascii="Times New Roman" w:hAnsi="Times New Roman" w:cs="Times New Roman"/>
          <w:sz w:val="24"/>
          <w:szCs w:val="24"/>
        </w:rPr>
      </w:pPr>
      <w:r w:rsidRPr="005A0E0C">
        <w:rPr>
          <w:rFonts w:ascii="Times New Roman" w:eastAsia="DengXian" w:hAnsi="Times New Roman" w:cs="Times New Roman"/>
          <w:sz w:val="24"/>
          <w:szCs w:val="24"/>
        </w:rPr>
        <w:t>The consensus layer adopts the Raft consensus algorithm to verify the validity of credit data. After students submit learning outcomes, nodes including colleges, education authorities</w:t>
      </w:r>
      <w:r w:rsidR="001D698B">
        <w:rPr>
          <w:rFonts w:ascii="Times New Roman" w:eastAsia="DengXian" w:hAnsi="Times New Roman" w:cs="Times New Roman"/>
          <w:sz w:val="24"/>
          <w:szCs w:val="24"/>
        </w:rPr>
        <w:t>,</w:t>
      </w:r>
      <w:r w:rsidRPr="005A0E0C">
        <w:rPr>
          <w:rFonts w:ascii="Times New Roman" w:eastAsia="DengXian" w:hAnsi="Times New Roman" w:cs="Times New Roman"/>
          <w:sz w:val="24"/>
          <w:szCs w:val="24"/>
        </w:rPr>
        <w:t xml:space="preserve"> and industry institutions conduct joint reviews. Data can only be written into blocks after all nodes reach consistent judgment results</w:t>
      </w:r>
      <w:r w:rsidR="001D698B">
        <w:rPr>
          <w:rFonts w:ascii="Times New Roman" w:eastAsia="DengXian" w:hAnsi="Times New Roman" w:cs="Times New Roman"/>
          <w:sz w:val="24"/>
          <w:szCs w:val="24"/>
        </w:rPr>
        <w:t xml:space="preserve"> </w:t>
      </w:r>
      <w:r w:rsidRPr="005A0E0C">
        <w:rPr>
          <w:rFonts w:ascii="Times New Roman" w:eastAsia="DengXian" w:hAnsi="Times New Roman" w:cs="Times New Roman"/>
          <w:sz w:val="24"/>
          <w:szCs w:val="24"/>
          <w:vertAlign w:val="superscript"/>
        </w:rPr>
        <w:t>[7]</w:t>
      </w:r>
      <w:r w:rsidRPr="005A0E0C">
        <w:rPr>
          <w:rFonts w:ascii="Times New Roman" w:eastAsia="DengXian" w:hAnsi="Times New Roman" w:cs="Times New Roman"/>
          <w:sz w:val="24"/>
          <w:szCs w:val="24"/>
        </w:rPr>
        <w:t>. This multi-stakeholder confirmation model strengthens the authority of credit management.</w:t>
      </w:r>
    </w:p>
    <w:p w14:paraId="618931D5" w14:textId="363149EB" w:rsidR="00883C5E" w:rsidRPr="005A0E0C" w:rsidRDefault="001769B0" w:rsidP="005A0E0C">
      <w:pPr>
        <w:snapToGrid w:val="0"/>
        <w:ind w:firstLine="426"/>
        <w:rPr>
          <w:rFonts w:ascii="Times New Roman" w:hAnsi="Times New Roman" w:cs="Times New Roman"/>
          <w:sz w:val="24"/>
          <w:szCs w:val="24"/>
        </w:rPr>
      </w:pPr>
      <w:r w:rsidRPr="005A0E0C">
        <w:rPr>
          <w:rFonts w:ascii="Times New Roman" w:eastAsia="DengXian" w:hAnsi="Times New Roman" w:cs="Times New Roman"/>
          <w:sz w:val="24"/>
          <w:szCs w:val="24"/>
        </w:rPr>
        <w:t>The contract layer adopts Go/Node.js/Java to develop chain codes covering credit recognition, credit conversion, credit review</w:t>
      </w:r>
      <w:r w:rsidR="001D698B">
        <w:rPr>
          <w:rFonts w:ascii="Times New Roman" w:eastAsia="DengXian" w:hAnsi="Times New Roman" w:cs="Times New Roman"/>
          <w:sz w:val="24"/>
          <w:szCs w:val="24"/>
        </w:rPr>
        <w:t>,</w:t>
      </w:r>
      <w:r w:rsidRPr="005A0E0C">
        <w:rPr>
          <w:rFonts w:ascii="Times New Roman" w:eastAsia="DengXian" w:hAnsi="Times New Roman" w:cs="Times New Roman"/>
          <w:sz w:val="24"/>
          <w:szCs w:val="24"/>
        </w:rPr>
        <w:t xml:space="preserve"> and abnormal early warning scenarios. Compiled in accordance with national credit bank standards and vocational education credit management rules, contract codes preset learning outcome recognition criteria, credit conversion ratios</w:t>
      </w:r>
      <w:r w:rsidR="001D698B">
        <w:rPr>
          <w:rFonts w:ascii="Times New Roman" w:eastAsia="DengXian" w:hAnsi="Times New Roman" w:cs="Times New Roman"/>
          <w:sz w:val="24"/>
          <w:szCs w:val="24"/>
        </w:rPr>
        <w:t>,</w:t>
      </w:r>
      <w:r w:rsidRPr="005A0E0C">
        <w:rPr>
          <w:rFonts w:ascii="Times New Roman" w:eastAsia="DengXian" w:hAnsi="Times New Roman" w:cs="Times New Roman"/>
          <w:sz w:val="24"/>
          <w:szCs w:val="24"/>
        </w:rPr>
        <w:t xml:space="preserve"> and review workflows to automatically execute operations once triggered, replacing manual work for standardized credit management.</w:t>
      </w:r>
    </w:p>
    <w:p w14:paraId="7C7B2A07" w14:textId="77777777" w:rsidR="00883C5E" w:rsidRDefault="001769B0" w:rsidP="001D698B">
      <w:pPr>
        <w:tabs>
          <w:tab w:val="left" w:pos="567"/>
        </w:tabs>
        <w:snapToGrid w:val="0"/>
        <w:ind w:firstLine="426"/>
        <w:rPr>
          <w:rFonts w:ascii="Times New Roman" w:eastAsia="DengXian" w:hAnsi="Times New Roman" w:cs="Times New Roman"/>
          <w:sz w:val="24"/>
          <w:szCs w:val="24"/>
        </w:rPr>
      </w:pPr>
      <w:r w:rsidRPr="005A0E0C">
        <w:rPr>
          <w:rFonts w:ascii="Times New Roman" w:eastAsia="DengXian" w:hAnsi="Times New Roman" w:cs="Times New Roman"/>
          <w:sz w:val="24"/>
          <w:szCs w:val="24"/>
        </w:rPr>
        <w:t xml:space="preserve">The application layer develops visual interfaces for four types of users: students, colleges, enterprises and education authorities. The student terminal supports account registration, learning outcome submission, credit status inquiry and conversion application; the college terminal enables learning outcome review, course credit management and student credit file administration; the enterprise terminal allows viewing student credits and learning outcomes; the education authority terminal supports platform </w:t>
      </w:r>
      <w:r w:rsidRPr="005A0E0C">
        <w:rPr>
          <w:rFonts w:ascii="Times New Roman" w:eastAsia="DengXian" w:hAnsi="Times New Roman" w:cs="Times New Roman"/>
          <w:sz w:val="24"/>
          <w:szCs w:val="24"/>
        </w:rPr>
        <w:t>supervision, data statistics and standard formulation, meeting diverse credit management and usage demands of all stakeholders.</w:t>
      </w:r>
    </w:p>
    <w:p w14:paraId="5FAE1A20" w14:textId="77777777" w:rsidR="001D698B" w:rsidRPr="005A0E0C" w:rsidRDefault="001D698B" w:rsidP="005A0E0C">
      <w:pPr>
        <w:tabs>
          <w:tab w:val="left" w:pos="567"/>
        </w:tabs>
        <w:snapToGrid w:val="0"/>
        <w:ind w:firstLine="426"/>
        <w:rPr>
          <w:rFonts w:ascii="Times New Roman" w:hAnsi="Times New Roman" w:cs="Times New Roman"/>
          <w:sz w:val="24"/>
          <w:szCs w:val="24"/>
        </w:rPr>
      </w:pPr>
    </w:p>
    <w:p w14:paraId="153CB325" w14:textId="79555858" w:rsidR="00883C5E" w:rsidRPr="005A0E0C" w:rsidRDefault="001769B0" w:rsidP="005A0E0C">
      <w:pPr>
        <w:snapToGrid w:val="0"/>
        <w:outlineLvl w:val="2"/>
        <w:rPr>
          <w:rFonts w:ascii="Times New Roman" w:hAnsi="Times New Roman" w:cs="Times New Roman"/>
          <w:sz w:val="24"/>
          <w:szCs w:val="24"/>
        </w:rPr>
      </w:pPr>
      <w:bookmarkStart w:id="13" w:name="heading_13"/>
      <w:r w:rsidRPr="005A0E0C">
        <w:rPr>
          <w:rFonts w:ascii="Times New Roman" w:eastAsia="DengXian" w:hAnsi="Times New Roman" w:cs="Times New Roman"/>
          <w:b/>
          <w:sz w:val="24"/>
          <w:szCs w:val="24"/>
        </w:rPr>
        <w:t>4.2</w:t>
      </w:r>
      <w:r w:rsidR="001D698B">
        <w:rPr>
          <w:rFonts w:ascii="Times New Roman" w:eastAsia="DengXian" w:hAnsi="Times New Roman" w:cs="Times New Roman"/>
          <w:b/>
          <w:sz w:val="24"/>
          <w:szCs w:val="24"/>
        </w:rPr>
        <w:t>.</w:t>
      </w:r>
      <w:r w:rsidRPr="005A0E0C">
        <w:rPr>
          <w:rFonts w:ascii="Times New Roman" w:eastAsia="DengXian" w:hAnsi="Times New Roman" w:cs="Times New Roman"/>
          <w:b/>
          <w:sz w:val="24"/>
          <w:szCs w:val="24"/>
        </w:rPr>
        <w:t xml:space="preserve"> Construction of </w:t>
      </w:r>
      <w:r w:rsidR="001D698B" w:rsidRPr="001D698B">
        <w:rPr>
          <w:rFonts w:ascii="Times New Roman" w:eastAsia="DengXian" w:hAnsi="Times New Roman" w:cs="Times New Roman"/>
          <w:b/>
          <w:sz w:val="24"/>
          <w:szCs w:val="24"/>
        </w:rPr>
        <w:t>core functional modules</w:t>
      </w:r>
      <w:bookmarkEnd w:id="13"/>
    </w:p>
    <w:p w14:paraId="242954B5" w14:textId="387B5B7F" w:rsidR="00883C5E" w:rsidRPr="005A0E0C" w:rsidRDefault="001769B0" w:rsidP="005A0E0C">
      <w:pPr>
        <w:snapToGrid w:val="0"/>
        <w:outlineLvl w:val="3"/>
        <w:rPr>
          <w:rFonts w:ascii="Times New Roman" w:hAnsi="Times New Roman" w:cs="Times New Roman"/>
          <w:sz w:val="24"/>
          <w:szCs w:val="24"/>
        </w:rPr>
      </w:pPr>
      <w:bookmarkStart w:id="14" w:name="heading_14"/>
      <w:r w:rsidRPr="005A0E0C">
        <w:rPr>
          <w:rFonts w:ascii="Times New Roman" w:eastAsia="DengXian" w:hAnsi="Times New Roman" w:cs="Times New Roman"/>
          <w:b/>
          <w:sz w:val="24"/>
          <w:szCs w:val="24"/>
        </w:rPr>
        <w:t>4.2.1</w:t>
      </w:r>
      <w:r w:rsidR="001D698B">
        <w:rPr>
          <w:rFonts w:ascii="Times New Roman" w:eastAsia="DengXian" w:hAnsi="Times New Roman" w:cs="Times New Roman"/>
          <w:b/>
          <w:sz w:val="24"/>
          <w:szCs w:val="24"/>
        </w:rPr>
        <w:t>.</w:t>
      </w:r>
      <w:r w:rsidRPr="005A0E0C">
        <w:rPr>
          <w:rFonts w:ascii="Times New Roman" w:eastAsia="DengXian" w:hAnsi="Times New Roman" w:cs="Times New Roman"/>
          <w:b/>
          <w:sz w:val="24"/>
          <w:szCs w:val="24"/>
        </w:rPr>
        <w:t xml:space="preserve"> Student </w:t>
      </w:r>
      <w:r w:rsidR="001D698B" w:rsidRPr="005A0E0C">
        <w:rPr>
          <w:rFonts w:ascii="Times New Roman" w:eastAsia="DengXian" w:hAnsi="Times New Roman" w:cs="Times New Roman"/>
          <w:b/>
          <w:sz w:val="24"/>
          <w:szCs w:val="24"/>
          <w:lang w:val="en-US"/>
        </w:rPr>
        <w:t>digital identity management module</w:t>
      </w:r>
      <w:bookmarkEnd w:id="14"/>
    </w:p>
    <w:p w14:paraId="17920F1E" w14:textId="336E5550" w:rsidR="00883C5E" w:rsidRDefault="001769B0" w:rsidP="001D698B">
      <w:pPr>
        <w:snapToGrid w:val="0"/>
        <w:rPr>
          <w:rFonts w:ascii="Times New Roman" w:eastAsia="DengXian" w:hAnsi="Times New Roman" w:cs="Times New Roman"/>
          <w:sz w:val="24"/>
          <w:szCs w:val="24"/>
        </w:rPr>
      </w:pPr>
      <w:r w:rsidRPr="005A0E0C">
        <w:rPr>
          <w:rFonts w:ascii="Times New Roman" w:eastAsia="DengXian" w:hAnsi="Times New Roman" w:cs="Times New Roman"/>
          <w:sz w:val="24"/>
          <w:szCs w:val="24"/>
        </w:rPr>
        <w:t xml:space="preserve">After platform registration, the system generates an exclusive digital identity identifier for each student via asymmetric encryption technology, binding the digital identity with student school </w:t>
      </w:r>
      <w:r w:rsidR="001D698B" w:rsidRPr="001D698B">
        <w:rPr>
          <w:rFonts w:ascii="Times New Roman" w:eastAsia="DengXian" w:hAnsi="Times New Roman" w:cs="Times New Roman"/>
          <w:sz w:val="24"/>
          <w:szCs w:val="24"/>
        </w:rPr>
        <w:t>enrolment</w:t>
      </w:r>
      <w:r w:rsidRPr="005A0E0C">
        <w:rPr>
          <w:rFonts w:ascii="Times New Roman" w:eastAsia="DengXian" w:hAnsi="Times New Roman" w:cs="Times New Roman"/>
          <w:sz w:val="24"/>
          <w:szCs w:val="24"/>
        </w:rPr>
        <w:t xml:space="preserve"> and identity information. The public key is used for identity verification and public inquiry, while the private key is kept by students themselves to authorize credit operations. The unique digital identity effectively prevents identity impersonation and protects student personal information security.</w:t>
      </w:r>
    </w:p>
    <w:p w14:paraId="2C5F4C5B" w14:textId="77777777" w:rsidR="001D698B" w:rsidRPr="005A0E0C" w:rsidRDefault="001D698B" w:rsidP="005A0E0C">
      <w:pPr>
        <w:snapToGrid w:val="0"/>
        <w:rPr>
          <w:rFonts w:ascii="Times New Roman" w:hAnsi="Times New Roman" w:cs="Times New Roman"/>
          <w:sz w:val="24"/>
          <w:szCs w:val="24"/>
        </w:rPr>
      </w:pPr>
    </w:p>
    <w:p w14:paraId="439B1808" w14:textId="1E2C364E" w:rsidR="00883C5E" w:rsidRPr="005A0E0C" w:rsidRDefault="001769B0" w:rsidP="005A0E0C">
      <w:pPr>
        <w:snapToGrid w:val="0"/>
        <w:outlineLvl w:val="3"/>
        <w:rPr>
          <w:rFonts w:ascii="Times New Roman" w:hAnsi="Times New Roman" w:cs="Times New Roman"/>
          <w:sz w:val="24"/>
          <w:szCs w:val="24"/>
        </w:rPr>
      </w:pPr>
      <w:bookmarkStart w:id="15" w:name="heading_15"/>
      <w:r w:rsidRPr="005A0E0C">
        <w:rPr>
          <w:rFonts w:ascii="Times New Roman" w:eastAsia="DengXian" w:hAnsi="Times New Roman" w:cs="Times New Roman"/>
          <w:b/>
          <w:sz w:val="24"/>
          <w:szCs w:val="24"/>
        </w:rPr>
        <w:lastRenderedPageBreak/>
        <w:t>4.2.2</w:t>
      </w:r>
      <w:r w:rsidR="001D698B">
        <w:rPr>
          <w:rFonts w:ascii="Times New Roman" w:eastAsia="DengXian" w:hAnsi="Times New Roman" w:cs="Times New Roman"/>
          <w:b/>
          <w:sz w:val="24"/>
          <w:szCs w:val="24"/>
        </w:rPr>
        <w:t>.</w:t>
      </w:r>
      <w:r w:rsidRPr="005A0E0C">
        <w:rPr>
          <w:rFonts w:ascii="Times New Roman" w:eastAsia="DengXian" w:hAnsi="Times New Roman" w:cs="Times New Roman"/>
          <w:b/>
          <w:sz w:val="24"/>
          <w:szCs w:val="24"/>
        </w:rPr>
        <w:t xml:space="preserve"> Learning </w:t>
      </w:r>
      <w:r w:rsidR="001D698B" w:rsidRPr="001D698B">
        <w:rPr>
          <w:rFonts w:ascii="Times New Roman" w:eastAsia="DengXian" w:hAnsi="Times New Roman" w:cs="Times New Roman"/>
          <w:b/>
          <w:sz w:val="24"/>
          <w:szCs w:val="24"/>
        </w:rPr>
        <w:t>outcome certification and storage module</w:t>
      </w:r>
      <w:bookmarkEnd w:id="15"/>
    </w:p>
    <w:p w14:paraId="0DA890C0" w14:textId="2ACBBA60" w:rsidR="00883C5E" w:rsidRDefault="001769B0" w:rsidP="001D698B">
      <w:pPr>
        <w:snapToGrid w:val="0"/>
        <w:rPr>
          <w:rFonts w:ascii="Times New Roman" w:eastAsia="DengXian" w:hAnsi="Times New Roman" w:cs="Times New Roman"/>
          <w:sz w:val="24"/>
          <w:szCs w:val="24"/>
        </w:rPr>
      </w:pPr>
      <w:r w:rsidRPr="005A0E0C">
        <w:rPr>
          <w:rFonts w:ascii="Times New Roman" w:eastAsia="DengXian" w:hAnsi="Times New Roman" w:cs="Times New Roman"/>
          <w:sz w:val="24"/>
          <w:szCs w:val="24"/>
        </w:rPr>
        <w:t>This module covers all types of vocational education learning outcomes, including academic courses, enterprise training, 1</w:t>
      </w:r>
      <w:r w:rsidR="001D698B">
        <w:rPr>
          <w:rFonts w:ascii="Times New Roman" w:eastAsia="DengXian" w:hAnsi="Times New Roman" w:cs="Times New Roman"/>
          <w:sz w:val="24"/>
          <w:szCs w:val="24"/>
        </w:rPr>
        <w:t xml:space="preserve"> </w:t>
      </w:r>
      <w:r w:rsidRPr="005A0E0C">
        <w:rPr>
          <w:rFonts w:ascii="Times New Roman" w:eastAsia="DengXian" w:hAnsi="Times New Roman" w:cs="Times New Roman"/>
          <w:sz w:val="24"/>
          <w:szCs w:val="24"/>
        </w:rPr>
        <w:t>+</w:t>
      </w:r>
      <w:r w:rsidR="001D698B">
        <w:rPr>
          <w:rFonts w:ascii="Times New Roman" w:eastAsia="DengXian" w:hAnsi="Times New Roman" w:cs="Times New Roman"/>
          <w:sz w:val="24"/>
          <w:szCs w:val="24"/>
        </w:rPr>
        <w:t xml:space="preserve"> </w:t>
      </w:r>
      <w:r w:rsidRPr="005A0E0C">
        <w:rPr>
          <w:rFonts w:ascii="Times New Roman" w:eastAsia="DengXian" w:hAnsi="Times New Roman" w:cs="Times New Roman"/>
          <w:sz w:val="24"/>
          <w:szCs w:val="24"/>
        </w:rPr>
        <w:t>X certificates, skill competitions</w:t>
      </w:r>
      <w:r w:rsidR="001D698B">
        <w:rPr>
          <w:rFonts w:ascii="Times New Roman" w:eastAsia="DengXian" w:hAnsi="Times New Roman" w:cs="Times New Roman"/>
          <w:sz w:val="24"/>
          <w:szCs w:val="24"/>
        </w:rPr>
        <w:t>,</w:t>
      </w:r>
      <w:r w:rsidRPr="005A0E0C">
        <w:rPr>
          <w:rFonts w:ascii="Times New Roman" w:eastAsia="DengXian" w:hAnsi="Times New Roman" w:cs="Times New Roman"/>
          <w:sz w:val="24"/>
          <w:szCs w:val="24"/>
        </w:rPr>
        <w:t xml:space="preserve"> and industry certifications. After students upload supporting documents for learning outcomes, smart contracts complete preliminary verification following preset rules, and consortium chain nodes conduct consensus judgment. Qualified learning outcomes are converted into credits and recorded on the chain</w:t>
      </w:r>
      <w:r w:rsidR="001D698B">
        <w:rPr>
          <w:rFonts w:ascii="Times New Roman" w:eastAsia="DengXian" w:hAnsi="Times New Roman" w:cs="Times New Roman"/>
          <w:sz w:val="24"/>
          <w:szCs w:val="24"/>
        </w:rPr>
        <w:t xml:space="preserve"> </w:t>
      </w:r>
      <w:r w:rsidRPr="005A0E0C">
        <w:rPr>
          <w:rFonts w:ascii="Times New Roman" w:eastAsia="DengXian" w:hAnsi="Times New Roman" w:cs="Times New Roman"/>
          <w:sz w:val="24"/>
          <w:szCs w:val="24"/>
          <w:vertAlign w:val="superscript"/>
        </w:rPr>
        <w:t>[8]</w:t>
      </w:r>
      <w:r w:rsidRPr="005A0E0C">
        <w:rPr>
          <w:rFonts w:ascii="Times New Roman" w:eastAsia="DengXian" w:hAnsi="Times New Roman" w:cs="Times New Roman"/>
          <w:sz w:val="24"/>
          <w:szCs w:val="24"/>
        </w:rPr>
        <w:t>. Learning outcomes and credit information are permanently archived as evidence of students</w:t>
      </w:r>
      <w:r w:rsidR="001D698B">
        <w:rPr>
          <w:rFonts w:ascii="Times New Roman" w:eastAsia="DengXian" w:hAnsi="Times New Roman" w:cs="Times New Roman"/>
          <w:sz w:val="24"/>
          <w:szCs w:val="24"/>
        </w:rPr>
        <w:t>’</w:t>
      </w:r>
      <w:r w:rsidRPr="005A0E0C">
        <w:rPr>
          <w:rFonts w:ascii="Times New Roman" w:eastAsia="DengXian" w:hAnsi="Times New Roman" w:cs="Times New Roman"/>
          <w:sz w:val="24"/>
          <w:szCs w:val="24"/>
        </w:rPr>
        <w:t xml:space="preserve"> learning experience.</w:t>
      </w:r>
    </w:p>
    <w:p w14:paraId="71CB5CFB" w14:textId="77777777" w:rsidR="001D698B" w:rsidRPr="005A0E0C" w:rsidRDefault="001D698B" w:rsidP="005A0E0C">
      <w:pPr>
        <w:snapToGrid w:val="0"/>
        <w:rPr>
          <w:rFonts w:ascii="Times New Roman" w:hAnsi="Times New Roman" w:cs="Times New Roman"/>
          <w:sz w:val="24"/>
          <w:szCs w:val="24"/>
        </w:rPr>
      </w:pPr>
    </w:p>
    <w:p w14:paraId="02BC0C5E" w14:textId="75D1A447" w:rsidR="00883C5E" w:rsidRPr="005A0E0C" w:rsidRDefault="001769B0" w:rsidP="005A0E0C">
      <w:pPr>
        <w:snapToGrid w:val="0"/>
        <w:outlineLvl w:val="3"/>
        <w:rPr>
          <w:rFonts w:ascii="Times New Roman" w:hAnsi="Times New Roman" w:cs="Times New Roman"/>
          <w:sz w:val="24"/>
          <w:szCs w:val="24"/>
        </w:rPr>
      </w:pPr>
      <w:bookmarkStart w:id="16" w:name="heading_16"/>
      <w:r w:rsidRPr="005A0E0C">
        <w:rPr>
          <w:rFonts w:ascii="Times New Roman" w:eastAsia="DengXian" w:hAnsi="Times New Roman" w:cs="Times New Roman"/>
          <w:b/>
          <w:sz w:val="24"/>
          <w:szCs w:val="24"/>
        </w:rPr>
        <w:t>4.2.3</w:t>
      </w:r>
      <w:r w:rsidR="001D698B">
        <w:rPr>
          <w:rFonts w:ascii="Times New Roman" w:eastAsia="DengXian" w:hAnsi="Times New Roman" w:cs="Times New Roman"/>
          <w:b/>
          <w:sz w:val="24"/>
          <w:szCs w:val="24"/>
        </w:rPr>
        <w:t>.</w:t>
      </w:r>
      <w:r w:rsidRPr="005A0E0C">
        <w:rPr>
          <w:rFonts w:ascii="Times New Roman" w:eastAsia="DengXian" w:hAnsi="Times New Roman" w:cs="Times New Roman"/>
          <w:b/>
          <w:sz w:val="24"/>
          <w:szCs w:val="24"/>
        </w:rPr>
        <w:t xml:space="preserve"> Credit </w:t>
      </w:r>
      <w:r w:rsidR="001D698B" w:rsidRPr="001D698B">
        <w:rPr>
          <w:rFonts w:ascii="Times New Roman" w:eastAsia="DengXian" w:hAnsi="Times New Roman" w:cs="Times New Roman"/>
          <w:b/>
          <w:sz w:val="24"/>
          <w:szCs w:val="24"/>
        </w:rPr>
        <w:t>conversion and circulation module</w:t>
      </w:r>
      <w:bookmarkEnd w:id="16"/>
    </w:p>
    <w:p w14:paraId="0277BEE1" w14:textId="7E5202B8" w:rsidR="00883C5E" w:rsidRDefault="001769B0" w:rsidP="001D698B">
      <w:pPr>
        <w:snapToGrid w:val="0"/>
        <w:rPr>
          <w:rFonts w:ascii="Times New Roman" w:eastAsia="DengXian" w:hAnsi="Times New Roman" w:cs="Times New Roman"/>
          <w:sz w:val="24"/>
          <w:szCs w:val="24"/>
        </w:rPr>
      </w:pPr>
      <w:r w:rsidRPr="005A0E0C">
        <w:rPr>
          <w:rFonts w:ascii="Times New Roman" w:eastAsia="DengXian" w:hAnsi="Times New Roman" w:cs="Times New Roman"/>
          <w:sz w:val="24"/>
          <w:szCs w:val="24"/>
        </w:rPr>
        <w:t>Docked with the national lifelong education qualification framework, this module realizes credit conversion automatically via smart contracts based on unified credit conversion standards. Scenarios including cross-college study, certificate-to-credit exchange</w:t>
      </w:r>
      <w:r w:rsidR="001D698B">
        <w:rPr>
          <w:rFonts w:ascii="Times New Roman" w:eastAsia="DengXian" w:hAnsi="Times New Roman" w:cs="Times New Roman"/>
          <w:sz w:val="24"/>
          <w:szCs w:val="24"/>
        </w:rPr>
        <w:t>,</w:t>
      </w:r>
      <w:r w:rsidRPr="005A0E0C">
        <w:rPr>
          <w:rFonts w:ascii="Times New Roman" w:eastAsia="DengXian" w:hAnsi="Times New Roman" w:cs="Times New Roman"/>
          <w:sz w:val="24"/>
          <w:szCs w:val="24"/>
        </w:rPr>
        <w:t xml:space="preserve"> and training outcome credit offsetting can complete automatic credit accounting and transfer through contracts</w:t>
      </w:r>
      <w:r w:rsidR="001D698B">
        <w:rPr>
          <w:rFonts w:ascii="Times New Roman" w:eastAsia="DengXian" w:hAnsi="Times New Roman" w:cs="Times New Roman"/>
          <w:sz w:val="24"/>
          <w:szCs w:val="24"/>
        </w:rPr>
        <w:t xml:space="preserve"> </w:t>
      </w:r>
      <w:r w:rsidRPr="005A0E0C">
        <w:rPr>
          <w:rFonts w:ascii="Times New Roman" w:eastAsia="DengXian" w:hAnsi="Times New Roman" w:cs="Times New Roman"/>
          <w:sz w:val="24"/>
          <w:szCs w:val="24"/>
          <w:vertAlign w:val="superscript"/>
        </w:rPr>
        <w:t>[9]</w:t>
      </w:r>
      <w:r w:rsidRPr="005A0E0C">
        <w:rPr>
          <w:rFonts w:ascii="Times New Roman" w:eastAsia="DengXian" w:hAnsi="Times New Roman" w:cs="Times New Roman"/>
          <w:sz w:val="24"/>
          <w:szCs w:val="24"/>
        </w:rPr>
        <w:t>. The module bridges credit circulation between colleges, training institutions</w:t>
      </w:r>
      <w:r w:rsidR="001D698B">
        <w:rPr>
          <w:rFonts w:ascii="Times New Roman" w:eastAsia="DengXian" w:hAnsi="Times New Roman" w:cs="Times New Roman"/>
          <w:sz w:val="24"/>
          <w:szCs w:val="24"/>
        </w:rPr>
        <w:t>,</w:t>
      </w:r>
      <w:r w:rsidRPr="005A0E0C">
        <w:rPr>
          <w:rFonts w:ascii="Times New Roman" w:eastAsia="DengXian" w:hAnsi="Times New Roman" w:cs="Times New Roman"/>
          <w:sz w:val="24"/>
          <w:szCs w:val="24"/>
        </w:rPr>
        <w:t xml:space="preserve"> and enterprises, expanding credit application scenarios.</w:t>
      </w:r>
    </w:p>
    <w:p w14:paraId="4DB71A80" w14:textId="77777777" w:rsidR="001D698B" w:rsidRPr="005A0E0C" w:rsidRDefault="001D698B" w:rsidP="005A0E0C">
      <w:pPr>
        <w:snapToGrid w:val="0"/>
        <w:rPr>
          <w:rFonts w:ascii="Times New Roman" w:hAnsi="Times New Roman" w:cs="Times New Roman"/>
          <w:sz w:val="24"/>
          <w:szCs w:val="24"/>
        </w:rPr>
      </w:pPr>
    </w:p>
    <w:p w14:paraId="0DDDCE90" w14:textId="6DDD7D0F" w:rsidR="00883C5E" w:rsidRPr="005A0E0C" w:rsidRDefault="001769B0" w:rsidP="005A0E0C">
      <w:pPr>
        <w:snapToGrid w:val="0"/>
        <w:outlineLvl w:val="3"/>
        <w:rPr>
          <w:rFonts w:ascii="Times New Roman" w:hAnsi="Times New Roman" w:cs="Times New Roman"/>
          <w:sz w:val="24"/>
          <w:szCs w:val="24"/>
        </w:rPr>
      </w:pPr>
      <w:bookmarkStart w:id="17" w:name="heading_17"/>
      <w:r w:rsidRPr="005A0E0C">
        <w:rPr>
          <w:rFonts w:ascii="Times New Roman" w:eastAsia="DengXian" w:hAnsi="Times New Roman" w:cs="Times New Roman"/>
          <w:b/>
          <w:sz w:val="24"/>
          <w:szCs w:val="24"/>
        </w:rPr>
        <w:t>4.2.4</w:t>
      </w:r>
      <w:r w:rsidR="001D698B">
        <w:rPr>
          <w:rFonts w:ascii="Times New Roman" w:eastAsia="DengXian" w:hAnsi="Times New Roman" w:cs="Times New Roman"/>
          <w:b/>
          <w:sz w:val="24"/>
          <w:szCs w:val="24"/>
        </w:rPr>
        <w:t>.</w:t>
      </w:r>
      <w:r w:rsidRPr="005A0E0C">
        <w:rPr>
          <w:rFonts w:ascii="Times New Roman" w:eastAsia="DengXian" w:hAnsi="Times New Roman" w:cs="Times New Roman"/>
          <w:b/>
          <w:sz w:val="24"/>
          <w:szCs w:val="24"/>
        </w:rPr>
        <w:t xml:space="preserve"> Credit </w:t>
      </w:r>
      <w:r w:rsidR="001D698B" w:rsidRPr="001D698B">
        <w:rPr>
          <w:rFonts w:ascii="Times New Roman" w:eastAsia="DengXian" w:hAnsi="Times New Roman" w:cs="Times New Roman"/>
          <w:b/>
          <w:sz w:val="24"/>
          <w:szCs w:val="24"/>
        </w:rPr>
        <w:t>traceability and verification module</w:t>
      </w:r>
      <w:bookmarkEnd w:id="17"/>
    </w:p>
    <w:p w14:paraId="701C51D0" w14:textId="45FA22A3" w:rsidR="00883C5E" w:rsidRDefault="001769B0" w:rsidP="001D698B">
      <w:pPr>
        <w:snapToGrid w:val="0"/>
        <w:rPr>
          <w:rFonts w:ascii="Times New Roman" w:eastAsia="DengXian" w:hAnsi="Times New Roman" w:cs="Times New Roman"/>
          <w:sz w:val="24"/>
          <w:szCs w:val="24"/>
        </w:rPr>
      </w:pPr>
      <w:r w:rsidRPr="005A0E0C">
        <w:rPr>
          <w:rFonts w:ascii="Times New Roman" w:eastAsia="DengXian" w:hAnsi="Times New Roman" w:cs="Times New Roman"/>
          <w:sz w:val="24"/>
          <w:szCs w:val="24"/>
        </w:rPr>
        <w:t>The chain structure of blockchain fully records the whole process of credit generation, conversion</w:t>
      </w:r>
      <w:r w:rsidR="001D698B">
        <w:rPr>
          <w:rFonts w:ascii="Times New Roman" w:eastAsia="DengXian" w:hAnsi="Times New Roman" w:cs="Times New Roman"/>
          <w:sz w:val="24"/>
          <w:szCs w:val="24"/>
        </w:rPr>
        <w:t>,</w:t>
      </w:r>
      <w:r w:rsidRPr="005A0E0C">
        <w:rPr>
          <w:rFonts w:ascii="Times New Roman" w:eastAsia="DengXian" w:hAnsi="Times New Roman" w:cs="Times New Roman"/>
          <w:sz w:val="24"/>
          <w:szCs w:val="24"/>
        </w:rPr>
        <w:t xml:space="preserve"> and review. Colleges, enterprises</w:t>
      </w:r>
      <w:r w:rsidR="001D698B">
        <w:rPr>
          <w:rFonts w:ascii="Times New Roman" w:eastAsia="DengXian" w:hAnsi="Times New Roman" w:cs="Times New Roman"/>
          <w:sz w:val="24"/>
          <w:szCs w:val="24"/>
        </w:rPr>
        <w:t>,</w:t>
      </w:r>
      <w:r w:rsidRPr="005A0E0C">
        <w:rPr>
          <w:rFonts w:ascii="Times New Roman" w:eastAsia="DengXian" w:hAnsi="Times New Roman" w:cs="Times New Roman"/>
          <w:sz w:val="24"/>
          <w:szCs w:val="24"/>
        </w:rPr>
        <w:t xml:space="preserve"> and education authorities can access complete credit history through students</w:t>
      </w:r>
      <w:r w:rsidR="001D698B">
        <w:rPr>
          <w:rFonts w:ascii="Times New Roman" w:eastAsia="DengXian" w:hAnsi="Times New Roman" w:cs="Times New Roman"/>
          <w:sz w:val="24"/>
          <w:szCs w:val="24"/>
        </w:rPr>
        <w:t>’</w:t>
      </w:r>
      <w:r w:rsidRPr="005A0E0C">
        <w:rPr>
          <w:rFonts w:ascii="Times New Roman" w:eastAsia="DengXian" w:hAnsi="Times New Roman" w:cs="Times New Roman"/>
          <w:sz w:val="24"/>
          <w:szCs w:val="24"/>
        </w:rPr>
        <w:t xml:space="preserve"> digital identities. External parties can verify the authenticity and validity of credits, </w:t>
      </w:r>
      <w:proofErr w:type="gramStart"/>
      <w:r w:rsidR="001D698B">
        <w:rPr>
          <w:rFonts w:ascii="Times New Roman" w:eastAsia="DengXian" w:hAnsi="Times New Roman" w:cs="Times New Roman"/>
          <w:sz w:val="24"/>
          <w:szCs w:val="24"/>
        </w:rPr>
        <w:t>replacing</w:t>
      </w:r>
      <w:proofErr w:type="gramEnd"/>
      <w:r w:rsidRPr="005A0E0C">
        <w:rPr>
          <w:rFonts w:ascii="Times New Roman" w:eastAsia="DengXian" w:hAnsi="Times New Roman" w:cs="Times New Roman"/>
          <w:sz w:val="24"/>
          <w:szCs w:val="24"/>
        </w:rPr>
        <w:t xml:space="preserve"> traditional manual verification and improving inspection efficiency</w:t>
      </w:r>
      <w:r w:rsidR="001D698B">
        <w:rPr>
          <w:rFonts w:ascii="Times New Roman" w:eastAsia="DengXian" w:hAnsi="Times New Roman" w:cs="Times New Roman"/>
          <w:sz w:val="24"/>
          <w:szCs w:val="24"/>
        </w:rPr>
        <w:t xml:space="preserve"> </w:t>
      </w:r>
      <w:r w:rsidRPr="005A0E0C">
        <w:rPr>
          <w:rFonts w:ascii="Times New Roman" w:eastAsia="DengXian" w:hAnsi="Times New Roman" w:cs="Times New Roman"/>
          <w:sz w:val="24"/>
          <w:szCs w:val="24"/>
          <w:vertAlign w:val="superscript"/>
        </w:rPr>
        <w:t>[10]</w:t>
      </w:r>
      <w:r w:rsidRPr="005A0E0C">
        <w:rPr>
          <w:rFonts w:ascii="Times New Roman" w:eastAsia="DengXian" w:hAnsi="Times New Roman" w:cs="Times New Roman"/>
          <w:sz w:val="24"/>
          <w:szCs w:val="24"/>
        </w:rPr>
        <w:t>.</w:t>
      </w:r>
    </w:p>
    <w:p w14:paraId="31C13870" w14:textId="77777777" w:rsidR="001D698B" w:rsidRPr="005A0E0C" w:rsidRDefault="001D698B" w:rsidP="005A0E0C">
      <w:pPr>
        <w:snapToGrid w:val="0"/>
        <w:rPr>
          <w:rFonts w:ascii="Times New Roman" w:hAnsi="Times New Roman" w:cs="Times New Roman"/>
          <w:sz w:val="24"/>
          <w:szCs w:val="24"/>
        </w:rPr>
      </w:pPr>
    </w:p>
    <w:p w14:paraId="675D4714" w14:textId="5640F016" w:rsidR="00883C5E" w:rsidRPr="005A0E0C" w:rsidRDefault="001769B0" w:rsidP="005A0E0C">
      <w:pPr>
        <w:snapToGrid w:val="0"/>
        <w:outlineLvl w:val="3"/>
        <w:rPr>
          <w:rFonts w:ascii="Times New Roman" w:hAnsi="Times New Roman" w:cs="Times New Roman"/>
          <w:sz w:val="24"/>
          <w:szCs w:val="24"/>
        </w:rPr>
      </w:pPr>
      <w:bookmarkStart w:id="18" w:name="heading_18"/>
      <w:r w:rsidRPr="005A0E0C">
        <w:rPr>
          <w:rFonts w:ascii="Times New Roman" w:eastAsia="DengXian" w:hAnsi="Times New Roman" w:cs="Times New Roman"/>
          <w:b/>
          <w:sz w:val="24"/>
          <w:szCs w:val="24"/>
        </w:rPr>
        <w:t>4.2.5</w:t>
      </w:r>
      <w:r w:rsidR="001D698B">
        <w:rPr>
          <w:rFonts w:ascii="Times New Roman" w:eastAsia="DengXian" w:hAnsi="Times New Roman" w:cs="Times New Roman"/>
          <w:b/>
          <w:sz w:val="24"/>
          <w:szCs w:val="24"/>
        </w:rPr>
        <w:t>.</w:t>
      </w:r>
      <w:r w:rsidRPr="005A0E0C">
        <w:rPr>
          <w:rFonts w:ascii="Times New Roman" w:eastAsia="DengXian" w:hAnsi="Times New Roman" w:cs="Times New Roman"/>
          <w:b/>
          <w:sz w:val="24"/>
          <w:szCs w:val="24"/>
        </w:rPr>
        <w:t xml:space="preserve"> Lifelong </w:t>
      </w:r>
      <w:r w:rsidR="001D698B" w:rsidRPr="001D698B">
        <w:rPr>
          <w:rFonts w:ascii="Times New Roman" w:eastAsia="DengXian" w:hAnsi="Times New Roman" w:cs="Times New Roman"/>
          <w:b/>
          <w:sz w:val="24"/>
          <w:szCs w:val="24"/>
        </w:rPr>
        <w:t>learning file management module</w:t>
      </w:r>
      <w:bookmarkEnd w:id="18"/>
    </w:p>
    <w:p w14:paraId="79C8A51C" w14:textId="7ABF2676" w:rsidR="00883C5E" w:rsidRDefault="001769B0" w:rsidP="001D698B">
      <w:pPr>
        <w:snapToGrid w:val="0"/>
        <w:rPr>
          <w:rFonts w:ascii="Times New Roman" w:eastAsia="DengXian" w:hAnsi="Times New Roman" w:cs="Times New Roman"/>
          <w:sz w:val="24"/>
          <w:szCs w:val="24"/>
        </w:rPr>
      </w:pPr>
      <w:r w:rsidRPr="005A0E0C">
        <w:rPr>
          <w:rFonts w:ascii="Times New Roman" w:eastAsia="DengXian" w:hAnsi="Times New Roman" w:cs="Times New Roman"/>
          <w:sz w:val="24"/>
          <w:szCs w:val="24"/>
        </w:rPr>
        <w:t>This module continuously records all learning outcomes and credit changes of students during their school years to establish complete digital learning files. The files include students</w:t>
      </w:r>
      <w:r w:rsidR="001D698B">
        <w:rPr>
          <w:rFonts w:ascii="Times New Roman" w:eastAsia="DengXian" w:hAnsi="Times New Roman" w:cs="Times New Roman"/>
          <w:sz w:val="24"/>
          <w:szCs w:val="24"/>
        </w:rPr>
        <w:t>’</w:t>
      </w:r>
      <w:r w:rsidRPr="005A0E0C">
        <w:rPr>
          <w:rFonts w:ascii="Times New Roman" w:eastAsia="DengXian" w:hAnsi="Times New Roman" w:cs="Times New Roman"/>
          <w:sz w:val="24"/>
          <w:szCs w:val="24"/>
        </w:rPr>
        <w:t xml:space="preserve"> learning experience, skill improvement progress</w:t>
      </w:r>
      <w:r w:rsidR="001D698B">
        <w:rPr>
          <w:rFonts w:ascii="Times New Roman" w:eastAsia="DengXian" w:hAnsi="Times New Roman" w:cs="Times New Roman"/>
          <w:sz w:val="24"/>
          <w:szCs w:val="24"/>
        </w:rPr>
        <w:t>, and outcome certification results, serving as references for further education, employment,</w:t>
      </w:r>
      <w:r w:rsidRPr="005A0E0C">
        <w:rPr>
          <w:rFonts w:ascii="Times New Roman" w:eastAsia="DengXian" w:hAnsi="Times New Roman" w:cs="Times New Roman"/>
          <w:sz w:val="24"/>
          <w:szCs w:val="24"/>
        </w:rPr>
        <w:t xml:space="preserve"> and skill evaluation, and providing authentic evidence for assessing vocational education talent training quality.</w:t>
      </w:r>
    </w:p>
    <w:p w14:paraId="16587A48" w14:textId="77777777" w:rsidR="001D698B" w:rsidRPr="005A0E0C" w:rsidRDefault="001D698B" w:rsidP="005A0E0C">
      <w:pPr>
        <w:snapToGrid w:val="0"/>
        <w:rPr>
          <w:rFonts w:ascii="Times New Roman" w:hAnsi="Times New Roman" w:cs="Times New Roman"/>
          <w:sz w:val="24"/>
          <w:szCs w:val="24"/>
        </w:rPr>
      </w:pPr>
    </w:p>
    <w:p w14:paraId="423BC4AD" w14:textId="3B45B142" w:rsidR="00883C5E" w:rsidRPr="005A0E0C" w:rsidRDefault="001769B0" w:rsidP="005A0E0C">
      <w:pPr>
        <w:snapToGrid w:val="0"/>
        <w:outlineLvl w:val="2"/>
        <w:rPr>
          <w:rFonts w:ascii="Times New Roman" w:hAnsi="Times New Roman" w:cs="Times New Roman"/>
          <w:sz w:val="24"/>
          <w:szCs w:val="24"/>
        </w:rPr>
      </w:pPr>
      <w:bookmarkStart w:id="19" w:name="heading_19"/>
      <w:r w:rsidRPr="005A0E0C">
        <w:rPr>
          <w:rFonts w:ascii="Times New Roman" w:eastAsia="DengXian" w:hAnsi="Times New Roman" w:cs="Times New Roman"/>
          <w:b/>
          <w:sz w:val="24"/>
          <w:szCs w:val="24"/>
        </w:rPr>
        <w:t>4.3</w:t>
      </w:r>
      <w:r w:rsidR="001D698B">
        <w:rPr>
          <w:rFonts w:ascii="Times New Roman" w:eastAsia="DengXian" w:hAnsi="Times New Roman" w:cs="Times New Roman"/>
          <w:b/>
          <w:sz w:val="24"/>
          <w:szCs w:val="24"/>
        </w:rPr>
        <w:t>.</w:t>
      </w:r>
      <w:r w:rsidRPr="005A0E0C">
        <w:rPr>
          <w:rFonts w:ascii="Times New Roman" w:eastAsia="DengXian" w:hAnsi="Times New Roman" w:cs="Times New Roman"/>
          <w:b/>
          <w:sz w:val="24"/>
          <w:szCs w:val="24"/>
        </w:rPr>
        <w:t xml:space="preserve"> Platform </w:t>
      </w:r>
      <w:r w:rsidR="001D698B" w:rsidRPr="001D698B">
        <w:rPr>
          <w:rFonts w:ascii="Times New Roman" w:eastAsia="DengXian" w:hAnsi="Times New Roman" w:cs="Times New Roman"/>
          <w:b/>
          <w:sz w:val="24"/>
          <w:szCs w:val="24"/>
        </w:rPr>
        <w:t>docking and technical implementation</w:t>
      </w:r>
      <w:bookmarkEnd w:id="19"/>
    </w:p>
    <w:p w14:paraId="6FE73F82" w14:textId="123379C7" w:rsidR="00883C5E" w:rsidRPr="005A0E0C" w:rsidRDefault="001769B0" w:rsidP="005A0E0C">
      <w:pPr>
        <w:snapToGrid w:val="0"/>
        <w:rPr>
          <w:rFonts w:ascii="Times New Roman" w:hAnsi="Times New Roman" w:cs="Times New Roman"/>
          <w:sz w:val="24"/>
          <w:szCs w:val="24"/>
        </w:rPr>
      </w:pPr>
      <w:r w:rsidRPr="005A0E0C">
        <w:rPr>
          <w:rFonts w:ascii="Times New Roman" w:eastAsia="DengXian" w:hAnsi="Times New Roman" w:cs="Times New Roman"/>
          <w:sz w:val="24"/>
          <w:szCs w:val="24"/>
        </w:rPr>
        <w:t>During system construction, official docking is realized with the National Smart Education Public Service Platform and the Vocational Education 1</w:t>
      </w:r>
      <w:r w:rsidR="001D698B">
        <w:rPr>
          <w:rFonts w:ascii="Times New Roman" w:eastAsia="DengXian" w:hAnsi="Times New Roman" w:cs="Times New Roman"/>
          <w:sz w:val="24"/>
          <w:szCs w:val="24"/>
        </w:rPr>
        <w:t xml:space="preserve"> </w:t>
      </w:r>
      <w:r w:rsidRPr="005A0E0C">
        <w:rPr>
          <w:rFonts w:ascii="Times New Roman" w:eastAsia="DengXian" w:hAnsi="Times New Roman" w:cs="Times New Roman"/>
          <w:sz w:val="24"/>
          <w:szCs w:val="24"/>
        </w:rPr>
        <w:t>+</w:t>
      </w:r>
      <w:r w:rsidR="001D698B">
        <w:rPr>
          <w:rFonts w:ascii="Times New Roman" w:eastAsia="DengXian" w:hAnsi="Times New Roman" w:cs="Times New Roman"/>
          <w:sz w:val="24"/>
          <w:szCs w:val="24"/>
        </w:rPr>
        <w:t xml:space="preserve"> </w:t>
      </w:r>
      <w:r w:rsidRPr="005A0E0C">
        <w:rPr>
          <w:rFonts w:ascii="Times New Roman" w:eastAsia="DengXian" w:hAnsi="Times New Roman" w:cs="Times New Roman"/>
          <w:sz w:val="24"/>
          <w:szCs w:val="24"/>
        </w:rPr>
        <w:t xml:space="preserve">X Certificate Management Platform to obtain official data such as student </w:t>
      </w:r>
      <w:r w:rsidR="001D698B" w:rsidRPr="001D698B">
        <w:rPr>
          <w:rFonts w:ascii="Times New Roman" w:eastAsia="DengXian" w:hAnsi="Times New Roman" w:cs="Times New Roman"/>
          <w:sz w:val="24"/>
          <w:szCs w:val="24"/>
        </w:rPr>
        <w:t>enrolment</w:t>
      </w:r>
      <w:r w:rsidRPr="005A0E0C">
        <w:rPr>
          <w:rFonts w:ascii="Times New Roman" w:eastAsia="DengXian" w:hAnsi="Times New Roman" w:cs="Times New Roman"/>
          <w:sz w:val="24"/>
          <w:szCs w:val="24"/>
        </w:rPr>
        <w:t xml:space="preserve"> information and certificate assessment results. Meanwhile, docking with higher vocational college educational administration systems and enterprise training management platforms automatically collects internal and enterprise-</w:t>
      </w:r>
      <w:proofErr w:type="spellStart"/>
      <w:r w:rsidRPr="005A0E0C">
        <w:rPr>
          <w:rFonts w:ascii="Times New Roman" w:eastAsia="DengXian" w:hAnsi="Times New Roman" w:cs="Times New Roman"/>
          <w:sz w:val="24"/>
          <w:szCs w:val="24"/>
        </w:rPr>
        <w:t>side</w:t>
      </w:r>
      <w:proofErr w:type="spellEnd"/>
      <w:r w:rsidRPr="005A0E0C">
        <w:rPr>
          <w:rFonts w:ascii="Times New Roman" w:eastAsia="DengXian" w:hAnsi="Times New Roman" w:cs="Times New Roman"/>
          <w:sz w:val="24"/>
          <w:szCs w:val="24"/>
        </w:rPr>
        <w:t xml:space="preserve"> data including course scores, training hours</w:t>
      </w:r>
      <w:r w:rsidR="001D698B">
        <w:rPr>
          <w:rFonts w:ascii="Times New Roman" w:eastAsia="DengXian" w:hAnsi="Times New Roman" w:cs="Times New Roman"/>
          <w:sz w:val="24"/>
          <w:szCs w:val="24"/>
        </w:rPr>
        <w:t>,</w:t>
      </w:r>
      <w:r w:rsidRPr="005A0E0C">
        <w:rPr>
          <w:rFonts w:ascii="Times New Roman" w:eastAsia="DengXian" w:hAnsi="Times New Roman" w:cs="Times New Roman"/>
          <w:sz w:val="24"/>
          <w:szCs w:val="24"/>
        </w:rPr>
        <w:t xml:space="preserve"> and training outcomes to guarantee authentic data sources.</w:t>
      </w:r>
    </w:p>
    <w:p w14:paraId="0DF8315A" w14:textId="08181609" w:rsidR="00883C5E" w:rsidRDefault="001769B0" w:rsidP="005A0E0C">
      <w:pPr>
        <w:snapToGrid w:val="0"/>
        <w:ind w:firstLine="426"/>
        <w:rPr>
          <w:rFonts w:ascii="Times New Roman" w:eastAsia="DengXian" w:hAnsi="Times New Roman" w:cs="Times New Roman"/>
          <w:sz w:val="24"/>
          <w:szCs w:val="24"/>
        </w:rPr>
      </w:pPr>
      <w:r w:rsidRPr="005A0E0C">
        <w:rPr>
          <w:rFonts w:ascii="Times New Roman" w:eastAsia="DengXian" w:hAnsi="Times New Roman" w:cs="Times New Roman"/>
          <w:sz w:val="24"/>
          <w:szCs w:val="24"/>
        </w:rPr>
        <w:t>Unified standards for learning outcome classification, credit coding</w:t>
      </w:r>
      <w:r w:rsidR="001D698B">
        <w:rPr>
          <w:rFonts w:ascii="Times New Roman" w:eastAsia="DengXian" w:hAnsi="Times New Roman" w:cs="Times New Roman"/>
          <w:sz w:val="24"/>
          <w:szCs w:val="24"/>
        </w:rPr>
        <w:t>,</w:t>
      </w:r>
      <w:r w:rsidRPr="005A0E0C">
        <w:rPr>
          <w:rFonts w:ascii="Times New Roman" w:eastAsia="DengXian" w:hAnsi="Times New Roman" w:cs="Times New Roman"/>
          <w:sz w:val="24"/>
          <w:szCs w:val="24"/>
        </w:rPr>
        <w:t xml:space="preserve"> and conversion ratios are formulated in line with national credit bank specifications, incorporating multi-source data into the system under unified rules. Smart contracts are developed to fit actual vocational credit management workflows and deployed online after multiple rounds of testing.</w:t>
      </w:r>
    </w:p>
    <w:p w14:paraId="7CF4A02F" w14:textId="77777777" w:rsidR="001D698B" w:rsidRPr="005A0E0C" w:rsidRDefault="001D698B" w:rsidP="005A0E0C">
      <w:pPr>
        <w:snapToGrid w:val="0"/>
        <w:rPr>
          <w:rFonts w:ascii="Times New Roman" w:hAnsi="Times New Roman" w:cs="Times New Roman"/>
          <w:sz w:val="24"/>
          <w:szCs w:val="24"/>
        </w:rPr>
      </w:pPr>
    </w:p>
    <w:p w14:paraId="0B974568" w14:textId="08CE9D6E" w:rsidR="00883C5E" w:rsidRPr="005A0E0C" w:rsidRDefault="001769B0" w:rsidP="005A0E0C">
      <w:pPr>
        <w:snapToGrid w:val="0"/>
        <w:outlineLvl w:val="1"/>
        <w:rPr>
          <w:rFonts w:ascii="Times New Roman" w:hAnsi="Times New Roman" w:cs="Times New Roman"/>
          <w:sz w:val="24"/>
          <w:szCs w:val="24"/>
        </w:rPr>
      </w:pPr>
      <w:bookmarkStart w:id="20" w:name="heading_20"/>
      <w:r w:rsidRPr="005A0E0C">
        <w:rPr>
          <w:rFonts w:ascii="Times New Roman" w:eastAsia="DengXian" w:hAnsi="Times New Roman" w:cs="Times New Roman"/>
          <w:b/>
          <w:sz w:val="24"/>
          <w:szCs w:val="24"/>
        </w:rPr>
        <w:t>5</w:t>
      </w:r>
      <w:r w:rsidR="001D698B">
        <w:rPr>
          <w:rFonts w:ascii="Times New Roman" w:eastAsia="DengXian" w:hAnsi="Times New Roman" w:cs="Times New Roman"/>
          <w:b/>
          <w:sz w:val="24"/>
          <w:szCs w:val="24"/>
        </w:rPr>
        <w:t>.</w:t>
      </w:r>
      <w:r w:rsidRPr="005A0E0C">
        <w:rPr>
          <w:rFonts w:ascii="Times New Roman" w:eastAsia="DengXian" w:hAnsi="Times New Roman" w:cs="Times New Roman"/>
          <w:b/>
          <w:sz w:val="24"/>
          <w:szCs w:val="24"/>
        </w:rPr>
        <w:t xml:space="preserve"> Conclusion</w:t>
      </w:r>
      <w:bookmarkEnd w:id="20"/>
    </w:p>
    <w:p w14:paraId="230CC1A2" w14:textId="3CF0A0A3" w:rsidR="00883C5E" w:rsidRDefault="001769B0" w:rsidP="001D698B">
      <w:pPr>
        <w:snapToGrid w:val="0"/>
        <w:rPr>
          <w:rFonts w:ascii="Times New Roman" w:eastAsia="DengXian" w:hAnsi="Times New Roman" w:cs="Times New Roman"/>
          <w:sz w:val="24"/>
          <w:szCs w:val="24"/>
        </w:rPr>
      </w:pPr>
      <w:r w:rsidRPr="005A0E0C">
        <w:rPr>
          <w:rFonts w:ascii="Times New Roman" w:eastAsia="DengXian" w:hAnsi="Times New Roman" w:cs="Times New Roman"/>
          <w:sz w:val="24"/>
          <w:szCs w:val="24"/>
        </w:rPr>
        <w:t>Vocational education credit banks constitute a key component of the lifelong learning system. Traditional credit banks suffer from practical issues such as poor adaptability of credit management, weak data security protection</w:t>
      </w:r>
      <w:r w:rsidR="001D698B">
        <w:rPr>
          <w:rFonts w:ascii="Times New Roman" w:eastAsia="DengXian" w:hAnsi="Times New Roman" w:cs="Times New Roman"/>
          <w:sz w:val="24"/>
          <w:szCs w:val="24"/>
        </w:rPr>
        <w:t>,</w:t>
      </w:r>
      <w:r w:rsidRPr="005A0E0C">
        <w:rPr>
          <w:rFonts w:ascii="Times New Roman" w:eastAsia="DengXian" w:hAnsi="Times New Roman" w:cs="Times New Roman"/>
          <w:sz w:val="24"/>
          <w:szCs w:val="24"/>
        </w:rPr>
        <w:t xml:space="preserve"> and blocked cross-agency credit circulation. Based on the Hyperledger Fabric consortium chain, this paper integrates multiple key technologies and connects digital education platforms at all levels to build a five-layer technical architecture and five core functional modules, forming a comprehensive digital credit bank system for vocational education students. The system streamlines vocational credit management workflows, safeguards credit data security</w:t>
      </w:r>
      <w:r w:rsidR="001D698B">
        <w:rPr>
          <w:rFonts w:ascii="Times New Roman" w:eastAsia="DengXian" w:hAnsi="Times New Roman" w:cs="Times New Roman"/>
          <w:sz w:val="24"/>
          <w:szCs w:val="24"/>
        </w:rPr>
        <w:t>,</w:t>
      </w:r>
      <w:r w:rsidRPr="005A0E0C">
        <w:rPr>
          <w:rFonts w:ascii="Times New Roman" w:eastAsia="DengXian" w:hAnsi="Times New Roman" w:cs="Times New Roman"/>
          <w:sz w:val="24"/>
          <w:szCs w:val="24"/>
        </w:rPr>
        <w:t xml:space="preserve"> and connects credit circulation across different stakeholders. In the future, platform functions can be continuously optimized in light of the characteristics of various vocational majors and application </w:t>
      </w:r>
      <w:r w:rsidRPr="005A0E0C">
        <w:rPr>
          <w:rFonts w:ascii="Times New Roman" w:eastAsia="DengXian" w:hAnsi="Times New Roman" w:cs="Times New Roman"/>
          <w:sz w:val="24"/>
          <w:szCs w:val="24"/>
        </w:rPr>
        <w:lastRenderedPageBreak/>
        <w:t>scenarios to promote wide-scale system implementation, advance the digital transformation of vocational education, and support the construction of a skill-oriented society and lifelong learning for all citizens.</w:t>
      </w:r>
    </w:p>
    <w:p w14:paraId="501C9848" w14:textId="77777777" w:rsidR="001D698B" w:rsidRDefault="001D698B" w:rsidP="001D698B">
      <w:pPr>
        <w:snapToGrid w:val="0"/>
        <w:rPr>
          <w:rFonts w:ascii="Times New Roman" w:eastAsia="DengXian" w:hAnsi="Times New Roman" w:cs="Times New Roman"/>
          <w:sz w:val="24"/>
          <w:szCs w:val="24"/>
        </w:rPr>
      </w:pPr>
    </w:p>
    <w:p w14:paraId="4AFB8E27" w14:textId="77777777" w:rsidR="001D698B" w:rsidRPr="005A0E0C" w:rsidRDefault="001D698B" w:rsidP="001D698B">
      <w:pPr>
        <w:snapToGrid w:val="0"/>
        <w:rPr>
          <w:rFonts w:ascii="Times New Roman" w:hAnsi="Times New Roman" w:cs="Times New Roman"/>
          <w:b/>
          <w:bCs/>
          <w:sz w:val="24"/>
          <w:szCs w:val="28"/>
        </w:rPr>
      </w:pPr>
      <w:bookmarkStart w:id="21" w:name="_Hlk181689731"/>
      <w:r w:rsidRPr="005A0E0C">
        <w:rPr>
          <w:rFonts w:ascii="Times New Roman" w:hAnsi="Times New Roman" w:cs="Times New Roman"/>
          <w:b/>
          <w:bCs/>
          <w:sz w:val="24"/>
          <w:szCs w:val="28"/>
        </w:rPr>
        <w:t>Disclosure statement</w:t>
      </w:r>
    </w:p>
    <w:p w14:paraId="2F895A37" w14:textId="77777777" w:rsidR="001D698B" w:rsidRPr="005A0E0C" w:rsidRDefault="001D698B" w:rsidP="001D698B">
      <w:pPr>
        <w:snapToGrid w:val="0"/>
        <w:rPr>
          <w:rFonts w:ascii="Times New Roman" w:hAnsi="Times New Roman" w:cs="Times New Roman"/>
          <w:sz w:val="24"/>
          <w:szCs w:val="28"/>
        </w:rPr>
      </w:pPr>
      <w:r w:rsidRPr="005A0E0C">
        <w:rPr>
          <w:rFonts w:ascii="Times New Roman" w:hAnsi="Times New Roman" w:cs="Times New Roman"/>
          <w:sz w:val="24"/>
          <w:szCs w:val="28"/>
        </w:rPr>
        <w:t xml:space="preserve">The author declares no conflict of interest. </w:t>
      </w:r>
      <w:bookmarkEnd w:id="21"/>
    </w:p>
    <w:p w14:paraId="185AEA64" w14:textId="77777777" w:rsidR="001D698B" w:rsidRPr="005A0E0C" w:rsidRDefault="001D698B" w:rsidP="005A0E0C">
      <w:pPr>
        <w:snapToGrid w:val="0"/>
        <w:rPr>
          <w:rFonts w:ascii="Times New Roman" w:hAnsi="Times New Roman" w:cs="Times New Roman"/>
          <w:sz w:val="24"/>
          <w:szCs w:val="24"/>
        </w:rPr>
      </w:pPr>
    </w:p>
    <w:p w14:paraId="3B05E448" w14:textId="77777777" w:rsidR="00883C5E" w:rsidRPr="005A0E0C" w:rsidRDefault="001769B0" w:rsidP="005A0E0C">
      <w:pPr>
        <w:snapToGrid w:val="0"/>
        <w:outlineLvl w:val="1"/>
        <w:rPr>
          <w:rFonts w:ascii="Times New Roman" w:hAnsi="Times New Roman" w:cs="Times New Roman"/>
          <w:sz w:val="24"/>
          <w:szCs w:val="24"/>
        </w:rPr>
      </w:pPr>
      <w:bookmarkStart w:id="22" w:name="heading_21"/>
      <w:r w:rsidRPr="005A0E0C">
        <w:rPr>
          <w:rFonts w:ascii="Times New Roman" w:eastAsia="DengXian" w:hAnsi="Times New Roman" w:cs="Times New Roman"/>
          <w:b/>
          <w:sz w:val="24"/>
          <w:szCs w:val="24"/>
        </w:rPr>
        <w:t>References</w:t>
      </w:r>
      <w:bookmarkEnd w:id="22"/>
    </w:p>
    <w:p w14:paraId="03B89E96" w14:textId="30294E28" w:rsidR="00C46108" w:rsidRDefault="00C46108" w:rsidP="00C46108">
      <w:pPr>
        <w:snapToGrid w:val="0"/>
        <w:ind w:left="709" w:hanging="709"/>
        <w:rPr>
          <w:rFonts w:ascii="Times New Roman" w:eastAsia="DengXian" w:hAnsi="Times New Roman" w:cs="Times New Roman"/>
          <w:sz w:val="24"/>
          <w:szCs w:val="24"/>
        </w:rPr>
      </w:pPr>
      <w:r w:rsidRPr="00C46108">
        <w:rPr>
          <w:rFonts w:ascii="Times New Roman" w:eastAsia="DengXian" w:hAnsi="Times New Roman" w:cs="Times New Roman"/>
          <w:sz w:val="24"/>
          <w:szCs w:val="24"/>
        </w:rPr>
        <w:t xml:space="preserve">[1] </w:t>
      </w:r>
      <w:r>
        <w:rPr>
          <w:rFonts w:ascii="Times New Roman" w:eastAsia="DengXian" w:hAnsi="Times New Roman" w:cs="Times New Roman"/>
          <w:sz w:val="24"/>
          <w:szCs w:val="24"/>
        </w:rPr>
        <w:tab/>
      </w:r>
      <w:r w:rsidRPr="00C46108">
        <w:rPr>
          <w:rFonts w:ascii="Times New Roman" w:eastAsia="DengXian" w:hAnsi="Times New Roman" w:cs="Times New Roman"/>
          <w:sz w:val="24"/>
          <w:szCs w:val="24"/>
        </w:rPr>
        <w:t>Wu D, Cheng Q, Wang L, et al., 2026, Practical Dilemmas and Solutions of Credit Mutual Recognition in Higher Vocational Credit Banks. Journal of Jiangsu Vocational Institute of Architectural Technology, 26(1): 85–89.</w:t>
      </w:r>
    </w:p>
    <w:p w14:paraId="57287FB6" w14:textId="77777777" w:rsidR="00C46108" w:rsidRDefault="00C46108" w:rsidP="00C46108">
      <w:pPr>
        <w:snapToGrid w:val="0"/>
        <w:ind w:left="709" w:hanging="709"/>
        <w:rPr>
          <w:rFonts w:ascii="Times New Roman" w:eastAsia="DengXian" w:hAnsi="Times New Roman" w:cs="Times New Roman"/>
          <w:sz w:val="24"/>
          <w:szCs w:val="24"/>
        </w:rPr>
      </w:pPr>
      <w:r w:rsidRPr="00C46108">
        <w:rPr>
          <w:rFonts w:ascii="Times New Roman" w:eastAsia="DengXian" w:hAnsi="Times New Roman" w:cs="Times New Roman"/>
          <w:sz w:val="24"/>
          <w:szCs w:val="24"/>
        </w:rPr>
        <w:t xml:space="preserve">[2] </w:t>
      </w:r>
      <w:r>
        <w:rPr>
          <w:rFonts w:ascii="Times New Roman" w:eastAsia="DengXian" w:hAnsi="Times New Roman" w:cs="Times New Roman"/>
          <w:sz w:val="24"/>
          <w:szCs w:val="24"/>
        </w:rPr>
        <w:tab/>
      </w:r>
      <w:r w:rsidRPr="00C46108">
        <w:rPr>
          <w:rFonts w:ascii="Times New Roman" w:eastAsia="DengXian" w:hAnsi="Times New Roman" w:cs="Times New Roman"/>
          <w:sz w:val="24"/>
          <w:szCs w:val="24"/>
        </w:rPr>
        <w:t xml:space="preserve">Guan Y, Zheng W, He X, et al., 2026, Strategies and Paths for Credit Banks Driven High-Quality Development of Vocational Education Empowered by Digital Intelligence. Journal of Continuing Education, </w:t>
      </w:r>
      <w:r>
        <w:rPr>
          <w:rFonts w:ascii="Times New Roman" w:eastAsia="DengXian" w:hAnsi="Times New Roman" w:cs="Times New Roman"/>
          <w:sz w:val="24"/>
          <w:szCs w:val="24"/>
        </w:rPr>
        <w:t>2026</w:t>
      </w:r>
      <w:r w:rsidRPr="00C46108">
        <w:rPr>
          <w:rFonts w:ascii="Times New Roman" w:eastAsia="DengXian" w:hAnsi="Times New Roman" w:cs="Times New Roman"/>
          <w:sz w:val="24"/>
          <w:szCs w:val="24"/>
        </w:rPr>
        <w:t>(4): 37–42.</w:t>
      </w:r>
    </w:p>
    <w:p w14:paraId="2401FCDB" w14:textId="77777777" w:rsidR="00C46108" w:rsidRDefault="00C46108" w:rsidP="00C46108">
      <w:pPr>
        <w:snapToGrid w:val="0"/>
        <w:ind w:left="709" w:hanging="709"/>
        <w:rPr>
          <w:rFonts w:ascii="Times New Roman" w:eastAsia="DengXian" w:hAnsi="Times New Roman" w:cs="Times New Roman"/>
          <w:sz w:val="24"/>
          <w:szCs w:val="24"/>
        </w:rPr>
      </w:pPr>
      <w:r w:rsidRPr="00C46108">
        <w:rPr>
          <w:rFonts w:ascii="Times New Roman" w:eastAsia="DengXian" w:hAnsi="Times New Roman" w:cs="Times New Roman"/>
          <w:sz w:val="24"/>
          <w:szCs w:val="24"/>
        </w:rPr>
        <w:t xml:space="preserve">[3] </w:t>
      </w:r>
      <w:r>
        <w:rPr>
          <w:rFonts w:ascii="Times New Roman" w:eastAsia="DengXian" w:hAnsi="Times New Roman" w:cs="Times New Roman"/>
          <w:sz w:val="24"/>
          <w:szCs w:val="24"/>
        </w:rPr>
        <w:tab/>
      </w:r>
      <w:r w:rsidRPr="00C46108">
        <w:rPr>
          <w:rFonts w:ascii="Times New Roman" w:eastAsia="DengXian" w:hAnsi="Times New Roman" w:cs="Times New Roman"/>
          <w:sz w:val="24"/>
          <w:szCs w:val="24"/>
        </w:rPr>
        <w:t>Mao S, 2025, Vocational Education Development Under Digital Transformation: Path Reconstruction and Ecological Innovation. Journal of Shantou University (Humanities &amp; Social Sciences Edition), 41(6): 89–93 + 96.</w:t>
      </w:r>
    </w:p>
    <w:p w14:paraId="4CE53D94" w14:textId="77777777" w:rsidR="00C46108" w:rsidRDefault="00C46108" w:rsidP="00C46108">
      <w:pPr>
        <w:snapToGrid w:val="0"/>
        <w:ind w:left="709" w:hanging="709"/>
        <w:rPr>
          <w:rFonts w:ascii="Times New Roman" w:eastAsia="DengXian" w:hAnsi="Times New Roman" w:cs="Times New Roman"/>
          <w:sz w:val="24"/>
          <w:szCs w:val="24"/>
        </w:rPr>
      </w:pPr>
      <w:r w:rsidRPr="00C46108">
        <w:rPr>
          <w:rFonts w:ascii="Times New Roman" w:eastAsia="DengXian" w:hAnsi="Times New Roman" w:cs="Times New Roman"/>
          <w:sz w:val="24"/>
          <w:szCs w:val="24"/>
        </w:rPr>
        <w:t xml:space="preserve">[4] </w:t>
      </w:r>
      <w:r>
        <w:rPr>
          <w:rFonts w:ascii="Times New Roman" w:eastAsia="DengXian" w:hAnsi="Times New Roman" w:cs="Times New Roman"/>
          <w:sz w:val="24"/>
          <w:szCs w:val="24"/>
        </w:rPr>
        <w:tab/>
      </w:r>
      <w:r w:rsidRPr="00C46108">
        <w:rPr>
          <w:rFonts w:ascii="Times New Roman" w:eastAsia="DengXian" w:hAnsi="Times New Roman" w:cs="Times New Roman"/>
          <w:sz w:val="24"/>
          <w:szCs w:val="24"/>
        </w:rPr>
        <w:t xml:space="preserve">Guo F, Chen C, Liu X, 2025, Regional Experience and Optimization Path of National Vocational Education Credit Bank Construction. Education Science Forum, </w:t>
      </w:r>
      <w:r>
        <w:rPr>
          <w:rFonts w:ascii="Times New Roman" w:eastAsia="DengXian" w:hAnsi="Times New Roman" w:cs="Times New Roman"/>
          <w:sz w:val="24"/>
          <w:szCs w:val="24"/>
        </w:rPr>
        <w:t>2025</w:t>
      </w:r>
      <w:r w:rsidRPr="00C46108">
        <w:rPr>
          <w:rFonts w:ascii="Times New Roman" w:eastAsia="DengXian" w:hAnsi="Times New Roman" w:cs="Times New Roman"/>
          <w:sz w:val="24"/>
          <w:szCs w:val="24"/>
        </w:rPr>
        <w:t>(12): 12–16.</w:t>
      </w:r>
    </w:p>
    <w:p w14:paraId="6B706801" w14:textId="77777777" w:rsidR="00C46108" w:rsidRDefault="00C46108" w:rsidP="00C46108">
      <w:pPr>
        <w:snapToGrid w:val="0"/>
        <w:ind w:left="709" w:hanging="709"/>
        <w:rPr>
          <w:rFonts w:ascii="Times New Roman" w:eastAsia="DengXian" w:hAnsi="Times New Roman" w:cs="Times New Roman"/>
          <w:sz w:val="24"/>
          <w:szCs w:val="24"/>
        </w:rPr>
      </w:pPr>
      <w:r w:rsidRPr="00C46108">
        <w:rPr>
          <w:rFonts w:ascii="Times New Roman" w:eastAsia="DengXian" w:hAnsi="Times New Roman" w:cs="Times New Roman"/>
          <w:sz w:val="24"/>
          <w:szCs w:val="24"/>
        </w:rPr>
        <w:t xml:space="preserve">[5] </w:t>
      </w:r>
      <w:r>
        <w:rPr>
          <w:rFonts w:ascii="Times New Roman" w:eastAsia="DengXian" w:hAnsi="Times New Roman" w:cs="Times New Roman"/>
          <w:sz w:val="24"/>
          <w:szCs w:val="24"/>
        </w:rPr>
        <w:tab/>
      </w:r>
      <w:r w:rsidRPr="00C46108">
        <w:rPr>
          <w:rFonts w:ascii="Times New Roman" w:eastAsia="DengXian" w:hAnsi="Times New Roman" w:cs="Times New Roman"/>
          <w:sz w:val="24"/>
          <w:szCs w:val="24"/>
        </w:rPr>
        <w:t>Feng C, Wang X, 2024, Construction of Management and Operation Mechanism of Vocational Education Credit Banks in China. Journal of Nanning Vocational &amp; Technical College, 32(3): 51–57.</w:t>
      </w:r>
    </w:p>
    <w:p w14:paraId="240B328D" w14:textId="77777777" w:rsidR="00C46108" w:rsidRDefault="00C46108" w:rsidP="00C46108">
      <w:pPr>
        <w:snapToGrid w:val="0"/>
        <w:ind w:left="709" w:hanging="709"/>
        <w:rPr>
          <w:rFonts w:ascii="Times New Roman" w:eastAsia="DengXian" w:hAnsi="Times New Roman" w:cs="Times New Roman"/>
          <w:sz w:val="24"/>
          <w:szCs w:val="24"/>
        </w:rPr>
      </w:pPr>
      <w:r w:rsidRPr="00C46108">
        <w:rPr>
          <w:rFonts w:ascii="Times New Roman" w:eastAsia="DengXian" w:hAnsi="Times New Roman" w:cs="Times New Roman"/>
          <w:sz w:val="24"/>
          <w:szCs w:val="24"/>
        </w:rPr>
        <w:t xml:space="preserve">[6] </w:t>
      </w:r>
      <w:r>
        <w:rPr>
          <w:rFonts w:ascii="Times New Roman" w:eastAsia="DengXian" w:hAnsi="Times New Roman" w:cs="Times New Roman"/>
          <w:sz w:val="24"/>
          <w:szCs w:val="24"/>
        </w:rPr>
        <w:tab/>
      </w:r>
      <w:r w:rsidRPr="00C46108">
        <w:rPr>
          <w:rFonts w:ascii="Times New Roman" w:eastAsia="DengXian" w:hAnsi="Times New Roman" w:cs="Times New Roman"/>
          <w:sz w:val="24"/>
          <w:szCs w:val="24"/>
        </w:rPr>
        <w:t xml:space="preserve">Gao L, Cheng S, 2024, Improving the Construction of National Vocational Education Credit Banks Drawing on Experiences of Lifelong Education Credit Banks. Vocational Education Research, </w:t>
      </w:r>
      <w:r>
        <w:rPr>
          <w:rFonts w:ascii="Times New Roman" w:eastAsia="DengXian" w:hAnsi="Times New Roman" w:cs="Times New Roman"/>
          <w:sz w:val="24"/>
          <w:szCs w:val="24"/>
        </w:rPr>
        <w:t>2024</w:t>
      </w:r>
      <w:r w:rsidRPr="00C46108">
        <w:rPr>
          <w:rFonts w:ascii="Times New Roman" w:eastAsia="DengXian" w:hAnsi="Times New Roman" w:cs="Times New Roman"/>
          <w:sz w:val="24"/>
          <w:szCs w:val="24"/>
        </w:rPr>
        <w:t>(1): 64–68.</w:t>
      </w:r>
    </w:p>
    <w:p w14:paraId="46167D0B" w14:textId="77777777" w:rsidR="00C46108" w:rsidRDefault="00C46108" w:rsidP="00C46108">
      <w:pPr>
        <w:snapToGrid w:val="0"/>
        <w:ind w:left="709" w:hanging="709"/>
        <w:rPr>
          <w:rFonts w:ascii="Times New Roman" w:eastAsia="DengXian" w:hAnsi="Times New Roman" w:cs="Times New Roman"/>
          <w:sz w:val="24"/>
          <w:szCs w:val="24"/>
        </w:rPr>
      </w:pPr>
      <w:r w:rsidRPr="00C46108">
        <w:rPr>
          <w:rFonts w:ascii="Times New Roman" w:eastAsia="DengXian" w:hAnsi="Times New Roman" w:cs="Times New Roman"/>
          <w:sz w:val="24"/>
          <w:szCs w:val="24"/>
        </w:rPr>
        <w:t xml:space="preserve">[7] </w:t>
      </w:r>
      <w:r>
        <w:rPr>
          <w:rFonts w:ascii="Times New Roman" w:eastAsia="DengXian" w:hAnsi="Times New Roman" w:cs="Times New Roman"/>
          <w:sz w:val="24"/>
          <w:szCs w:val="24"/>
        </w:rPr>
        <w:tab/>
      </w:r>
      <w:r w:rsidRPr="00C46108">
        <w:rPr>
          <w:rFonts w:ascii="Times New Roman" w:eastAsia="DengXian" w:hAnsi="Times New Roman" w:cs="Times New Roman"/>
          <w:sz w:val="24"/>
          <w:szCs w:val="24"/>
        </w:rPr>
        <w:t xml:space="preserve">He M, 2023, Credit Bank: A Strategic Initiative for Building a Learning Society. Online Learning, </w:t>
      </w:r>
      <w:r>
        <w:rPr>
          <w:rFonts w:ascii="Times New Roman" w:eastAsia="DengXian" w:hAnsi="Times New Roman" w:cs="Times New Roman"/>
          <w:sz w:val="24"/>
          <w:szCs w:val="24"/>
        </w:rPr>
        <w:t>2023</w:t>
      </w:r>
      <w:r w:rsidRPr="00C46108">
        <w:rPr>
          <w:rFonts w:ascii="Times New Roman" w:eastAsia="DengXian" w:hAnsi="Times New Roman" w:cs="Times New Roman"/>
          <w:sz w:val="24"/>
          <w:szCs w:val="24"/>
        </w:rPr>
        <w:t>(11): 42 + 88.</w:t>
      </w:r>
    </w:p>
    <w:p w14:paraId="13A7799D" w14:textId="77777777" w:rsidR="00C46108" w:rsidRDefault="00C46108" w:rsidP="00C46108">
      <w:pPr>
        <w:snapToGrid w:val="0"/>
        <w:ind w:left="709" w:hanging="709"/>
        <w:rPr>
          <w:rFonts w:ascii="Times New Roman" w:eastAsia="DengXian" w:hAnsi="Times New Roman" w:cs="Times New Roman"/>
          <w:sz w:val="24"/>
          <w:szCs w:val="24"/>
        </w:rPr>
      </w:pPr>
      <w:r w:rsidRPr="00C46108">
        <w:rPr>
          <w:rFonts w:ascii="Times New Roman" w:eastAsia="DengXian" w:hAnsi="Times New Roman" w:cs="Times New Roman"/>
          <w:sz w:val="24"/>
          <w:szCs w:val="24"/>
        </w:rPr>
        <w:t xml:space="preserve">[8] </w:t>
      </w:r>
      <w:r>
        <w:rPr>
          <w:rFonts w:ascii="Times New Roman" w:eastAsia="DengXian" w:hAnsi="Times New Roman" w:cs="Times New Roman"/>
          <w:sz w:val="24"/>
          <w:szCs w:val="24"/>
        </w:rPr>
        <w:tab/>
      </w:r>
      <w:r w:rsidRPr="00C46108">
        <w:rPr>
          <w:rFonts w:ascii="Times New Roman" w:eastAsia="DengXian" w:hAnsi="Times New Roman" w:cs="Times New Roman"/>
          <w:sz w:val="24"/>
          <w:szCs w:val="24"/>
        </w:rPr>
        <w:t>Luo Y, 2023, Research on Application Approaches of Blockchain Technology in Vocational Education Credit Banks. Vocational Education, 22(20): 22–25 + 40.</w:t>
      </w:r>
    </w:p>
    <w:p w14:paraId="250EEA03" w14:textId="77777777" w:rsidR="00C46108" w:rsidRDefault="00C46108" w:rsidP="00C46108">
      <w:pPr>
        <w:snapToGrid w:val="0"/>
        <w:ind w:left="709" w:hanging="709"/>
        <w:rPr>
          <w:rFonts w:ascii="Times New Roman" w:eastAsia="DengXian" w:hAnsi="Times New Roman" w:cs="Times New Roman"/>
          <w:sz w:val="24"/>
          <w:szCs w:val="24"/>
        </w:rPr>
      </w:pPr>
      <w:r w:rsidRPr="00C46108">
        <w:rPr>
          <w:rFonts w:ascii="Times New Roman" w:eastAsia="DengXian" w:hAnsi="Times New Roman" w:cs="Times New Roman"/>
          <w:sz w:val="24"/>
          <w:szCs w:val="24"/>
        </w:rPr>
        <w:t xml:space="preserve">[9] </w:t>
      </w:r>
      <w:r>
        <w:rPr>
          <w:rFonts w:ascii="Times New Roman" w:eastAsia="DengXian" w:hAnsi="Times New Roman" w:cs="Times New Roman"/>
          <w:sz w:val="24"/>
          <w:szCs w:val="24"/>
        </w:rPr>
        <w:tab/>
      </w:r>
      <w:r w:rsidRPr="00C46108">
        <w:rPr>
          <w:rFonts w:ascii="Times New Roman" w:eastAsia="DengXian" w:hAnsi="Times New Roman" w:cs="Times New Roman"/>
          <w:sz w:val="24"/>
          <w:szCs w:val="24"/>
        </w:rPr>
        <w:t>Zheng S, 2023, Construction of Vocational Education Credit Bank Network System Based on Blockchain Technology. Digital Technology &amp; Application, 41(5): 208–210.</w:t>
      </w:r>
    </w:p>
    <w:p w14:paraId="1C4F75E0" w14:textId="430C52D4" w:rsidR="00C46108" w:rsidRPr="00C46108" w:rsidRDefault="00C46108" w:rsidP="005A0E0C">
      <w:pPr>
        <w:snapToGrid w:val="0"/>
        <w:ind w:left="709" w:hanging="709"/>
        <w:rPr>
          <w:rFonts w:ascii="Times New Roman" w:eastAsia="DengXian" w:hAnsi="Times New Roman" w:cs="Times New Roman"/>
          <w:sz w:val="24"/>
          <w:szCs w:val="24"/>
        </w:rPr>
      </w:pPr>
      <w:r w:rsidRPr="00C46108">
        <w:rPr>
          <w:rFonts w:ascii="Times New Roman" w:eastAsia="DengXian" w:hAnsi="Times New Roman" w:cs="Times New Roman"/>
          <w:sz w:val="24"/>
          <w:szCs w:val="24"/>
        </w:rPr>
        <w:t xml:space="preserve">[10] </w:t>
      </w:r>
      <w:r>
        <w:rPr>
          <w:rFonts w:ascii="Times New Roman" w:eastAsia="DengXian" w:hAnsi="Times New Roman" w:cs="Times New Roman"/>
          <w:sz w:val="24"/>
          <w:szCs w:val="24"/>
        </w:rPr>
        <w:tab/>
      </w:r>
      <w:r w:rsidRPr="00C46108">
        <w:rPr>
          <w:rFonts w:ascii="Times New Roman" w:eastAsia="DengXian" w:hAnsi="Times New Roman" w:cs="Times New Roman"/>
          <w:sz w:val="24"/>
          <w:szCs w:val="24"/>
        </w:rPr>
        <w:t xml:space="preserve">Yang S, 2020, Thoughts on Applying Blockchain Technology to Credit Bank Construction. Journal of Fujian Radio &amp; TV University, </w:t>
      </w:r>
      <w:r>
        <w:rPr>
          <w:rFonts w:ascii="Times New Roman" w:eastAsia="DengXian" w:hAnsi="Times New Roman" w:cs="Times New Roman"/>
          <w:sz w:val="24"/>
          <w:szCs w:val="24"/>
        </w:rPr>
        <w:t>2020</w:t>
      </w:r>
      <w:r w:rsidRPr="00C46108">
        <w:rPr>
          <w:rFonts w:ascii="Times New Roman" w:eastAsia="DengXian" w:hAnsi="Times New Roman" w:cs="Times New Roman"/>
          <w:sz w:val="24"/>
          <w:szCs w:val="24"/>
        </w:rPr>
        <w:t>(2): 10–15.</w:t>
      </w:r>
    </w:p>
    <w:p w14:paraId="3A5F31D8" w14:textId="77777777" w:rsidR="001D698B" w:rsidRDefault="001D698B" w:rsidP="001D698B">
      <w:pPr>
        <w:snapToGrid w:val="0"/>
        <w:rPr>
          <w:rFonts w:ascii="Times New Roman" w:eastAsia="DengXian" w:hAnsi="Times New Roman" w:cs="Times New Roman"/>
          <w:sz w:val="24"/>
          <w:szCs w:val="24"/>
        </w:rPr>
      </w:pPr>
    </w:p>
    <w:p w14:paraId="4A36CADF" w14:textId="77777777" w:rsidR="001D698B" w:rsidRPr="00E50D62" w:rsidRDefault="001D698B" w:rsidP="001D698B">
      <w:pPr>
        <w:pStyle w:val="References"/>
        <w:numPr>
          <w:ilvl w:val="0"/>
          <w:numId w:val="0"/>
        </w:numPr>
        <w:snapToGrid w:val="0"/>
        <w:rPr>
          <w:b/>
          <w:bCs/>
          <w:sz w:val="20"/>
          <w:szCs w:val="20"/>
        </w:rPr>
      </w:pPr>
      <w:r w:rsidRPr="00E50D62">
        <w:rPr>
          <w:b/>
          <w:bCs/>
          <w:sz w:val="20"/>
          <w:szCs w:val="20"/>
        </w:rPr>
        <w:t>Publisher’s note</w:t>
      </w:r>
    </w:p>
    <w:p w14:paraId="3311A8CD" w14:textId="77777777" w:rsidR="001D698B" w:rsidRPr="000C05D9" w:rsidRDefault="001D698B" w:rsidP="001D698B">
      <w:pPr>
        <w:snapToGrid w:val="0"/>
        <w:rPr>
          <w:rFonts w:ascii="Times New Roman" w:hAnsi="Times New Roman" w:cs="Times New Roman"/>
          <w:bCs/>
          <w:sz w:val="20"/>
          <w:szCs w:val="20"/>
        </w:rPr>
      </w:pPr>
      <w:r w:rsidRPr="000C05D9">
        <w:rPr>
          <w:rFonts w:ascii="Times New Roman" w:hAnsi="Times New Roman" w:cs="Times New Roman"/>
          <w:bCs/>
          <w:sz w:val="20"/>
          <w:szCs w:val="20"/>
        </w:rPr>
        <w:t xml:space="preserve">Bio-Byword Scientific Publishing remains neutral with regard to jurisdictional claims in published maps and institutional affiliations. </w:t>
      </w:r>
    </w:p>
    <w:p w14:paraId="585F404C" w14:textId="77777777" w:rsidR="001D698B" w:rsidRPr="005A0E0C" w:rsidRDefault="001D698B" w:rsidP="005A0E0C">
      <w:pPr>
        <w:snapToGrid w:val="0"/>
        <w:rPr>
          <w:rFonts w:ascii="Times New Roman" w:hAnsi="Times New Roman" w:cs="Times New Roman"/>
          <w:sz w:val="24"/>
          <w:szCs w:val="24"/>
        </w:rPr>
      </w:pPr>
    </w:p>
    <w:sectPr w:rsidR="001D698B" w:rsidRPr="005A0E0C" w:rsidSect="005A0E0C">
      <w:headerReference w:type="default" r:id="rId7"/>
      <w:footerReference w:type="default" r:id="rId8"/>
      <w:pgSz w:w="11905" w:h="16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6D93C" w14:textId="77777777" w:rsidR="001769B0" w:rsidRDefault="001769B0">
      <w:r>
        <w:separator/>
      </w:r>
    </w:p>
  </w:endnote>
  <w:endnote w:type="continuationSeparator" w:id="0">
    <w:p w14:paraId="1C880BA5" w14:textId="77777777" w:rsidR="001769B0" w:rsidRDefault="00176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panose1 w:val="02010601000101010101"/>
    <w:charset w:val="88"/>
    <w:family w:val="roman"/>
    <w:pitch w:val="variable"/>
    <w:sig w:usb0="A00002FF" w:usb1="28CFFCFA" w:usb2="00000016" w:usb3="00000000" w:csb0="00100001"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826DC" w14:textId="77777777" w:rsidR="00883C5E" w:rsidRDefault="00883C5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B9EC6" w14:textId="77777777" w:rsidR="001769B0" w:rsidRDefault="001769B0">
      <w:r>
        <w:separator/>
      </w:r>
    </w:p>
  </w:footnote>
  <w:footnote w:type="continuationSeparator" w:id="0">
    <w:p w14:paraId="3E5E3AF3" w14:textId="77777777" w:rsidR="001769B0" w:rsidRDefault="001769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EF9B1" w14:textId="77777777" w:rsidR="00883C5E" w:rsidRDefault="00883C5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877D64"/>
    <w:multiLevelType w:val="singleLevel"/>
    <w:tmpl w:val="3A877D64"/>
    <w:lvl w:ilvl="0">
      <w:start w:val="1"/>
      <w:numFmt w:val="decimal"/>
      <w:pStyle w:val="References"/>
      <w:lvlText w:val="[%1]"/>
      <w:lvlJc w:val="left"/>
      <w:pPr>
        <w:tabs>
          <w:tab w:val="left" w:pos="360"/>
        </w:tabs>
        <w:ind w:left="360" w:hanging="360"/>
      </w:pPr>
      <w:rPr>
        <w:rFonts w:hint="eastAsia"/>
      </w:rPr>
    </w:lvl>
  </w:abstractNum>
  <w:num w:numId="1" w16cid:durableId="2023512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C5E"/>
    <w:rsid w:val="001769B0"/>
    <w:rsid w:val="001D698B"/>
    <w:rsid w:val="005A0E0C"/>
    <w:rsid w:val="00883C5E"/>
    <w:rsid w:val="00C46108"/>
    <w:rsid w:val="00F85CA9"/>
    <w:rsid w:val="60DF4B33"/>
    <w:rsid w:val="7D033D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D6148"/>
  <w15:docId w15:val="{FC3883AE-C68F-44F2-B99D-62650DFDD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sz w:val="21"/>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unhideWhenUsed/>
    <w:rsid w:val="001D698B"/>
    <w:rPr>
      <w:sz w:val="21"/>
      <w:szCs w:val="22"/>
    </w:rPr>
  </w:style>
  <w:style w:type="paragraph" w:customStyle="1" w:styleId="References">
    <w:name w:val="References"/>
    <w:basedOn w:val="Normal"/>
    <w:qFormat/>
    <w:rsid w:val="001D698B"/>
    <w:pPr>
      <w:widowControl/>
      <w:numPr>
        <w:numId w:val="1"/>
      </w:numPr>
      <w:autoSpaceDE w:val="0"/>
      <w:autoSpaceDN w:val="0"/>
    </w:pPr>
    <w:rPr>
      <w:rFonts w:ascii="Times New Roman" w:eastAsia="PMingLiU" w:hAnsi="Times New Roman" w:cs="Times New Roman"/>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2733</Words>
  <Characters>15582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Acer NB1</cp:lastModifiedBy>
  <cp:revision>2</cp:revision>
  <dcterms:created xsi:type="dcterms:W3CDTF">2026-07-24T02:33:00Z</dcterms:created>
  <dcterms:modified xsi:type="dcterms:W3CDTF">2026-07-24T02:33:00Z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{"Label":"1","ContentProducer":"001191110102MACQD9K64010000","ProduceID":"7659704450655079355","ReservedCode1":"","ContentPropagator":"","PropagateID":"","ReservedCode2":""}</vt:lpwstr>
  </property>
  <property fmtid="{D5CDD505-2E9C-101B-9397-08002B2CF9AE}" pid="3" name="KSOTemplateDocerSaveRecord">
    <vt:lpwstr>eyJoZGlkIjoiYzEzOWZlYzFlNTk2MmQzMDQwMDE5MjliMjM5ODUzNjEiLCJ1c2VySWQiOiI2NTQ2OTg3NDEifQ==</vt:lpwstr>
  </property>
  <property fmtid="{D5CDD505-2E9C-101B-9397-08002B2CF9AE}" pid="4" name="KSOProductBuildVer">
    <vt:lpwstr>2052-12.1.0.26895</vt:lpwstr>
  </property>
  <property fmtid="{D5CDD505-2E9C-101B-9397-08002B2CF9AE}" pid="5" name="ICV">
    <vt:lpwstr>B2C524C0B7544C29A74F09656A663319_12</vt:lpwstr>
  </property>
  <property fmtid="{D5CDD505-2E9C-101B-9397-08002B2CF9AE}" pid="6" name="GrammarlyDocumentId">
    <vt:lpwstr>388e42e3-0b46-4e03-8028-7da9513fd18b</vt:lpwstr>
  </property>
</Properties>
</file>