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0CE0" w14:textId="75B048AC" w:rsidR="00F02C74" w:rsidRPr="00AD275A" w:rsidRDefault="006702EA" w:rsidP="00AD275A">
      <w:pPr>
        <w:snapToGrid w:val="0"/>
        <w:rPr>
          <w:b/>
          <w:sz w:val="44"/>
          <w:szCs w:val="44"/>
          <w:lang w:val="en-US"/>
        </w:rPr>
      </w:pPr>
      <w:r w:rsidRPr="006702EA">
        <w:rPr>
          <w:b/>
          <w:sz w:val="44"/>
          <w:szCs w:val="44"/>
          <w:lang w:val="en-US"/>
        </w:rPr>
        <w:t>Post-Grasp</w:t>
      </w:r>
      <w:r w:rsidR="008D26D6" w:rsidRPr="00AD275A">
        <w:rPr>
          <w:b/>
          <w:sz w:val="44"/>
          <w:szCs w:val="44"/>
          <w:lang w:val="en-US"/>
        </w:rPr>
        <w:t xml:space="preserve"> Pose Adjustment of a Tendon-Driven Underactuated Robotic Hand Using Finite-Action-Set Receding-Horizon Planning</w:t>
      </w:r>
    </w:p>
    <w:p w14:paraId="6A3E0CE2" w14:textId="092D886F" w:rsidR="00F02C74" w:rsidRPr="00AD275A" w:rsidRDefault="008D26D6" w:rsidP="00AD275A">
      <w:pPr>
        <w:snapToGrid w:val="0"/>
        <w:jc w:val="both"/>
        <w:rPr>
          <w:rFonts w:eastAsia="SimSun"/>
          <w:b/>
          <w:sz w:val="24"/>
          <w:szCs w:val="24"/>
          <w:lang w:val="en-US"/>
        </w:rPr>
      </w:pPr>
      <w:r w:rsidRPr="00AD275A">
        <w:rPr>
          <w:rFonts w:eastAsia="SimSun" w:hint="eastAsia"/>
          <w:b/>
          <w:sz w:val="24"/>
          <w:szCs w:val="24"/>
          <w:lang w:val="en-US"/>
        </w:rPr>
        <w:t xml:space="preserve">Lei Hu, </w:t>
      </w:r>
      <w:proofErr w:type="spellStart"/>
      <w:r w:rsidRPr="00AD275A">
        <w:rPr>
          <w:rFonts w:eastAsiaTheme="minorEastAsia" w:hint="eastAsia"/>
          <w:b/>
          <w:sz w:val="24"/>
          <w:szCs w:val="24"/>
          <w:lang w:val="en-US"/>
        </w:rPr>
        <w:t>Hongran</w:t>
      </w:r>
      <w:proofErr w:type="spellEnd"/>
      <w:r w:rsidRPr="00AD275A">
        <w:rPr>
          <w:rFonts w:eastAsiaTheme="minorEastAsia" w:hint="eastAsia"/>
          <w:b/>
          <w:sz w:val="24"/>
          <w:szCs w:val="24"/>
          <w:lang w:val="en-US"/>
        </w:rPr>
        <w:t xml:space="preserve"> Li</w:t>
      </w:r>
      <w:r w:rsidR="009155F0" w:rsidRPr="006702EA">
        <w:rPr>
          <w:b/>
          <w:position w:val="7"/>
          <w:sz w:val="24"/>
          <w:szCs w:val="24"/>
          <w:lang w:val="en-US"/>
        </w:rPr>
        <w:t>*</w:t>
      </w:r>
    </w:p>
    <w:p w14:paraId="6A3E0CE3" w14:textId="77777777" w:rsidR="00F02C74" w:rsidRPr="00AD275A" w:rsidRDefault="008D26D6" w:rsidP="00AD275A">
      <w:pPr>
        <w:snapToGrid w:val="0"/>
        <w:jc w:val="both"/>
        <w:rPr>
          <w:sz w:val="24"/>
          <w:szCs w:val="24"/>
          <w:lang w:val="en-US"/>
        </w:rPr>
      </w:pPr>
      <w:r w:rsidRPr="00AD275A">
        <w:rPr>
          <w:sz w:val="24"/>
          <w:szCs w:val="24"/>
          <w:lang w:val="en-US"/>
        </w:rPr>
        <w:t>Jiangsu Ocean University, Lianyungang, Jiangsu, China</w:t>
      </w:r>
    </w:p>
    <w:p w14:paraId="6A3E0CE4" w14:textId="77777777" w:rsidR="00F02C74" w:rsidRPr="00AD275A" w:rsidRDefault="008D26D6" w:rsidP="00AD275A">
      <w:pPr>
        <w:snapToGrid w:val="0"/>
        <w:jc w:val="both"/>
        <w:rPr>
          <w:rFonts w:eastAsiaTheme="minorEastAsia"/>
          <w:sz w:val="24"/>
          <w:szCs w:val="24"/>
          <w:lang w:val="en-US"/>
        </w:rPr>
      </w:pPr>
      <w:r w:rsidRPr="00AD275A">
        <w:rPr>
          <w:rFonts w:hint="eastAsia"/>
          <w:sz w:val="24"/>
          <w:szCs w:val="24"/>
          <w:lang w:val="en-US"/>
        </w:rPr>
        <w:t>*</w:t>
      </w:r>
      <w:r w:rsidRPr="00AD275A">
        <w:rPr>
          <w:rFonts w:hint="eastAsia"/>
          <w:b/>
          <w:bCs/>
          <w:i/>
          <w:iCs/>
          <w:sz w:val="24"/>
          <w:szCs w:val="24"/>
          <w:lang w:val="en-US"/>
        </w:rPr>
        <w:t xml:space="preserve">Corresponding </w:t>
      </w:r>
      <w:r w:rsidRPr="00AD275A">
        <w:rPr>
          <w:rFonts w:eastAsia="SimSun" w:hint="eastAsia"/>
          <w:b/>
          <w:bCs/>
          <w:i/>
          <w:iCs/>
          <w:sz w:val="24"/>
          <w:szCs w:val="24"/>
          <w:lang w:val="en-US"/>
        </w:rPr>
        <w:t>a</w:t>
      </w:r>
      <w:r w:rsidRPr="00AD275A">
        <w:rPr>
          <w:rFonts w:hint="eastAsia"/>
          <w:b/>
          <w:bCs/>
          <w:i/>
          <w:iCs/>
          <w:sz w:val="24"/>
          <w:szCs w:val="24"/>
          <w:lang w:val="en-US"/>
        </w:rPr>
        <w:t>uthor</w:t>
      </w:r>
      <w:r w:rsidRPr="00AD275A">
        <w:rPr>
          <w:rFonts w:eastAsiaTheme="minorEastAsia" w:hint="eastAsia"/>
          <w:sz w:val="24"/>
          <w:szCs w:val="24"/>
          <w:lang w:val="en-US"/>
        </w:rPr>
        <w:t xml:space="preserve">: </w:t>
      </w:r>
      <w:proofErr w:type="spellStart"/>
      <w:r w:rsidRPr="00AD275A">
        <w:rPr>
          <w:rFonts w:eastAsiaTheme="minorEastAsia" w:hint="eastAsia"/>
          <w:sz w:val="24"/>
          <w:szCs w:val="24"/>
          <w:lang w:val="en-US"/>
        </w:rPr>
        <w:t>Hongran</w:t>
      </w:r>
      <w:proofErr w:type="spellEnd"/>
      <w:r w:rsidRPr="00AD275A">
        <w:rPr>
          <w:rFonts w:eastAsiaTheme="minorEastAsia" w:hint="eastAsia"/>
          <w:sz w:val="24"/>
          <w:szCs w:val="24"/>
          <w:lang w:val="en-US"/>
        </w:rPr>
        <w:t xml:space="preserve"> Li</w:t>
      </w:r>
      <w:r w:rsidRPr="00AD275A">
        <w:rPr>
          <w:rFonts w:eastAsiaTheme="minorEastAsia" w:hint="eastAsia"/>
          <w:sz w:val="24"/>
          <w:szCs w:val="24"/>
          <w:lang w:val="en-US"/>
        </w:rPr>
        <w:t xml:space="preserve">, </w:t>
      </w:r>
      <w:r w:rsidRPr="00AD275A">
        <w:rPr>
          <w:rFonts w:eastAsiaTheme="minorEastAsia"/>
          <w:sz w:val="24"/>
          <w:szCs w:val="24"/>
          <w:lang w:val="en-US"/>
        </w:rPr>
        <w:t>lihongran@jou.edu.cn</w:t>
      </w:r>
    </w:p>
    <w:p w14:paraId="6A3E0CE5" w14:textId="77777777" w:rsidR="00F02C74" w:rsidRPr="00AF37A3" w:rsidRDefault="00F02C74" w:rsidP="009155F0">
      <w:pPr>
        <w:snapToGrid w:val="0"/>
        <w:ind w:left="110"/>
        <w:jc w:val="both"/>
        <w:rPr>
          <w:sz w:val="24"/>
          <w:szCs w:val="24"/>
          <w:lang w:val="en-US"/>
        </w:rPr>
      </w:pPr>
    </w:p>
    <w:p w14:paraId="3553CED9" w14:textId="77777777" w:rsidR="00B47FB7" w:rsidRPr="00AD275A" w:rsidRDefault="00B47FB7" w:rsidP="00AD275A">
      <w:pPr>
        <w:snapToGrid w:val="0"/>
        <w:jc w:val="both"/>
        <w:rPr>
          <w:b/>
          <w:bCs/>
          <w:sz w:val="20"/>
          <w:szCs w:val="20"/>
          <w:lang w:val="en-MY"/>
        </w:rPr>
      </w:pPr>
      <w:r w:rsidRPr="00AD275A">
        <w:rPr>
          <w:b/>
          <w:bCs/>
          <w:sz w:val="20"/>
          <w:szCs w:val="20"/>
          <w:lang w:val="en-MY"/>
        </w:rPr>
        <w:t xml:space="preserve">Copyright: </w:t>
      </w:r>
      <w:r w:rsidRPr="00AD275A">
        <w:rPr>
          <w:sz w:val="20"/>
          <w:szCs w:val="20"/>
          <w:lang w:val="en-MY"/>
        </w:rPr>
        <w:t>© 2026 Author(s). This is an open-access article distributed under the terms of the Creative Commons Attribution License (CC BY 4.0), permitting distribution and reproduction in any medium, provided the original work is cited.</w:t>
      </w:r>
    </w:p>
    <w:p w14:paraId="0A0D2512" w14:textId="77777777" w:rsidR="00B47FB7" w:rsidRPr="00AD275A" w:rsidRDefault="00B47FB7" w:rsidP="00AD275A">
      <w:pPr>
        <w:snapToGrid w:val="0"/>
        <w:ind w:left="110"/>
        <w:jc w:val="both"/>
        <w:rPr>
          <w:sz w:val="24"/>
          <w:szCs w:val="24"/>
          <w:lang w:val="en-US"/>
        </w:rPr>
      </w:pPr>
    </w:p>
    <w:p w14:paraId="6A3E0CE6" w14:textId="77777777" w:rsidR="00F02C74" w:rsidRPr="00AD275A" w:rsidRDefault="008D26D6" w:rsidP="00AD275A">
      <w:pPr>
        <w:pStyle w:val="BodyText"/>
        <w:snapToGrid w:val="0"/>
        <w:ind w:right="106"/>
        <w:jc w:val="both"/>
        <w:rPr>
          <w:rFonts w:eastAsia="SimSun"/>
          <w:sz w:val="24"/>
          <w:szCs w:val="24"/>
          <w:lang w:val="en-US"/>
        </w:rPr>
      </w:pPr>
      <w:r w:rsidRPr="00AD275A">
        <w:rPr>
          <w:b/>
          <w:color w:val="231F20"/>
          <w:sz w:val="24"/>
          <w:szCs w:val="24"/>
          <w:lang w:val="en-US"/>
        </w:rPr>
        <w:t>Abstract:</w:t>
      </w:r>
      <w:r w:rsidRPr="00AD275A">
        <w:rPr>
          <w:b/>
          <w:color w:val="231F20"/>
          <w:spacing w:val="-10"/>
          <w:sz w:val="24"/>
          <w:szCs w:val="24"/>
          <w:lang w:val="en-US"/>
        </w:rPr>
        <w:t xml:space="preserve"> </w:t>
      </w:r>
      <w:r w:rsidRPr="00AD275A">
        <w:rPr>
          <w:rFonts w:eastAsia="SimSun"/>
          <w:color w:val="231F20"/>
          <w:sz w:val="24"/>
          <w:szCs w:val="24"/>
          <w:lang w:val="en-US"/>
        </w:rPr>
        <w:t>This paper addresses local post-grasp pose adjustment for a tendon-driven underactuated robotic hand. A finite-action-set receding-horizon motor reference planning method is proposed, in which the continuous motor reference increment is discretized into representative actions and an action-effect table predicts local object pose changes. At each decision instant, candidate action sequences are evaluated using pose error, action magnitude, motor limits, grasp margin, and action switching, while only the firs</w:t>
      </w:r>
      <w:r w:rsidRPr="00AD275A">
        <w:rPr>
          <w:rFonts w:eastAsia="SimSun"/>
          <w:color w:val="231F20"/>
          <w:sz w:val="24"/>
          <w:szCs w:val="24"/>
          <w:lang w:val="en-US"/>
        </w:rPr>
        <w:t>t action of the optimal sequence is executed. Simulations show that the method generates feasible commands for single-axis and two-dimensional pose adjustment, drives the object pose toward the target, and keeps motor references within the allowable range. Compared with one-step planning, a longer prediction horizon reduces action switching in the two-dimensional coupled task and improves action sequence smoothness.</w:t>
      </w:r>
    </w:p>
    <w:p w14:paraId="6A3E0CE8" w14:textId="3E67FA21" w:rsidR="00F02C74" w:rsidRPr="006702EA" w:rsidRDefault="008D26D6" w:rsidP="006702EA">
      <w:pPr>
        <w:pStyle w:val="BodyText"/>
        <w:snapToGrid w:val="0"/>
        <w:rPr>
          <w:color w:val="231F20"/>
          <w:sz w:val="24"/>
          <w:szCs w:val="24"/>
          <w:lang w:val="en-US"/>
        </w:rPr>
      </w:pPr>
      <w:r w:rsidRPr="00AD275A">
        <w:rPr>
          <w:b/>
          <w:color w:val="231F20"/>
          <w:sz w:val="24"/>
          <w:szCs w:val="24"/>
          <w:lang w:val="en-US"/>
        </w:rPr>
        <w:t>Keywords</w:t>
      </w:r>
      <w:r w:rsidRPr="00AD275A">
        <w:rPr>
          <w:b/>
          <w:color w:val="231F20"/>
          <w:sz w:val="24"/>
          <w:szCs w:val="24"/>
          <w:lang w:val="en-US"/>
        </w:rPr>
        <w:t>:</w:t>
      </w:r>
      <w:r w:rsidRPr="00AD275A">
        <w:rPr>
          <w:b/>
          <w:color w:val="231F20"/>
          <w:sz w:val="24"/>
          <w:szCs w:val="24"/>
          <w:lang w:val="en-US"/>
        </w:rPr>
        <w:t xml:space="preserve"> </w:t>
      </w:r>
      <w:r w:rsidR="006702EA" w:rsidRPr="006702EA">
        <w:rPr>
          <w:color w:val="231F20"/>
          <w:sz w:val="24"/>
          <w:szCs w:val="24"/>
          <w:lang w:val="en-US"/>
        </w:rPr>
        <w:t>U</w:t>
      </w:r>
      <w:r w:rsidRPr="00AD275A">
        <w:rPr>
          <w:color w:val="231F20"/>
          <w:sz w:val="24"/>
          <w:szCs w:val="24"/>
          <w:lang w:val="en-US"/>
        </w:rPr>
        <w:t>nderactuated robotic hand</w:t>
      </w:r>
      <w:r w:rsidR="006702EA" w:rsidRPr="006702EA">
        <w:rPr>
          <w:rFonts w:eastAsiaTheme="minorEastAsia"/>
          <w:color w:val="231F20"/>
          <w:sz w:val="24"/>
          <w:szCs w:val="24"/>
          <w:lang w:val="en-US"/>
        </w:rPr>
        <w:t>;</w:t>
      </w:r>
      <w:r w:rsidRPr="00AD275A">
        <w:rPr>
          <w:color w:val="231F20"/>
          <w:sz w:val="24"/>
          <w:szCs w:val="24"/>
          <w:lang w:val="en-US"/>
        </w:rPr>
        <w:t xml:space="preserve"> </w:t>
      </w:r>
      <w:r w:rsidR="006702EA" w:rsidRPr="006702EA">
        <w:rPr>
          <w:color w:val="231F20"/>
          <w:sz w:val="24"/>
          <w:szCs w:val="24"/>
          <w:lang w:val="en-US"/>
        </w:rPr>
        <w:t>T</w:t>
      </w:r>
      <w:r w:rsidRPr="00AD275A">
        <w:rPr>
          <w:color w:val="231F20"/>
          <w:sz w:val="24"/>
          <w:szCs w:val="24"/>
          <w:lang w:val="en-US"/>
        </w:rPr>
        <w:t>endon-driven</w:t>
      </w:r>
      <w:r w:rsidR="006702EA" w:rsidRPr="006702EA">
        <w:rPr>
          <w:rFonts w:eastAsiaTheme="minorEastAsia"/>
          <w:color w:val="231F20"/>
          <w:sz w:val="24"/>
          <w:szCs w:val="24"/>
          <w:lang w:val="en-US"/>
        </w:rPr>
        <w:t>;</w:t>
      </w:r>
      <w:r w:rsidRPr="00AD275A">
        <w:rPr>
          <w:color w:val="231F20"/>
          <w:sz w:val="24"/>
          <w:szCs w:val="24"/>
          <w:lang w:val="en-US"/>
        </w:rPr>
        <w:t xml:space="preserve"> </w:t>
      </w:r>
      <w:proofErr w:type="gramStart"/>
      <w:r w:rsidR="006702EA" w:rsidRPr="006702EA">
        <w:rPr>
          <w:color w:val="231F20"/>
          <w:sz w:val="24"/>
          <w:szCs w:val="24"/>
          <w:lang w:val="en-US"/>
        </w:rPr>
        <w:t>P</w:t>
      </w:r>
      <w:r w:rsidRPr="00AD275A">
        <w:rPr>
          <w:color w:val="231F20"/>
          <w:sz w:val="24"/>
          <w:szCs w:val="24"/>
          <w:lang w:val="en-US"/>
        </w:rPr>
        <w:t>ost-grasp</w:t>
      </w:r>
      <w:proofErr w:type="gramEnd"/>
      <w:r w:rsidRPr="00AD275A">
        <w:rPr>
          <w:color w:val="231F20"/>
          <w:sz w:val="24"/>
          <w:szCs w:val="24"/>
          <w:lang w:val="en-US"/>
        </w:rPr>
        <w:t xml:space="preserve"> pose adjustment</w:t>
      </w:r>
      <w:r w:rsidR="006702EA" w:rsidRPr="006702EA">
        <w:rPr>
          <w:rFonts w:eastAsiaTheme="minorEastAsia"/>
          <w:color w:val="231F20"/>
          <w:sz w:val="24"/>
          <w:szCs w:val="24"/>
          <w:lang w:val="en-US"/>
        </w:rPr>
        <w:t>;</w:t>
      </w:r>
      <w:r w:rsidRPr="00AD275A">
        <w:rPr>
          <w:color w:val="231F20"/>
          <w:sz w:val="24"/>
          <w:szCs w:val="24"/>
          <w:lang w:val="en-US"/>
        </w:rPr>
        <w:t xml:space="preserve"> </w:t>
      </w:r>
      <w:r w:rsidR="006702EA" w:rsidRPr="006702EA">
        <w:rPr>
          <w:color w:val="231F20"/>
          <w:sz w:val="24"/>
          <w:szCs w:val="24"/>
          <w:lang w:val="en-US"/>
        </w:rPr>
        <w:t>F</w:t>
      </w:r>
      <w:r w:rsidRPr="00AD275A">
        <w:rPr>
          <w:color w:val="231F20"/>
          <w:sz w:val="24"/>
          <w:szCs w:val="24"/>
          <w:lang w:val="en-US"/>
        </w:rPr>
        <w:t>inite action set</w:t>
      </w:r>
      <w:r w:rsidR="006702EA" w:rsidRPr="006702EA">
        <w:rPr>
          <w:rFonts w:eastAsiaTheme="minorEastAsia"/>
          <w:color w:val="231F20"/>
          <w:sz w:val="24"/>
          <w:szCs w:val="24"/>
          <w:lang w:val="en-US"/>
        </w:rPr>
        <w:t>;</w:t>
      </w:r>
      <w:r w:rsidRPr="00AD275A">
        <w:rPr>
          <w:color w:val="231F20"/>
          <w:sz w:val="24"/>
          <w:szCs w:val="24"/>
          <w:lang w:val="en-US"/>
        </w:rPr>
        <w:t xml:space="preserve"> </w:t>
      </w:r>
      <w:r w:rsidR="006702EA" w:rsidRPr="006702EA">
        <w:rPr>
          <w:color w:val="231F20"/>
          <w:sz w:val="24"/>
          <w:szCs w:val="24"/>
          <w:lang w:val="en-US"/>
        </w:rPr>
        <w:t>R</w:t>
      </w:r>
      <w:r w:rsidRPr="00AD275A">
        <w:rPr>
          <w:color w:val="231F20"/>
          <w:sz w:val="24"/>
          <w:szCs w:val="24"/>
          <w:lang w:val="en-US"/>
        </w:rPr>
        <w:t>eceding-horizon planning</w:t>
      </w:r>
    </w:p>
    <w:p w14:paraId="654901ED" w14:textId="77777777" w:rsidR="006702EA" w:rsidRPr="006702EA" w:rsidRDefault="006702EA" w:rsidP="006702EA">
      <w:pPr>
        <w:pStyle w:val="BodyText"/>
        <w:snapToGrid w:val="0"/>
        <w:rPr>
          <w:color w:val="231F20"/>
          <w:sz w:val="24"/>
          <w:szCs w:val="24"/>
          <w:lang w:val="en-US"/>
        </w:rPr>
      </w:pPr>
    </w:p>
    <w:p w14:paraId="58AFEC0B" w14:textId="61CC86EB" w:rsidR="006702EA" w:rsidRPr="00AD275A" w:rsidRDefault="006702EA" w:rsidP="006702EA">
      <w:pPr>
        <w:pStyle w:val="BodyText"/>
        <w:snapToGrid w:val="0"/>
        <w:rPr>
          <w:b/>
          <w:bCs/>
          <w:color w:val="231F20"/>
          <w:sz w:val="24"/>
          <w:szCs w:val="24"/>
          <w:lang w:val="en-US"/>
        </w:rPr>
      </w:pPr>
      <w:r w:rsidRPr="00AD275A">
        <w:rPr>
          <w:b/>
          <w:bCs/>
          <w:color w:val="231F20"/>
          <w:sz w:val="24"/>
          <w:szCs w:val="24"/>
          <w:lang w:val="en-US"/>
        </w:rPr>
        <w:t>Online publication:</w:t>
      </w:r>
    </w:p>
    <w:p w14:paraId="7DB1B04E" w14:textId="77777777" w:rsidR="006702EA" w:rsidRPr="00AD275A" w:rsidRDefault="006702EA" w:rsidP="00AD275A">
      <w:pPr>
        <w:pStyle w:val="BodyText"/>
        <w:snapToGrid w:val="0"/>
        <w:rPr>
          <w:sz w:val="24"/>
          <w:szCs w:val="24"/>
          <w:lang w:val="en-US"/>
        </w:rPr>
      </w:pPr>
    </w:p>
    <w:p w14:paraId="6A3E0CE9" w14:textId="77777777" w:rsidR="00F02C74" w:rsidRPr="00AD275A" w:rsidRDefault="008D26D6" w:rsidP="00AD275A">
      <w:pPr>
        <w:pStyle w:val="Heading1"/>
        <w:tabs>
          <w:tab w:val="left" w:pos="391"/>
        </w:tabs>
        <w:snapToGrid w:val="0"/>
        <w:ind w:left="386" w:hanging="386"/>
        <w:rPr>
          <w:color w:val="231F20"/>
          <w:spacing w:val="-6"/>
          <w:sz w:val="24"/>
          <w:szCs w:val="24"/>
          <w:lang w:val="en-US"/>
        </w:rPr>
      </w:pPr>
      <w:r w:rsidRPr="00AD275A">
        <w:rPr>
          <w:color w:val="231F20"/>
          <w:spacing w:val="-6"/>
          <w:sz w:val="24"/>
          <w:szCs w:val="24"/>
          <w:lang w:val="en-US"/>
        </w:rPr>
        <w:t>1.</w:t>
      </w:r>
      <w:r w:rsidRPr="00AD275A">
        <w:rPr>
          <w:rFonts w:hint="eastAsia"/>
          <w:color w:val="231F20"/>
          <w:spacing w:val="-6"/>
          <w:sz w:val="24"/>
          <w:szCs w:val="24"/>
          <w:lang w:val="en-US"/>
        </w:rPr>
        <w:t xml:space="preserve"> </w:t>
      </w:r>
      <w:r w:rsidRPr="00AD275A">
        <w:rPr>
          <w:color w:val="231F20"/>
          <w:spacing w:val="-6"/>
          <w:sz w:val="24"/>
          <w:szCs w:val="24"/>
          <w:lang w:val="en-US"/>
        </w:rPr>
        <w:t>Introduction</w:t>
      </w:r>
    </w:p>
    <w:p w14:paraId="6A3E0CEA" w14:textId="35F38CD2" w:rsidR="00F02C74" w:rsidRPr="00AD275A" w:rsidRDefault="008D26D6" w:rsidP="00AD275A">
      <w:pPr>
        <w:pStyle w:val="BodyText"/>
        <w:snapToGrid w:val="0"/>
        <w:ind w:right="108"/>
        <w:jc w:val="both"/>
        <w:rPr>
          <w:rFonts w:eastAsiaTheme="minorEastAsia"/>
          <w:color w:val="231F20"/>
          <w:sz w:val="24"/>
          <w:szCs w:val="24"/>
          <w:lang w:val="en-US"/>
        </w:rPr>
      </w:pPr>
      <w:r w:rsidRPr="00AD275A">
        <w:rPr>
          <w:rFonts w:eastAsiaTheme="minorEastAsia"/>
          <w:color w:val="231F20"/>
          <w:sz w:val="24"/>
          <w:szCs w:val="24"/>
          <w:lang w:val="en-US"/>
        </w:rPr>
        <w:t xml:space="preserve">Multi-fingered robotic hands can provide multiple contact points and flexible grasp postures, and therefore have important potential in robotic grasping and manipulation. Tendon-driven underactuated robotic hands have attracted increasing attention because of their compact structure, reduced number of actuators, lightweight design, and simple command interface </w:t>
      </w:r>
      <w:r w:rsidRPr="00AD275A">
        <w:rPr>
          <w:rFonts w:eastAsiaTheme="minorEastAsia"/>
          <w:color w:val="231F20"/>
          <w:sz w:val="24"/>
          <w:szCs w:val="24"/>
          <w:vertAlign w:val="superscript"/>
          <w:lang w:val="en-US"/>
        </w:rPr>
        <w:t>[1</w:t>
      </w:r>
      <w:r w:rsidR="006702EA" w:rsidRPr="00AD275A">
        <w:rPr>
          <w:rFonts w:eastAsiaTheme="minorEastAsia"/>
          <w:color w:val="231F20"/>
          <w:sz w:val="24"/>
          <w:szCs w:val="24"/>
          <w:vertAlign w:val="superscript"/>
          <w:lang w:val="en-US"/>
        </w:rPr>
        <w:t>–</w:t>
      </w:r>
      <w:r w:rsidRPr="00AD275A">
        <w:rPr>
          <w:rFonts w:eastAsiaTheme="minorEastAsia" w:hint="eastAsia"/>
          <w:color w:val="231F20"/>
          <w:sz w:val="24"/>
          <w:szCs w:val="24"/>
          <w:vertAlign w:val="superscript"/>
          <w:lang w:val="en-US"/>
        </w:rPr>
        <w:t>3</w:t>
      </w:r>
      <w:r w:rsidRPr="00AD275A">
        <w:rPr>
          <w:rFonts w:eastAsiaTheme="minorEastAsia"/>
          <w:color w:val="231F20"/>
          <w:sz w:val="24"/>
          <w:szCs w:val="24"/>
          <w:vertAlign w:val="superscript"/>
          <w:lang w:val="en-US"/>
        </w:rPr>
        <w:t>]</w:t>
      </w:r>
      <w:r w:rsidRPr="00AD275A">
        <w:rPr>
          <w:rFonts w:eastAsiaTheme="minorEastAsia"/>
          <w:color w:val="231F20"/>
          <w:sz w:val="24"/>
          <w:szCs w:val="24"/>
          <w:lang w:val="en-US"/>
        </w:rPr>
        <w:t>. However, a single motor usually affects multiple joints through tendon transmission, so the motor input, joint motion, and object pose response are strongly coupled. As a result, fine post-grasp pose adjustment is difficult to achieve through independent joint regulation.</w:t>
      </w:r>
    </w:p>
    <w:p w14:paraId="6A3E0CEB" w14:textId="5B6E1D0B" w:rsidR="00F02C74" w:rsidRPr="00AD275A" w:rsidRDefault="008D26D6" w:rsidP="00AD275A">
      <w:pPr>
        <w:pStyle w:val="BodyText"/>
        <w:snapToGrid w:val="0"/>
        <w:ind w:right="108" w:firstLine="400"/>
        <w:jc w:val="both"/>
        <w:rPr>
          <w:rFonts w:eastAsiaTheme="minorEastAsia"/>
          <w:color w:val="231F20"/>
          <w:sz w:val="24"/>
          <w:szCs w:val="24"/>
          <w:lang w:val="en-US"/>
        </w:rPr>
      </w:pPr>
      <w:r w:rsidRPr="00AD275A">
        <w:rPr>
          <w:rFonts w:eastAsiaTheme="minorEastAsia"/>
          <w:color w:val="231F20"/>
          <w:sz w:val="24"/>
          <w:szCs w:val="24"/>
          <w:lang w:val="en-US"/>
        </w:rPr>
        <w:t xml:space="preserve">In practical manipulation tasks, establishing a stable grasp is often not sufficient. After an object is grasped, small pose corrections may still be required, such as adjusting the tilt angle, changing the local orientation, or compensating for pose deviation caused by contact. Related problems have been studied through in-hand reorientation, multi-modal planning, trajectory optimization, model predictive control, feedback control, and action primitives </w:t>
      </w:r>
      <w:r w:rsidRPr="00AD275A">
        <w:rPr>
          <w:rFonts w:eastAsiaTheme="minorEastAsia"/>
          <w:color w:val="231F20"/>
          <w:sz w:val="24"/>
          <w:szCs w:val="24"/>
          <w:vertAlign w:val="superscript"/>
          <w:lang w:val="en-US"/>
        </w:rPr>
        <w:t>[</w:t>
      </w:r>
      <w:r w:rsidRPr="00AD275A">
        <w:rPr>
          <w:rFonts w:eastAsiaTheme="minorEastAsia" w:hint="eastAsia"/>
          <w:color w:val="231F20"/>
          <w:sz w:val="24"/>
          <w:szCs w:val="24"/>
          <w:vertAlign w:val="superscript"/>
          <w:lang w:val="en-US"/>
        </w:rPr>
        <w:t>4</w:t>
      </w:r>
      <w:r w:rsidR="006702EA" w:rsidRPr="00AD275A">
        <w:rPr>
          <w:rFonts w:eastAsiaTheme="minorEastAsia"/>
          <w:color w:val="231F20"/>
          <w:sz w:val="24"/>
          <w:szCs w:val="24"/>
          <w:vertAlign w:val="superscript"/>
          <w:lang w:val="en-US"/>
        </w:rPr>
        <w:t>–</w:t>
      </w:r>
      <w:r w:rsidRPr="00AD275A">
        <w:rPr>
          <w:rFonts w:eastAsiaTheme="minorEastAsia" w:hint="eastAsia"/>
          <w:color w:val="231F20"/>
          <w:sz w:val="24"/>
          <w:szCs w:val="24"/>
          <w:vertAlign w:val="superscript"/>
          <w:lang w:val="en-US"/>
        </w:rPr>
        <w:t>11</w:t>
      </w:r>
      <w:r w:rsidRPr="00AD275A">
        <w:rPr>
          <w:rFonts w:eastAsiaTheme="minorEastAsia"/>
          <w:color w:val="231F20"/>
          <w:sz w:val="24"/>
          <w:szCs w:val="24"/>
          <w:vertAlign w:val="superscript"/>
          <w:lang w:val="en-US"/>
        </w:rPr>
        <w:t>]</w:t>
      </w:r>
      <w:r w:rsidRPr="00AD275A">
        <w:rPr>
          <w:rFonts w:eastAsiaTheme="minorEastAsia"/>
          <w:color w:val="231F20"/>
          <w:sz w:val="24"/>
          <w:szCs w:val="24"/>
          <w:lang w:val="en-US"/>
        </w:rPr>
        <w:t>. Nevertheless, for tendon-driven underactuated hands, the object pose response is affected by contact location, friction condition, object shape, and finger configuration. Generating executable adjustment commands without relying on a complete contact dynamics model therefore remains challenging.</w:t>
      </w:r>
    </w:p>
    <w:p w14:paraId="6A3E0CEC" w14:textId="77777777" w:rsidR="00F02C74" w:rsidRPr="00AD275A" w:rsidRDefault="008D26D6" w:rsidP="00AD275A">
      <w:pPr>
        <w:pStyle w:val="BodyText"/>
        <w:snapToGrid w:val="0"/>
        <w:ind w:right="108" w:firstLine="400"/>
        <w:jc w:val="both"/>
        <w:rPr>
          <w:rFonts w:eastAsiaTheme="minorEastAsia"/>
          <w:color w:val="231F20"/>
          <w:sz w:val="24"/>
          <w:szCs w:val="24"/>
          <w:lang w:val="en-US"/>
        </w:rPr>
      </w:pPr>
      <w:r w:rsidRPr="00AD275A">
        <w:rPr>
          <w:rFonts w:eastAsiaTheme="minorEastAsia"/>
          <w:color w:val="231F20"/>
          <w:sz w:val="24"/>
          <w:szCs w:val="24"/>
          <w:lang w:val="en-US"/>
        </w:rPr>
        <w:t xml:space="preserve">Model-driven methods can describe mechanical relationships during manipulation, but often require high modeling and computational effort and are sensitive to contact states and object parameters </w:t>
      </w:r>
      <w:r w:rsidRPr="00AD275A">
        <w:rPr>
          <w:rFonts w:eastAsiaTheme="minorEastAsia"/>
          <w:color w:val="231F20"/>
          <w:sz w:val="24"/>
          <w:szCs w:val="24"/>
          <w:vertAlign w:val="superscript"/>
          <w:lang w:val="en-US"/>
        </w:rPr>
        <w:t>[</w:t>
      </w:r>
      <w:r w:rsidRPr="00AD275A">
        <w:rPr>
          <w:rFonts w:eastAsiaTheme="minorEastAsia" w:hint="eastAsia"/>
          <w:color w:val="231F20"/>
          <w:sz w:val="24"/>
          <w:szCs w:val="24"/>
          <w:vertAlign w:val="superscript"/>
          <w:lang w:val="en-US"/>
        </w:rPr>
        <w:t>6</w:t>
      </w:r>
      <w:r w:rsidRPr="00AD275A">
        <w:rPr>
          <w:rFonts w:eastAsiaTheme="minorEastAsia"/>
          <w:color w:val="231F20"/>
          <w:sz w:val="24"/>
          <w:szCs w:val="24"/>
          <w:vertAlign w:val="superscript"/>
          <w:lang w:val="en-US"/>
        </w:rPr>
        <w:t>,1</w:t>
      </w:r>
      <w:r w:rsidRPr="00AD275A">
        <w:rPr>
          <w:rFonts w:eastAsiaTheme="minorEastAsia" w:hint="eastAsia"/>
          <w:color w:val="231F20"/>
          <w:sz w:val="24"/>
          <w:szCs w:val="24"/>
          <w:vertAlign w:val="superscript"/>
          <w:lang w:val="en-US"/>
        </w:rPr>
        <w:t>3</w:t>
      </w:r>
      <w:r w:rsidRPr="00AD275A">
        <w:rPr>
          <w:rFonts w:eastAsiaTheme="minorEastAsia"/>
          <w:color w:val="231F20"/>
          <w:sz w:val="24"/>
          <w:szCs w:val="24"/>
          <w:vertAlign w:val="superscript"/>
          <w:lang w:val="en-US"/>
        </w:rPr>
        <w:t>,1</w:t>
      </w:r>
      <w:r w:rsidRPr="00AD275A">
        <w:rPr>
          <w:rFonts w:eastAsiaTheme="minorEastAsia" w:hint="eastAsia"/>
          <w:color w:val="231F20"/>
          <w:sz w:val="24"/>
          <w:szCs w:val="24"/>
          <w:vertAlign w:val="superscript"/>
          <w:lang w:val="en-US"/>
        </w:rPr>
        <w:t>4,18</w:t>
      </w:r>
      <w:r w:rsidRPr="00AD275A">
        <w:rPr>
          <w:rFonts w:eastAsiaTheme="minorEastAsia"/>
          <w:color w:val="231F20"/>
          <w:sz w:val="24"/>
          <w:szCs w:val="24"/>
          <w:vertAlign w:val="superscript"/>
          <w:lang w:val="en-US"/>
        </w:rPr>
        <w:t>]</w:t>
      </w:r>
      <w:r w:rsidRPr="00AD275A">
        <w:rPr>
          <w:rFonts w:eastAsiaTheme="minorEastAsia"/>
          <w:color w:val="231F20"/>
          <w:sz w:val="24"/>
          <w:szCs w:val="24"/>
          <w:lang w:val="en-US"/>
        </w:rPr>
        <w:t>. Learning-based methods can learn complex manipulation strategies from interaction data, but usually require many training samples, and their interpretability and transferability remain limited</w:t>
      </w:r>
      <w:r w:rsidRPr="00AD275A">
        <w:rPr>
          <w:rFonts w:eastAsiaTheme="minorEastAsia"/>
          <w:color w:val="231F20"/>
          <w:sz w:val="24"/>
          <w:szCs w:val="24"/>
          <w:lang w:val="en-US"/>
        </w:rPr>
        <w:t xml:space="preserve"> </w:t>
      </w:r>
      <w:r w:rsidRPr="00AD275A">
        <w:rPr>
          <w:rFonts w:eastAsiaTheme="minorEastAsia"/>
          <w:color w:val="231F20"/>
          <w:sz w:val="24"/>
          <w:szCs w:val="24"/>
          <w:vertAlign w:val="superscript"/>
          <w:lang w:val="en-US"/>
        </w:rPr>
        <w:t>[9,12</w:t>
      </w:r>
      <w:r w:rsidRPr="00AD275A">
        <w:rPr>
          <w:rFonts w:eastAsiaTheme="minorEastAsia" w:hint="eastAsia"/>
          <w:color w:val="231F20"/>
          <w:sz w:val="24"/>
          <w:szCs w:val="24"/>
          <w:vertAlign w:val="superscript"/>
          <w:lang w:val="en-US"/>
        </w:rPr>
        <w:t>,15,16</w:t>
      </w:r>
      <w:r w:rsidRPr="00AD275A">
        <w:rPr>
          <w:rFonts w:eastAsiaTheme="minorEastAsia"/>
          <w:color w:val="231F20"/>
          <w:sz w:val="24"/>
          <w:szCs w:val="24"/>
          <w:vertAlign w:val="superscript"/>
          <w:lang w:val="en-US"/>
        </w:rPr>
        <w:t>]</w:t>
      </w:r>
      <w:r w:rsidRPr="00AD275A">
        <w:rPr>
          <w:rFonts w:eastAsiaTheme="minorEastAsia"/>
          <w:color w:val="231F20"/>
          <w:sz w:val="24"/>
          <w:szCs w:val="24"/>
          <w:lang w:val="en-US"/>
        </w:rPr>
        <w:t>. In comparison, finite-action-set methods reduce online decision complexity by converting continuous control inputs into a small number of representative actions</w:t>
      </w:r>
      <w:r w:rsidRPr="00AD275A">
        <w:rPr>
          <w:rFonts w:eastAsiaTheme="minorEastAsia"/>
          <w:color w:val="231F20"/>
          <w:sz w:val="24"/>
          <w:szCs w:val="24"/>
          <w:lang w:val="en-US"/>
        </w:rPr>
        <w:t xml:space="preserve"> </w:t>
      </w:r>
      <w:r w:rsidRPr="00AD275A">
        <w:rPr>
          <w:rFonts w:eastAsiaTheme="minorEastAsia"/>
          <w:color w:val="231F20"/>
          <w:sz w:val="24"/>
          <w:szCs w:val="24"/>
          <w:vertAlign w:val="superscript"/>
          <w:lang w:val="en-US"/>
        </w:rPr>
        <w:t>[1</w:t>
      </w:r>
      <w:r w:rsidRPr="00AD275A">
        <w:rPr>
          <w:rFonts w:eastAsiaTheme="minorEastAsia" w:hint="eastAsia"/>
          <w:color w:val="231F20"/>
          <w:sz w:val="24"/>
          <w:szCs w:val="24"/>
          <w:vertAlign w:val="superscript"/>
          <w:lang w:val="en-US"/>
        </w:rPr>
        <w:t>7</w:t>
      </w:r>
      <w:r w:rsidRPr="00AD275A">
        <w:rPr>
          <w:rFonts w:eastAsiaTheme="minorEastAsia"/>
          <w:color w:val="231F20"/>
          <w:sz w:val="24"/>
          <w:szCs w:val="24"/>
          <w:vertAlign w:val="superscript"/>
          <w:lang w:val="en-US"/>
        </w:rPr>
        <w:t>]</w:t>
      </w:r>
      <w:r w:rsidRPr="00AD275A">
        <w:rPr>
          <w:rFonts w:eastAsiaTheme="minorEastAsia"/>
          <w:color w:val="231F20"/>
          <w:sz w:val="24"/>
          <w:szCs w:val="24"/>
          <w:lang w:val="en-US"/>
        </w:rPr>
        <w:t>. However, simple one-step action selection may ignore the influence of the current action on subsequent adjustment steps, leading to frequent action switching or insufficiently smooth adjustment.</w:t>
      </w:r>
    </w:p>
    <w:p w14:paraId="6A3E0CED" w14:textId="77777777" w:rsidR="00F02C74" w:rsidRDefault="008D26D6" w:rsidP="006702EA">
      <w:pPr>
        <w:pStyle w:val="BodyText"/>
        <w:snapToGrid w:val="0"/>
        <w:ind w:right="108" w:firstLine="400"/>
        <w:jc w:val="both"/>
        <w:rPr>
          <w:rFonts w:eastAsiaTheme="minorEastAsia"/>
          <w:color w:val="231F20"/>
          <w:sz w:val="24"/>
          <w:szCs w:val="24"/>
          <w:lang w:val="en-US"/>
        </w:rPr>
      </w:pPr>
      <w:r w:rsidRPr="00AD275A">
        <w:rPr>
          <w:rFonts w:eastAsiaTheme="minorEastAsia"/>
          <w:color w:val="231F20"/>
          <w:sz w:val="24"/>
          <w:szCs w:val="24"/>
          <w:lang w:val="en-US"/>
        </w:rPr>
        <w:t xml:space="preserve">To address this problem, this paper proposes a finite-action-set receding-horizon motor reference planning method for post-grasp local pose adjustment of a tendon-driven underactuated robotic hand. </w:t>
      </w:r>
      <w:r w:rsidRPr="00AD275A">
        <w:rPr>
          <w:rFonts w:eastAsiaTheme="minorEastAsia"/>
          <w:color w:val="231F20"/>
          <w:sz w:val="24"/>
          <w:szCs w:val="24"/>
          <w:lang w:val="en-US"/>
        </w:rPr>
        <w:lastRenderedPageBreak/>
        <w:t>The initial grasp is assumed to be stable, and the focus is upper-level generation of executable motor reference increment sequences rather than grasp control or contact force allocation. The continuous motor reference increment is discretized into a finite action set, and an action-effect table describes the average influence of each action on the local object pose. At each decision instant, the planner evaluates candidate action sequences over a finite horizon and considers pose error, action magnitude, m</w:t>
      </w:r>
      <w:r w:rsidRPr="00AD275A">
        <w:rPr>
          <w:rFonts w:eastAsiaTheme="minorEastAsia"/>
          <w:color w:val="231F20"/>
          <w:sz w:val="24"/>
          <w:szCs w:val="24"/>
          <w:lang w:val="en-US"/>
        </w:rPr>
        <w:t>otor limits, grasp margin, and action switching.</w:t>
      </w:r>
    </w:p>
    <w:p w14:paraId="7FB0B66C" w14:textId="77777777" w:rsidR="006702EA" w:rsidRPr="00AD275A" w:rsidRDefault="006702EA" w:rsidP="00AD275A">
      <w:pPr>
        <w:pStyle w:val="BodyText"/>
        <w:snapToGrid w:val="0"/>
        <w:ind w:right="108" w:firstLine="400"/>
        <w:jc w:val="both"/>
        <w:rPr>
          <w:rFonts w:eastAsiaTheme="minorEastAsia"/>
          <w:color w:val="231F20"/>
          <w:sz w:val="24"/>
          <w:szCs w:val="24"/>
          <w:lang w:val="en-US"/>
        </w:rPr>
      </w:pPr>
    </w:p>
    <w:p w14:paraId="6A3E0CEE" w14:textId="2A5D1726" w:rsidR="00F02C74" w:rsidRPr="00AD275A" w:rsidRDefault="008D26D6" w:rsidP="00AD275A">
      <w:pPr>
        <w:pStyle w:val="Heading1"/>
        <w:tabs>
          <w:tab w:val="left" w:pos="993"/>
        </w:tabs>
        <w:snapToGrid w:val="0"/>
        <w:ind w:left="284"/>
        <w:rPr>
          <w:rFonts w:eastAsiaTheme="minorEastAsia"/>
          <w:color w:val="231F20"/>
          <w:sz w:val="24"/>
          <w:szCs w:val="24"/>
          <w:lang w:val="en-US"/>
        </w:rPr>
      </w:pPr>
      <w:r w:rsidRPr="00AD275A">
        <w:rPr>
          <w:color w:val="231F20"/>
          <w:spacing w:val="-6"/>
          <w:sz w:val="24"/>
          <w:szCs w:val="24"/>
          <w:lang w:val="en-US"/>
        </w:rPr>
        <w:t>2.</w:t>
      </w:r>
      <w:r w:rsidRPr="00AD275A">
        <w:rPr>
          <w:rFonts w:hint="eastAsia"/>
          <w:color w:val="231F20"/>
          <w:spacing w:val="-6"/>
          <w:sz w:val="24"/>
          <w:szCs w:val="24"/>
          <w:lang w:val="en-US"/>
        </w:rPr>
        <w:t xml:space="preserve"> </w:t>
      </w:r>
      <w:r w:rsidRPr="00AD275A">
        <w:rPr>
          <w:color w:val="231F20"/>
          <w:sz w:val="24"/>
          <w:szCs w:val="24"/>
          <w:lang w:val="en-US"/>
        </w:rPr>
        <w:t xml:space="preserve">Materials and </w:t>
      </w:r>
      <w:r w:rsidR="006702EA">
        <w:rPr>
          <w:color w:val="231F20"/>
          <w:sz w:val="24"/>
          <w:szCs w:val="24"/>
          <w:lang w:val="en-US"/>
        </w:rPr>
        <w:t>m</w:t>
      </w:r>
      <w:r w:rsidR="006702EA" w:rsidRPr="00AD275A">
        <w:rPr>
          <w:color w:val="231F20"/>
          <w:sz w:val="24"/>
          <w:szCs w:val="24"/>
          <w:lang w:val="en-US"/>
        </w:rPr>
        <w:t>ethods</w:t>
      </w:r>
    </w:p>
    <w:p w14:paraId="6A3E0CEF" w14:textId="18535F47" w:rsidR="00F02C74" w:rsidRPr="00AD275A" w:rsidRDefault="008D26D6" w:rsidP="00AD275A">
      <w:pPr>
        <w:pStyle w:val="Heading2"/>
        <w:numPr>
          <w:ilvl w:val="1"/>
          <w:numId w:val="0"/>
        </w:numPr>
        <w:snapToGrid w:val="0"/>
        <w:spacing w:before="0"/>
        <w:ind w:left="284" w:hanging="284"/>
        <w:rPr>
          <w:color w:val="231F20"/>
          <w:spacing w:val="-5"/>
          <w:lang w:val="en-US"/>
        </w:rPr>
      </w:pPr>
      <w:r w:rsidRPr="00AD275A">
        <w:rPr>
          <w:rFonts w:hint="eastAsia"/>
          <w:color w:val="231F20"/>
          <w:spacing w:val="-5"/>
          <w:lang w:val="en-US"/>
        </w:rPr>
        <w:t>2.1</w:t>
      </w:r>
      <w:r w:rsidR="006702EA">
        <w:rPr>
          <w:color w:val="231F20"/>
          <w:spacing w:val="-5"/>
          <w:lang w:val="en-US"/>
        </w:rPr>
        <w:t>.</w:t>
      </w:r>
      <w:r w:rsidRPr="00AD275A">
        <w:rPr>
          <w:rFonts w:hint="eastAsia"/>
          <w:color w:val="231F20"/>
          <w:spacing w:val="-5"/>
          <w:lang w:val="en-US"/>
        </w:rPr>
        <w:t xml:space="preserve"> </w:t>
      </w:r>
      <w:r w:rsidRPr="00AD275A">
        <w:rPr>
          <w:color w:val="231F20"/>
          <w:spacing w:val="-5"/>
          <w:lang w:val="en-US"/>
        </w:rPr>
        <w:t xml:space="preserve">System </w:t>
      </w:r>
      <w:r w:rsidR="006702EA" w:rsidRPr="006702EA">
        <w:rPr>
          <w:color w:val="231F20"/>
          <w:spacing w:val="-5"/>
          <w:lang w:val="en-US"/>
        </w:rPr>
        <w:t>description and problem formulation</w:t>
      </w:r>
    </w:p>
    <w:p w14:paraId="6A3E0CF0" w14:textId="504DD2B6" w:rsidR="00F02C74" w:rsidRPr="00AD275A" w:rsidRDefault="008D26D6" w:rsidP="00AD275A">
      <w:pPr>
        <w:pStyle w:val="BodyText"/>
        <w:snapToGrid w:val="0"/>
        <w:ind w:right="106"/>
        <w:jc w:val="both"/>
        <w:rPr>
          <w:rFonts w:eastAsiaTheme="minorEastAsia"/>
          <w:color w:val="231F20"/>
          <w:sz w:val="24"/>
          <w:szCs w:val="24"/>
          <w:lang w:val="en-US"/>
        </w:rPr>
      </w:pPr>
      <w:r w:rsidRPr="00AD275A">
        <w:rPr>
          <w:rFonts w:eastAsiaTheme="minorEastAsia"/>
          <w:color w:val="231F20"/>
          <w:sz w:val="24"/>
          <w:szCs w:val="24"/>
          <w:lang w:val="en-US"/>
        </w:rPr>
        <w:t xml:space="preserve">This study considers local post-grasp pose adjustment after a tendon-driven underactuated robotic hand has established a stable grasp. The object is held by the fingers, and the upper-level planner generates motor reference commands </w:t>
      </w:r>
      <w:r w:rsidR="006702EA" w:rsidRPr="006702EA">
        <w:rPr>
          <w:rFonts w:eastAsiaTheme="minorEastAsia"/>
          <w:color w:val="231F20"/>
          <w:sz w:val="24"/>
          <w:szCs w:val="24"/>
          <w:lang w:val="en-US"/>
        </w:rPr>
        <w:t>to move the object toward a desired local pose gradually</w:t>
      </w:r>
      <w:r w:rsidRPr="00AD275A">
        <w:rPr>
          <w:rFonts w:eastAsiaTheme="minorEastAsia"/>
          <w:color w:val="231F20"/>
          <w:sz w:val="24"/>
          <w:szCs w:val="24"/>
          <w:lang w:val="en-US"/>
        </w:rPr>
        <w:t>. The planning variable is selected in the motor reference space because it is directly executable by the lower-level motor controller and avoids explicit optimization of joint torques, contact forces, or tendon tensions.</w:t>
      </w:r>
    </w:p>
    <w:p w14:paraId="6A3E0CF1" w14:textId="77777777" w:rsidR="00F02C74" w:rsidRPr="00AD275A"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 xml:space="preserve">For the </w:t>
      </w:r>
      <m:oMath>
        <m:r>
          <w:rPr>
            <w:rFonts w:ascii="Cambria Math" w:eastAsiaTheme="minorEastAsia" w:hAnsi="Cambria Math"/>
            <w:color w:val="231F20"/>
            <w:sz w:val="24"/>
            <w:szCs w:val="24"/>
            <w:lang w:val="en-US"/>
          </w:rPr>
          <m:t>i</m:t>
        </m:r>
      </m:oMath>
      <w:r w:rsidRPr="00AD275A">
        <w:rPr>
          <w:rFonts w:eastAsiaTheme="minorEastAsia"/>
          <w:color w:val="231F20"/>
          <w:sz w:val="24"/>
          <w:szCs w:val="24"/>
          <w:lang w:val="en-US"/>
        </w:rPr>
        <w:t>-th finger, the tendon transmission relationship is written as</w:t>
      </w:r>
    </w:p>
    <w:p w14:paraId="6A3E0CF2" w14:textId="77777777" w:rsidR="00F02C74" w:rsidRPr="00AD275A" w:rsidRDefault="008D26D6" w:rsidP="00AD275A">
      <w:pPr>
        <w:pStyle w:val="BodyText"/>
        <w:snapToGrid w:val="0"/>
        <w:ind w:left="110" w:right="106" w:firstLine="400"/>
        <w:jc w:val="both"/>
        <w:rPr>
          <w:rFonts w:eastAsiaTheme="minorEastAsia"/>
          <w:color w:val="231F20"/>
          <w:sz w:val="24"/>
          <w:szCs w:val="24"/>
        </w:rPr>
      </w:pPr>
      <m:oMathPara>
        <m:oMathParaPr>
          <m:jc m:val="center"/>
        </m:oMathParaPr>
        <m:oMath>
          <m:eqArr>
            <m:eqArrPr>
              <m:maxDist m:val="1"/>
              <m:ctrlPr>
                <w:rPr>
                  <w:rFonts w:ascii="Cambria Math" w:eastAsiaTheme="minorEastAsia" w:hAnsi="Cambria Math"/>
                  <w:i/>
                  <w:color w:val="231F20"/>
                  <w:sz w:val="24"/>
                  <w:szCs w:val="24"/>
                </w:rPr>
              </m:ctrlPr>
            </m:eqArrPr>
            <m:e>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l</m:t>
                  </m:r>
                </m:e>
                <m:sub>
                  <m:r>
                    <w:rPr>
                      <w:rFonts w:ascii="Cambria Math" w:eastAsiaTheme="minorEastAsia" w:hAnsi="Cambria Math"/>
                      <w:color w:val="231F20"/>
                      <w:sz w:val="24"/>
                      <w:szCs w:val="24"/>
                    </w:rPr>
                    <m:t>i</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r</m:t>
                  </m:r>
                </m:e>
                <m:sub>
                  <m:r>
                    <w:rPr>
                      <w:rFonts w:ascii="Cambria Math" w:eastAsiaTheme="minorEastAsia" w:hAnsi="Cambria Math"/>
                      <w:color w:val="231F20"/>
                      <w:sz w:val="24"/>
                      <w:szCs w:val="24"/>
                    </w:rPr>
                    <m:t>i</m:t>
                  </m:r>
                </m:sub>
              </m:sSub>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θ</m:t>
                  </m:r>
                </m:e>
                <m:sub>
                  <m:r>
                    <w:rPr>
                      <w:rFonts w:ascii="Cambria Math" w:eastAsiaTheme="minorEastAsia" w:hAnsi="Cambria Math"/>
                      <w:color w:val="231F20"/>
                      <w:sz w:val="24"/>
                      <w:szCs w:val="24"/>
                    </w:rPr>
                    <m:t>i</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A</m:t>
                  </m:r>
                </m:e>
                <m:sub>
                  <m:r>
                    <w:rPr>
                      <w:rFonts w:ascii="Cambria Math" w:eastAsiaTheme="minorEastAsia" w:hAnsi="Cambria Math"/>
                      <w:color w:val="231F20"/>
                      <w:sz w:val="24"/>
                      <w:szCs w:val="24"/>
                    </w:rPr>
                    <m:t>i</m:t>
                  </m:r>
                </m:sub>
              </m:sSub>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q</m:t>
                  </m:r>
                </m:e>
                <m:sub>
                  <m:r>
                    <w:rPr>
                      <w:rFonts w:ascii="Cambria Math" w:eastAsiaTheme="minorEastAsia" w:hAnsi="Cambria Math"/>
                      <w:color w:val="231F20"/>
                      <w:sz w:val="24"/>
                      <w:szCs w:val="24"/>
                    </w:rPr>
                    <m:t>i</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l</m:t>
                  </m:r>
                </m:e>
                <m:sub>
                  <m:r>
                    <w:rPr>
                      <w:rFonts w:ascii="Cambria Math" w:eastAsiaTheme="minorEastAsia" w:hAnsi="Cambria Math"/>
                      <w:color w:val="231F20"/>
                      <w:sz w:val="24"/>
                      <w:szCs w:val="24"/>
                    </w:rPr>
                    <m:t>0</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i</m:t>
                  </m:r>
                </m:sub>
              </m:sSub>
              <m:r>
                <w:rPr>
                  <w:rFonts w:ascii="Cambria Math" w:eastAsiaTheme="minorEastAsia" w:hAnsi="Cambria Math"/>
                  <w:color w:val="231F20"/>
                  <w:sz w:val="24"/>
                  <w:szCs w:val="24"/>
                </w:rPr>
                <m:t>#</m:t>
              </m:r>
              <m:d>
                <m:dPr>
                  <m:ctrlPr>
                    <w:rPr>
                      <w:rFonts w:ascii="Cambria Math" w:eastAsiaTheme="minorEastAsia" w:hAnsi="Cambria Math"/>
                      <w:i/>
                      <w:color w:val="231F20"/>
                      <w:sz w:val="24"/>
                      <w:szCs w:val="24"/>
                    </w:rPr>
                  </m:ctrlPr>
                </m:dPr>
                <m:e>
                  <m:r>
                    <w:rPr>
                      <w:rFonts w:ascii="Cambria Math" w:eastAsiaTheme="minorEastAsia" w:hAnsi="Cambria Math"/>
                      <w:color w:val="231F20"/>
                      <w:sz w:val="24"/>
                      <w:szCs w:val="24"/>
                    </w:rPr>
                    <m:t>1</m:t>
                  </m:r>
                </m:e>
              </m:d>
            </m:e>
          </m:eqArr>
        </m:oMath>
      </m:oMathPara>
    </w:p>
    <w:p w14:paraId="6A3E0CF3" w14:textId="77777777" w:rsidR="00F02C74" w:rsidRPr="00AD275A"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where the symbols denote the tendon length variation, motor spool radius, joint angle vector, geometric coupling matrix, and initial length offset, respectively. At each decision instant, the planner selects a motor reference increment and updates the reference command. The increment and the motor reference are both constrained to prevent abrupt motion and to keep the command within the allowable actuation range.</w:t>
      </w:r>
    </w:p>
    <w:p w14:paraId="6A3E0CF4" w14:textId="77777777" w:rsidR="00F02C74" w:rsidRPr="00AD275A"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For the single-axis task, the object state is represented by the tilt angle. For the two-dimensional task, the state includes the tilt angle and the in-plane rotation angle. Given the desired pose, the post-grasp adjustment task is formulated as finite action sequence generation:</w:t>
      </w:r>
    </w:p>
    <w:p w14:paraId="6A3E0CF5" w14:textId="77777777" w:rsidR="00F02C74" w:rsidRPr="00AD275A" w:rsidRDefault="008D26D6" w:rsidP="00AD275A">
      <w:pPr>
        <w:pStyle w:val="BodyText"/>
        <w:snapToGrid w:val="0"/>
        <w:ind w:left="110" w:right="106" w:firstLine="400"/>
        <w:jc w:val="both"/>
        <w:rPr>
          <w:rFonts w:eastAsiaTheme="minorEastAsia"/>
          <w:color w:val="231F20"/>
          <w:sz w:val="24"/>
          <w:szCs w:val="24"/>
        </w:rPr>
      </w:pPr>
      <m:oMathPara>
        <m:oMathParaPr>
          <m:jc m:val="center"/>
        </m:oMathParaPr>
        <m:oMath>
          <m:eqArr>
            <m:eqArrPr>
              <m:maxDist m:val="1"/>
              <m:ctrlPr>
                <w:rPr>
                  <w:rFonts w:ascii="Cambria Math" w:eastAsiaTheme="minorEastAsia" w:hAnsi="Cambria Math"/>
                  <w:color w:val="231F20"/>
                  <w:sz w:val="24"/>
                  <w:szCs w:val="24"/>
                </w:rPr>
              </m:ctrlPr>
            </m:eqArrPr>
            <m:e>
              <m:limLow>
                <m:limLowPr>
                  <m:ctrlPr>
                    <w:rPr>
                      <w:rFonts w:ascii="Cambria Math" w:eastAsiaTheme="minorEastAsia" w:hAnsi="Cambria Math"/>
                      <w:color w:val="231F20"/>
                      <w:sz w:val="24"/>
                      <w:szCs w:val="24"/>
                    </w:rPr>
                  </m:ctrlPr>
                </m:limLowPr>
                <m:e>
                  <m:r>
                    <m:rPr>
                      <m:sty m:val="p"/>
                    </m:rPr>
                    <w:rPr>
                      <w:rFonts w:ascii="Cambria Math" w:eastAsiaTheme="minorEastAsia" w:hAnsi="Cambria Math"/>
                      <w:color w:val="231F20"/>
                      <w:sz w:val="24"/>
                      <w:szCs w:val="24"/>
                    </w:rPr>
                    <m:t>min</m:t>
                  </m:r>
                </m:e>
                <m:lim>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a</m:t>
                      </m:r>
                    </m:e>
                    <m:sub>
                      <m:r>
                        <w:rPr>
                          <w:rFonts w:ascii="Cambria Math" w:eastAsiaTheme="minorEastAsia" w:hAnsi="Cambria Math"/>
                          <w:color w:val="231F20"/>
                          <w:sz w:val="24"/>
                          <w:szCs w:val="24"/>
                        </w:rPr>
                        <m:t>0</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b>
                  </m:sSub>
                </m:lim>
              </m:limLow>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0</m:t>
                  </m:r>
                </m:sub>
                <m:sup>
                  <m:r>
                    <w:rPr>
                      <w:rFonts w:ascii="Cambria Math" w:eastAsiaTheme="minorEastAsia" w:hAnsi="Cambria Math"/>
                      <w:color w:val="231F20"/>
                      <w:sz w:val="24"/>
                      <w:szCs w:val="24"/>
                    </w:rPr>
                    <m:t>K</m:t>
                  </m:r>
                </m:sup>
                <m:e>
                  <m:r>
                    <m:rPr>
                      <m:sty m:val="p"/>
                    </m:rPr>
                    <w:rPr>
                      <w:rFonts w:ascii="Cambria Math" w:eastAsiaTheme="minorEastAsia" w:hAnsi="Cambria Math"/>
                      <w:color w:val="231F20"/>
                      <w:sz w:val="24"/>
                      <w:szCs w:val="24"/>
                    </w:rPr>
                    <m:t>∥</m:t>
                  </m:r>
                </m:e>
              </m:nary>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s</m:t>
                  </m:r>
                </m:e>
                <m:sub>
                  <m:r>
                    <w:rPr>
                      <w:rFonts w:ascii="Cambria Math" w:eastAsiaTheme="minorEastAsia" w:hAnsi="Cambria Math"/>
                      <w:color w:val="231F20"/>
                      <w:sz w:val="24"/>
                      <w:szCs w:val="24"/>
                    </w:rPr>
                    <m:t>d</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s</m:t>
                  </m:r>
                </m:e>
                <m:sub>
                  <m:r>
                    <w:rPr>
                      <w:rFonts w:ascii="Cambria Math" w:eastAsiaTheme="minorEastAsia" w:hAnsi="Cambria Math"/>
                      <w:color w:val="231F20"/>
                      <w:sz w:val="24"/>
                      <w:szCs w:val="24"/>
                    </w:rPr>
                    <m:t>k</m:t>
                  </m:r>
                </m:sub>
              </m:sSub>
              <m:sSubSup>
                <m:sSubSupPr>
                  <m:ctrlPr>
                    <w:rPr>
                      <w:rFonts w:ascii="Cambria Math" w:eastAsiaTheme="minorEastAsia" w:hAnsi="Cambria Math"/>
                      <w:color w:val="231F20"/>
                      <w:sz w:val="24"/>
                      <w:szCs w:val="24"/>
                    </w:rPr>
                  </m:ctrlPr>
                </m:sSubSupPr>
                <m:e>
                  <m:r>
                    <m:rPr>
                      <m:sty m:val="p"/>
                    </m:rPr>
                    <w:rPr>
                      <w:rFonts w:ascii="Cambria Math" w:eastAsiaTheme="minorEastAsia" w:hAnsi="Cambria Math"/>
                      <w:color w:val="231F20"/>
                      <w:sz w:val="24"/>
                      <w:szCs w:val="24"/>
                    </w:rPr>
                    <m:t>∥</m:t>
                  </m:r>
                </m:e>
                <m:sub>
                  <m:r>
                    <w:rPr>
                      <w:rFonts w:ascii="Cambria Math" w:eastAsiaTheme="minorEastAsia" w:hAnsi="Cambria Math"/>
                      <w:color w:val="231F20"/>
                      <w:sz w:val="24"/>
                      <w:szCs w:val="24"/>
                    </w:rPr>
                    <m:t>Q</m:t>
                  </m:r>
                </m:sub>
                <m:sup>
                  <m:r>
                    <w:rPr>
                      <w:rFonts w:ascii="Cambria Math" w:eastAsiaTheme="minorEastAsia" w:hAnsi="Cambria Math"/>
                      <w:color w:val="231F20"/>
                      <w:sz w:val="24"/>
                      <w:szCs w:val="24"/>
                    </w:rPr>
                    <m:t>2</m:t>
                  </m:r>
                </m:sup>
              </m:sSubSup>
              <m:r>
                <m:rPr>
                  <m:sty m:val="p"/>
                </m:rPr>
                <w:rPr>
                  <w:rFonts w:ascii="Cambria Math" w:eastAsiaTheme="minorEastAsia" w:hAnsi="Cambria Math"/>
                  <w:color w:val="231F20"/>
                  <w:sz w:val="24"/>
                  <w:szCs w:val="24"/>
                </w:rPr>
                <m:t>+</m:t>
              </m:r>
              <m:f>
                <m:fPr>
                  <m:ctrlPr>
                    <w:rPr>
                      <w:rFonts w:ascii="Cambria Math" w:eastAsiaTheme="minorEastAsia" w:hAnsi="Cambria Math"/>
                      <w:color w:val="231F20"/>
                      <w:sz w:val="24"/>
                      <w:szCs w:val="24"/>
                    </w:rPr>
                  </m:ctrlPr>
                </m:fPr>
                <m:num>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θ</m:t>
                      </m:r>
                    </m:sub>
                  </m:sSub>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0</m:t>
                      </m:r>
                    </m:sub>
                    <m:sup>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p>
                    <m:e>
                      <m:r>
                        <m:rPr>
                          <m:sty m:val="p"/>
                        </m:rPr>
                        <w:rPr>
                          <w:rFonts w:ascii="Cambria Math" w:eastAsiaTheme="minorEastAsia" w:hAnsi="Cambria Math"/>
                          <w:color w:val="231F20"/>
                          <w:sz w:val="24"/>
                          <w:szCs w:val="24"/>
                        </w:rPr>
                        <m:t>∥</m:t>
                      </m:r>
                    </m:e>
                  </m:nary>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a</m:t>
                      </m:r>
                    </m:e>
                    <m:sub>
                      <m:r>
                        <w:rPr>
                          <w:rFonts w:ascii="Cambria Math" w:eastAsiaTheme="minorEastAsia" w:hAnsi="Cambria Math"/>
                          <w:color w:val="231F20"/>
                          <w:sz w:val="24"/>
                          <w:szCs w:val="24"/>
                        </w:rPr>
                        <m:t>k</m:t>
                      </m:r>
                    </m:sub>
                  </m:sSub>
                </m:num>
                <m:den>
                  <m:r>
                    <w:rPr>
                      <w:rFonts w:ascii="Cambria Math" w:eastAsiaTheme="minorEastAsia" w:hAnsi="Cambria Math"/>
                      <w:color w:val="231F20"/>
                      <w:sz w:val="24"/>
                      <w:szCs w:val="24"/>
                    </w:rPr>
                    <m:t>δ</m:t>
                  </m:r>
                  <m:sSup>
                    <m:sSupPr>
                      <m:ctrlPr>
                        <w:rPr>
                          <w:rFonts w:ascii="Cambria Math" w:eastAsiaTheme="minorEastAsia" w:hAnsi="Cambria Math"/>
                          <w:color w:val="231F20"/>
                          <w:sz w:val="24"/>
                          <w:szCs w:val="24"/>
                        </w:rPr>
                      </m:ctrlPr>
                    </m:sSupPr>
                    <m:e>
                      <m:r>
                        <m:rPr>
                          <m:sty m:val="p"/>
                        </m:rPr>
                        <w:rPr>
                          <w:rFonts w:ascii="Cambria Math" w:eastAsiaTheme="minorEastAsia" w:hAnsi="Cambria Math"/>
                          <w:color w:val="231F20"/>
                          <w:sz w:val="24"/>
                          <w:szCs w:val="24"/>
                        </w:rPr>
                        <m:t>∥</m:t>
                      </m:r>
                    </m:e>
                    <m:sup>
                      <m:r>
                        <w:rPr>
                          <w:rFonts w:ascii="Cambria Math" w:eastAsiaTheme="minorEastAsia" w:hAnsi="Cambria Math"/>
                          <w:color w:val="231F20"/>
                          <w:sz w:val="24"/>
                          <w:szCs w:val="24"/>
                        </w:rPr>
                        <m:t>2</m:t>
                      </m:r>
                    </m:sup>
                  </m:sSup>
                </m:den>
              </m:f>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l</m:t>
                  </m:r>
                </m:sub>
              </m:sSub>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0</m:t>
                  </m:r>
                </m:sub>
                <m:sup>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p>
                <m:e>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P</m:t>
                      </m:r>
                    </m:e>
                    <m:sub>
                      <m:r>
                        <m:rPr>
                          <m:sty m:val="p"/>
                        </m:rPr>
                        <w:rPr>
                          <w:rFonts w:ascii="Cambria Math" w:eastAsiaTheme="minorEastAsia" w:hAnsi="Cambria Math"/>
                          <w:color w:val="231F20"/>
                          <w:sz w:val="24"/>
                          <w:szCs w:val="24"/>
                        </w:rPr>
                        <m:t>lim</m:t>
                      </m:r>
                    </m:sub>
                  </m:sSub>
                </m:e>
              </m:nary>
              <m:d>
                <m:dPr>
                  <m:ctrlPr>
                    <w:rPr>
                      <w:rFonts w:ascii="Cambria Math" w:eastAsiaTheme="minorEastAsia" w:hAnsi="Cambria Math"/>
                      <w:color w:val="231F20"/>
                      <w:sz w:val="24"/>
                      <w:szCs w:val="24"/>
                    </w:rPr>
                  </m:ctrlPr>
                </m:dPr>
                <m:e>
                  <m:r>
                    <w:rPr>
                      <w:rFonts w:ascii="Cambria Math" w:eastAsiaTheme="minorEastAsia" w:hAnsi="Cambria Math"/>
                      <w:color w:val="231F20"/>
                      <w:sz w:val="24"/>
                      <w:szCs w:val="24"/>
                    </w:rPr>
                    <m:t>k</m:t>
                  </m:r>
                </m:e>
              </m:d>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s</m:t>
                  </m:r>
                </m:sub>
              </m:sSub>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0</m:t>
                  </m:r>
                </m:sub>
                <m:sup>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p>
                <m:e>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P</m:t>
                      </m:r>
                    </m:e>
                    <m:sub>
                      <m:r>
                        <m:rPr>
                          <m:sty m:val="p"/>
                        </m:rPr>
                        <w:rPr>
                          <w:rFonts w:ascii="Cambria Math" w:eastAsiaTheme="minorEastAsia" w:hAnsi="Cambria Math"/>
                          <w:color w:val="231F20"/>
                          <w:sz w:val="24"/>
                          <w:szCs w:val="24"/>
                        </w:rPr>
                        <m:t>stab</m:t>
                      </m:r>
                    </m:sub>
                  </m:sSub>
                </m:e>
              </m:nary>
              <m:d>
                <m:dPr>
                  <m:ctrlPr>
                    <w:rPr>
                      <w:rFonts w:ascii="Cambria Math" w:eastAsiaTheme="minorEastAsia" w:hAnsi="Cambria Math"/>
                      <w:color w:val="231F20"/>
                      <w:sz w:val="24"/>
                      <w:szCs w:val="24"/>
                    </w:rPr>
                  </m:ctrlPr>
                </m:dPr>
                <m:e>
                  <m:r>
                    <w:rPr>
                      <w:rFonts w:ascii="Cambria Math" w:eastAsiaTheme="minorEastAsia" w:hAnsi="Cambria Math"/>
                      <w:color w:val="231F20"/>
                      <w:sz w:val="24"/>
                      <w:szCs w:val="24"/>
                    </w:rPr>
                    <m:t>k</m:t>
                  </m:r>
                </m:e>
              </m:d>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 </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a</m:t>
                  </m:r>
                </m:e>
                <m:sub>
                  <m:r>
                    <w:rPr>
                      <w:rFonts w:ascii="Cambria Math" w:eastAsiaTheme="minorEastAsia" w:hAnsi="Cambria Math"/>
                      <w:color w:val="231F20"/>
                      <w:sz w:val="24"/>
                      <w:szCs w:val="24"/>
                    </w:rPr>
                    <m:t>k</m:t>
                  </m:r>
                </m:sub>
              </m:sSub>
              <m:r>
                <m:rPr>
                  <m:sty m:val="p"/>
                </m:rPr>
                <w:rPr>
                  <w:rFonts w:ascii="Cambria Math" w:eastAsiaTheme="minorEastAsia" w:hAnsi="Cambria Math"/>
                  <w:color w:val="231F20"/>
                  <w:sz w:val="24"/>
                  <w:szCs w:val="24"/>
                </w:rPr>
                <m:t>∈</m:t>
              </m:r>
              <m:r>
                <m:rPr>
                  <m:scr m:val="script"/>
                  <m:sty m:val="p"/>
                </m:rPr>
                <w:rPr>
                  <w:rFonts w:ascii="Cambria Math" w:eastAsiaTheme="minorEastAsia" w:hAnsi="Cambria Math"/>
                  <w:color w:val="231F20"/>
                  <w:sz w:val="24"/>
                  <w:szCs w:val="24"/>
                </w:rPr>
                <m:t>A</m:t>
              </m:r>
              <m:r>
                <w:rPr>
                  <w:rFonts w:ascii="Cambria Math" w:eastAsiaTheme="minorEastAsia" w:hAnsi="Cambria Math"/>
                  <w:color w:val="231F20"/>
                  <w:sz w:val="24"/>
                  <w:szCs w:val="24"/>
                </w:rPr>
                <m:t>#</m:t>
              </m:r>
              <m:d>
                <m:dPr>
                  <m:ctrlPr>
                    <w:rPr>
                      <w:rFonts w:ascii="Cambria Math" w:eastAsiaTheme="minorEastAsia" w:hAnsi="Cambria Math"/>
                      <w:color w:val="231F20"/>
                      <w:sz w:val="24"/>
                      <w:szCs w:val="24"/>
                    </w:rPr>
                  </m:ctrlPr>
                </m:dPr>
                <m:e>
                  <m:r>
                    <m:rPr>
                      <m:sty m:val="p"/>
                    </m:rPr>
                    <w:rPr>
                      <w:rFonts w:ascii="Cambria Math" w:eastAsiaTheme="minorEastAsia" w:hAnsi="Cambria Math"/>
                      <w:color w:val="231F20"/>
                      <w:sz w:val="24"/>
                      <w:szCs w:val="24"/>
                    </w:rPr>
                    <m:t>2</m:t>
                  </m:r>
                </m:e>
              </m:d>
              <m:ctrlPr>
                <w:rPr>
                  <w:rFonts w:ascii="Cambria Math" w:eastAsiaTheme="minorEastAsia" w:hAnsi="Cambria Math"/>
                  <w:i/>
                  <w:color w:val="231F20"/>
                  <w:sz w:val="24"/>
                  <w:szCs w:val="24"/>
                </w:rPr>
              </m:ctrlPr>
            </m:e>
          </m:eqArr>
        </m:oMath>
      </m:oMathPara>
    </w:p>
    <w:p w14:paraId="6A3E0CF6" w14:textId="77777777" w:rsidR="00F02C74"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 xml:space="preserve">Here, </w:t>
      </w:r>
      <m:oMath>
        <m:r>
          <m:rPr>
            <m:scr m:val="script"/>
            <m:sty m:val="p"/>
          </m:rPr>
          <w:rPr>
            <w:rFonts w:ascii="Cambria Math" w:eastAsiaTheme="minorEastAsia" w:hAnsi="Cambria Math"/>
            <w:color w:val="231F20"/>
            <w:sz w:val="24"/>
            <w:szCs w:val="24"/>
          </w:rPr>
          <m:t>A</m:t>
        </m:r>
      </m:oMath>
      <w:r w:rsidRPr="00AD275A">
        <w:rPr>
          <w:rFonts w:eastAsiaTheme="minorEastAsia"/>
          <w:color w:val="231F20"/>
          <w:sz w:val="24"/>
          <w:szCs w:val="24"/>
          <w:lang w:val="en-US"/>
        </w:rPr>
        <w:t xml:space="preserve"> is the finite action set, </w:t>
      </w:r>
      <m:oMath>
        <m:r>
          <w:rPr>
            <w:rFonts w:ascii="Cambria Math" w:eastAsiaTheme="minorEastAsia" w:hAnsi="Cambria Math"/>
            <w:color w:val="231F20"/>
            <w:sz w:val="24"/>
            <w:szCs w:val="24"/>
          </w:rPr>
          <m:t>δ</m:t>
        </m:r>
      </m:oMath>
      <w:r w:rsidRPr="00AD275A">
        <w:rPr>
          <w:rFonts w:eastAsiaTheme="minorEastAsia"/>
          <w:color w:val="231F20"/>
          <w:sz w:val="24"/>
          <w:szCs w:val="24"/>
          <w:lang w:val="en-US"/>
        </w:rPr>
        <w:t xml:space="preserve"> is the basic action step, </w:t>
      </w:r>
      <m:oMath>
        <m:sSub>
          <m:sSubPr>
            <m:ctrlPr>
              <w:rPr>
                <w:rFonts w:ascii="Cambria Math" w:eastAsiaTheme="minorEastAsia" w:hAnsi="Cambria Math"/>
                <w:i/>
                <w:color w:val="231F20"/>
                <w:sz w:val="24"/>
                <w:szCs w:val="24"/>
                <w:lang w:val="en-US"/>
              </w:rPr>
            </m:ctrlPr>
          </m:sSubPr>
          <m:e>
            <m:r>
              <w:rPr>
                <w:rFonts w:ascii="Cambria Math" w:eastAsiaTheme="minorEastAsia" w:hAnsi="Cambria Math"/>
                <w:color w:val="231F20"/>
                <w:sz w:val="24"/>
                <w:szCs w:val="24"/>
                <w:lang w:val="en-US"/>
              </w:rPr>
              <m:t>P</m:t>
            </m:r>
          </m:e>
          <m:sub>
            <m:r>
              <w:rPr>
                <w:rFonts w:ascii="Cambria Math" w:eastAsiaTheme="minorEastAsia" w:hAnsi="Cambria Math"/>
                <w:color w:val="231F20"/>
                <w:sz w:val="24"/>
                <w:szCs w:val="24"/>
                <w:lang w:val="en-US"/>
              </w:rPr>
              <m:t>lim</m:t>
            </m:r>
          </m:sub>
        </m:sSub>
        <m:r>
          <w:rPr>
            <w:rFonts w:ascii="Cambria Math" w:eastAsiaTheme="minorEastAsia" w:hAnsi="Cambria Math"/>
            <w:color w:val="231F20"/>
            <w:sz w:val="24"/>
            <w:szCs w:val="24"/>
            <w:lang w:val="en-US"/>
          </w:rPr>
          <m:t xml:space="preserve"> </m:t>
        </m:r>
      </m:oMath>
      <w:r w:rsidRPr="00AD275A">
        <w:rPr>
          <w:rFonts w:eastAsiaTheme="minorEastAsia"/>
          <w:color w:val="231F20"/>
          <w:sz w:val="24"/>
          <w:szCs w:val="24"/>
          <w:lang w:val="en-US"/>
        </w:rPr>
        <w:t xml:space="preserve"> penalizes unsafe proximity to motor limits, and </w:t>
      </w:r>
      <m:oMath>
        <m:sSub>
          <m:sSubPr>
            <m:ctrlPr>
              <w:rPr>
                <w:rFonts w:ascii="Cambria Math" w:eastAsiaTheme="minorEastAsia" w:hAnsi="Cambria Math"/>
                <w:i/>
                <w:color w:val="231F20"/>
                <w:sz w:val="24"/>
                <w:szCs w:val="24"/>
                <w:lang w:val="en-US"/>
              </w:rPr>
            </m:ctrlPr>
          </m:sSubPr>
          <m:e>
            <m:r>
              <w:rPr>
                <w:rFonts w:ascii="Cambria Math" w:eastAsiaTheme="minorEastAsia" w:hAnsi="Cambria Math"/>
                <w:color w:val="231F20"/>
                <w:sz w:val="24"/>
                <w:szCs w:val="24"/>
                <w:lang w:val="en-US"/>
              </w:rPr>
              <m:t>P</m:t>
            </m:r>
          </m:e>
          <m:sub>
            <m:r>
              <w:rPr>
                <w:rFonts w:ascii="Cambria Math" w:eastAsiaTheme="minorEastAsia" w:hAnsi="Cambria Math"/>
                <w:color w:val="231F20"/>
                <w:sz w:val="24"/>
                <w:szCs w:val="24"/>
                <w:lang w:val="en-US"/>
              </w:rPr>
              <m:t>stab</m:t>
            </m:r>
          </m:sub>
        </m:sSub>
      </m:oMath>
      <w:r w:rsidRPr="00AD275A">
        <w:rPr>
          <w:rFonts w:eastAsiaTheme="minorEastAsia"/>
          <w:color w:val="231F20"/>
          <w:sz w:val="24"/>
          <w:szCs w:val="24"/>
          <w:lang w:val="en-US"/>
        </w:rPr>
        <w:t xml:space="preserve"> penalizes insufficient grasp margin. This formulation focuses on upper-level reference planning after grasp establishment, rather than complete grasp stability control.</w:t>
      </w:r>
    </w:p>
    <w:p w14:paraId="42F4089F" w14:textId="77777777" w:rsidR="006702EA" w:rsidRPr="00AD275A" w:rsidRDefault="006702EA" w:rsidP="00AD275A">
      <w:pPr>
        <w:pStyle w:val="BodyText"/>
        <w:snapToGrid w:val="0"/>
        <w:ind w:left="110" w:right="106" w:firstLine="400"/>
        <w:jc w:val="both"/>
        <w:rPr>
          <w:rFonts w:eastAsiaTheme="minorEastAsia"/>
          <w:color w:val="231F20"/>
          <w:sz w:val="24"/>
          <w:szCs w:val="24"/>
          <w:lang w:val="en-US"/>
        </w:rPr>
      </w:pPr>
    </w:p>
    <w:p w14:paraId="6A3E0CF7" w14:textId="16D70D04" w:rsidR="00F02C74" w:rsidRPr="00AD275A" w:rsidRDefault="008D26D6" w:rsidP="00AD275A">
      <w:pPr>
        <w:pStyle w:val="Heading2"/>
        <w:numPr>
          <w:ilvl w:val="1"/>
          <w:numId w:val="0"/>
        </w:numPr>
        <w:tabs>
          <w:tab w:val="left" w:pos="284"/>
        </w:tabs>
        <w:snapToGrid w:val="0"/>
        <w:spacing w:before="0"/>
        <w:ind w:left="284" w:hanging="284"/>
        <w:rPr>
          <w:color w:val="231F20"/>
          <w:spacing w:val="-5"/>
          <w:lang w:val="en-US"/>
        </w:rPr>
      </w:pPr>
      <w:r w:rsidRPr="00AD275A">
        <w:rPr>
          <w:rFonts w:hint="eastAsia"/>
          <w:color w:val="231F20"/>
          <w:spacing w:val="-5"/>
          <w:lang w:val="en-US"/>
        </w:rPr>
        <w:t>2.</w:t>
      </w:r>
      <w:r w:rsidRPr="00AD275A">
        <w:rPr>
          <w:rFonts w:eastAsiaTheme="minorEastAsia" w:hint="eastAsia"/>
          <w:color w:val="231F20"/>
          <w:spacing w:val="-5"/>
          <w:lang w:val="en-US"/>
        </w:rPr>
        <w:t>2</w:t>
      </w:r>
      <w:r w:rsidR="006702EA">
        <w:rPr>
          <w:rFonts w:eastAsiaTheme="minorEastAsia"/>
          <w:color w:val="231F20"/>
          <w:spacing w:val="-5"/>
          <w:lang w:val="en-US"/>
        </w:rPr>
        <w:t>.</w:t>
      </w:r>
      <w:r w:rsidRPr="00AD275A">
        <w:rPr>
          <w:rFonts w:eastAsiaTheme="minorEastAsia" w:hint="eastAsia"/>
          <w:color w:val="231F20"/>
          <w:spacing w:val="-5"/>
          <w:lang w:val="en-US"/>
        </w:rPr>
        <w:t xml:space="preserve"> </w:t>
      </w:r>
      <w:r w:rsidRPr="006702EA">
        <w:rPr>
          <w:lang w:val="en-US"/>
        </w:rPr>
        <w:t xml:space="preserve">Finite </w:t>
      </w:r>
      <w:r w:rsidR="006702EA" w:rsidRPr="006702EA">
        <w:rPr>
          <w:lang w:val="en-US"/>
        </w:rPr>
        <w:t>action set and pose prediction</w:t>
      </w:r>
    </w:p>
    <w:p w14:paraId="6A3E0CF8" w14:textId="77777777" w:rsidR="00F02C74" w:rsidRDefault="008D26D6" w:rsidP="006702EA">
      <w:pPr>
        <w:pStyle w:val="BodyText"/>
        <w:snapToGrid w:val="0"/>
        <w:ind w:right="106"/>
        <w:jc w:val="both"/>
        <w:rPr>
          <w:rFonts w:eastAsiaTheme="minorEastAsia"/>
          <w:color w:val="231F20"/>
          <w:sz w:val="24"/>
          <w:szCs w:val="24"/>
          <w:lang w:val="en-US"/>
        </w:rPr>
      </w:pPr>
      <w:r w:rsidRPr="00AD275A">
        <w:rPr>
          <w:rFonts w:eastAsiaTheme="minorEastAsia"/>
          <w:color w:val="231F20"/>
          <w:sz w:val="24"/>
          <w:szCs w:val="24"/>
          <w:lang w:val="en-US"/>
        </w:rPr>
        <w:t xml:space="preserve">The continuous motor reference increment is discretized into a small set of representative actions. Each action is represented by a normalized increment vector and scaled by the basic action step. In the simulation, the step size is 3°, and the motor order is thumb, index finger, middle finger, ring finger, and pinky finger. Only the thumb, index finger, and middle finger are assigned nonzero increments, while the ring finger and pinky finger provide auxiliary support. </w:t>
      </w:r>
      <w:r w:rsidRPr="00AD275A">
        <w:rPr>
          <w:rFonts w:eastAsiaTheme="minorEastAsia"/>
          <w:b/>
          <w:bCs/>
          <w:color w:val="231F20"/>
          <w:sz w:val="24"/>
          <w:szCs w:val="24"/>
          <w:lang w:val="en-US"/>
        </w:rPr>
        <w:t>Table 1</w:t>
      </w:r>
      <w:r w:rsidRPr="00AD275A">
        <w:rPr>
          <w:rFonts w:eastAsiaTheme="minorEastAsia"/>
          <w:color w:val="231F20"/>
          <w:sz w:val="24"/>
          <w:szCs w:val="24"/>
          <w:lang w:val="en-US"/>
        </w:rPr>
        <w:t xml:space="preserve"> combines the finite action set and the nominal action effects. The two effect columns describe the average changes in tilt angle and in-plane rotation angle, respectively.</w:t>
      </w:r>
    </w:p>
    <w:p w14:paraId="4F600E2B" w14:textId="77777777" w:rsidR="006702EA" w:rsidRPr="00AD275A" w:rsidRDefault="006702EA" w:rsidP="00AD275A">
      <w:pPr>
        <w:pStyle w:val="BodyText"/>
        <w:snapToGrid w:val="0"/>
        <w:ind w:right="106"/>
        <w:jc w:val="both"/>
        <w:rPr>
          <w:rFonts w:eastAsiaTheme="minorEastAsia"/>
          <w:color w:val="231F20"/>
          <w:sz w:val="24"/>
          <w:szCs w:val="24"/>
          <w:lang w:val="en-US"/>
        </w:rPr>
      </w:pPr>
    </w:p>
    <w:p w14:paraId="6A3E0CF9" w14:textId="77777777" w:rsidR="00F02C74" w:rsidRPr="00AD275A" w:rsidRDefault="008D26D6" w:rsidP="00AD275A">
      <w:pPr>
        <w:pStyle w:val="BodyText"/>
        <w:snapToGrid w:val="0"/>
        <w:ind w:right="108"/>
        <w:jc w:val="both"/>
        <w:rPr>
          <w:rFonts w:eastAsiaTheme="minorEastAsia"/>
          <w:b/>
          <w:bCs/>
          <w:color w:val="231F20"/>
          <w:sz w:val="24"/>
          <w:szCs w:val="24"/>
          <w:lang w:val="en-US"/>
        </w:rPr>
      </w:pPr>
      <w:r w:rsidRPr="00AD275A">
        <w:rPr>
          <w:rFonts w:eastAsiaTheme="minorEastAsia"/>
          <w:b/>
          <w:bCs/>
          <w:color w:val="231F20"/>
          <w:sz w:val="24"/>
          <w:szCs w:val="24"/>
          <w:lang w:val="en-US"/>
        </w:rPr>
        <w:t xml:space="preserve">Table 1. </w:t>
      </w:r>
      <w:r w:rsidRPr="00AD275A">
        <w:rPr>
          <w:rFonts w:eastAsiaTheme="minorEastAsia"/>
          <w:color w:val="231F20"/>
          <w:sz w:val="24"/>
          <w:szCs w:val="24"/>
          <w:lang w:val="en-US"/>
        </w:rPr>
        <w:t>Finite action set and nominal action effects</w:t>
      </w:r>
    </w:p>
    <w:tbl>
      <w:tblPr>
        <w:tblW w:w="5000" w:type="pct"/>
        <w:jc w:val="center"/>
        <w:tblLook w:val="04A0" w:firstRow="1" w:lastRow="0" w:firstColumn="1" w:lastColumn="0" w:noHBand="0" w:noVBand="1"/>
      </w:tblPr>
      <w:tblGrid>
        <w:gridCol w:w="1360"/>
        <w:gridCol w:w="3160"/>
        <w:gridCol w:w="3160"/>
        <w:gridCol w:w="2302"/>
      </w:tblGrid>
      <w:tr w:rsidR="00F02C74" w:rsidRPr="00AD275A" w14:paraId="6A3E0CFE" w14:textId="77777777" w:rsidTr="00AD275A">
        <w:trPr>
          <w:jc w:val="center"/>
        </w:trPr>
        <w:tc>
          <w:tcPr>
            <w:tcW w:w="681" w:type="pct"/>
            <w:tcBorders>
              <w:top w:val="single" w:sz="4" w:space="0" w:color="auto"/>
              <w:bottom w:val="single" w:sz="4" w:space="0" w:color="auto"/>
            </w:tcBorders>
            <w:vAlign w:val="center"/>
          </w:tcPr>
          <w:p w14:paraId="6A3E0CFA" w14:textId="77777777" w:rsidR="00F02C74" w:rsidRPr="00AD275A" w:rsidRDefault="008D26D6" w:rsidP="00AD275A">
            <w:pPr>
              <w:pStyle w:val="BodyText"/>
              <w:snapToGrid w:val="0"/>
              <w:ind w:left="108" w:right="108"/>
              <w:rPr>
                <w:rFonts w:eastAsiaTheme="minorEastAsia"/>
                <w:b/>
                <w:bCs/>
                <w:color w:val="231F20"/>
                <w:sz w:val="24"/>
                <w:szCs w:val="24"/>
                <w:lang w:val="en-US"/>
              </w:rPr>
            </w:pPr>
            <w:r w:rsidRPr="00AD275A">
              <w:rPr>
                <w:rFonts w:eastAsiaTheme="minorEastAsia"/>
                <w:b/>
                <w:bCs/>
                <w:color w:val="231F20"/>
                <w:sz w:val="24"/>
                <w:szCs w:val="24"/>
                <w:lang w:val="en-US"/>
              </w:rPr>
              <w:t>Action</w:t>
            </w:r>
          </w:p>
        </w:tc>
        <w:tc>
          <w:tcPr>
            <w:tcW w:w="1583" w:type="pct"/>
            <w:tcBorders>
              <w:top w:val="single" w:sz="4" w:space="0" w:color="auto"/>
              <w:bottom w:val="single" w:sz="4" w:space="0" w:color="auto"/>
            </w:tcBorders>
            <w:vAlign w:val="center"/>
          </w:tcPr>
          <w:p w14:paraId="6A3E0CFB"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sigma</w:t>
            </w:r>
          </w:p>
        </w:tc>
        <w:tc>
          <w:tcPr>
            <w:tcW w:w="1583" w:type="pct"/>
            <w:tcBorders>
              <w:top w:val="single" w:sz="4" w:space="0" w:color="auto"/>
              <w:bottom w:val="single" w:sz="4" w:space="0" w:color="auto"/>
            </w:tcBorders>
            <w:vAlign w:val="center"/>
          </w:tcPr>
          <w:p w14:paraId="6A3E0CFC"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Tilt effect</w:t>
            </w:r>
          </w:p>
        </w:tc>
        <w:tc>
          <w:tcPr>
            <w:tcW w:w="1153" w:type="pct"/>
            <w:tcBorders>
              <w:top w:val="single" w:sz="4" w:space="0" w:color="auto"/>
              <w:bottom w:val="single" w:sz="4" w:space="0" w:color="auto"/>
            </w:tcBorders>
            <w:vAlign w:val="center"/>
          </w:tcPr>
          <w:p w14:paraId="6A3E0CFD"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Rotation effect</w:t>
            </w:r>
          </w:p>
        </w:tc>
      </w:tr>
      <w:tr w:rsidR="00F02C74" w:rsidRPr="00AD275A" w14:paraId="6A3E0D03" w14:textId="77777777" w:rsidTr="00AD275A">
        <w:trPr>
          <w:jc w:val="center"/>
        </w:trPr>
        <w:tc>
          <w:tcPr>
            <w:tcW w:w="681" w:type="pct"/>
            <w:tcBorders>
              <w:top w:val="single" w:sz="4" w:space="0" w:color="auto"/>
            </w:tcBorders>
            <w:vAlign w:val="center"/>
          </w:tcPr>
          <w:p w14:paraId="6A3E0CFF"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a0</w:t>
            </w:r>
          </w:p>
        </w:tc>
        <w:tc>
          <w:tcPr>
            <w:tcW w:w="1583" w:type="pct"/>
            <w:tcBorders>
              <w:top w:val="single" w:sz="4" w:space="0" w:color="auto"/>
            </w:tcBorders>
            <w:vAlign w:val="center"/>
          </w:tcPr>
          <w:p w14:paraId="6A3E0D00"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[0,0,0,0,0]</w:t>
            </w:r>
          </w:p>
        </w:tc>
        <w:tc>
          <w:tcPr>
            <w:tcW w:w="1583" w:type="pct"/>
            <w:tcBorders>
              <w:top w:val="single" w:sz="4" w:space="0" w:color="auto"/>
            </w:tcBorders>
            <w:vAlign w:val="center"/>
          </w:tcPr>
          <w:p w14:paraId="6A3E0D01"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0.0</w:t>
            </w:r>
          </w:p>
        </w:tc>
        <w:tc>
          <w:tcPr>
            <w:tcW w:w="1153" w:type="pct"/>
            <w:tcBorders>
              <w:top w:val="single" w:sz="4" w:space="0" w:color="auto"/>
            </w:tcBorders>
            <w:vAlign w:val="center"/>
          </w:tcPr>
          <w:p w14:paraId="6A3E0D02"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0.0</w:t>
            </w:r>
          </w:p>
        </w:tc>
      </w:tr>
      <w:tr w:rsidR="00F02C74" w:rsidRPr="00AD275A" w14:paraId="6A3E0D08" w14:textId="77777777" w:rsidTr="00AD275A">
        <w:trPr>
          <w:jc w:val="center"/>
        </w:trPr>
        <w:tc>
          <w:tcPr>
            <w:tcW w:w="681" w:type="pct"/>
            <w:vAlign w:val="center"/>
          </w:tcPr>
          <w:p w14:paraId="6A3E0D04"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a1</w:t>
            </w:r>
          </w:p>
        </w:tc>
        <w:tc>
          <w:tcPr>
            <w:tcW w:w="1583" w:type="pct"/>
            <w:vAlign w:val="center"/>
          </w:tcPr>
          <w:p w14:paraId="6A3E0D05"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[1,0,0,0,0]</w:t>
            </w:r>
          </w:p>
        </w:tc>
        <w:tc>
          <w:tcPr>
            <w:tcW w:w="1583" w:type="pct"/>
            <w:vAlign w:val="center"/>
          </w:tcPr>
          <w:p w14:paraId="6A3E0D06"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0.4</w:t>
            </w:r>
          </w:p>
        </w:tc>
        <w:tc>
          <w:tcPr>
            <w:tcW w:w="1153" w:type="pct"/>
            <w:vAlign w:val="center"/>
          </w:tcPr>
          <w:p w14:paraId="6A3E0D07"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-0.8</w:t>
            </w:r>
          </w:p>
        </w:tc>
      </w:tr>
      <w:tr w:rsidR="00F02C74" w:rsidRPr="00AD275A" w14:paraId="6A3E0D0D" w14:textId="77777777" w:rsidTr="00AD275A">
        <w:trPr>
          <w:jc w:val="center"/>
        </w:trPr>
        <w:tc>
          <w:tcPr>
            <w:tcW w:w="681" w:type="pct"/>
            <w:vAlign w:val="center"/>
          </w:tcPr>
          <w:p w14:paraId="6A3E0D09"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a2</w:t>
            </w:r>
          </w:p>
        </w:tc>
        <w:tc>
          <w:tcPr>
            <w:tcW w:w="1583" w:type="pct"/>
            <w:vAlign w:val="center"/>
          </w:tcPr>
          <w:p w14:paraId="6A3E0D0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[0,1,0,0,0]</w:t>
            </w:r>
          </w:p>
        </w:tc>
        <w:tc>
          <w:tcPr>
            <w:tcW w:w="1583" w:type="pct"/>
            <w:vAlign w:val="center"/>
          </w:tcPr>
          <w:p w14:paraId="6A3E0D0B"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0.9</w:t>
            </w:r>
          </w:p>
        </w:tc>
        <w:tc>
          <w:tcPr>
            <w:tcW w:w="1153" w:type="pct"/>
            <w:vAlign w:val="center"/>
          </w:tcPr>
          <w:p w14:paraId="6A3E0D0C"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0.5</w:t>
            </w:r>
          </w:p>
        </w:tc>
      </w:tr>
      <w:tr w:rsidR="00F02C74" w:rsidRPr="00AD275A" w14:paraId="6A3E0D12" w14:textId="77777777" w:rsidTr="00AD275A">
        <w:trPr>
          <w:jc w:val="center"/>
        </w:trPr>
        <w:tc>
          <w:tcPr>
            <w:tcW w:w="681" w:type="pct"/>
            <w:vAlign w:val="center"/>
          </w:tcPr>
          <w:p w14:paraId="6A3E0D0E"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a3</w:t>
            </w:r>
          </w:p>
        </w:tc>
        <w:tc>
          <w:tcPr>
            <w:tcW w:w="1583" w:type="pct"/>
            <w:vAlign w:val="center"/>
          </w:tcPr>
          <w:p w14:paraId="6A3E0D0F"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[0,0,1,0,0]</w:t>
            </w:r>
          </w:p>
        </w:tc>
        <w:tc>
          <w:tcPr>
            <w:tcW w:w="1583" w:type="pct"/>
            <w:vAlign w:val="center"/>
          </w:tcPr>
          <w:p w14:paraId="6A3E0D10"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0.7</w:t>
            </w:r>
          </w:p>
        </w:tc>
        <w:tc>
          <w:tcPr>
            <w:tcW w:w="1153" w:type="pct"/>
            <w:vAlign w:val="center"/>
          </w:tcPr>
          <w:p w14:paraId="6A3E0D11"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-0.3</w:t>
            </w:r>
          </w:p>
        </w:tc>
      </w:tr>
      <w:tr w:rsidR="00F02C74" w:rsidRPr="00AD275A" w14:paraId="6A3E0D17" w14:textId="77777777" w:rsidTr="00AD275A">
        <w:trPr>
          <w:jc w:val="center"/>
        </w:trPr>
        <w:tc>
          <w:tcPr>
            <w:tcW w:w="681" w:type="pct"/>
            <w:vAlign w:val="center"/>
          </w:tcPr>
          <w:p w14:paraId="6A3E0D13"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a4</w:t>
            </w:r>
          </w:p>
        </w:tc>
        <w:tc>
          <w:tcPr>
            <w:tcW w:w="1583" w:type="pct"/>
            <w:vAlign w:val="center"/>
          </w:tcPr>
          <w:p w14:paraId="6A3E0D1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[-1,0,0,0,0]</w:t>
            </w:r>
          </w:p>
        </w:tc>
        <w:tc>
          <w:tcPr>
            <w:tcW w:w="1583" w:type="pct"/>
            <w:vAlign w:val="center"/>
          </w:tcPr>
          <w:p w14:paraId="6A3E0D15"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-0.4</w:t>
            </w:r>
          </w:p>
        </w:tc>
        <w:tc>
          <w:tcPr>
            <w:tcW w:w="1153" w:type="pct"/>
            <w:vAlign w:val="center"/>
          </w:tcPr>
          <w:p w14:paraId="6A3E0D16"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0.8</w:t>
            </w:r>
          </w:p>
        </w:tc>
      </w:tr>
      <w:tr w:rsidR="00F02C74" w:rsidRPr="00AD275A" w14:paraId="6A3E0D1C" w14:textId="77777777" w:rsidTr="00AD275A">
        <w:trPr>
          <w:jc w:val="center"/>
        </w:trPr>
        <w:tc>
          <w:tcPr>
            <w:tcW w:w="681" w:type="pct"/>
            <w:vAlign w:val="center"/>
          </w:tcPr>
          <w:p w14:paraId="6A3E0D18"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a5</w:t>
            </w:r>
          </w:p>
        </w:tc>
        <w:tc>
          <w:tcPr>
            <w:tcW w:w="1583" w:type="pct"/>
            <w:vAlign w:val="center"/>
          </w:tcPr>
          <w:p w14:paraId="6A3E0D19"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w:t>
            </w:r>
            <w:proofErr w:type="gramStart"/>
            <w:r w:rsidRPr="00AD275A">
              <w:rPr>
                <w:rFonts w:eastAsiaTheme="minorEastAsia"/>
                <w:color w:val="231F20"/>
                <w:sz w:val="24"/>
                <w:szCs w:val="24"/>
                <w:lang w:val="en-US"/>
              </w:rPr>
              <w:t>0,-</w:t>
            </w:r>
            <w:proofErr w:type="gramEnd"/>
            <w:r w:rsidRPr="00AD275A">
              <w:rPr>
                <w:rFonts w:eastAsiaTheme="minorEastAsia"/>
                <w:color w:val="231F20"/>
                <w:sz w:val="24"/>
                <w:szCs w:val="24"/>
                <w:lang w:val="en-US"/>
              </w:rPr>
              <w:t>1,0,0,0]</w:t>
            </w:r>
          </w:p>
        </w:tc>
        <w:tc>
          <w:tcPr>
            <w:tcW w:w="1583" w:type="pct"/>
            <w:vAlign w:val="center"/>
          </w:tcPr>
          <w:p w14:paraId="6A3E0D1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-0.9</w:t>
            </w:r>
          </w:p>
        </w:tc>
        <w:tc>
          <w:tcPr>
            <w:tcW w:w="1153" w:type="pct"/>
            <w:vAlign w:val="center"/>
          </w:tcPr>
          <w:p w14:paraId="6A3E0D1B"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-0.5</w:t>
            </w:r>
          </w:p>
        </w:tc>
      </w:tr>
      <w:tr w:rsidR="00F02C74" w:rsidRPr="00AD275A" w14:paraId="6A3E0D21" w14:textId="77777777" w:rsidTr="00AD275A">
        <w:trPr>
          <w:jc w:val="center"/>
        </w:trPr>
        <w:tc>
          <w:tcPr>
            <w:tcW w:w="681" w:type="pct"/>
            <w:vAlign w:val="center"/>
          </w:tcPr>
          <w:p w14:paraId="6A3E0D1D"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a6</w:t>
            </w:r>
          </w:p>
        </w:tc>
        <w:tc>
          <w:tcPr>
            <w:tcW w:w="1583" w:type="pct"/>
            <w:vAlign w:val="center"/>
          </w:tcPr>
          <w:p w14:paraId="6A3E0D1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w:t>
            </w:r>
            <w:proofErr w:type="gramStart"/>
            <w:r w:rsidRPr="00AD275A">
              <w:rPr>
                <w:rFonts w:eastAsiaTheme="minorEastAsia"/>
                <w:color w:val="231F20"/>
                <w:sz w:val="24"/>
                <w:szCs w:val="24"/>
                <w:lang w:val="en-US"/>
              </w:rPr>
              <w:t>0,-</w:t>
            </w:r>
            <w:proofErr w:type="gramEnd"/>
            <w:r w:rsidRPr="00AD275A">
              <w:rPr>
                <w:rFonts w:eastAsiaTheme="minorEastAsia"/>
                <w:color w:val="231F20"/>
                <w:sz w:val="24"/>
                <w:szCs w:val="24"/>
                <w:lang w:val="en-US"/>
              </w:rPr>
              <w:t>1,0,0]</w:t>
            </w:r>
          </w:p>
        </w:tc>
        <w:tc>
          <w:tcPr>
            <w:tcW w:w="1583" w:type="pct"/>
            <w:vAlign w:val="center"/>
          </w:tcPr>
          <w:p w14:paraId="6A3E0D1F"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-0.7</w:t>
            </w:r>
          </w:p>
        </w:tc>
        <w:tc>
          <w:tcPr>
            <w:tcW w:w="1153" w:type="pct"/>
            <w:vAlign w:val="center"/>
          </w:tcPr>
          <w:p w14:paraId="6A3E0D20"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0.3</w:t>
            </w:r>
          </w:p>
        </w:tc>
      </w:tr>
      <w:tr w:rsidR="00F02C74" w:rsidRPr="00AD275A" w14:paraId="6A3E0D26" w14:textId="77777777" w:rsidTr="00AD275A">
        <w:trPr>
          <w:jc w:val="center"/>
        </w:trPr>
        <w:tc>
          <w:tcPr>
            <w:tcW w:w="681" w:type="pct"/>
            <w:vAlign w:val="center"/>
          </w:tcPr>
          <w:p w14:paraId="6A3E0D22"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a7</w:t>
            </w:r>
          </w:p>
        </w:tc>
        <w:tc>
          <w:tcPr>
            <w:tcW w:w="1583" w:type="pct"/>
            <w:vAlign w:val="center"/>
          </w:tcPr>
          <w:p w14:paraId="6A3E0D2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w:t>
            </w:r>
            <w:proofErr w:type="gramStart"/>
            <w:r w:rsidRPr="00AD275A">
              <w:rPr>
                <w:rFonts w:eastAsiaTheme="minorEastAsia"/>
                <w:color w:val="231F20"/>
                <w:sz w:val="24"/>
                <w:szCs w:val="24"/>
                <w:lang w:val="en-US"/>
              </w:rPr>
              <w:t>1,-</w:t>
            </w:r>
            <w:proofErr w:type="gramEnd"/>
            <w:r w:rsidRPr="00AD275A">
              <w:rPr>
                <w:rFonts w:eastAsiaTheme="minorEastAsia"/>
                <w:color w:val="231F20"/>
                <w:sz w:val="24"/>
                <w:szCs w:val="24"/>
                <w:lang w:val="en-US"/>
              </w:rPr>
              <w:t>1,0,0,0]</w:t>
            </w:r>
          </w:p>
        </w:tc>
        <w:tc>
          <w:tcPr>
            <w:tcW w:w="1583" w:type="pct"/>
            <w:vAlign w:val="center"/>
          </w:tcPr>
          <w:p w14:paraId="6A3E0D2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w:t>
            </w:r>
          </w:p>
        </w:tc>
        <w:tc>
          <w:tcPr>
            <w:tcW w:w="1153" w:type="pct"/>
            <w:vAlign w:val="center"/>
          </w:tcPr>
          <w:p w14:paraId="6A3E0D25"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-1.2</w:t>
            </w:r>
          </w:p>
        </w:tc>
      </w:tr>
      <w:tr w:rsidR="00F02C74" w:rsidRPr="00AD275A" w14:paraId="6A3E0D2B" w14:textId="77777777" w:rsidTr="00AD275A">
        <w:trPr>
          <w:jc w:val="center"/>
        </w:trPr>
        <w:tc>
          <w:tcPr>
            <w:tcW w:w="681" w:type="pct"/>
            <w:vAlign w:val="center"/>
          </w:tcPr>
          <w:p w14:paraId="6A3E0D27"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a8</w:t>
            </w:r>
          </w:p>
        </w:tc>
        <w:tc>
          <w:tcPr>
            <w:tcW w:w="1583" w:type="pct"/>
            <w:vAlign w:val="center"/>
          </w:tcPr>
          <w:p w14:paraId="6A3E0D28"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[-1,1,0,0,0]</w:t>
            </w:r>
          </w:p>
        </w:tc>
        <w:tc>
          <w:tcPr>
            <w:tcW w:w="1583" w:type="pct"/>
            <w:vAlign w:val="center"/>
          </w:tcPr>
          <w:p w14:paraId="6A3E0D29"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w:t>
            </w:r>
          </w:p>
        </w:tc>
        <w:tc>
          <w:tcPr>
            <w:tcW w:w="1153" w:type="pct"/>
            <w:vAlign w:val="center"/>
          </w:tcPr>
          <w:p w14:paraId="6A3E0D2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1.2</w:t>
            </w:r>
          </w:p>
        </w:tc>
      </w:tr>
      <w:tr w:rsidR="00F02C74" w:rsidRPr="00AD275A" w14:paraId="6A3E0D30" w14:textId="77777777" w:rsidTr="00AD275A">
        <w:trPr>
          <w:jc w:val="center"/>
        </w:trPr>
        <w:tc>
          <w:tcPr>
            <w:tcW w:w="681" w:type="pct"/>
            <w:vAlign w:val="center"/>
          </w:tcPr>
          <w:p w14:paraId="6A3E0D2C"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a9</w:t>
            </w:r>
          </w:p>
        </w:tc>
        <w:tc>
          <w:tcPr>
            <w:tcW w:w="1583" w:type="pct"/>
            <w:vAlign w:val="center"/>
          </w:tcPr>
          <w:p w14:paraId="6A3E0D2D"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w:t>
            </w:r>
            <w:proofErr w:type="gramStart"/>
            <w:r w:rsidRPr="00AD275A">
              <w:rPr>
                <w:rFonts w:eastAsiaTheme="minorEastAsia"/>
                <w:color w:val="231F20"/>
                <w:sz w:val="24"/>
                <w:szCs w:val="24"/>
                <w:lang w:val="en-US"/>
              </w:rPr>
              <w:t>1,-</w:t>
            </w:r>
            <w:proofErr w:type="gramEnd"/>
            <w:r w:rsidRPr="00AD275A">
              <w:rPr>
                <w:rFonts w:eastAsiaTheme="minorEastAsia"/>
                <w:color w:val="231F20"/>
                <w:sz w:val="24"/>
                <w:szCs w:val="24"/>
                <w:lang w:val="en-US"/>
              </w:rPr>
              <w:t>1,0,0]</w:t>
            </w:r>
          </w:p>
        </w:tc>
        <w:tc>
          <w:tcPr>
            <w:tcW w:w="1583" w:type="pct"/>
            <w:vAlign w:val="center"/>
          </w:tcPr>
          <w:p w14:paraId="6A3E0D2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1.3</w:t>
            </w:r>
          </w:p>
        </w:tc>
        <w:tc>
          <w:tcPr>
            <w:tcW w:w="1153" w:type="pct"/>
            <w:vAlign w:val="center"/>
          </w:tcPr>
          <w:p w14:paraId="6A3E0D2F"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0.8</w:t>
            </w:r>
          </w:p>
        </w:tc>
      </w:tr>
      <w:tr w:rsidR="00F02C74" w:rsidRPr="00AD275A" w14:paraId="6A3E0D35" w14:textId="77777777" w:rsidTr="00AD275A">
        <w:trPr>
          <w:jc w:val="center"/>
        </w:trPr>
        <w:tc>
          <w:tcPr>
            <w:tcW w:w="681" w:type="pct"/>
            <w:tcBorders>
              <w:bottom w:val="single" w:sz="4" w:space="0" w:color="auto"/>
            </w:tcBorders>
            <w:vAlign w:val="center"/>
          </w:tcPr>
          <w:p w14:paraId="6A3E0D31"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a10</w:t>
            </w:r>
          </w:p>
        </w:tc>
        <w:tc>
          <w:tcPr>
            <w:tcW w:w="1583" w:type="pct"/>
            <w:tcBorders>
              <w:bottom w:val="single" w:sz="4" w:space="0" w:color="auto"/>
            </w:tcBorders>
            <w:vAlign w:val="center"/>
          </w:tcPr>
          <w:p w14:paraId="6A3E0D32"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w:t>
            </w:r>
            <w:proofErr w:type="gramStart"/>
            <w:r w:rsidRPr="00AD275A">
              <w:rPr>
                <w:rFonts w:eastAsiaTheme="minorEastAsia"/>
                <w:color w:val="231F20"/>
                <w:sz w:val="24"/>
                <w:szCs w:val="24"/>
                <w:lang w:val="en-US"/>
              </w:rPr>
              <w:t>0,-</w:t>
            </w:r>
            <w:proofErr w:type="gramEnd"/>
            <w:r w:rsidRPr="00AD275A">
              <w:rPr>
                <w:rFonts w:eastAsiaTheme="minorEastAsia"/>
                <w:color w:val="231F20"/>
                <w:sz w:val="24"/>
                <w:szCs w:val="24"/>
                <w:lang w:val="en-US"/>
              </w:rPr>
              <w:t>1,1,0,0]</w:t>
            </w:r>
          </w:p>
        </w:tc>
        <w:tc>
          <w:tcPr>
            <w:tcW w:w="1583" w:type="pct"/>
            <w:tcBorders>
              <w:bottom w:val="single" w:sz="4" w:space="0" w:color="auto"/>
            </w:tcBorders>
            <w:vAlign w:val="center"/>
          </w:tcPr>
          <w:p w14:paraId="6A3E0D3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-1.3</w:t>
            </w:r>
          </w:p>
        </w:tc>
        <w:tc>
          <w:tcPr>
            <w:tcW w:w="1153" w:type="pct"/>
            <w:tcBorders>
              <w:bottom w:val="single" w:sz="4" w:space="0" w:color="auto"/>
            </w:tcBorders>
            <w:vAlign w:val="center"/>
          </w:tcPr>
          <w:p w14:paraId="6A3E0D3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-0.8</w:t>
            </w:r>
          </w:p>
        </w:tc>
      </w:tr>
    </w:tbl>
    <w:p w14:paraId="148A423F" w14:textId="77777777" w:rsidR="006702EA" w:rsidRDefault="006702EA" w:rsidP="009155F0">
      <w:pPr>
        <w:pStyle w:val="BodyText"/>
        <w:snapToGrid w:val="0"/>
        <w:ind w:left="110" w:right="106" w:firstLine="400"/>
        <w:jc w:val="both"/>
        <w:rPr>
          <w:rFonts w:eastAsiaTheme="minorEastAsia"/>
          <w:color w:val="231F20"/>
          <w:sz w:val="24"/>
          <w:szCs w:val="24"/>
          <w:lang w:val="en-US"/>
        </w:rPr>
      </w:pPr>
    </w:p>
    <w:p w14:paraId="6A3E0D36" w14:textId="26CFFF84" w:rsidR="00F02C74" w:rsidRPr="00AD275A"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At each decision step, actions that would violate the motor limits are excluded. The predicted pose is obtained by adding the nominal action effect to the current pose. To model the mismatch between the nominal table and the actual response, the simulated pose update is</w:t>
      </w:r>
    </w:p>
    <w:p w14:paraId="6A3E0D37" w14:textId="77777777" w:rsidR="00F02C74" w:rsidRPr="00AD275A" w:rsidRDefault="008D26D6" w:rsidP="00AD275A">
      <w:pPr>
        <w:pStyle w:val="BodyText"/>
        <w:snapToGrid w:val="0"/>
        <w:ind w:left="110" w:right="106" w:firstLine="400"/>
        <w:jc w:val="both"/>
        <w:rPr>
          <w:rFonts w:eastAsiaTheme="minorEastAsia"/>
          <w:color w:val="231F20"/>
          <w:sz w:val="24"/>
          <w:szCs w:val="24"/>
        </w:rPr>
      </w:pPr>
      <m:oMathPara>
        <m:oMathParaPr>
          <m:jc m:val="center"/>
        </m:oMathParaPr>
        <m:oMath>
          <m:eqArr>
            <m:eqArrPr>
              <m:maxDist m:val="1"/>
              <m:ctrlPr>
                <w:rPr>
                  <w:rFonts w:ascii="Cambria Math" w:eastAsiaTheme="minorEastAsia" w:hAnsi="Cambria Math"/>
                  <w:i/>
                  <w:color w:val="231F20"/>
                  <w:sz w:val="24"/>
                  <w:szCs w:val="24"/>
                </w:rPr>
              </m:ctrlPr>
            </m:eqArrPr>
            <m:e>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s</m:t>
                  </m:r>
                </m:e>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s</m:t>
                  </m:r>
                </m:e>
                <m:sub>
                  <m:r>
                    <w:rPr>
                      <w:rFonts w:ascii="Cambria Math" w:eastAsiaTheme="minorEastAsia" w:hAnsi="Cambria Math"/>
                      <w:color w:val="231F20"/>
                      <w:sz w:val="24"/>
                      <w:szCs w:val="24"/>
                    </w:rPr>
                    <m:t>k</m:t>
                  </m:r>
                </m:sub>
              </m:sSub>
              <m:r>
                <m:rPr>
                  <m:sty m:val="p"/>
                </m:rPr>
                <w:rPr>
                  <w:rFonts w:ascii="Cambria Math" w:eastAsiaTheme="minorEastAsia" w:hAnsi="Cambria Math"/>
                  <w:color w:val="231F20"/>
                  <w:sz w:val="24"/>
                  <w:szCs w:val="24"/>
                </w:rPr>
                <m:t>+</m:t>
              </m:r>
              <m:d>
                <m:dPr>
                  <m:ctrlPr>
                    <w:rPr>
                      <w:rFonts w:ascii="Cambria Math" w:eastAsiaTheme="minorEastAsia" w:hAnsi="Cambria Math"/>
                      <w:color w:val="231F20"/>
                      <w:sz w:val="24"/>
                      <w:szCs w:val="24"/>
                    </w:rPr>
                  </m:ctrlPr>
                </m:dPr>
                <m:e>
                  <m:r>
                    <w:rPr>
                      <w:rFonts w:ascii="Cambria Math" w:eastAsiaTheme="minorEastAsia" w:hAnsi="Cambria Math"/>
                      <w:color w:val="231F20"/>
                      <w:sz w:val="24"/>
                      <w:szCs w:val="24"/>
                    </w:rPr>
                    <m:t>1</m:t>
                  </m:r>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ρ</m:t>
                      </m:r>
                    </m:e>
                    <m:sub>
                      <m:r>
                        <w:rPr>
                          <w:rFonts w:ascii="Cambria Math" w:eastAsiaTheme="minorEastAsia" w:hAnsi="Cambria Math"/>
                          <w:color w:val="231F20"/>
                          <w:sz w:val="24"/>
                          <w:szCs w:val="24"/>
                        </w:rPr>
                        <m:t>k</m:t>
                      </m:r>
                    </m:sub>
                  </m:sSub>
                </m:e>
              </m:d>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μ</m:t>
                  </m:r>
                </m:e>
                <m:sub>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i</m:t>
                      </m:r>
                    </m:e>
                    <m:sub>
                      <m:r>
                        <w:rPr>
                          <w:rFonts w:ascii="Cambria Math" w:eastAsiaTheme="minorEastAsia" w:hAnsi="Cambria Math"/>
                          <w:color w:val="231F20"/>
                          <w:sz w:val="24"/>
                          <w:szCs w:val="24"/>
                        </w:rPr>
                        <m:t>k</m:t>
                      </m:r>
                    </m:sub>
                  </m:sSub>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ξ</m:t>
                  </m:r>
                </m:e>
                <m:sub>
                  <m:r>
                    <w:rPr>
                      <w:rFonts w:ascii="Cambria Math" w:eastAsiaTheme="minorEastAsia" w:hAnsi="Cambria Math"/>
                      <w:color w:val="231F20"/>
                      <w:sz w:val="24"/>
                      <w:szCs w:val="24"/>
                    </w:rPr>
                    <m:t>k</m:t>
                  </m:r>
                </m:sub>
              </m:sSub>
              <m:r>
                <w:rPr>
                  <w:rFonts w:ascii="Cambria Math" w:eastAsiaTheme="minorEastAsia" w:hAnsi="Cambria Math"/>
                  <w:color w:val="231F20"/>
                  <w:sz w:val="24"/>
                  <w:szCs w:val="24"/>
                </w:rPr>
                <m:t>#</m:t>
              </m:r>
              <m:d>
                <m:dPr>
                  <m:ctrlPr>
                    <w:rPr>
                      <w:rFonts w:ascii="Cambria Math" w:eastAsiaTheme="minorEastAsia" w:hAnsi="Cambria Math"/>
                      <w:i/>
                      <w:color w:val="231F20"/>
                      <w:sz w:val="24"/>
                      <w:szCs w:val="24"/>
                    </w:rPr>
                  </m:ctrlPr>
                </m:dPr>
                <m:e>
                  <m:r>
                    <w:rPr>
                      <w:rFonts w:ascii="Cambria Math" w:eastAsiaTheme="minorEastAsia" w:hAnsi="Cambria Math"/>
                      <w:color w:val="231F20"/>
                      <w:sz w:val="24"/>
                      <w:szCs w:val="24"/>
                    </w:rPr>
                    <m:t>3</m:t>
                  </m:r>
                </m:e>
              </m:d>
            </m:e>
          </m:eqArr>
        </m:oMath>
      </m:oMathPara>
    </w:p>
    <w:p w14:paraId="6A3E0D38" w14:textId="77777777" w:rsidR="00F02C74" w:rsidRDefault="008D26D6" w:rsidP="006702E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where the selected action index determines the nominal action effect, the proportional action-effect error is sampled from a uniform distribution, and the last term represents zero-mean Gaussian measurement noise.</w:t>
      </w:r>
    </w:p>
    <w:p w14:paraId="452BAA14" w14:textId="77777777" w:rsidR="006702EA" w:rsidRPr="00AD275A" w:rsidRDefault="006702EA" w:rsidP="00AD275A">
      <w:pPr>
        <w:pStyle w:val="BodyText"/>
        <w:snapToGrid w:val="0"/>
        <w:ind w:right="106" w:firstLine="400"/>
        <w:jc w:val="both"/>
        <w:rPr>
          <w:rFonts w:eastAsiaTheme="minorEastAsia"/>
          <w:color w:val="231F20"/>
          <w:sz w:val="24"/>
          <w:szCs w:val="24"/>
          <w:lang w:val="en-US"/>
        </w:rPr>
      </w:pPr>
    </w:p>
    <w:p w14:paraId="6A3E0D39" w14:textId="193D42CA" w:rsidR="00F02C74" w:rsidRPr="00AD275A" w:rsidRDefault="008D26D6" w:rsidP="00AD275A">
      <w:pPr>
        <w:pStyle w:val="Heading2"/>
        <w:numPr>
          <w:ilvl w:val="1"/>
          <w:numId w:val="0"/>
        </w:numPr>
        <w:tabs>
          <w:tab w:val="left" w:pos="284"/>
        </w:tabs>
        <w:snapToGrid w:val="0"/>
        <w:spacing w:before="0"/>
        <w:ind w:left="284" w:hanging="284"/>
        <w:rPr>
          <w:color w:val="231F20"/>
          <w:spacing w:val="-5"/>
          <w:lang w:val="en-US"/>
        </w:rPr>
      </w:pPr>
      <w:r w:rsidRPr="00AD275A">
        <w:rPr>
          <w:color w:val="231F20"/>
          <w:spacing w:val="-5"/>
          <w:lang w:val="en-US"/>
        </w:rPr>
        <w:t>2.</w:t>
      </w:r>
      <w:r w:rsidRPr="00AD275A">
        <w:rPr>
          <w:rFonts w:hint="eastAsia"/>
          <w:color w:val="231F20"/>
          <w:spacing w:val="-5"/>
          <w:lang w:val="en-US"/>
        </w:rPr>
        <w:t>3</w:t>
      </w:r>
      <w:r w:rsidR="006702EA">
        <w:rPr>
          <w:color w:val="231F20"/>
          <w:spacing w:val="-5"/>
          <w:lang w:val="en-US"/>
        </w:rPr>
        <w:t>.</w:t>
      </w:r>
      <w:r w:rsidRPr="00AD275A">
        <w:rPr>
          <w:rFonts w:hint="eastAsia"/>
          <w:color w:val="231F20"/>
          <w:spacing w:val="-5"/>
          <w:lang w:val="en-US"/>
        </w:rPr>
        <w:t xml:space="preserve"> </w:t>
      </w:r>
      <w:r w:rsidRPr="006702EA">
        <w:rPr>
          <w:lang w:val="en-US"/>
        </w:rPr>
        <w:t>Receding-</w:t>
      </w:r>
      <w:r w:rsidR="006702EA" w:rsidRPr="006702EA">
        <w:rPr>
          <w:lang w:val="en-US"/>
        </w:rPr>
        <w:t>horizon planning and simulation settings</w:t>
      </w:r>
    </w:p>
    <w:p w14:paraId="6A3E0D3A" w14:textId="77777777" w:rsidR="00F02C74" w:rsidRPr="00AD275A" w:rsidRDefault="008D26D6" w:rsidP="00AD275A">
      <w:pPr>
        <w:pStyle w:val="BodyText"/>
        <w:snapToGrid w:val="0"/>
        <w:ind w:right="106"/>
        <w:jc w:val="both"/>
        <w:rPr>
          <w:rFonts w:eastAsiaTheme="minorEastAsia"/>
          <w:color w:val="231F20"/>
          <w:sz w:val="24"/>
          <w:szCs w:val="24"/>
        </w:rPr>
      </w:pPr>
      <w:r w:rsidRPr="00AD275A">
        <w:rPr>
          <w:rFonts w:eastAsiaTheme="minorEastAsia"/>
          <w:color w:val="231F20"/>
          <w:sz w:val="24"/>
          <w:szCs w:val="24"/>
          <w:lang w:val="en-US"/>
        </w:rPr>
        <w:t xml:space="preserve">At each decision step, the planner observes the current object pose and motor reference, constructs the feasible action set, and evaluates candidate sequences over the prediction horizon. Starting from the current state, the predicted pose and motor reference are propagated using the action-effect table, and sequences that violate motor limits are discarded. </w:t>
      </w:r>
      <w:r w:rsidRPr="00AD275A">
        <w:rPr>
          <w:rFonts w:eastAsiaTheme="minorEastAsia"/>
          <w:color w:val="231F20"/>
          <w:sz w:val="24"/>
          <w:szCs w:val="24"/>
        </w:rPr>
        <w:t>Candidate sequences are evaluated by</w:t>
      </w:r>
    </w:p>
    <w:p w14:paraId="6A3E0D3B" w14:textId="77777777" w:rsidR="00F02C74" w:rsidRPr="00AD275A" w:rsidRDefault="008D26D6" w:rsidP="00AD275A">
      <w:pPr>
        <w:pStyle w:val="BodyText"/>
        <w:snapToGrid w:val="0"/>
        <w:ind w:left="110" w:right="106" w:firstLine="400"/>
        <w:jc w:val="both"/>
        <w:rPr>
          <w:rFonts w:eastAsiaTheme="minorEastAsia"/>
          <w:color w:val="231F20"/>
          <w:sz w:val="24"/>
          <w:szCs w:val="24"/>
        </w:rPr>
      </w:pPr>
      <m:oMathPara>
        <m:oMathParaPr>
          <m:jc m:val="center"/>
        </m:oMathParaPr>
        <m:oMath>
          <m:eqArr>
            <m:eqArrPr>
              <m:maxDist m:val="1"/>
              <m:ctrlPr>
                <w:rPr>
                  <w:rFonts w:ascii="Cambria Math" w:eastAsiaTheme="minorEastAsia" w:hAnsi="Cambria Math"/>
                  <w:i/>
                  <w:color w:val="231F20"/>
                  <w:sz w:val="24"/>
                  <w:szCs w:val="24"/>
                </w:rPr>
              </m:ctrlPr>
            </m:eqArrPr>
            <m:e>
              <m:r>
                <w:rPr>
                  <w:rFonts w:ascii="Cambria Math" w:eastAsiaTheme="minorEastAsia" w:hAnsi="Cambria Math"/>
                  <w:color w:val="231F20"/>
                  <w:sz w:val="24"/>
                  <w:szCs w:val="24"/>
                </w:rPr>
                <m:t>J</m:t>
              </m:r>
              <m:r>
                <m:rPr>
                  <m:sty m:val="p"/>
                </m:rPr>
                <w:rPr>
                  <w:rFonts w:ascii="Cambria Math" w:eastAsiaTheme="minorEastAsia" w:hAnsi="Cambria Math"/>
                  <w:color w:val="231F20"/>
                  <w:sz w:val="24"/>
                  <w:szCs w:val="24"/>
                </w:rPr>
                <m:t>=</m:t>
              </m:r>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h</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b>
                <m:sup>
                  <m:r>
                    <w:rPr>
                      <w:rFonts w:ascii="Cambria Math" w:eastAsiaTheme="minorEastAsia" w:hAnsi="Cambria Math"/>
                      <w:color w:val="231F20"/>
                      <w:sz w:val="24"/>
                      <w:szCs w:val="24"/>
                    </w:rPr>
                    <m:t>H</m:t>
                  </m:r>
                </m:sup>
                <m:e>
                  <m:sSubSup>
                    <m:sSubSupPr>
                      <m:ctrlPr>
                        <w:rPr>
                          <w:rFonts w:ascii="Cambria Math" w:eastAsiaTheme="minorEastAsia" w:hAnsi="Cambria Math"/>
                          <w:color w:val="231F20"/>
                          <w:sz w:val="24"/>
                          <w:szCs w:val="24"/>
                        </w:rPr>
                      </m:ctrlPr>
                    </m:sSubSup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e</m:t>
                      </m:r>
                    </m:sub>
                    <m:sup>
                      <m:r>
                        <w:rPr>
                          <w:rFonts w:ascii="Cambria Math" w:eastAsiaTheme="minorEastAsia" w:hAnsi="Cambria Math"/>
                          <w:color w:val="231F20"/>
                          <w:sz w:val="24"/>
                          <w:szCs w:val="24"/>
                        </w:rPr>
                        <m:t>h</m:t>
                      </m:r>
                    </m:sup>
                  </m:sSubSup>
                </m:e>
              </m:nary>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s</m:t>
                  </m:r>
                </m:e>
                <m:sub>
                  <m:r>
                    <w:rPr>
                      <w:rFonts w:ascii="Cambria Math" w:eastAsiaTheme="minorEastAsia" w:hAnsi="Cambria Math"/>
                      <w:color w:val="231F20"/>
                      <w:sz w:val="24"/>
                      <w:szCs w:val="24"/>
                    </w:rPr>
                    <m:t>d</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acc>
                    <m:accPr>
                      <m:ctrlPr>
                        <w:rPr>
                          <w:rFonts w:ascii="Cambria Math" w:eastAsiaTheme="minorEastAsia" w:hAnsi="Cambria Math"/>
                          <w:color w:val="231F20"/>
                          <w:sz w:val="24"/>
                          <w:szCs w:val="24"/>
                        </w:rPr>
                      </m:ctrlPr>
                    </m:accPr>
                    <m:e>
                      <m:r>
                        <w:rPr>
                          <w:rFonts w:ascii="Cambria Math" w:eastAsiaTheme="minorEastAsia" w:hAnsi="Cambria Math"/>
                          <w:color w:val="231F20"/>
                          <w:sz w:val="24"/>
                          <w:szCs w:val="24"/>
                        </w:rPr>
                        <m:t>s</m:t>
                      </m:r>
                    </m:e>
                  </m:acc>
                </m:e>
                <m:sub>
                  <m:r>
                    <w:rPr>
                      <w:rFonts w:ascii="Cambria Math" w:eastAsiaTheme="minorEastAsia" w:hAnsi="Cambria Math"/>
                      <w:color w:val="231F20"/>
                      <w:sz w:val="24"/>
                      <w:szCs w:val="24"/>
                    </w:rPr>
                    <m:t>k</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h</m:t>
                  </m:r>
                </m:sub>
              </m:sSub>
              <m:sSubSup>
                <m:sSubSupPr>
                  <m:ctrlPr>
                    <w:rPr>
                      <w:rFonts w:ascii="Cambria Math" w:eastAsiaTheme="minorEastAsia" w:hAnsi="Cambria Math"/>
                      <w:color w:val="231F20"/>
                      <w:sz w:val="24"/>
                      <w:szCs w:val="24"/>
                    </w:rPr>
                  </m:ctrlPr>
                </m:sSubSupPr>
                <m:e>
                  <m:r>
                    <m:rPr>
                      <m:sty m:val="p"/>
                    </m:rPr>
                    <w:rPr>
                      <w:rFonts w:ascii="Cambria Math" w:eastAsiaTheme="minorEastAsia" w:hAnsi="Cambria Math"/>
                      <w:color w:val="231F20"/>
                      <w:sz w:val="24"/>
                      <w:szCs w:val="24"/>
                    </w:rPr>
                    <m:t>∥</m:t>
                  </m:r>
                </m:e>
                <m:sub>
                  <m:r>
                    <w:rPr>
                      <w:rFonts w:ascii="Cambria Math" w:eastAsiaTheme="minorEastAsia" w:hAnsi="Cambria Math"/>
                      <w:color w:val="231F20"/>
                      <w:sz w:val="24"/>
                      <w:szCs w:val="24"/>
                    </w:rPr>
                    <m:t>Q</m:t>
                  </m:r>
                </m:sub>
                <m:sup>
                  <m:r>
                    <w:rPr>
                      <w:rFonts w:ascii="Cambria Math" w:eastAsiaTheme="minorEastAsia" w:hAnsi="Cambria Math"/>
                      <w:color w:val="231F20"/>
                      <w:sz w:val="24"/>
                      <w:szCs w:val="24"/>
                    </w:rPr>
                    <m:t>2</m:t>
                  </m:r>
                </m:sup>
              </m:sSubSup>
              <m:r>
                <m:rPr>
                  <m:sty m:val="p"/>
                </m:rPr>
                <w:rPr>
                  <w:rFonts w:ascii="Cambria Math" w:eastAsiaTheme="minorEastAsia" w:hAnsi="Cambria Math"/>
                  <w:color w:val="231F20"/>
                  <w:sz w:val="24"/>
                  <w:szCs w:val="24"/>
                </w:rPr>
                <m:t>+</m:t>
              </m:r>
              <m:f>
                <m:fPr>
                  <m:ctrlPr>
                    <w:rPr>
                      <w:rFonts w:ascii="Cambria Math" w:eastAsiaTheme="minorEastAsia" w:hAnsi="Cambria Math"/>
                      <w:color w:val="231F20"/>
                      <w:sz w:val="24"/>
                      <w:szCs w:val="24"/>
                    </w:rPr>
                  </m:ctrlPr>
                </m:fPr>
                <m:num>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θ</m:t>
                      </m:r>
                    </m:sub>
                  </m:sSub>
                  <m:nary>
                    <m:naryPr>
                      <m:chr m:val="∑"/>
                      <m:limLoc m:val="undOvr"/>
                      <m:ctrlPr>
                        <w:rPr>
                          <w:rFonts w:ascii="Cambria Math" w:eastAsiaTheme="minorEastAsia" w:hAnsi="Cambria Math"/>
                          <w:color w:val="231F20"/>
                          <w:sz w:val="24"/>
                          <w:szCs w:val="24"/>
                        </w:rPr>
                      </m:ctrlPr>
                    </m:naryPr>
                    <m:sub>
                      <m:r>
                        <w:rPr>
                          <w:rFonts w:ascii="Cambria Math" w:eastAsiaTheme="minorEastAsia" w:hAnsi="Cambria Math"/>
                          <w:color w:val="231F20"/>
                          <w:sz w:val="24"/>
                          <w:szCs w:val="24"/>
                        </w:rPr>
                        <m:t>h</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0</m:t>
                      </m:r>
                    </m:sub>
                    <m:sup>
                      <m:r>
                        <w:rPr>
                          <w:rFonts w:ascii="Cambria Math" w:eastAsiaTheme="minorEastAsia" w:hAnsi="Cambria Math"/>
                          <w:color w:val="231F20"/>
                          <w:sz w:val="24"/>
                          <w:szCs w:val="24"/>
                        </w:rPr>
                        <m:t>H</m:t>
                      </m:r>
                      <m:r>
                        <m:rPr>
                          <m:sty m:val="p"/>
                        </m:rPr>
                        <w:rPr>
                          <w:rFonts w:ascii="Cambria Math" w:eastAsiaTheme="minorEastAsia" w:hAnsi="Cambria Math"/>
                          <w:color w:val="231F20"/>
                          <w:sz w:val="24"/>
                          <w:szCs w:val="24"/>
                        </w:rPr>
                        <m:t>-</m:t>
                      </m:r>
                      <m:r>
                        <w:rPr>
                          <w:rFonts w:ascii="Cambria Math" w:eastAsiaTheme="minorEastAsia" w:hAnsi="Cambria Math"/>
                          <w:color w:val="231F20"/>
                          <w:sz w:val="24"/>
                          <w:szCs w:val="24"/>
                        </w:rPr>
                        <m:t>1</m:t>
                      </m:r>
                    </m:sup>
                    <m:e>
                      <m:r>
                        <m:rPr>
                          <m:sty m:val="p"/>
                        </m:rPr>
                        <w:rPr>
                          <w:rFonts w:ascii="Cambria Math" w:eastAsiaTheme="minorEastAsia" w:hAnsi="Cambria Math"/>
                          <w:color w:val="231F20"/>
                          <w:sz w:val="24"/>
                          <w:szCs w:val="24"/>
                        </w:rPr>
                        <m:t>∥</m:t>
                      </m:r>
                    </m:e>
                  </m:nary>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a</m:t>
                      </m:r>
                    </m:e>
                    <m:sub>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i</m:t>
                          </m:r>
                        </m:e>
                        <m:sub>
                          <m:r>
                            <w:rPr>
                              <w:rFonts w:ascii="Cambria Math" w:eastAsiaTheme="minorEastAsia" w:hAnsi="Cambria Math"/>
                              <w:color w:val="231F20"/>
                              <w:sz w:val="24"/>
                              <w:szCs w:val="24"/>
                            </w:rPr>
                            <m:t>h</m:t>
                          </m:r>
                        </m:sub>
                      </m:sSub>
                    </m:sub>
                  </m:sSub>
                </m:num>
                <m:den>
                  <m:r>
                    <w:rPr>
                      <w:rFonts w:ascii="Cambria Math" w:eastAsiaTheme="minorEastAsia" w:hAnsi="Cambria Math"/>
                      <w:color w:val="231F20"/>
                      <w:sz w:val="24"/>
                      <w:szCs w:val="24"/>
                    </w:rPr>
                    <m:t>δ</m:t>
                  </m:r>
                  <m:sSup>
                    <m:sSupPr>
                      <m:ctrlPr>
                        <w:rPr>
                          <w:rFonts w:ascii="Cambria Math" w:eastAsiaTheme="minorEastAsia" w:hAnsi="Cambria Math"/>
                          <w:color w:val="231F20"/>
                          <w:sz w:val="24"/>
                          <w:szCs w:val="24"/>
                        </w:rPr>
                      </m:ctrlPr>
                    </m:sSupPr>
                    <m:e>
                      <m:r>
                        <m:rPr>
                          <m:sty m:val="p"/>
                        </m:rPr>
                        <w:rPr>
                          <w:rFonts w:ascii="Cambria Math" w:eastAsiaTheme="minorEastAsia" w:hAnsi="Cambria Math"/>
                          <w:color w:val="231F20"/>
                          <w:sz w:val="24"/>
                          <w:szCs w:val="24"/>
                        </w:rPr>
                        <m:t>∥</m:t>
                      </m:r>
                    </m:e>
                    <m:sup>
                      <m:r>
                        <w:rPr>
                          <w:rFonts w:ascii="Cambria Math" w:eastAsiaTheme="minorEastAsia" w:hAnsi="Cambria Math"/>
                          <w:color w:val="231F20"/>
                          <w:sz w:val="24"/>
                          <w:szCs w:val="24"/>
                        </w:rPr>
                        <m:t>2</m:t>
                      </m:r>
                    </m:sup>
                  </m:sSup>
                </m:den>
              </m:f>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l</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P</m:t>
                  </m:r>
                </m:e>
                <m:sub>
                  <m:r>
                    <m:rPr>
                      <m:sty m:val="p"/>
                    </m:rPr>
                    <w:rPr>
                      <w:rFonts w:ascii="Cambria Math" w:eastAsiaTheme="minorEastAsia" w:hAnsi="Cambria Math"/>
                      <w:color w:val="231F20"/>
                      <w:sz w:val="24"/>
                      <w:szCs w:val="24"/>
                    </w:rPr>
                    <m:t>lim</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s</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P</m:t>
                  </m:r>
                </m:e>
                <m:sub>
                  <m:r>
                    <m:rPr>
                      <m:sty m:val="p"/>
                    </m:rPr>
                    <w:rPr>
                      <w:rFonts w:ascii="Cambria Math" w:eastAsiaTheme="minorEastAsia" w:hAnsi="Cambria Math"/>
                      <w:color w:val="231F20"/>
                      <w:sz w:val="24"/>
                      <w:szCs w:val="24"/>
                    </w:rPr>
                    <m:t>stab</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c</m:t>
                  </m:r>
                </m:sub>
              </m:sSub>
              <m:r>
                <m:rPr>
                  <m:sty m:val="p"/>
                </m:rPr>
                <w:rPr>
                  <w:rFonts w:ascii="Cambria Math" w:eastAsiaTheme="minorEastAsia" w:hAnsi="Cambria Math"/>
                  <w:color w:val="231F20"/>
                  <w:sz w:val="24"/>
                  <w:szCs w:val="24"/>
                </w:rPr>
                <m:t>∑</m:t>
              </m:r>
              <m:sSub>
                <m:sSubPr>
                  <m:ctrlPr>
                    <w:rPr>
                      <w:rFonts w:ascii="Cambria Math" w:eastAsiaTheme="minorEastAsia" w:hAnsi="Cambria Math"/>
                      <w:color w:val="231F20"/>
                      <w:sz w:val="24"/>
                      <w:szCs w:val="24"/>
                    </w:rPr>
                  </m:ctrlPr>
                </m:sSubPr>
                <m:e>
                  <m:r>
                    <w:rPr>
                      <w:rFonts w:ascii="Cambria Math" w:eastAsiaTheme="minorEastAsia" w:hAnsi="Cambria Math"/>
                      <w:color w:val="231F20"/>
                      <w:sz w:val="24"/>
                      <w:szCs w:val="24"/>
                    </w:rPr>
                    <m:t>P</m:t>
                  </m:r>
                </m:e>
                <m:sub>
                  <m:r>
                    <m:rPr>
                      <m:sty m:val="p"/>
                    </m:rPr>
                    <w:rPr>
                      <w:rFonts w:ascii="Cambria Math" w:eastAsiaTheme="minorEastAsia" w:hAnsi="Cambria Math"/>
                      <w:color w:val="231F20"/>
                      <w:sz w:val="24"/>
                      <w:szCs w:val="24"/>
                    </w:rPr>
                    <m:t>chg</m:t>
                  </m:r>
                </m:sub>
              </m:sSub>
              <m:r>
                <w:rPr>
                  <w:rFonts w:ascii="Cambria Math" w:eastAsiaTheme="minorEastAsia" w:hAnsi="Cambria Math"/>
                  <w:color w:val="231F20"/>
                  <w:sz w:val="24"/>
                  <w:szCs w:val="24"/>
                </w:rPr>
                <m:t>#</m:t>
              </m:r>
              <m:d>
                <m:dPr>
                  <m:ctrlPr>
                    <w:rPr>
                      <w:rFonts w:ascii="Cambria Math" w:eastAsiaTheme="minorEastAsia" w:hAnsi="Cambria Math"/>
                      <w:i/>
                      <w:color w:val="231F20"/>
                      <w:sz w:val="24"/>
                      <w:szCs w:val="24"/>
                    </w:rPr>
                  </m:ctrlPr>
                </m:dPr>
                <m:e>
                  <m:r>
                    <w:rPr>
                      <w:rFonts w:ascii="Cambria Math" w:eastAsiaTheme="minorEastAsia" w:hAnsi="Cambria Math"/>
                      <w:color w:val="231F20"/>
                      <w:sz w:val="24"/>
                      <w:szCs w:val="24"/>
                    </w:rPr>
                    <m:t>4</m:t>
                  </m:r>
                </m:e>
              </m:d>
            </m:e>
          </m:eqArr>
        </m:oMath>
      </m:oMathPara>
    </w:p>
    <w:p w14:paraId="6A3E0D3C" w14:textId="54997C03" w:rsidR="00F02C74" w:rsidRDefault="008D26D6" w:rsidP="00AD275A">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Only the first action of the optimal sequence is executed, and the same optimization is repeated after the object pose is updated. The loop stops when the pose error is below the prescribed threshold or the maximum number of decision steps is reached. The main simulation settings are as follows: motor reference range 0</w:t>
      </w:r>
      <w:r w:rsidR="006702EA">
        <w:rPr>
          <w:rFonts w:eastAsiaTheme="minorEastAsia"/>
          <w:color w:val="231F20"/>
          <w:sz w:val="24"/>
          <w:szCs w:val="24"/>
          <w:lang w:val="en-US"/>
        </w:rPr>
        <w:t>–</w:t>
      </w:r>
      <w:r w:rsidRPr="00AD275A">
        <w:rPr>
          <w:rFonts w:eastAsiaTheme="minorEastAsia"/>
          <w:color w:val="231F20"/>
          <w:sz w:val="24"/>
          <w:szCs w:val="24"/>
          <w:lang w:val="en-US"/>
        </w:rPr>
        <w:t>90°, initial reference</w:t>
      </w:r>
      <w:r w:rsidR="006702EA" w:rsidRPr="006702EA">
        <w:rPr>
          <w:rFonts w:eastAsiaTheme="minorEastAsia"/>
          <w:color w:val="231F20"/>
          <w:sz w:val="24"/>
          <w:szCs w:val="24"/>
          <w:lang w:val="en-US"/>
        </w:rPr>
        <w:t>.</w:t>
      </w:r>
      <w:r w:rsidRPr="00AD275A">
        <w:rPr>
          <w:rFonts w:eastAsiaTheme="minorEastAsia"/>
          <w:color w:val="231F20"/>
          <w:sz w:val="24"/>
          <w:szCs w:val="24"/>
          <w:lang w:val="en-US"/>
        </w:rPr>
        <w:t xml:space="preserve"> </w:t>
      </w:r>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45,45,45,45,45</m:t>
                </m:r>
              </m:e>
            </m:d>
          </m:e>
          <m:sup>
            <m:r>
              <w:rPr>
                <w:rFonts w:ascii="Cambria Math" w:eastAsiaTheme="minorEastAsia" w:hAnsi="Cambria Math"/>
                <w:color w:val="231F20"/>
                <w:sz w:val="24"/>
                <w:szCs w:val="24"/>
                <w:lang w:val="en-US"/>
              </w:rPr>
              <m:t>T</m:t>
            </m:r>
          </m:sup>
        </m:sSup>
      </m:oMath>
      <w:r w:rsidRPr="00AD275A">
        <w:rPr>
          <w:rFonts w:eastAsiaTheme="minorEastAsia"/>
          <w:color w:val="231F20"/>
          <w:sz w:val="24"/>
          <w:szCs w:val="24"/>
          <w:lang w:val="en-US"/>
        </w:rPr>
        <w:t xml:space="preserve">deg, prediction horizon </w:t>
      </w:r>
      <m:oMath>
        <m:r>
          <w:rPr>
            <w:rFonts w:ascii="Cambria Math" w:eastAsiaTheme="minorEastAsia" w:hAnsi="Cambria Math"/>
            <w:color w:val="231F20"/>
            <w:sz w:val="24"/>
            <w:szCs w:val="24"/>
            <w:lang w:val="en-US"/>
          </w:rPr>
          <m:t>H</m:t>
        </m:r>
        <m:r>
          <w:rPr>
            <w:rFonts w:ascii="Cambria Math" w:eastAsiaTheme="minorEastAsia" w:hAnsi="Cambria Math"/>
            <w:color w:val="231F20"/>
            <w:sz w:val="24"/>
            <w:szCs w:val="24"/>
            <w:lang w:val="en-US"/>
          </w:rPr>
          <m:t>=3</m:t>
        </m:r>
      </m:oMath>
      <w:r w:rsidRPr="00AD275A">
        <w:rPr>
          <w:rFonts w:eastAsiaTheme="minorEastAsia"/>
          <w:color w:val="231F20"/>
          <w:sz w:val="24"/>
          <w:szCs w:val="24"/>
          <w:lang w:val="en-US"/>
        </w:rPr>
        <w:t xml:space="preserve">, maximum step number 50, maximum action-effect error 0.1, measurement noise standard deviation 0.1°, and 20 repeated trials for each target. The stopping threshold is 1.0° for the single-axis task and 1.5° for the two-dimensional task. The weights are </w:t>
      </w:r>
      <m:oMath>
        <m:sSub>
          <m:sSubPr>
            <m:ctrlPr>
              <w:rPr>
                <w:rFonts w:ascii="Cambria Math" w:eastAsiaTheme="minorEastAsia" w:hAnsi="Cambria Math"/>
                <w:i/>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lang w:val="en-US"/>
              </w:rPr>
              <m:t>e</m:t>
            </m:r>
          </m:sub>
        </m:sSub>
        <m:r>
          <w:rPr>
            <w:rFonts w:ascii="Cambria Math" w:eastAsiaTheme="minorEastAsia" w:hAnsi="Cambria Math"/>
            <w:color w:val="231F20"/>
            <w:sz w:val="24"/>
            <w:szCs w:val="24"/>
            <w:lang w:val="en-US"/>
          </w:rPr>
          <m:t>=1.0</m:t>
        </m:r>
      </m:oMath>
      <w:r w:rsidRPr="00AD275A">
        <w:rPr>
          <w:rFonts w:eastAsiaTheme="minorEastAsia"/>
          <w:color w:val="231F20"/>
          <w:sz w:val="24"/>
          <w:szCs w:val="24"/>
          <w:lang w:val="en-US"/>
        </w:rPr>
        <w:t xml:space="preserve">, </w:t>
      </w:r>
      <m:oMath>
        <m:sSub>
          <m:sSubPr>
            <m:ctrlPr>
              <w:rPr>
                <w:rFonts w:ascii="Cambria Math" w:eastAsiaTheme="minorEastAsia" w:hAnsi="Cambria Math"/>
                <w:i/>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rPr>
              <m:t>θ</m:t>
            </m:r>
          </m:sub>
        </m:sSub>
        <m:r>
          <w:rPr>
            <w:rFonts w:ascii="Cambria Math" w:eastAsiaTheme="minorEastAsia" w:hAnsi="Cambria Math"/>
            <w:color w:val="231F20"/>
            <w:sz w:val="24"/>
            <w:szCs w:val="24"/>
            <w:lang w:val="en-US"/>
          </w:rPr>
          <m:t>=0.05</m:t>
        </m:r>
      </m:oMath>
      <w:r w:rsidRPr="00AD275A">
        <w:rPr>
          <w:rFonts w:eastAsiaTheme="minorEastAsia"/>
          <w:color w:val="231F20"/>
          <w:sz w:val="24"/>
          <w:szCs w:val="24"/>
          <w:lang w:val="en-US"/>
        </w:rPr>
        <w:t xml:space="preserve">, </w:t>
      </w:r>
      <m:oMath>
        <m:sSub>
          <m:sSubPr>
            <m:ctrlPr>
              <w:rPr>
                <w:rFonts w:ascii="Cambria Math" w:eastAsiaTheme="minorEastAsia" w:hAnsi="Cambria Math"/>
                <w:i/>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lang w:val="en-US"/>
              </w:rPr>
              <m:t>l</m:t>
            </m:r>
          </m:sub>
        </m:sSub>
        <m:r>
          <w:rPr>
            <w:rFonts w:ascii="Cambria Math" w:eastAsiaTheme="minorEastAsia" w:hAnsi="Cambria Math"/>
            <w:color w:val="231F20"/>
            <w:sz w:val="24"/>
            <w:szCs w:val="24"/>
            <w:lang w:val="en-US"/>
          </w:rPr>
          <m:t>=50</m:t>
        </m:r>
      </m:oMath>
      <w:r w:rsidRPr="00AD275A">
        <w:rPr>
          <w:rFonts w:eastAsiaTheme="minorEastAsia"/>
          <w:color w:val="231F20"/>
          <w:sz w:val="24"/>
          <w:szCs w:val="24"/>
          <w:lang w:val="en-US"/>
        </w:rPr>
        <w:t xml:space="preserve">, </w:t>
      </w:r>
      <m:oMath>
        <m:sSub>
          <m:sSubPr>
            <m:ctrlPr>
              <w:rPr>
                <w:rFonts w:ascii="Cambria Math" w:eastAsiaTheme="minorEastAsia" w:hAnsi="Cambria Math"/>
                <w:i/>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lang w:val="en-US"/>
              </w:rPr>
              <m:t>s</m:t>
            </m:r>
          </m:sub>
        </m:sSub>
        <m:r>
          <w:rPr>
            <w:rFonts w:ascii="Cambria Math" w:eastAsiaTheme="minorEastAsia" w:hAnsi="Cambria Math"/>
            <w:color w:val="231F20"/>
            <w:sz w:val="24"/>
            <w:szCs w:val="24"/>
            <w:lang w:val="en-US"/>
          </w:rPr>
          <m:t>=10</m:t>
        </m:r>
      </m:oMath>
      <w:r w:rsidRPr="00AD275A">
        <w:rPr>
          <w:rFonts w:eastAsiaTheme="minorEastAsia"/>
          <w:color w:val="231F20"/>
          <w:sz w:val="24"/>
          <w:szCs w:val="24"/>
          <w:lang w:val="en-US"/>
        </w:rPr>
        <w:t xml:space="preserve">, and </w:t>
      </w:r>
      <m:oMath>
        <m:sSub>
          <m:sSubPr>
            <m:ctrlPr>
              <w:rPr>
                <w:rFonts w:ascii="Cambria Math" w:eastAsiaTheme="minorEastAsia" w:hAnsi="Cambria Math"/>
                <w:i/>
                <w:color w:val="231F20"/>
                <w:sz w:val="24"/>
                <w:szCs w:val="24"/>
              </w:rPr>
            </m:ctrlPr>
          </m:sSubPr>
          <m:e>
            <m:r>
              <w:rPr>
                <w:rFonts w:ascii="Cambria Math" w:eastAsiaTheme="minorEastAsia" w:hAnsi="Cambria Math"/>
                <w:color w:val="231F20"/>
                <w:sz w:val="24"/>
                <w:szCs w:val="24"/>
              </w:rPr>
              <m:t>λ</m:t>
            </m:r>
          </m:e>
          <m:sub>
            <m:r>
              <w:rPr>
                <w:rFonts w:ascii="Cambria Math" w:eastAsiaTheme="minorEastAsia" w:hAnsi="Cambria Math"/>
                <w:color w:val="231F20"/>
                <w:sz w:val="24"/>
                <w:szCs w:val="24"/>
                <w:lang w:val="en-US"/>
              </w:rPr>
              <m:t>c</m:t>
            </m:r>
          </m:sub>
        </m:sSub>
      </m:oMath>
      <w:r w:rsidRPr="00AD275A">
        <w:rPr>
          <w:rFonts w:eastAsiaTheme="minorEastAsia"/>
          <w:color w:val="231F20"/>
          <w:sz w:val="24"/>
          <w:szCs w:val="24"/>
          <w:lang w:val="en-US"/>
        </w:rPr>
        <w:t>=0.1. Reported metrics include final error, average error, adjustment steps, action energy, and successful trials.</w:t>
      </w:r>
    </w:p>
    <w:p w14:paraId="7E5B7ABD" w14:textId="77777777" w:rsidR="006702EA" w:rsidRPr="00AD275A" w:rsidRDefault="006702EA" w:rsidP="00AD275A">
      <w:pPr>
        <w:pStyle w:val="BodyText"/>
        <w:snapToGrid w:val="0"/>
        <w:ind w:left="110" w:right="106" w:firstLine="400"/>
        <w:jc w:val="both"/>
        <w:rPr>
          <w:rFonts w:eastAsiaTheme="minorEastAsia"/>
          <w:color w:val="231F20"/>
          <w:sz w:val="24"/>
          <w:szCs w:val="24"/>
          <w:lang w:val="en-US"/>
        </w:rPr>
      </w:pPr>
    </w:p>
    <w:p w14:paraId="6A3E0D3D" w14:textId="1F376E83" w:rsidR="00F02C74" w:rsidRPr="00AD275A" w:rsidRDefault="008D26D6" w:rsidP="00AD275A">
      <w:pPr>
        <w:pStyle w:val="Heading1"/>
        <w:tabs>
          <w:tab w:val="left" w:pos="391"/>
        </w:tabs>
        <w:snapToGrid w:val="0"/>
        <w:ind w:hanging="390"/>
        <w:rPr>
          <w:color w:val="231F20"/>
          <w:spacing w:val="-6"/>
          <w:sz w:val="24"/>
          <w:szCs w:val="24"/>
          <w:lang w:val="en-US"/>
        </w:rPr>
      </w:pPr>
      <w:r w:rsidRPr="00AD275A">
        <w:rPr>
          <w:color w:val="231F20"/>
          <w:spacing w:val="-6"/>
          <w:sz w:val="24"/>
          <w:szCs w:val="24"/>
          <w:lang w:val="en-US"/>
        </w:rPr>
        <w:t>3.</w:t>
      </w:r>
      <w:r w:rsidRPr="00AD275A">
        <w:rPr>
          <w:rFonts w:hint="eastAsia"/>
          <w:color w:val="231F20"/>
          <w:spacing w:val="-6"/>
          <w:sz w:val="24"/>
          <w:szCs w:val="24"/>
          <w:lang w:val="en-US"/>
        </w:rPr>
        <w:t xml:space="preserve"> </w:t>
      </w:r>
      <w:r w:rsidRPr="00AD275A">
        <w:rPr>
          <w:color w:val="231F20"/>
          <w:spacing w:val="-6"/>
          <w:sz w:val="24"/>
          <w:szCs w:val="24"/>
          <w:lang w:val="en-US"/>
        </w:rPr>
        <w:t xml:space="preserve">Simulation </w:t>
      </w:r>
      <w:r w:rsidR="00FD5748">
        <w:rPr>
          <w:color w:val="231F20"/>
          <w:spacing w:val="-6"/>
          <w:sz w:val="24"/>
          <w:szCs w:val="24"/>
          <w:lang w:val="en-US"/>
        </w:rPr>
        <w:t>r</w:t>
      </w:r>
      <w:r w:rsidR="00FD5748" w:rsidRPr="00AD275A">
        <w:rPr>
          <w:color w:val="231F20"/>
          <w:spacing w:val="-6"/>
          <w:sz w:val="24"/>
          <w:szCs w:val="24"/>
          <w:lang w:val="en-US"/>
        </w:rPr>
        <w:t>esults</w:t>
      </w:r>
    </w:p>
    <w:p w14:paraId="6A3E0D3E" w14:textId="3D5FFD30" w:rsidR="00F02C74" w:rsidRPr="00AD275A" w:rsidRDefault="008D26D6" w:rsidP="00AD275A">
      <w:pPr>
        <w:pStyle w:val="Heading2"/>
        <w:numPr>
          <w:ilvl w:val="1"/>
          <w:numId w:val="0"/>
        </w:numPr>
        <w:tabs>
          <w:tab w:val="left" w:pos="284"/>
        </w:tabs>
        <w:snapToGrid w:val="0"/>
        <w:spacing w:before="0"/>
        <w:ind w:left="284" w:hanging="284"/>
        <w:rPr>
          <w:lang w:val="en-US"/>
        </w:rPr>
      </w:pPr>
      <w:r w:rsidRPr="00AD275A">
        <w:rPr>
          <w:rFonts w:eastAsiaTheme="minorEastAsia" w:hint="eastAsia"/>
          <w:color w:val="231F20"/>
          <w:spacing w:val="-5"/>
          <w:lang w:val="en-US"/>
        </w:rPr>
        <w:t>3.1</w:t>
      </w:r>
      <w:r w:rsidR="00FD5748">
        <w:rPr>
          <w:rFonts w:eastAsiaTheme="minorEastAsia"/>
          <w:color w:val="231F20"/>
          <w:spacing w:val="-5"/>
          <w:lang w:val="en-US"/>
        </w:rPr>
        <w:t>.</w:t>
      </w:r>
      <w:r w:rsidRPr="00AD275A">
        <w:rPr>
          <w:rFonts w:eastAsiaTheme="minorEastAsia" w:hint="eastAsia"/>
          <w:color w:val="231F20"/>
          <w:spacing w:val="-5"/>
          <w:lang w:val="en-US"/>
        </w:rPr>
        <w:t xml:space="preserve"> </w:t>
      </w:r>
      <w:r w:rsidRPr="00AD275A">
        <w:rPr>
          <w:color w:val="231F20"/>
          <w:lang w:val="en-US"/>
        </w:rPr>
        <w:t>Single</w:t>
      </w:r>
      <w:r w:rsidR="00FD5748" w:rsidRPr="00FD5748">
        <w:rPr>
          <w:color w:val="231F20"/>
          <w:lang w:val="en-US"/>
        </w:rPr>
        <w:t>-axis pose adjustment</w:t>
      </w:r>
    </w:p>
    <w:p w14:paraId="6A3E0D3F" w14:textId="77777777" w:rsidR="00F02C74" w:rsidRDefault="008D26D6" w:rsidP="00FD5748">
      <w:pPr>
        <w:pStyle w:val="BodyText"/>
        <w:snapToGrid w:val="0"/>
        <w:jc w:val="both"/>
        <w:rPr>
          <w:rFonts w:eastAsiaTheme="minorEastAsia"/>
          <w:color w:val="231F20"/>
          <w:sz w:val="24"/>
          <w:szCs w:val="24"/>
          <w:lang w:val="en-US"/>
        </w:rPr>
      </w:pPr>
      <w:r w:rsidRPr="00AD275A">
        <w:rPr>
          <w:rFonts w:eastAsiaTheme="minorEastAsia"/>
          <w:color w:val="231F20"/>
          <w:sz w:val="24"/>
          <w:szCs w:val="24"/>
          <w:lang w:val="en-US"/>
        </w:rPr>
        <w:t xml:space="preserve">The first simulation evaluates single-axis pose adjustment. The object is initially placed at zero tilt, and the target tilt angle is selected from 10°, 15°, 20°, -10°, -15°, and -20°. </w:t>
      </w:r>
      <w:r w:rsidRPr="00AD275A">
        <w:rPr>
          <w:rFonts w:eastAsiaTheme="minorEastAsia"/>
          <w:b/>
          <w:bCs/>
          <w:color w:val="231F20"/>
          <w:sz w:val="24"/>
          <w:szCs w:val="24"/>
        </w:rPr>
        <w:t>Figure 1</w:t>
      </w:r>
      <w:r w:rsidRPr="00AD275A">
        <w:rPr>
          <w:rFonts w:eastAsiaTheme="minorEastAsia"/>
          <w:color w:val="231F20"/>
          <w:sz w:val="24"/>
          <w:szCs w:val="24"/>
        </w:rPr>
        <w:t xml:space="preserve"> shows a representative result for the 20° target</w:t>
      </w:r>
      <w:r w:rsidRPr="00AD275A">
        <w:rPr>
          <w:rFonts w:eastAsiaTheme="minorEastAsia"/>
          <w:color w:val="231F20"/>
          <w:sz w:val="24"/>
          <w:szCs w:val="24"/>
          <w:lang w:val="en-US"/>
        </w:rPr>
        <w:t>.</w:t>
      </w:r>
    </w:p>
    <w:p w14:paraId="303103B0" w14:textId="77777777" w:rsidR="007C634D" w:rsidRPr="00AD275A" w:rsidRDefault="007C634D" w:rsidP="00AD275A">
      <w:pPr>
        <w:pStyle w:val="BodyText"/>
        <w:snapToGrid w:val="0"/>
        <w:jc w:val="both"/>
        <w:rPr>
          <w:rFonts w:eastAsiaTheme="minorEastAsia"/>
          <w:color w:val="231F20"/>
          <w:sz w:val="24"/>
          <w:szCs w:val="24"/>
          <w:lang w:val="en-US"/>
        </w:rPr>
      </w:pPr>
    </w:p>
    <w:p w14:paraId="6A3E0D40" w14:textId="77777777" w:rsidR="00F02C74" w:rsidRPr="00AD275A" w:rsidRDefault="008D26D6" w:rsidP="00AD275A">
      <w:pPr>
        <w:pStyle w:val="BodyText"/>
        <w:snapToGrid w:val="0"/>
        <w:ind w:left="108"/>
        <w:jc w:val="center"/>
        <w:rPr>
          <w:rFonts w:eastAsiaTheme="minorEastAsia"/>
          <w:color w:val="231F20"/>
          <w:sz w:val="24"/>
          <w:szCs w:val="24"/>
          <w:lang w:val="en-US"/>
        </w:rPr>
      </w:pPr>
      <w:r w:rsidRPr="00AD275A">
        <w:rPr>
          <w:rFonts w:eastAsiaTheme="minorEastAsia"/>
          <w:noProof/>
          <w:color w:val="231F20"/>
          <w:sz w:val="24"/>
          <w:szCs w:val="24"/>
          <w:lang w:val="en-US"/>
        </w:rPr>
        <w:drawing>
          <wp:inline distT="0" distB="0" distL="0" distR="0" wp14:anchorId="6A3E0DB0" wp14:editId="6A3E0DB1">
            <wp:extent cx="3495040" cy="3015615"/>
            <wp:effectExtent l="0" t="0" r="0" b="0"/>
            <wp:docPr id="39975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5209"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5600" cy="3016124"/>
                    </a:xfrm>
                    <a:prstGeom prst="rect">
                      <a:avLst/>
                    </a:prstGeom>
                  </pic:spPr>
                </pic:pic>
              </a:graphicData>
            </a:graphic>
          </wp:inline>
        </w:drawing>
      </w:r>
    </w:p>
    <w:p w14:paraId="6A3E0D41" w14:textId="2C974EE3" w:rsidR="00F02C74" w:rsidRPr="00AD275A" w:rsidRDefault="008D26D6" w:rsidP="009155F0">
      <w:pPr>
        <w:pStyle w:val="BodyText"/>
        <w:snapToGrid w:val="0"/>
        <w:ind w:left="108"/>
        <w:jc w:val="center"/>
        <w:rPr>
          <w:lang w:val="en-US"/>
        </w:rPr>
      </w:pPr>
      <w:r w:rsidRPr="00AD275A">
        <w:rPr>
          <w:rFonts w:eastAsiaTheme="minorEastAsia"/>
          <w:b/>
          <w:bCs/>
          <w:color w:val="231F20"/>
          <w:lang w:val="en-US"/>
        </w:rPr>
        <w:t>Figure 1</w:t>
      </w:r>
      <w:r w:rsidR="007C634D">
        <w:rPr>
          <w:rFonts w:eastAsiaTheme="minorEastAsia"/>
          <w:b/>
          <w:bCs/>
          <w:color w:val="231F20"/>
          <w:lang w:val="en-US"/>
        </w:rPr>
        <w:t>.</w:t>
      </w:r>
      <w:r w:rsidRPr="00AD275A">
        <w:rPr>
          <w:rFonts w:eastAsiaTheme="minorEastAsia"/>
          <w:b/>
          <w:bCs/>
          <w:color w:val="231F20"/>
          <w:lang w:val="en-US"/>
        </w:rPr>
        <w:t xml:space="preserve"> </w:t>
      </w:r>
      <w:r w:rsidRPr="00AD275A">
        <w:rPr>
          <w:lang w:val="en-US"/>
        </w:rPr>
        <w:t>Single-axis pose adjustment result for the 20° target. (A) Object tilt angle. (B) Pose error. (C) Motor reference angles. (D) Selected action sequence.</w:t>
      </w:r>
    </w:p>
    <w:p w14:paraId="43599FE5" w14:textId="77777777" w:rsidR="007C634D" w:rsidRPr="00AD275A" w:rsidRDefault="007C634D" w:rsidP="00AD275A">
      <w:pPr>
        <w:pStyle w:val="BodyText"/>
        <w:snapToGrid w:val="0"/>
        <w:ind w:left="108"/>
        <w:jc w:val="center"/>
        <w:rPr>
          <w:rFonts w:eastAsiaTheme="minorEastAsia"/>
          <w:b/>
          <w:bCs/>
          <w:color w:val="231F20"/>
          <w:sz w:val="24"/>
          <w:szCs w:val="24"/>
          <w:lang w:val="en-US"/>
        </w:rPr>
      </w:pPr>
    </w:p>
    <w:p w14:paraId="6A3E0D42" w14:textId="77777777" w:rsidR="00F02C74" w:rsidRDefault="008D26D6" w:rsidP="00AD275A">
      <w:pPr>
        <w:pStyle w:val="BodyText"/>
        <w:snapToGrid w:val="0"/>
        <w:ind w:firstLine="400"/>
        <w:jc w:val="both"/>
        <w:rPr>
          <w:rFonts w:eastAsiaTheme="minorEastAsia"/>
          <w:color w:val="231F20"/>
          <w:sz w:val="24"/>
          <w:szCs w:val="24"/>
          <w:lang w:val="en-US"/>
        </w:rPr>
      </w:pPr>
      <w:r w:rsidRPr="00AD275A">
        <w:rPr>
          <w:rFonts w:eastAsiaTheme="minorEastAsia"/>
          <w:color w:val="231F20"/>
          <w:sz w:val="24"/>
          <w:szCs w:val="24"/>
          <w:lang w:val="en-US"/>
        </w:rPr>
        <w:t xml:space="preserve">As shown in </w:t>
      </w:r>
      <w:r w:rsidRPr="00AD275A">
        <w:rPr>
          <w:rFonts w:eastAsiaTheme="minorEastAsia"/>
          <w:b/>
          <w:bCs/>
          <w:color w:val="231F20"/>
          <w:sz w:val="24"/>
          <w:szCs w:val="24"/>
          <w:lang w:val="en-US"/>
        </w:rPr>
        <w:t>Figure 1</w:t>
      </w:r>
      <w:r w:rsidRPr="00AD275A">
        <w:rPr>
          <w:rFonts w:eastAsiaTheme="minorEastAsia"/>
          <w:color w:val="231F20"/>
          <w:sz w:val="24"/>
          <w:szCs w:val="24"/>
          <w:lang w:val="en-US"/>
        </w:rPr>
        <w:t xml:space="preserve">, the object tilt angle gradually approaches the target and the pose error </w:t>
      </w:r>
      <w:r w:rsidRPr="00AD275A">
        <w:rPr>
          <w:rFonts w:eastAsiaTheme="minorEastAsia"/>
          <w:color w:val="231F20"/>
          <w:sz w:val="24"/>
          <w:szCs w:val="24"/>
          <w:lang w:val="en-US"/>
        </w:rPr>
        <w:lastRenderedPageBreak/>
        <w:t xml:space="preserve">decreases to the target neighborhood. The motor reference angles remain within the allowable range, indicating that the generated commands satisfy the actuation constraints. </w:t>
      </w:r>
      <w:r w:rsidRPr="00AD275A">
        <w:rPr>
          <w:rFonts w:eastAsiaTheme="minorEastAsia"/>
          <w:b/>
          <w:bCs/>
          <w:color w:val="231F20"/>
          <w:sz w:val="24"/>
          <w:szCs w:val="24"/>
          <w:lang w:val="en-US"/>
        </w:rPr>
        <w:t>Table 2</w:t>
      </w:r>
      <w:r w:rsidRPr="00AD275A">
        <w:rPr>
          <w:rFonts w:eastAsiaTheme="minorEastAsia"/>
          <w:color w:val="231F20"/>
          <w:sz w:val="24"/>
          <w:szCs w:val="24"/>
          <w:lang w:val="en-US"/>
        </w:rPr>
        <w:t xml:space="preserve"> summarizes the results over all single-axis targets. All repeated trials reached the prescribed stopping threshold, and the mean final error remained below 0.64° for all targets.</w:t>
      </w:r>
    </w:p>
    <w:p w14:paraId="260FE416" w14:textId="77777777" w:rsidR="007C634D" w:rsidRPr="00AD275A" w:rsidRDefault="007C634D" w:rsidP="00AD275A">
      <w:pPr>
        <w:pStyle w:val="BodyText"/>
        <w:snapToGrid w:val="0"/>
        <w:ind w:left="110" w:firstLine="400"/>
        <w:jc w:val="both"/>
        <w:rPr>
          <w:rFonts w:eastAsiaTheme="minorEastAsia"/>
          <w:color w:val="231F20"/>
          <w:sz w:val="24"/>
          <w:szCs w:val="24"/>
          <w:lang w:val="en-US"/>
        </w:rPr>
      </w:pPr>
    </w:p>
    <w:p w14:paraId="6A3E0D43" w14:textId="77777777" w:rsidR="00F02C74" w:rsidRPr="00AD275A" w:rsidRDefault="008D26D6" w:rsidP="00AD275A">
      <w:pPr>
        <w:pStyle w:val="BodyText"/>
        <w:snapToGrid w:val="0"/>
        <w:ind w:left="108"/>
        <w:jc w:val="both"/>
        <w:rPr>
          <w:rFonts w:eastAsiaTheme="minorEastAsia"/>
          <w:b/>
          <w:bCs/>
          <w:color w:val="231F20"/>
          <w:sz w:val="24"/>
          <w:szCs w:val="24"/>
          <w:lang w:val="en-US"/>
        </w:rPr>
      </w:pPr>
      <w:r w:rsidRPr="00AD275A">
        <w:rPr>
          <w:rFonts w:eastAsiaTheme="minorEastAsia"/>
          <w:b/>
          <w:bCs/>
          <w:color w:val="231F20"/>
          <w:sz w:val="24"/>
          <w:szCs w:val="24"/>
          <w:lang w:val="en-US"/>
        </w:rPr>
        <w:t xml:space="preserve">Table </w:t>
      </w:r>
      <w:r w:rsidRPr="00AD275A">
        <w:rPr>
          <w:rFonts w:eastAsiaTheme="minorEastAsia" w:hint="eastAsia"/>
          <w:b/>
          <w:bCs/>
          <w:color w:val="231F20"/>
          <w:sz w:val="24"/>
          <w:szCs w:val="24"/>
          <w:lang w:val="en-US"/>
        </w:rPr>
        <w:t>2</w:t>
      </w:r>
      <w:r w:rsidRPr="00AD275A">
        <w:rPr>
          <w:rFonts w:eastAsiaTheme="minorEastAsia"/>
          <w:b/>
          <w:bCs/>
          <w:color w:val="231F20"/>
          <w:sz w:val="24"/>
          <w:szCs w:val="24"/>
          <w:lang w:val="en-US"/>
        </w:rPr>
        <w:t xml:space="preserve">. </w:t>
      </w:r>
      <w:r w:rsidRPr="00AD275A">
        <w:rPr>
          <w:rFonts w:eastAsiaTheme="minorEastAsia"/>
          <w:color w:val="231F20"/>
          <w:sz w:val="24"/>
          <w:szCs w:val="24"/>
          <w:lang w:val="en-US"/>
        </w:rPr>
        <w:t>Single-axis pose adjustment results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71"/>
        <w:gridCol w:w="2186"/>
        <w:gridCol w:w="2186"/>
        <w:gridCol w:w="2186"/>
        <w:gridCol w:w="1853"/>
      </w:tblGrid>
      <w:tr w:rsidR="00F02C74" w:rsidRPr="00AD275A" w14:paraId="6A3E0D49" w14:textId="77777777" w:rsidTr="00AD275A">
        <w:trPr>
          <w:jc w:val="center"/>
        </w:trPr>
        <w:tc>
          <w:tcPr>
            <w:tcW w:w="787" w:type="pct"/>
            <w:tcBorders>
              <w:top w:val="single" w:sz="4" w:space="0" w:color="auto"/>
              <w:bottom w:val="single" w:sz="4" w:space="0" w:color="auto"/>
            </w:tcBorders>
            <w:vAlign w:val="center"/>
          </w:tcPr>
          <w:p w14:paraId="6A3E0D44" w14:textId="77777777" w:rsidR="00F02C74" w:rsidRPr="00AD275A" w:rsidRDefault="008D26D6" w:rsidP="00AD275A">
            <w:pPr>
              <w:pStyle w:val="BodyText"/>
              <w:snapToGrid w:val="0"/>
              <w:ind w:left="108" w:right="108"/>
              <w:rPr>
                <w:rFonts w:eastAsiaTheme="minorEastAsia"/>
                <w:b/>
                <w:bCs/>
                <w:color w:val="231F20"/>
                <w:sz w:val="24"/>
                <w:szCs w:val="24"/>
                <w:lang w:val="en-US"/>
              </w:rPr>
            </w:pPr>
            <w:r w:rsidRPr="00AD275A">
              <w:rPr>
                <w:rFonts w:eastAsiaTheme="minorEastAsia"/>
                <w:b/>
                <w:bCs/>
                <w:color w:val="231F20"/>
                <w:sz w:val="24"/>
                <w:szCs w:val="24"/>
                <w:lang w:val="en-US"/>
              </w:rPr>
              <w:t>Target (°)</w:t>
            </w:r>
          </w:p>
        </w:tc>
        <w:tc>
          <w:tcPr>
            <w:tcW w:w="1095" w:type="pct"/>
            <w:tcBorders>
              <w:top w:val="single" w:sz="4" w:space="0" w:color="auto"/>
              <w:bottom w:val="single" w:sz="4" w:space="0" w:color="auto"/>
            </w:tcBorders>
            <w:vAlign w:val="center"/>
          </w:tcPr>
          <w:p w14:paraId="6A3E0D45"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Final error (°)</w:t>
            </w:r>
          </w:p>
        </w:tc>
        <w:tc>
          <w:tcPr>
            <w:tcW w:w="1095" w:type="pct"/>
            <w:tcBorders>
              <w:top w:val="single" w:sz="4" w:space="0" w:color="auto"/>
              <w:bottom w:val="single" w:sz="4" w:space="0" w:color="auto"/>
            </w:tcBorders>
            <w:vAlign w:val="center"/>
          </w:tcPr>
          <w:p w14:paraId="6A3E0D46"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Average error (°)</w:t>
            </w:r>
          </w:p>
        </w:tc>
        <w:tc>
          <w:tcPr>
            <w:tcW w:w="1095" w:type="pct"/>
            <w:tcBorders>
              <w:top w:val="single" w:sz="4" w:space="0" w:color="auto"/>
              <w:bottom w:val="single" w:sz="4" w:space="0" w:color="auto"/>
            </w:tcBorders>
            <w:vAlign w:val="center"/>
          </w:tcPr>
          <w:p w14:paraId="6A3E0D47"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Steps</w:t>
            </w:r>
          </w:p>
        </w:tc>
        <w:tc>
          <w:tcPr>
            <w:tcW w:w="928" w:type="pct"/>
            <w:tcBorders>
              <w:top w:val="single" w:sz="4" w:space="0" w:color="auto"/>
              <w:bottom w:val="single" w:sz="4" w:space="0" w:color="auto"/>
            </w:tcBorders>
            <w:vAlign w:val="center"/>
          </w:tcPr>
          <w:p w14:paraId="6A3E0D48"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Action energy</w:t>
            </w:r>
          </w:p>
        </w:tc>
      </w:tr>
      <w:tr w:rsidR="00F02C74" w:rsidRPr="00AD275A" w14:paraId="6A3E0D4F" w14:textId="77777777" w:rsidTr="00AD275A">
        <w:trPr>
          <w:jc w:val="center"/>
        </w:trPr>
        <w:tc>
          <w:tcPr>
            <w:tcW w:w="787" w:type="pct"/>
            <w:tcBorders>
              <w:top w:val="single" w:sz="4" w:space="0" w:color="auto"/>
            </w:tcBorders>
            <w:vAlign w:val="center"/>
          </w:tcPr>
          <w:p w14:paraId="6A3E0D4A"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10</w:t>
            </w:r>
          </w:p>
        </w:tc>
        <w:tc>
          <w:tcPr>
            <w:tcW w:w="1095" w:type="pct"/>
            <w:tcBorders>
              <w:top w:val="single" w:sz="4" w:space="0" w:color="auto"/>
            </w:tcBorders>
            <w:vAlign w:val="center"/>
          </w:tcPr>
          <w:p w14:paraId="6A3E0D4B"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0.50</w:t>
            </w:r>
          </w:p>
        </w:tc>
        <w:tc>
          <w:tcPr>
            <w:tcW w:w="1095" w:type="pct"/>
            <w:tcBorders>
              <w:top w:val="single" w:sz="4" w:space="0" w:color="auto"/>
            </w:tcBorders>
            <w:vAlign w:val="center"/>
          </w:tcPr>
          <w:p w14:paraId="6A3E0D4C"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5.24</w:t>
            </w:r>
          </w:p>
        </w:tc>
        <w:tc>
          <w:tcPr>
            <w:tcW w:w="1095" w:type="pct"/>
            <w:tcBorders>
              <w:top w:val="single" w:sz="4" w:space="0" w:color="auto"/>
            </w:tcBorders>
            <w:vAlign w:val="center"/>
          </w:tcPr>
          <w:p w14:paraId="6A3E0D4D"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7.35</w:t>
            </w:r>
          </w:p>
        </w:tc>
        <w:tc>
          <w:tcPr>
            <w:tcW w:w="928" w:type="pct"/>
            <w:tcBorders>
              <w:top w:val="single" w:sz="4" w:space="0" w:color="auto"/>
            </w:tcBorders>
            <w:vAlign w:val="center"/>
          </w:tcPr>
          <w:p w14:paraId="6A3E0D4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14.60</w:t>
            </w:r>
          </w:p>
        </w:tc>
      </w:tr>
      <w:tr w:rsidR="00F02C74" w:rsidRPr="00AD275A" w14:paraId="6A3E0D55" w14:textId="77777777" w:rsidTr="00AD275A">
        <w:trPr>
          <w:jc w:val="center"/>
        </w:trPr>
        <w:tc>
          <w:tcPr>
            <w:tcW w:w="787" w:type="pct"/>
            <w:vAlign w:val="center"/>
          </w:tcPr>
          <w:p w14:paraId="6A3E0D50"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15</w:t>
            </w:r>
          </w:p>
        </w:tc>
        <w:tc>
          <w:tcPr>
            <w:tcW w:w="1095" w:type="pct"/>
            <w:vAlign w:val="center"/>
          </w:tcPr>
          <w:p w14:paraId="6A3E0D51"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0.43</w:t>
            </w:r>
          </w:p>
        </w:tc>
        <w:tc>
          <w:tcPr>
            <w:tcW w:w="1095" w:type="pct"/>
            <w:vAlign w:val="center"/>
          </w:tcPr>
          <w:p w14:paraId="6A3E0D52"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7.69</w:t>
            </w:r>
          </w:p>
        </w:tc>
        <w:tc>
          <w:tcPr>
            <w:tcW w:w="1095" w:type="pct"/>
            <w:vAlign w:val="center"/>
          </w:tcPr>
          <w:p w14:paraId="6A3E0D5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11.25</w:t>
            </w:r>
          </w:p>
        </w:tc>
        <w:tc>
          <w:tcPr>
            <w:tcW w:w="928" w:type="pct"/>
            <w:vAlign w:val="center"/>
          </w:tcPr>
          <w:p w14:paraId="6A3E0D5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22.30</w:t>
            </w:r>
          </w:p>
        </w:tc>
      </w:tr>
      <w:tr w:rsidR="00F02C74" w:rsidRPr="00AD275A" w14:paraId="6A3E0D5B" w14:textId="77777777" w:rsidTr="00AD275A">
        <w:trPr>
          <w:jc w:val="center"/>
        </w:trPr>
        <w:tc>
          <w:tcPr>
            <w:tcW w:w="787" w:type="pct"/>
            <w:vAlign w:val="center"/>
          </w:tcPr>
          <w:p w14:paraId="6A3E0D56"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20</w:t>
            </w:r>
          </w:p>
        </w:tc>
        <w:tc>
          <w:tcPr>
            <w:tcW w:w="1095" w:type="pct"/>
            <w:vAlign w:val="center"/>
          </w:tcPr>
          <w:p w14:paraId="6A3E0D57"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0.63</w:t>
            </w:r>
          </w:p>
        </w:tc>
        <w:tc>
          <w:tcPr>
            <w:tcW w:w="1095" w:type="pct"/>
            <w:vAlign w:val="center"/>
          </w:tcPr>
          <w:p w14:paraId="6A3E0D58"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10.03</w:t>
            </w:r>
          </w:p>
        </w:tc>
        <w:tc>
          <w:tcPr>
            <w:tcW w:w="1095" w:type="pct"/>
            <w:vAlign w:val="center"/>
          </w:tcPr>
          <w:p w14:paraId="6A3E0D59"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15.40</w:t>
            </w:r>
          </w:p>
        </w:tc>
        <w:tc>
          <w:tcPr>
            <w:tcW w:w="928" w:type="pct"/>
            <w:vAlign w:val="center"/>
          </w:tcPr>
          <w:p w14:paraId="6A3E0D5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30.80</w:t>
            </w:r>
          </w:p>
        </w:tc>
      </w:tr>
      <w:tr w:rsidR="00F02C74" w:rsidRPr="00AD275A" w14:paraId="6A3E0D61" w14:textId="77777777" w:rsidTr="00AD275A">
        <w:trPr>
          <w:jc w:val="center"/>
        </w:trPr>
        <w:tc>
          <w:tcPr>
            <w:tcW w:w="787" w:type="pct"/>
            <w:vAlign w:val="center"/>
          </w:tcPr>
          <w:p w14:paraId="6A3E0D5C"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-10</w:t>
            </w:r>
          </w:p>
        </w:tc>
        <w:tc>
          <w:tcPr>
            <w:tcW w:w="1095" w:type="pct"/>
            <w:vAlign w:val="center"/>
          </w:tcPr>
          <w:p w14:paraId="6A3E0D5D"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0.48</w:t>
            </w:r>
          </w:p>
        </w:tc>
        <w:tc>
          <w:tcPr>
            <w:tcW w:w="1095" w:type="pct"/>
            <w:vAlign w:val="center"/>
          </w:tcPr>
          <w:p w14:paraId="6A3E0D5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5.23</w:t>
            </w:r>
          </w:p>
        </w:tc>
        <w:tc>
          <w:tcPr>
            <w:tcW w:w="1095" w:type="pct"/>
            <w:vAlign w:val="center"/>
          </w:tcPr>
          <w:p w14:paraId="6A3E0D5F"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7.45</w:t>
            </w:r>
          </w:p>
        </w:tc>
        <w:tc>
          <w:tcPr>
            <w:tcW w:w="928" w:type="pct"/>
            <w:vAlign w:val="center"/>
          </w:tcPr>
          <w:p w14:paraId="6A3E0D60"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14.80</w:t>
            </w:r>
          </w:p>
        </w:tc>
      </w:tr>
      <w:tr w:rsidR="00F02C74" w:rsidRPr="00AD275A" w14:paraId="6A3E0D67" w14:textId="77777777" w:rsidTr="00AD275A">
        <w:trPr>
          <w:jc w:val="center"/>
        </w:trPr>
        <w:tc>
          <w:tcPr>
            <w:tcW w:w="787" w:type="pct"/>
            <w:vAlign w:val="center"/>
          </w:tcPr>
          <w:p w14:paraId="6A3E0D62"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-15</w:t>
            </w:r>
          </w:p>
        </w:tc>
        <w:tc>
          <w:tcPr>
            <w:tcW w:w="1095" w:type="pct"/>
            <w:vAlign w:val="center"/>
          </w:tcPr>
          <w:p w14:paraId="6A3E0D6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0.44</w:t>
            </w:r>
          </w:p>
        </w:tc>
        <w:tc>
          <w:tcPr>
            <w:tcW w:w="1095" w:type="pct"/>
            <w:vAlign w:val="center"/>
          </w:tcPr>
          <w:p w14:paraId="6A3E0D6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7.71</w:t>
            </w:r>
          </w:p>
        </w:tc>
        <w:tc>
          <w:tcPr>
            <w:tcW w:w="1095" w:type="pct"/>
            <w:vAlign w:val="center"/>
          </w:tcPr>
          <w:p w14:paraId="6A3E0D65"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11.30</w:t>
            </w:r>
          </w:p>
        </w:tc>
        <w:tc>
          <w:tcPr>
            <w:tcW w:w="928" w:type="pct"/>
            <w:vAlign w:val="center"/>
          </w:tcPr>
          <w:p w14:paraId="6A3E0D66"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22.60</w:t>
            </w:r>
          </w:p>
        </w:tc>
      </w:tr>
      <w:tr w:rsidR="00F02C74" w:rsidRPr="00AD275A" w14:paraId="6A3E0D6D" w14:textId="77777777" w:rsidTr="00AD275A">
        <w:trPr>
          <w:jc w:val="center"/>
        </w:trPr>
        <w:tc>
          <w:tcPr>
            <w:tcW w:w="787" w:type="pct"/>
            <w:vAlign w:val="center"/>
          </w:tcPr>
          <w:p w14:paraId="6A3E0D68" w14:textId="77777777" w:rsidR="00F02C74" w:rsidRPr="00AD275A" w:rsidRDefault="008D26D6" w:rsidP="00AD275A">
            <w:pPr>
              <w:pStyle w:val="BodyText"/>
              <w:snapToGrid w:val="0"/>
              <w:ind w:left="108" w:right="108"/>
              <w:rPr>
                <w:rFonts w:eastAsiaTheme="minorEastAsia"/>
                <w:color w:val="231F20"/>
                <w:sz w:val="24"/>
                <w:szCs w:val="24"/>
                <w:lang w:val="en-US"/>
              </w:rPr>
            </w:pPr>
            <w:r w:rsidRPr="00AD275A">
              <w:rPr>
                <w:rFonts w:eastAsiaTheme="minorEastAsia"/>
                <w:color w:val="231F20"/>
                <w:sz w:val="24"/>
                <w:szCs w:val="24"/>
                <w:lang w:val="en-US"/>
              </w:rPr>
              <w:t>-20</w:t>
            </w:r>
          </w:p>
        </w:tc>
        <w:tc>
          <w:tcPr>
            <w:tcW w:w="1095" w:type="pct"/>
            <w:vAlign w:val="center"/>
          </w:tcPr>
          <w:p w14:paraId="6A3E0D69"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0.57</w:t>
            </w:r>
          </w:p>
        </w:tc>
        <w:tc>
          <w:tcPr>
            <w:tcW w:w="1095" w:type="pct"/>
            <w:vAlign w:val="center"/>
          </w:tcPr>
          <w:p w14:paraId="6A3E0D6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9.97</w:t>
            </w:r>
          </w:p>
        </w:tc>
        <w:tc>
          <w:tcPr>
            <w:tcW w:w="1095" w:type="pct"/>
            <w:vAlign w:val="center"/>
          </w:tcPr>
          <w:p w14:paraId="6A3E0D6B"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15.45</w:t>
            </w:r>
          </w:p>
        </w:tc>
        <w:tc>
          <w:tcPr>
            <w:tcW w:w="928" w:type="pct"/>
            <w:vAlign w:val="center"/>
          </w:tcPr>
          <w:p w14:paraId="6A3E0D6C"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30.90</w:t>
            </w:r>
          </w:p>
        </w:tc>
      </w:tr>
    </w:tbl>
    <w:p w14:paraId="5795AAC7" w14:textId="77777777" w:rsidR="007C634D" w:rsidRDefault="007C634D" w:rsidP="009155F0">
      <w:pPr>
        <w:pStyle w:val="Heading2"/>
        <w:numPr>
          <w:ilvl w:val="1"/>
          <w:numId w:val="0"/>
        </w:numPr>
        <w:tabs>
          <w:tab w:val="left" w:pos="471"/>
        </w:tabs>
        <w:snapToGrid w:val="0"/>
        <w:spacing w:before="0"/>
        <w:ind w:left="470" w:hanging="360"/>
        <w:rPr>
          <w:rFonts w:eastAsiaTheme="minorEastAsia"/>
          <w:color w:val="231F20"/>
          <w:spacing w:val="-5"/>
          <w:lang w:val="en-US"/>
        </w:rPr>
      </w:pPr>
    </w:p>
    <w:p w14:paraId="6A3E0D6E" w14:textId="43BA3641" w:rsidR="00F02C74" w:rsidRPr="00AD275A" w:rsidRDefault="008D26D6" w:rsidP="00AD275A">
      <w:pPr>
        <w:pStyle w:val="Heading2"/>
        <w:numPr>
          <w:ilvl w:val="1"/>
          <w:numId w:val="0"/>
        </w:numPr>
        <w:tabs>
          <w:tab w:val="left" w:pos="471"/>
        </w:tabs>
        <w:snapToGrid w:val="0"/>
        <w:spacing w:before="0"/>
        <w:ind w:left="470" w:hanging="470"/>
        <w:rPr>
          <w:rFonts w:eastAsiaTheme="minorEastAsia"/>
          <w:color w:val="231F20"/>
          <w:lang w:val="en-US"/>
        </w:rPr>
      </w:pPr>
      <w:r w:rsidRPr="00AD275A">
        <w:rPr>
          <w:rFonts w:eastAsiaTheme="minorEastAsia" w:hint="eastAsia"/>
          <w:color w:val="231F20"/>
          <w:spacing w:val="-5"/>
          <w:lang w:val="en-US"/>
        </w:rPr>
        <w:t>3.</w:t>
      </w:r>
      <w:r w:rsidR="0022084D">
        <w:rPr>
          <w:rFonts w:eastAsiaTheme="minorEastAsia"/>
          <w:color w:val="231F20"/>
          <w:spacing w:val="-5"/>
          <w:lang w:val="en-US"/>
        </w:rPr>
        <w:t>2</w:t>
      </w:r>
      <w:r w:rsidR="007C634D">
        <w:rPr>
          <w:rFonts w:eastAsiaTheme="minorEastAsia"/>
          <w:color w:val="231F20"/>
          <w:spacing w:val="-5"/>
          <w:lang w:val="en-US"/>
        </w:rPr>
        <w:t>.</w:t>
      </w:r>
      <w:r w:rsidRPr="00AD275A">
        <w:rPr>
          <w:rFonts w:eastAsiaTheme="minorEastAsia" w:hint="eastAsia"/>
          <w:color w:val="231F20"/>
          <w:spacing w:val="-5"/>
          <w:lang w:val="en-US"/>
        </w:rPr>
        <w:t xml:space="preserve"> </w:t>
      </w:r>
      <w:r w:rsidRPr="00AD275A">
        <w:rPr>
          <w:color w:val="231F20"/>
          <w:lang w:val="en-US"/>
        </w:rPr>
        <w:t>Two-</w:t>
      </w:r>
      <w:r w:rsidR="007C634D" w:rsidRPr="007C634D">
        <w:rPr>
          <w:color w:val="231F20"/>
          <w:lang w:val="en-US"/>
        </w:rPr>
        <w:t>dimensional pose adjustment</w:t>
      </w:r>
    </w:p>
    <w:p w14:paraId="6A3E0D6F" w14:textId="0B7223A3" w:rsidR="00F02C74" w:rsidRDefault="008D26D6" w:rsidP="007C634D">
      <w:pPr>
        <w:pStyle w:val="BodyText"/>
        <w:snapToGrid w:val="0"/>
        <w:jc w:val="both"/>
        <w:rPr>
          <w:rFonts w:eastAsiaTheme="minorEastAsia"/>
          <w:color w:val="231F20"/>
          <w:sz w:val="24"/>
          <w:szCs w:val="24"/>
          <w:lang w:val="en-US"/>
        </w:rPr>
      </w:pPr>
      <w:r w:rsidRPr="00AD275A">
        <w:rPr>
          <w:rFonts w:eastAsiaTheme="minorEastAsia"/>
          <w:color w:val="231F20"/>
          <w:sz w:val="24"/>
          <w:szCs w:val="24"/>
          <w:lang w:val="en-US"/>
        </w:rPr>
        <w:t>The second simulation evaluates two-dimensional local pose adjustment, where the object pose includes the tilt angle and the in-plane rotation angle. The initial pose is</w:t>
      </w:r>
      <m:oMath>
        <m:r>
          <w:rPr>
            <w:rFonts w:ascii="Cambria Math" w:eastAsiaTheme="minorEastAsia" w:hAnsi="Cambria Math"/>
            <w:color w:val="231F20"/>
            <w:sz w:val="24"/>
            <w:szCs w:val="24"/>
            <w:lang w:val="en-US"/>
          </w:rPr>
          <m:t xml:space="preserve"> </m:t>
        </m:r>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0°,0°</m:t>
                </m:r>
              </m:e>
            </m:d>
          </m:e>
          <m:sup>
            <m:r>
              <w:rPr>
                <w:rFonts w:ascii="Cambria Math" w:eastAsiaTheme="minorEastAsia" w:hAnsi="Cambria Math"/>
                <w:color w:val="231F20"/>
                <w:sz w:val="24"/>
                <w:szCs w:val="24"/>
                <w:lang w:val="en-US"/>
              </w:rPr>
              <m:t>T</m:t>
            </m:r>
          </m:sup>
        </m:sSup>
      </m:oMath>
      <w:r w:rsidRPr="00AD275A">
        <w:rPr>
          <w:rFonts w:eastAsiaTheme="minorEastAsia"/>
          <w:color w:val="231F20"/>
          <w:sz w:val="24"/>
          <w:szCs w:val="24"/>
          <w:lang w:val="en-US"/>
        </w:rPr>
        <w:t xml:space="preserve">. </w:t>
      </w:r>
      <w:r w:rsidRPr="00AD275A">
        <w:rPr>
          <w:rFonts w:eastAsiaTheme="minorEastAsia"/>
          <w:b/>
          <w:bCs/>
          <w:color w:val="231F20"/>
          <w:sz w:val="24"/>
          <w:szCs w:val="24"/>
          <w:lang w:val="en-US"/>
        </w:rPr>
        <w:t>Figure 2</w:t>
      </w:r>
      <w:r w:rsidRPr="00AD275A">
        <w:rPr>
          <w:rFonts w:eastAsiaTheme="minorEastAsia"/>
          <w:color w:val="231F20"/>
          <w:sz w:val="24"/>
          <w:szCs w:val="24"/>
          <w:lang w:val="en-US"/>
        </w:rPr>
        <w:t xml:space="preserve"> shows a representative result for the target</w:t>
      </w:r>
      <w:r w:rsidR="006702EA" w:rsidRPr="006702EA">
        <w:rPr>
          <w:rFonts w:eastAsiaTheme="minorEastAsia"/>
          <w:color w:val="231F20"/>
          <w:sz w:val="24"/>
          <w:szCs w:val="24"/>
          <w:lang w:val="en-US"/>
        </w:rPr>
        <w:t>.</w:t>
      </w:r>
      <w:r w:rsidRPr="00AD275A">
        <w:rPr>
          <w:rFonts w:eastAsiaTheme="minorEastAsia"/>
          <w:color w:val="231F20"/>
          <w:sz w:val="24"/>
          <w:szCs w:val="24"/>
          <w:lang w:val="en-US"/>
        </w:rPr>
        <w:t xml:space="preserve"> </w:t>
      </w:r>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15°,-8°</m:t>
                </m:r>
              </m:e>
            </m:d>
          </m:e>
          <m:sup>
            <m:r>
              <w:rPr>
                <w:rFonts w:ascii="Cambria Math" w:eastAsiaTheme="minorEastAsia" w:hAnsi="Cambria Math"/>
                <w:color w:val="231F20"/>
                <w:sz w:val="24"/>
                <w:szCs w:val="24"/>
                <w:lang w:val="en-US"/>
              </w:rPr>
              <m:t>T</m:t>
            </m:r>
          </m:sup>
        </m:sSup>
      </m:oMath>
      <w:r w:rsidRPr="00AD275A">
        <w:rPr>
          <w:rFonts w:eastAsiaTheme="minorEastAsia"/>
          <w:color w:val="231F20"/>
          <w:sz w:val="24"/>
          <w:szCs w:val="24"/>
          <w:lang w:val="en-US"/>
        </w:rPr>
        <w:t>.</w:t>
      </w:r>
    </w:p>
    <w:p w14:paraId="0680D22C" w14:textId="77777777" w:rsidR="007C634D" w:rsidRPr="00AD275A" w:rsidRDefault="007C634D" w:rsidP="00AD275A">
      <w:pPr>
        <w:pStyle w:val="BodyText"/>
        <w:snapToGrid w:val="0"/>
        <w:jc w:val="both"/>
        <w:rPr>
          <w:rFonts w:eastAsiaTheme="minorEastAsia"/>
          <w:color w:val="231F20"/>
          <w:sz w:val="24"/>
          <w:szCs w:val="24"/>
          <w:lang w:val="en-US"/>
        </w:rPr>
      </w:pPr>
    </w:p>
    <w:p w14:paraId="6A3E0D70" w14:textId="77777777" w:rsidR="00F02C74" w:rsidRPr="00AD275A" w:rsidRDefault="008D26D6" w:rsidP="00AD275A">
      <w:pPr>
        <w:pStyle w:val="BodyText"/>
        <w:snapToGrid w:val="0"/>
        <w:ind w:left="108"/>
        <w:jc w:val="center"/>
        <w:rPr>
          <w:rFonts w:eastAsiaTheme="minorEastAsia"/>
          <w:color w:val="231F20"/>
          <w:sz w:val="24"/>
          <w:szCs w:val="24"/>
          <w:lang w:val="en-US"/>
        </w:rPr>
      </w:pPr>
      <w:r w:rsidRPr="00AD275A">
        <w:rPr>
          <w:rFonts w:eastAsiaTheme="minorEastAsia"/>
          <w:noProof/>
          <w:color w:val="231F20"/>
          <w:sz w:val="24"/>
          <w:szCs w:val="24"/>
          <w:lang w:val="en-US"/>
        </w:rPr>
        <w:drawing>
          <wp:inline distT="0" distB="0" distL="0" distR="0" wp14:anchorId="6A3E0DB2" wp14:editId="6A3E0DB3">
            <wp:extent cx="3495040" cy="3022600"/>
            <wp:effectExtent l="0" t="0" r="0" b="0"/>
            <wp:docPr id="18563192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19298"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00" cy="3023053"/>
                    </a:xfrm>
                    <a:prstGeom prst="rect">
                      <a:avLst/>
                    </a:prstGeom>
                  </pic:spPr>
                </pic:pic>
              </a:graphicData>
            </a:graphic>
          </wp:inline>
        </w:drawing>
      </w:r>
    </w:p>
    <w:p w14:paraId="6A3E0D71" w14:textId="59C022A5" w:rsidR="00F02C74" w:rsidRPr="00AD275A" w:rsidRDefault="008D26D6" w:rsidP="009155F0">
      <w:pPr>
        <w:pStyle w:val="BodyText"/>
        <w:snapToGrid w:val="0"/>
        <w:ind w:left="108"/>
        <w:jc w:val="center"/>
        <w:rPr>
          <w:rFonts w:eastAsiaTheme="minorEastAsia"/>
          <w:b/>
          <w:bCs/>
          <w:color w:val="231F20"/>
          <w:lang w:val="en-US"/>
        </w:rPr>
      </w:pPr>
      <w:r w:rsidRPr="00AD275A">
        <w:rPr>
          <w:rFonts w:eastAsiaTheme="minorEastAsia"/>
          <w:b/>
          <w:bCs/>
          <w:color w:val="231F20"/>
          <w:lang w:val="en-US"/>
        </w:rPr>
        <w:t>Figure 2</w:t>
      </w:r>
      <w:r w:rsidR="007C634D">
        <w:rPr>
          <w:rFonts w:eastAsiaTheme="minorEastAsia"/>
          <w:b/>
          <w:bCs/>
          <w:color w:val="231F20"/>
          <w:lang w:val="en-US"/>
        </w:rPr>
        <w:t>.</w:t>
      </w:r>
      <w:r w:rsidRPr="00AD275A">
        <w:rPr>
          <w:rFonts w:eastAsiaTheme="minorEastAsia"/>
          <w:b/>
          <w:bCs/>
          <w:color w:val="231F20"/>
          <w:lang w:val="en-US"/>
        </w:rPr>
        <w:t xml:space="preserve"> </w:t>
      </w:r>
      <w:r w:rsidRPr="00AD275A">
        <w:rPr>
          <w:rFonts w:eastAsiaTheme="minorEastAsia"/>
          <w:color w:val="231F20"/>
          <w:lang w:val="en-US"/>
        </w:rPr>
        <w:t xml:space="preserve">Two-dimensional pose adjustment </w:t>
      </w:r>
      <w:proofErr w:type="gramStart"/>
      <w:r w:rsidRPr="00AD275A">
        <w:rPr>
          <w:rFonts w:eastAsiaTheme="minorEastAsia"/>
          <w:color w:val="231F20"/>
          <w:lang w:val="en-US"/>
        </w:rPr>
        <w:t>result</w:t>
      </w:r>
      <w:proofErr w:type="gramEnd"/>
      <w:r w:rsidRPr="00AD275A">
        <w:rPr>
          <w:rFonts w:eastAsiaTheme="minorEastAsia"/>
          <w:color w:val="231F20"/>
          <w:lang w:val="en-US"/>
        </w:rPr>
        <w:t xml:space="preserve"> for the target </w:t>
      </w:r>
      <m:oMath>
        <m:sSup>
          <m:sSupPr>
            <m:ctrlPr>
              <w:rPr>
                <w:rFonts w:ascii="Cambria Math" w:eastAsiaTheme="minorEastAsia" w:hAnsi="Cambria Math"/>
                <w:i/>
                <w:color w:val="231F20"/>
                <w:lang w:val="en-US"/>
              </w:rPr>
            </m:ctrlPr>
          </m:sSupPr>
          <m:e>
            <m:d>
              <m:dPr>
                <m:begChr m:val="["/>
                <m:endChr m:val="]"/>
                <m:ctrlPr>
                  <w:rPr>
                    <w:rFonts w:ascii="Cambria Math" w:eastAsiaTheme="minorEastAsia" w:hAnsi="Cambria Math"/>
                    <w:i/>
                    <w:color w:val="231F20"/>
                    <w:lang w:val="en-US"/>
                  </w:rPr>
                </m:ctrlPr>
              </m:dPr>
              <m:e>
                <m:r>
                  <w:rPr>
                    <w:rFonts w:ascii="Cambria Math" w:eastAsiaTheme="minorEastAsia" w:hAnsi="Cambria Math"/>
                    <w:color w:val="231F20"/>
                    <w:lang w:val="en-US"/>
                  </w:rPr>
                  <m:t>15°,-8°</m:t>
                </m:r>
              </m:e>
            </m:d>
          </m:e>
          <m:sup>
            <m:r>
              <w:rPr>
                <w:rFonts w:ascii="Cambria Math" w:eastAsiaTheme="minorEastAsia" w:hAnsi="Cambria Math"/>
                <w:color w:val="231F20"/>
                <w:lang w:val="en-US"/>
              </w:rPr>
              <m:t>T</m:t>
            </m:r>
          </m:sup>
        </m:sSup>
      </m:oMath>
      <w:r w:rsidRPr="00AD275A">
        <w:rPr>
          <w:rFonts w:eastAsiaTheme="minorEastAsia"/>
          <w:color w:val="231F20"/>
          <w:lang w:val="en-US"/>
        </w:rPr>
        <w:t>. (A) Pose angles. (B) Pose trajectory in the alpha-beta plane. (C) Pose error norm. (D) Motor reference angles.</w:t>
      </w:r>
    </w:p>
    <w:p w14:paraId="27EA189F" w14:textId="77777777" w:rsidR="007C634D" w:rsidRPr="00AD275A" w:rsidRDefault="007C634D" w:rsidP="00AD275A">
      <w:pPr>
        <w:pStyle w:val="BodyText"/>
        <w:snapToGrid w:val="0"/>
        <w:ind w:left="108"/>
        <w:jc w:val="center"/>
        <w:rPr>
          <w:rFonts w:eastAsiaTheme="minorEastAsia"/>
          <w:b/>
          <w:bCs/>
          <w:color w:val="231F20"/>
          <w:sz w:val="24"/>
          <w:szCs w:val="24"/>
          <w:lang w:val="en-US"/>
        </w:rPr>
      </w:pPr>
    </w:p>
    <w:p w14:paraId="6A3E0D72" w14:textId="77777777" w:rsidR="00F02C74" w:rsidRDefault="008D26D6" w:rsidP="00AD275A">
      <w:pPr>
        <w:pStyle w:val="BodyText"/>
        <w:snapToGrid w:val="0"/>
        <w:ind w:firstLine="426"/>
        <w:jc w:val="both"/>
        <w:rPr>
          <w:rFonts w:eastAsiaTheme="minorEastAsia"/>
          <w:color w:val="231F20"/>
          <w:sz w:val="24"/>
          <w:szCs w:val="24"/>
          <w:lang w:val="en-US"/>
        </w:rPr>
      </w:pPr>
      <w:r w:rsidRPr="00AD275A">
        <w:rPr>
          <w:rFonts w:eastAsiaTheme="minorEastAsia"/>
          <w:b/>
          <w:bCs/>
          <w:color w:val="231F20"/>
          <w:sz w:val="24"/>
          <w:szCs w:val="24"/>
          <w:lang w:val="en-US"/>
        </w:rPr>
        <w:t>Figure 2</w:t>
      </w:r>
      <w:r w:rsidRPr="00AD275A">
        <w:rPr>
          <w:rFonts w:eastAsiaTheme="minorEastAsia"/>
          <w:color w:val="231F20"/>
          <w:sz w:val="24"/>
          <w:szCs w:val="24"/>
          <w:lang w:val="en-US"/>
        </w:rPr>
        <w:t xml:space="preserve"> shows that the planner can regulate two coupled pose components using the same finite action set. Since each selected action may influence both pose components, the trajectory is not expected to be a straight line in the pose plane. Even so, the pose moves toward the target, the error norm decreases, and the motor references remain within the predefined limits. </w:t>
      </w:r>
      <w:r w:rsidRPr="00AD275A">
        <w:rPr>
          <w:rFonts w:eastAsiaTheme="minorEastAsia"/>
          <w:b/>
          <w:bCs/>
          <w:color w:val="231F20"/>
          <w:sz w:val="24"/>
          <w:szCs w:val="24"/>
          <w:lang w:val="en-US"/>
        </w:rPr>
        <w:t>Table 3</w:t>
      </w:r>
      <w:r w:rsidRPr="00AD275A">
        <w:rPr>
          <w:rFonts w:eastAsiaTheme="minorEastAsia"/>
          <w:color w:val="231F20"/>
          <w:sz w:val="24"/>
          <w:szCs w:val="24"/>
          <w:lang w:val="en-US"/>
        </w:rPr>
        <w:t xml:space="preserve"> lists the statistical results for all two-dimensional targets. The mean final errors were all below 1.16°, and all repeated trials reached the stopping threshold.</w:t>
      </w:r>
    </w:p>
    <w:p w14:paraId="6FD61246" w14:textId="77777777" w:rsidR="002A2F8C" w:rsidRPr="00AD275A" w:rsidRDefault="002A2F8C" w:rsidP="00AD275A">
      <w:pPr>
        <w:pStyle w:val="BodyText"/>
        <w:snapToGrid w:val="0"/>
        <w:ind w:left="110" w:firstLine="400"/>
        <w:jc w:val="both"/>
        <w:rPr>
          <w:rFonts w:eastAsiaTheme="minorEastAsia"/>
          <w:color w:val="231F20"/>
          <w:sz w:val="24"/>
          <w:szCs w:val="24"/>
          <w:lang w:val="en-US"/>
        </w:rPr>
      </w:pPr>
    </w:p>
    <w:p w14:paraId="6A3E0D73" w14:textId="77777777" w:rsidR="00F02C74" w:rsidRPr="00AD275A" w:rsidRDefault="008D26D6" w:rsidP="00AD275A">
      <w:pPr>
        <w:pStyle w:val="BodyText"/>
        <w:snapToGrid w:val="0"/>
        <w:ind w:left="108"/>
        <w:jc w:val="both"/>
        <w:rPr>
          <w:rFonts w:eastAsiaTheme="minorEastAsia"/>
          <w:color w:val="231F20"/>
          <w:sz w:val="24"/>
          <w:szCs w:val="24"/>
          <w:lang w:val="en-US"/>
        </w:rPr>
      </w:pPr>
      <w:r w:rsidRPr="00AD275A">
        <w:rPr>
          <w:rFonts w:eastAsiaTheme="minorEastAsia"/>
          <w:b/>
          <w:bCs/>
          <w:color w:val="231F20"/>
          <w:sz w:val="24"/>
          <w:szCs w:val="24"/>
          <w:lang w:val="en-US"/>
        </w:rPr>
        <w:t xml:space="preserve">Table </w:t>
      </w:r>
      <w:r w:rsidRPr="00AD275A">
        <w:rPr>
          <w:rFonts w:eastAsiaTheme="minorEastAsia" w:hint="eastAsia"/>
          <w:b/>
          <w:bCs/>
          <w:color w:val="231F20"/>
          <w:sz w:val="24"/>
          <w:szCs w:val="24"/>
          <w:lang w:val="en-US"/>
        </w:rPr>
        <w:t>3.</w:t>
      </w:r>
      <w:r w:rsidRPr="00AD275A">
        <w:rPr>
          <w:rFonts w:eastAsiaTheme="minorEastAsia"/>
          <w:b/>
          <w:bCs/>
          <w:color w:val="231F20"/>
          <w:sz w:val="24"/>
          <w:szCs w:val="24"/>
          <w:lang w:val="en-US"/>
        </w:rPr>
        <w:t xml:space="preserve"> </w:t>
      </w:r>
      <w:r w:rsidRPr="00AD275A">
        <w:rPr>
          <w:rFonts w:eastAsiaTheme="minorEastAsia"/>
          <w:color w:val="231F20"/>
          <w:sz w:val="24"/>
          <w:szCs w:val="24"/>
          <w:lang w:val="en-US"/>
        </w:rPr>
        <w:t>Two-dimensional pose adjustment results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928"/>
        <w:gridCol w:w="2074"/>
        <w:gridCol w:w="2346"/>
        <w:gridCol w:w="1803"/>
        <w:gridCol w:w="1831"/>
      </w:tblGrid>
      <w:tr w:rsidR="00F02C74" w:rsidRPr="00AD275A" w14:paraId="6A3E0D79" w14:textId="77777777" w:rsidTr="00AD275A">
        <w:trPr>
          <w:jc w:val="center"/>
        </w:trPr>
        <w:tc>
          <w:tcPr>
            <w:tcW w:w="966" w:type="pct"/>
            <w:tcBorders>
              <w:top w:val="single" w:sz="4" w:space="0" w:color="auto"/>
              <w:bottom w:val="single" w:sz="4" w:space="0" w:color="auto"/>
            </w:tcBorders>
            <w:vAlign w:val="center"/>
          </w:tcPr>
          <w:p w14:paraId="6A3E0D74" w14:textId="77777777" w:rsidR="00F02C74" w:rsidRPr="00AD275A" w:rsidRDefault="008D26D6" w:rsidP="00AD275A">
            <w:pPr>
              <w:pStyle w:val="BodyText"/>
              <w:snapToGrid w:val="0"/>
              <w:ind w:left="108" w:right="108"/>
              <w:rPr>
                <w:rFonts w:eastAsiaTheme="minorEastAsia"/>
                <w:b/>
                <w:bCs/>
                <w:color w:val="231F20"/>
                <w:sz w:val="24"/>
                <w:szCs w:val="24"/>
                <w:lang w:val="en-US"/>
              </w:rPr>
            </w:pPr>
            <w:r w:rsidRPr="00AD275A">
              <w:rPr>
                <w:rFonts w:eastAsiaTheme="minorEastAsia"/>
                <w:b/>
                <w:bCs/>
                <w:color w:val="231F20"/>
                <w:sz w:val="24"/>
                <w:szCs w:val="24"/>
                <w:lang w:val="en-US"/>
              </w:rPr>
              <w:t>Target pose (°)</w:t>
            </w:r>
          </w:p>
        </w:tc>
        <w:tc>
          <w:tcPr>
            <w:tcW w:w="1039" w:type="pct"/>
            <w:tcBorders>
              <w:top w:val="single" w:sz="4" w:space="0" w:color="auto"/>
              <w:bottom w:val="single" w:sz="4" w:space="0" w:color="auto"/>
            </w:tcBorders>
            <w:vAlign w:val="center"/>
          </w:tcPr>
          <w:p w14:paraId="6A3E0D75"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Final error (°)</w:t>
            </w:r>
          </w:p>
        </w:tc>
        <w:tc>
          <w:tcPr>
            <w:tcW w:w="1175" w:type="pct"/>
            <w:tcBorders>
              <w:top w:val="single" w:sz="4" w:space="0" w:color="auto"/>
              <w:bottom w:val="single" w:sz="4" w:space="0" w:color="auto"/>
            </w:tcBorders>
            <w:vAlign w:val="center"/>
          </w:tcPr>
          <w:p w14:paraId="6A3E0D76"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Average error (°)</w:t>
            </w:r>
          </w:p>
        </w:tc>
        <w:tc>
          <w:tcPr>
            <w:tcW w:w="903" w:type="pct"/>
            <w:tcBorders>
              <w:top w:val="single" w:sz="4" w:space="0" w:color="auto"/>
              <w:bottom w:val="single" w:sz="4" w:space="0" w:color="auto"/>
            </w:tcBorders>
            <w:vAlign w:val="center"/>
          </w:tcPr>
          <w:p w14:paraId="6A3E0D77"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Steps</w:t>
            </w:r>
          </w:p>
        </w:tc>
        <w:tc>
          <w:tcPr>
            <w:tcW w:w="917" w:type="pct"/>
            <w:tcBorders>
              <w:top w:val="single" w:sz="4" w:space="0" w:color="auto"/>
              <w:bottom w:val="single" w:sz="4" w:space="0" w:color="auto"/>
            </w:tcBorders>
            <w:vAlign w:val="center"/>
          </w:tcPr>
          <w:p w14:paraId="6A3E0D78" w14:textId="77777777" w:rsidR="00F02C74" w:rsidRPr="00AD275A" w:rsidRDefault="008D26D6" w:rsidP="00AD275A">
            <w:pPr>
              <w:pStyle w:val="BodyText"/>
              <w:snapToGrid w:val="0"/>
              <w:ind w:left="108" w:right="108"/>
              <w:jc w:val="center"/>
              <w:rPr>
                <w:rFonts w:eastAsiaTheme="minorEastAsia"/>
                <w:b/>
                <w:bCs/>
                <w:color w:val="231F20"/>
                <w:sz w:val="24"/>
                <w:szCs w:val="24"/>
                <w:lang w:val="en-US"/>
              </w:rPr>
            </w:pPr>
            <w:r w:rsidRPr="00AD275A">
              <w:rPr>
                <w:rFonts w:eastAsiaTheme="minorEastAsia"/>
                <w:b/>
                <w:bCs/>
                <w:color w:val="231F20"/>
                <w:sz w:val="24"/>
                <w:szCs w:val="24"/>
                <w:lang w:val="en-US"/>
              </w:rPr>
              <w:t>Action energy</w:t>
            </w:r>
          </w:p>
        </w:tc>
      </w:tr>
      <w:tr w:rsidR="00F02C74" w:rsidRPr="00AD275A" w14:paraId="6A3E0D7F" w14:textId="77777777" w:rsidTr="00AD275A">
        <w:trPr>
          <w:jc w:val="center"/>
        </w:trPr>
        <w:tc>
          <w:tcPr>
            <w:tcW w:w="966" w:type="pct"/>
            <w:tcBorders>
              <w:top w:val="single" w:sz="4" w:space="0" w:color="auto"/>
            </w:tcBorders>
            <w:vAlign w:val="center"/>
          </w:tcPr>
          <w:p w14:paraId="6A3E0D7A" w14:textId="77777777" w:rsidR="00F02C74" w:rsidRPr="00AD275A" w:rsidRDefault="008D26D6" w:rsidP="00AD275A">
            <w:pPr>
              <w:pStyle w:val="BodyText"/>
              <w:snapToGrid w:val="0"/>
              <w:ind w:left="108" w:right="108"/>
              <w:rPr>
                <w:rFonts w:eastAsiaTheme="minorEastAsia"/>
                <w:color w:val="231F20"/>
                <w:sz w:val="24"/>
                <w:szCs w:val="24"/>
                <w:lang w:val="en-US"/>
              </w:rPr>
            </w:pPr>
            <m:oMathPara>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10,5</m:t>
                        </m:r>
                      </m:e>
                    </m:d>
                  </m:e>
                  <m:sup>
                    <m:r>
                      <w:rPr>
                        <w:rFonts w:ascii="Cambria Math" w:eastAsiaTheme="minorEastAsia" w:hAnsi="Cambria Math"/>
                        <w:color w:val="231F20"/>
                        <w:sz w:val="24"/>
                        <w:szCs w:val="24"/>
                        <w:lang w:val="en-US"/>
                      </w:rPr>
                      <m:t>T</m:t>
                    </m:r>
                  </m:sup>
                </m:sSup>
              </m:oMath>
            </m:oMathPara>
          </w:p>
        </w:tc>
        <w:tc>
          <w:tcPr>
            <w:tcW w:w="1039" w:type="pct"/>
            <w:tcBorders>
              <w:top w:val="single" w:sz="4" w:space="0" w:color="auto"/>
            </w:tcBorders>
            <w:vAlign w:val="center"/>
          </w:tcPr>
          <w:p w14:paraId="6A3E0D7B"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1.05</w:t>
            </w:r>
          </w:p>
        </w:tc>
        <w:tc>
          <w:tcPr>
            <w:tcW w:w="1175" w:type="pct"/>
            <w:tcBorders>
              <w:top w:val="single" w:sz="4" w:space="0" w:color="auto"/>
            </w:tcBorders>
            <w:vAlign w:val="center"/>
          </w:tcPr>
          <w:p w14:paraId="6A3E0D7C"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5.94</w:t>
            </w:r>
          </w:p>
        </w:tc>
        <w:tc>
          <w:tcPr>
            <w:tcW w:w="903" w:type="pct"/>
            <w:tcBorders>
              <w:top w:val="single" w:sz="4" w:space="0" w:color="auto"/>
            </w:tcBorders>
            <w:vAlign w:val="center"/>
          </w:tcPr>
          <w:p w14:paraId="6A3E0D7D"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7.15</w:t>
            </w:r>
          </w:p>
        </w:tc>
        <w:tc>
          <w:tcPr>
            <w:tcW w:w="917" w:type="pct"/>
            <w:tcBorders>
              <w:top w:val="single" w:sz="4" w:space="0" w:color="auto"/>
            </w:tcBorders>
            <w:vAlign w:val="center"/>
          </w:tcPr>
          <w:p w14:paraId="6A3E0D7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14.15</w:t>
            </w:r>
          </w:p>
        </w:tc>
      </w:tr>
      <w:tr w:rsidR="00F02C74" w:rsidRPr="00AD275A" w14:paraId="6A3E0D85" w14:textId="77777777" w:rsidTr="00AD275A">
        <w:trPr>
          <w:jc w:val="center"/>
        </w:trPr>
        <w:tc>
          <w:tcPr>
            <w:tcW w:w="966" w:type="pct"/>
            <w:vAlign w:val="center"/>
          </w:tcPr>
          <w:p w14:paraId="6A3E0D80" w14:textId="77777777" w:rsidR="00F02C74" w:rsidRPr="00AD275A" w:rsidRDefault="008D26D6" w:rsidP="00AD275A">
            <w:pPr>
              <w:pStyle w:val="BodyText"/>
              <w:snapToGrid w:val="0"/>
              <w:ind w:left="108" w:right="108"/>
              <w:rPr>
                <w:rFonts w:eastAsiaTheme="minorEastAsia"/>
                <w:color w:val="231F20"/>
                <w:sz w:val="24"/>
                <w:szCs w:val="24"/>
                <w:lang w:val="en-US"/>
              </w:rPr>
            </w:pPr>
            <m:oMathPara>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15,-8</m:t>
                        </m:r>
                      </m:e>
                    </m:d>
                  </m:e>
                  <m:sup>
                    <m:r>
                      <w:rPr>
                        <w:rFonts w:ascii="Cambria Math" w:eastAsiaTheme="minorEastAsia" w:hAnsi="Cambria Math"/>
                        <w:color w:val="231F20"/>
                        <w:sz w:val="24"/>
                        <w:szCs w:val="24"/>
                        <w:lang w:val="en-US"/>
                      </w:rPr>
                      <m:t>T</m:t>
                    </m:r>
                  </m:sup>
                </m:sSup>
              </m:oMath>
            </m:oMathPara>
          </w:p>
        </w:tc>
        <w:tc>
          <w:tcPr>
            <w:tcW w:w="1039" w:type="pct"/>
            <w:vAlign w:val="center"/>
          </w:tcPr>
          <w:p w14:paraId="6A3E0D81"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0.99</w:t>
            </w:r>
          </w:p>
        </w:tc>
        <w:tc>
          <w:tcPr>
            <w:tcW w:w="1175" w:type="pct"/>
            <w:vAlign w:val="center"/>
          </w:tcPr>
          <w:p w14:paraId="6A3E0D82"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8.68</w:t>
            </w:r>
          </w:p>
        </w:tc>
        <w:tc>
          <w:tcPr>
            <w:tcW w:w="903" w:type="pct"/>
            <w:vAlign w:val="center"/>
          </w:tcPr>
          <w:p w14:paraId="6A3E0D8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12.95</w:t>
            </w:r>
          </w:p>
        </w:tc>
        <w:tc>
          <w:tcPr>
            <w:tcW w:w="917" w:type="pct"/>
            <w:vAlign w:val="center"/>
          </w:tcPr>
          <w:p w14:paraId="6A3E0D8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25.80</w:t>
            </w:r>
          </w:p>
        </w:tc>
      </w:tr>
      <w:tr w:rsidR="00F02C74" w:rsidRPr="00AD275A" w14:paraId="6A3E0D8B" w14:textId="77777777" w:rsidTr="00AD275A">
        <w:trPr>
          <w:jc w:val="center"/>
        </w:trPr>
        <w:tc>
          <w:tcPr>
            <w:tcW w:w="966" w:type="pct"/>
            <w:vAlign w:val="center"/>
          </w:tcPr>
          <w:p w14:paraId="6A3E0D86" w14:textId="77777777" w:rsidR="00F02C74" w:rsidRPr="00AD275A" w:rsidRDefault="008D26D6" w:rsidP="00AD275A">
            <w:pPr>
              <w:pStyle w:val="BodyText"/>
              <w:snapToGrid w:val="0"/>
              <w:ind w:left="108" w:right="108"/>
              <w:rPr>
                <w:rFonts w:eastAsiaTheme="minorEastAsia"/>
                <w:color w:val="231F20"/>
                <w:sz w:val="24"/>
                <w:szCs w:val="24"/>
                <w:lang w:val="en-US"/>
              </w:rPr>
            </w:pPr>
            <m:oMathPara>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m:t>
                        </m:r>
                        <m:r>
                          <w:rPr>
                            <w:rFonts w:ascii="Cambria Math" w:eastAsiaTheme="minorEastAsia" w:hAnsi="Cambria Math"/>
                            <w:color w:val="231F20"/>
                            <w:sz w:val="24"/>
                            <w:szCs w:val="24"/>
                            <w:lang w:val="en-US"/>
                          </w:rPr>
                          <m:t>10,8</m:t>
                        </m:r>
                      </m:e>
                    </m:d>
                  </m:e>
                  <m:sup>
                    <m:r>
                      <w:rPr>
                        <w:rFonts w:ascii="Cambria Math" w:eastAsiaTheme="minorEastAsia" w:hAnsi="Cambria Math"/>
                        <w:color w:val="231F20"/>
                        <w:sz w:val="24"/>
                        <w:szCs w:val="24"/>
                        <w:lang w:val="en-US"/>
                      </w:rPr>
                      <m:t>T</m:t>
                    </m:r>
                  </m:sup>
                </m:sSup>
              </m:oMath>
            </m:oMathPara>
          </w:p>
        </w:tc>
        <w:tc>
          <w:tcPr>
            <w:tcW w:w="1039" w:type="pct"/>
            <w:vAlign w:val="center"/>
          </w:tcPr>
          <w:p w14:paraId="6A3E0D87"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1.16</w:t>
            </w:r>
          </w:p>
        </w:tc>
        <w:tc>
          <w:tcPr>
            <w:tcW w:w="1175" w:type="pct"/>
            <w:vAlign w:val="center"/>
          </w:tcPr>
          <w:p w14:paraId="6A3E0D88"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6.61</w:t>
            </w:r>
          </w:p>
        </w:tc>
        <w:tc>
          <w:tcPr>
            <w:tcW w:w="903" w:type="pct"/>
            <w:vAlign w:val="center"/>
          </w:tcPr>
          <w:p w14:paraId="6A3E0D89"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8.65</w:t>
            </w:r>
          </w:p>
        </w:tc>
        <w:tc>
          <w:tcPr>
            <w:tcW w:w="917" w:type="pct"/>
            <w:vAlign w:val="center"/>
          </w:tcPr>
          <w:p w14:paraId="6A3E0D8A"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17.10</w:t>
            </w:r>
          </w:p>
        </w:tc>
      </w:tr>
      <w:tr w:rsidR="00F02C74" w:rsidRPr="00AD275A" w14:paraId="6A3E0D91" w14:textId="77777777" w:rsidTr="00AD275A">
        <w:trPr>
          <w:jc w:val="center"/>
        </w:trPr>
        <w:tc>
          <w:tcPr>
            <w:tcW w:w="966" w:type="pct"/>
            <w:vAlign w:val="center"/>
          </w:tcPr>
          <w:p w14:paraId="6A3E0D8C" w14:textId="77777777" w:rsidR="00F02C74" w:rsidRPr="00AD275A" w:rsidRDefault="008D26D6" w:rsidP="00AD275A">
            <w:pPr>
              <w:pStyle w:val="BodyText"/>
              <w:snapToGrid w:val="0"/>
              <w:ind w:left="108" w:right="108"/>
              <w:rPr>
                <w:rFonts w:eastAsiaTheme="minorEastAsia"/>
                <w:color w:val="231F20"/>
                <w:sz w:val="24"/>
                <w:szCs w:val="24"/>
                <w:lang w:val="en-US"/>
              </w:rPr>
            </w:pPr>
            <m:oMathPara>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m:t>
                        </m:r>
                        <m:r>
                          <w:rPr>
                            <w:rFonts w:ascii="Cambria Math" w:eastAsiaTheme="minorEastAsia" w:hAnsi="Cambria Math"/>
                            <w:color w:val="231F20"/>
                            <w:sz w:val="24"/>
                            <w:szCs w:val="24"/>
                            <w:lang w:val="en-US"/>
                          </w:rPr>
                          <m:t>15,-10</m:t>
                        </m:r>
                      </m:e>
                    </m:d>
                  </m:e>
                  <m:sup>
                    <m:r>
                      <w:rPr>
                        <w:rFonts w:ascii="Cambria Math" w:eastAsiaTheme="minorEastAsia" w:hAnsi="Cambria Math"/>
                        <w:color w:val="231F20"/>
                        <w:sz w:val="24"/>
                        <w:szCs w:val="24"/>
                        <w:lang w:val="en-US"/>
                      </w:rPr>
                      <m:t>T</m:t>
                    </m:r>
                  </m:sup>
                </m:sSup>
              </m:oMath>
            </m:oMathPara>
          </w:p>
        </w:tc>
        <w:tc>
          <w:tcPr>
            <w:tcW w:w="1039" w:type="pct"/>
            <w:vAlign w:val="center"/>
          </w:tcPr>
          <w:p w14:paraId="6A3E0D8D"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0.96</w:t>
            </w:r>
          </w:p>
        </w:tc>
        <w:tc>
          <w:tcPr>
            <w:tcW w:w="1175" w:type="pct"/>
            <w:vAlign w:val="center"/>
          </w:tcPr>
          <w:p w14:paraId="6A3E0D8E"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9.43</w:t>
            </w:r>
          </w:p>
        </w:tc>
        <w:tc>
          <w:tcPr>
            <w:tcW w:w="903" w:type="pct"/>
            <w:vAlign w:val="center"/>
          </w:tcPr>
          <w:p w14:paraId="6A3E0D8F"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11.30</w:t>
            </w:r>
          </w:p>
        </w:tc>
        <w:tc>
          <w:tcPr>
            <w:tcW w:w="917" w:type="pct"/>
            <w:vAlign w:val="center"/>
          </w:tcPr>
          <w:p w14:paraId="6A3E0D90"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22.55</w:t>
            </w:r>
          </w:p>
        </w:tc>
      </w:tr>
      <w:tr w:rsidR="00F02C74" w:rsidRPr="00AD275A" w14:paraId="6A3E0D97" w14:textId="77777777" w:rsidTr="00AD275A">
        <w:trPr>
          <w:jc w:val="center"/>
        </w:trPr>
        <w:tc>
          <w:tcPr>
            <w:tcW w:w="966" w:type="pct"/>
            <w:vAlign w:val="center"/>
          </w:tcPr>
          <w:p w14:paraId="6A3E0D92" w14:textId="77777777" w:rsidR="00F02C74" w:rsidRPr="00AD275A" w:rsidRDefault="008D26D6" w:rsidP="00AD275A">
            <w:pPr>
              <w:pStyle w:val="BodyText"/>
              <w:snapToGrid w:val="0"/>
              <w:ind w:left="108" w:right="108"/>
              <w:rPr>
                <w:rFonts w:eastAsiaTheme="minorEastAsia"/>
                <w:color w:val="231F20"/>
                <w:sz w:val="24"/>
                <w:szCs w:val="24"/>
                <w:lang w:val="en-US"/>
              </w:rPr>
            </w:pPr>
            <m:oMathPara>
              <m:oMath>
                <m:sSup>
                  <m:sSupPr>
                    <m:ctrlPr>
                      <w:rPr>
                        <w:rFonts w:ascii="Cambria Math" w:eastAsiaTheme="minorEastAsia" w:hAnsi="Cambria Math"/>
                        <w:i/>
                        <w:color w:val="231F20"/>
                        <w:sz w:val="24"/>
                        <w:szCs w:val="24"/>
                        <w:lang w:val="en-US"/>
                      </w:rPr>
                    </m:ctrlPr>
                  </m:sSupPr>
                  <m:e>
                    <m:d>
                      <m:dPr>
                        <m:begChr m:val="["/>
                        <m:endChr m:val="]"/>
                        <m:ctrlPr>
                          <w:rPr>
                            <w:rFonts w:ascii="Cambria Math" w:eastAsiaTheme="minorEastAsia" w:hAnsi="Cambria Math"/>
                            <w:i/>
                            <w:color w:val="231F20"/>
                            <w:sz w:val="24"/>
                            <w:szCs w:val="24"/>
                            <w:lang w:val="en-US"/>
                          </w:rPr>
                        </m:ctrlPr>
                      </m:dPr>
                      <m:e>
                        <m:r>
                          <w:rPr>
                            <w:rFonts w:ascii="Cambria Math" w:eastAsiaTheme="minorEastAsia" w:hAnsi="Cambria Math"/>
                            <w:color w:val="231F20"/>
                            <w:sz w:val="24"/>
                            <w:szCs w:val="24"/>
                            <w:lang w:val="en-US"/>
                          </w:rPr>
                          <m:t>20,0</m:t>
                        </m:r>
                      </m:e>
                    </m:d>
                  </m:e>
                  <m:sup>
                    <m:r>
                      <w:rPr>
                        <w:rFonts w:ascii="Cambria Math" w:eastAsiaTheme="minorEastAsia" w:hAnsi="Cambria Math"/>
                        <w:color w:val="231F20"/>
                        <w:sz w:val="24"/>
                        <w:szCs w:val="24"/>
                        <w:lang w:val="en-US"/>
                      </w:rPr>
                      <m:t>T</m:t>
                    </m:r>
                  </m:sup>
                </m:sSup>
              </m:oMath>
            </m:oMathPara>
          </w:p>
        </w:tc>
        <w:tc>
          <w:tcPr>
            <w:tcW w:w="1039" w:type="pct"/>
            <w:vAlign w:val="center"/>
          </w:tcPr>
          <w:p w14:paraId="6A3E0D93"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0.94</w:t>
            </w:r>
          </w:p>
        </w:tc>
        <w:tc>
          <w:tcPr>
            <w:tcW w:w="1175" w:type="pct"/>
            <w:vAlign w:val="center"/>
          </w:tcPr>
          <w:p w14:paraId="6A3E0D94"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10.28</w:t>
            </w:r>
          </w:p>
        </w:tc>
        <w:tc>
          <w:tcPr>
            <w:tcW w:w="903" w:type="pct"/>
            <w:vAlign w:val="center"/>
          </w:tcPr>
          <w:p w14:paraId="6A3E0D95"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16.25</w:t>
            </w:r>
          </w:p>
        </w:tc>
        <w:tc>
          <w:tcPr>
            <w:tcW w:w="917" w:type="pct"/>
            <w:vAlign w:val="center"/>
          </w:tcPr>
          <w:p w14:paraId="6A3E0D96" w14:textId="77777777" w:rsidR="00F02C74" w:rsidRPr="00AD275A" w:rsidRDefault="008D26D6" w:rsidP="00AD275A">
            <w:pPr>
              <w:pStyle w:val="BodyText"/>
              <w:snapToGrid w:val="0"/>
              <w:ind w:left="108" w:right="108"/>
              <w:jc w:val="center"/>
              <w:rPr>
                <w:rFonts w:eastAsiaTheme="minorEastAsia"/>
                <w:color w:val="231F20"/>
                <w:sz w:val="24"/>
                <w:szCs w:val="24"/>
                <w:lang w:val="en-US"/>
              </w:rPr>
            </w:pPr>
            <w:r w:rsidRPr="00AD275A">
              <w:rPr>
                <w:rFonts w:eastAsiaTheme="minorEastAsia"/>
                <w:color w:val="231F20"/>
                <w:sz w:val="24"/>
                <w:szCs w:val="24"/>
                <w:lang w:val="en-US"/>
              </w:rPr>
              <w:t>32.40</w:t>
            </w:r>
          </w:p>
        </w:tc>
      </w:tr>
    </w:tbl>
    <w:p w14:paraId="3D10A552" w14:textId="77777777" w:rsidR="002A2F8C" w:rsidRDefault="002A2F8C" w:rsidP="009155F0">
      <w:pPr>
        <w:pStyle w:val="BodyText"/>
        <w:snapToGrid w:val="0"/>
        <w:ind w:left="110" w:firstLine="400"/>
        <w:jc w:val="both"/>
        <w:rPr>
          <w:rFonts w:eastAsiaTheme="minorEastAsia"/>
          <w:color w:val="231F20"/>
          <w:sz w:val="24"/>
          <w:szCs w:val="24"/>
          <w:lang w:val="en-US"/>
        </w:rPr>
      </w:pPr>
    </w:p>
    <w:p w14:paraId="6A3E0D98" w14:textId="048E74C9" w:rsidR="00F02C74" w:rsidRDefault="008D26D6" w:rsidP="00AD275A">
      <w:pPr>
        <w:pStyle w:val="BodyText"/>
        <w:snapToGrid w:val="0"/>
        <w:ind w:firstLine="426"/>
        <w:jc w:val="both"/>
        <w:rPr>
          <w:rFonts w:eastAsiaTheme="minorEastAsia"/>
          <w:color w:val="231F20"/>
          <w:sz w:val="24"/>
          <w:szCs w:val="24"/>
          <w:lang w:val="en-US"/>
        </w:rPr>
      </w:pPr>
      <w:r w:rsidRPr="00AD275A">
        <w:rPr>
          <w:rFonts w:eastAsiaTheme="minorEastAsia"/>
          <w:color w:val="231F20"/>
          <w:sz w:val="24"/>
          <w:szCs w:val="24"/>
          <w:lang w:val="en-US"/>
        </w:rPr>
        <w:t xml:space="preserve">An additional comparison between </w:t>
      </w:r>
      <m:oMath>
        <m:r>
          <w:rPr>
            <w:rFonts w:ascii="Cambria Math" w:eastAsiaTheme="minorEastAsia" w:hAnsi="Cambria Math"/>
            <w:color w:val="231F20"/>
            <w:sz w:val="24"/>
            <w:szCs w:val="24"/>
            <w:lang w:val="en-US"/>
          </w:rPr>
          <m:t>H</m:t>
        </m:r>
        <m:r>
          <w:rPr>
            <w:rFonts w:ascii="Cambria Math" w:eastAsiaTheme="minorEastAsia" w:hAnsi="Cambria Math"/>
            <w:color w:val="231F20"/>
            <w:sz w:val="24"/>
            <w:szCs w:val="24"/>
            <w:lang w:val="en-US"/>
          </w:rPr>
          <m:t>=1</m:t>
        </m:r>
      </m:oMath>
      <w:r w:rsidRPr="00AD275A">
        <w:rPr>
          <w:rFonts w:eastAsiaTheme="minorEastAsia"/>
          <w:color w:val="231F20"/>
          <w:sz w:val="24"/>
          <w:szCs w:val="24"/>
          <w:lang w:val="en-US"/>
        </w:rPr>
        <w:t xml:space="preserve"> and </w:t>
      </w:r>
      <m:oMath>
        <m:r>
          <w:rPr>
            <w:rFonts w:ascii="Cambria Math" w:eastAsiaTheme="minorEastAsia" w:hAnsi="Cambria Math"/>
            <w:color w:val="231F20"/>
            <w:sz w:val="24"/>
            <w:szCs w:val="24"/>
            <w:lang w:val="en-US"/>
          </w:rPr>
          <m:t>H</m:t>
        </m:r>
        <m:r>
          <w:rPr>
            <w:rFonts w:ascii="Cambria Math" w:eastAsiaTheme="minorEastAsia" w:hAnsi="Cambria Math"/>
            <w:color w:val="231F20"/>
            <w:sz w:val="24"/>
            <w:szCs w:val="24"/>
            <w:lang w:val="en-US"/>
          </w:rPr>
          <m:t>=3</m:t>
        </m:r>
      </m:oMath>
      <w:r w:rsidRPr="00AD275A">
        <w:rPr>
          <w:rFonts w:eastAsiaTheme="minorEastAsia"/>
          <w:color w:val="231F20"/>
          <w:sz w:val="24"/>
          <w:szCs w:val="24"/>
          <w:lang w:val="en-US"/>
        </w:rPr>
        <w:t xml:space="preserve"> showed that both settings reached the prescribed stopping threshold in all tested trials. In the two-dimensional task, the average number of action switches decreased from 3.70 for </w:t>
      </w:r>
      <m:oMath>
        <m:r>
          <w:rPr>
            <w:rFonts w:ascii="Cambria Math" w:eastAsiaTheme="minorEastAsia" w:hAnsi="Cambria Math"/>
            <w:color w:val="231F20"/>
            <w:sz w:val="24"/>
            <w:szCs w:val="24"/>
            <w:lang w:val="en-US"/>
          </w:rPr>
          <m:t>for</m:t>
        </m:r>
      </m:oMath>
      <w:r w:rsidRPr="00AD275A">
        <w:rPr>
          <w:rFonts w:eastAsiaTheme="minorEastAsia"/>
          <w:color w:val="231F20"/>
          <w:sz w:val="24"/>
          <w:szCs w:val="24"/>
          <w:lang w:val="en-US"/>
        </w:rPr>
        <w:t>3.13 fo</w:t>
      </w:r>
      <m:oMath>
        <m:r>
          <w:rPr>
            <w:rFonts w:ascii="Cambria Math" w:eastAsiaTheme="minorEastAsia" w:hAnsi="Cambria Math"/>
            <w:color w:val="231F20"/>
            <w:sz w:val="24"/>
            <w:szCs w:val="24"/>
            <w:lang w:val="en-US"/>
          </w:rPr>
          <m:t xml:space="preserve"> </m:t>
        </m:r>
        <m:r>
          <w:rPr>
            <w:rFonts w:ascii="Cambria Math" w:eastAsiaTheme="minorEastAsia" w:hAnsi="Cambria Math"/>
            <w:color w:val="231F20"/>
            <w:sz w:val="24"/>
            <w:szCs w:val="24"/>
            <w:lang w:val="en-US"/>
          </w:rPr>
          <m:t>H</m:t>
        </m:r>
        <m:r>
          <w:rPr>
            <w:rFonts w:ascii="Cambria Math" w:eastAsiaTheme="minorEastAsia" w:hAnsi="Cambria Math"/>
            <w:color w:val="231F20"/>
            <w:sz w:val="24"/>
            <w:szCs w:val="24"/>
            <w:lang w:val="en-US"/>
          </w:rPr>
          <m:t>=3</m:t>
        </m:r>
      </m:oMath>
      <w:r w:rsidRPr="00AD275A">
        <w:rPr>
          <w:rFonts w:eastAsiaTheme="minorEastAsia"/>
          <w:color w:val="231F20"/>
          <w:sz w:val="24"/>
          <w:szCs w:val="24"/>
          <w:lang w:val="en-US"/>
        </w:rPr>
        <w:t>, while the accuracy-related metrics remained close. This suggests that the longer prediction horizon mainly improves action sequence smoothness rather than final pose accuracy under the present simulation settings. These numerical results support the feasibility of the proposed upper-level planner, but they do not imply guaranteed convergence under arbitrary contact conditions or direct validation on a physical robotic hand.</w:t>
      </w:r>
    </w:p>
    <w:p w14:paraId="78A83D9A" w14:textId="77777777" w:rsidR="002A2F8C" w:rsidRPr="00AD275A" w:rsidRDefault="002A2F8C" w:rsidP="00AD275A">
      <w:pPr>
        <w:pStyle w:val="BodyText"/>
        <w:snapToGrid w:val="0"/>
        <w:ind w:left="110" w:firstLine="400"/>
        <w:jc w:val="both"/>
        <w:rPr>
          <w:rFonts w:eastAsiaTheme="minorEastAsia"/>
          <w:color w:val="231F20"/>
          <w:sz w:val="24"/>
          <w:szCs w:val="24"/>
          <w:lang w:val="en-US"/>
        </w:rPr>
      </w:pPr>
    </w:p>
    <w:p w14:paraId="6A3E0D99" w14:textId="77777777" w:rsidR="00F02C74" w:rsidRPr="00AD275A" w:rsidRDefault="008D26D6" w:rsidP="00AD275A">
      <w:pPr>
        <w:pStyle w:val="Heading1"/>
        <w:tabs>
          <w:tab w:val="left" w:pos="391"/>
        </w:tabs>
        <w:snapToGrid w:val="0"/>
        <w:ind w:hanging="390"/>
        <w:rPr>
          <w:color w:val="231F20"/>
          <w:spacing w:val="-6"/>
          <w:sz w:val="24"/>
          <w:szCs w:val="24"/>
          <w:lang w:val="en-US"/>
        </w:rPr>
      </w:pPr>
      <w:r w:rsidRPr="00AD275A">
        <w:rPr>
          <w:rFonts w:eastAsiaTheme="minorEastAsia" w:hint="eastAsia"/>
          <w:color w:val="231F20"/>
          <w:spacing w:val="-6"/>
          <w:sz w:val="24"/>
          <w:szCs w:val="24"/>
          <w:lang w:val="en-US"/>
        </w:rPr>
        <w:t>4</w:t>
      </w:r>
      <w:r w:rsidRPr="00AD275A">
        <w:rPr>
          <w:rFonts w:hint="eastAsia"/>
          <w:color w:val="231F20"/>
          <w:spacing w:val="-6"/>
          <w:sz w:val="24"/>
          <w:szCs w:val="24"/>
          <w:lang w:val="en-US"/>
        </w:rPr>
        <w:t>.</w:t>
      </w:r>
      <w:r w:rsidRPr="00AD275A">
        <w:rPr>
          <w:color w:val="231F20"/>
          <w:spacing w:val="-6"/>
          <w:sz w:val="24"/>
          <w:szCs w:val="24"/>
          <w:lang w:val="en-US"/>
        </w:rPr>
        <w:t xml:space="preserve"> Conclusion</w:t>
      </w:r>
    </w:p>
    <w:p w14:paraId="6A3E0D9A" w14:textId="77777777" w:rsidR="00F02C74" w:rsidRPr="00AD275A" w:rsidRDefault="008D26D6" w:rsidP="00AD275A">
      <w:pPr>
        <w:pStyle w:val="BodyText"/>
        <w:snapToGrid w:val="0"/>
        <w:ind w:right="106"/>
        <w:jc w:val="both"/>
        <w:rPr>
          <w:rFonts w:eastAsiaTheme="minorEastAsia"/>
          <w:color w:val="231F20"/>
          <w:sz w:val="24"/>
          <w:szCs w:val="24"/>
          <w:lang w:val="en-US"/>
        </w:rPr>
      </w:pPr>
      <w:r w:rsidRPr="00AD275A">
        <w:rPr>
          <w:rFonts w:eastAsiaTheme="minorEastAsia"/>
          <w:color w:val="231F20"/>
          <w:sz w:val="24"/>
          <w:szCs w:val="24"/>
          <w:lang w:val="en-US"/>
        </w:rPr>
        <w:t>This paper investigated local post-grasp pose adjustment for a tendon-driven underactuated robotic hand and proposed a finite-action-set receding-horizon motor reference planning method. The continuous motor reference increment was discretized into representative actions, and a nominal action-effect table was used for local pose prediction. At each decision instant, the planner evaluated candidate sequences by considering pose error, action magnitude, motor limits, grasp margin, and action switching, execut</w:t>
      </w:r>
      <w:r w:rsidRPr="00AD275A">
        <w:rPr>
          <w:rFonts w:eastAsiaTheme="minorEastAsia"/>
          <w:color w:val="231F20"/>
          <w:sz w:val="24"/>
          <w:szCs w:val="24"/>
          <w:lang w:val="en-US"/>
        </w:rPr>
        <w:t>ed only the first action of the optimal sequence, and replanned after feedback was obtained.</w:t>
      </w:r>
    </w:p>
    <w:p w14:paraId="6A3E0D9B" w14:textId="682307E0" w:rsidR="00F02C74" w:rsidRDefault="008D26D6" w:rsidP="002A2F8C">
      <w:pPr>
        <w:pStyle w:val="BodyText"/>
        <w:snapToGrid w:val="0"/>
        <w:ind w:right="106" w:firstLine="400"/>
        <w:jc w:val="both"/>
        <w:rPr>
          <w:rFonts w:eastAsiaTheme="minorEastAsia"/>
          <w:color w:val="231F20"/>
          <w:sz w:val="24"/>
          <w:szCs w:val="24"/>
          <w:lang w:val="en-US"/>
        </w:rPr>
      </w:pPr>
      <w:r w:rsidRPr="00AD275A">
        <w:rPr>
          <w:rFonts w:eastAsiaTheme="minorEastAsia"/>
          <w:color w:val="231F20"/>
          <w:sz w:val="24"/>
          <w:szCs w:val="24"/>
          <w:lang w:val="en-US"/>
        </w:rPr>
        <w:t xml:space="preserve">Simulation results showed that the proposed method can generate feasible motor reference increment sequences for both single-axis and two-dimensional local pose adjustment tasks. The object </w:t>
      </w:r>
      <w:r w:rsidR="002A2F8C" w:rsidRPr="002A2F8C">
        <w:rPr>
          <w:rFonts w:eastAsiaTheme="minorEastAsia"/>
          <w:color w:val="231F20"/>
          <w:sz w:val="24"/>
          <w:szCs w:val="24"/>
          <w:lang w:val="en-US"/>
        </w:rPr>
        <w:t>poses</w:t>
      </w:r>
      <w:r w:rsidRPr="00AD275A">
        <w:rPr>
          <w:rFonts w:eastAsiaTheme="minorEastAsia"/>
          <w:color w:val="231F20"/>
          <w:sz w:val="24"/>
          <w:szCs w:val="24"/>
          <w:lang w:val="en-US"/>
        </w:rPr>
        <w:t xml:space="preserve"> gradually approached the target neighborhood while the motor references remained within the allowable range. Compared with one-step planning, the </w:t>
      </w:r>
      <m:oMath>
        <m:r>
          <w:rPr>
            <w:rFonts w:ascii="Cambria Math" w:eastAsiaTheme="minorEastAsia" w:hAnsi="Cambria Math"/>
            <w:color w:val="231F20"/>
            <w:sz w:val="24"/>
            <w:szCs w:val="24"/>
            <w:lang w:val="en-US"/>
          </w:rPr>
          <m:t>H</m:t>
        </m:r>
        <m:r>
          <w:rPr>
            <w:rFonts w:ascii="Cambria Math" w:eastAsiaTheme="minorEastAsia" w:hAnsi="Cambria Math"/>
            <w:color w:val="231F20"/>
            <w:sz w:val="24"/>
            <w:szCs w:val="24"/>
            <w:lang w:val="en-US"/>
          </w:rPr>
          <m:t>=3</m:t>
        </m:r>
      </m:oMath>
      <w:r w:rsidRPr="00AD275A">
        <w:rPr>
          <w:rFonts w:eastAsiaTheme="minorEastAsia"/>
          <w:color w:val="231F20"/>
          <w:sz w:val="24"/>
          <w:szCs w:val="24"/>
          <w:lang w:val="en-US"/>
        </w:rPr>
        <w:t xml:space="preserve"> setting reduced action switching in the two-dimensional task while maintaining comparable accuracy-related performance. Future work will focus on physical experiments, online updating of the action-effect table, and integration of tactile or contact feedback.</w:t>
      </w:r>
    </w:p>
    <w:p w14:paraId="63F48C1A" w14:textId="77777777" w:rsidR="002A2F8C" w:rsidRDefault="002A2F8C" w:rsidP="002A2F8C">
      <w:pPr>
        <w:pStyle w:val="BodyText"/>
        <w:snapToGrid w:val="0"/>
        <w:ind w:right="106" w:firstLine="400"/>
        <w:jc w:val="both"/>
        <w:rPr>
          <w:rFonts w:eastAsiaTheme="minorEastAsia"/>
          <w:color w:val="231F20"/>
          <w:sz w:val="24"/>
          <w:szCs w:val="24"/>
          <w:lang w:val="en-US"/>
        </w:rPr>
      </w:pPr>
    </w:p>
    <w:p w14:paraId="2FC6ED43" w14:textId="77777777" w:rsidR="001102EC" w:rsidRPr="00AD275A" w:rsidRDefault="001102EC" w:rsidP="001102EC">
      <w:pPr>
        <w:widowControl/>
        <w:snapToGrid w:val="0"/>
        <w:rPr>
          <w:rFonts w:eastAsia="TimesNewRomanPS-BoldMT"/>
          <w:b/>
          <w:bCs/>
          <w:color w:val="231F20"/>
          <w:sz w:val="24"/>
          <w:szCs w:val="24"/>
          <w:lang w:val="en-MY" w:bidi="ar"/>
        </w:rPr>
      </w:pPr>
      <w:r w:rsidRPr="00AD275A">
        <w:rPr>
          <w:rFonts w:eastAsia="TimesNewRomanPS-BoldMT"/>
          <w:b/>
          <w:bCs/>
          <w:color w:val="231F20"/>
          <w:sz w:val="24"/>
          <w:szCs w:val="24"/>
          <w:lang w:val="en-MY" w:bidi="ar"/>
        </w:rPr>
        <w:t>Disclosure statement</w:t>
      </w:r>
    </w:p>
    <w:p w14:paraId="7D88EB0B" w14:textId="77777777" w:rsidR="001102EC" w:rsidRPr="00AD275A" w:rsidRDefault="001102EC" w:rsidP="001102EC">
      <w:pPr>
        <w:snapToGrid w:val="0"/>
        <w:rPr>
          <w:sz w:val="24"/>
          <w:szCs w:val="24"/>
          <w:lang w:val="en-MY"/>
        </w:rPr>
      </w:pPr>
      <w:r w:rsidRPr="00AD275A">
        <w:rPr>
          <w:sz w:val="24"/>
          <w:szCs w:val="24"/>
          <w:lang w:val="en-MY"/>
        </w:rPr>
        <w:t>The authors declare no conflict of interest.</w:t>
      </w:r>
    </w:p>
    <w:p w14:paraId="7F32C0C8" w14:textId="77777777" w:rsidR="002A2F8C" w:rsidRPr="00AD275A" w:rsidRDefault="002A2F8C" w:rsidP="00AD275A">
      <w:pPr>
        <w:pStyle w:val="BodyText"/>
        <w:snapToGrid w:val="0"/>
        <w:ind w:right="106"/>
        <w:jc w:val="both"/>
        <w:rPr>
          <w:rFonts w:eastAsiaTheme="minorEastAsia"/>
          <w:color w:val="231F20"/>
          <w:sz w:val="24"/>
          <w:szCs w:val="24"/>
          <w:lang w:val="en-MY"/>
        </w:rPr>
      </w:pPr>
    </w:p>
    <w:p w14:paraId="6A3E0D9C" w14:textId="77777777" w:rsidR="00F02C74" w:rsidRPr="00AD275A" w:rsidRDefault="008D26D6" w:rsidP="00AD275A">
      <w:pPr>
        <w:pStyle w:val="Heading1"/>
        <w:tabs>
          <w:tab w:val="left" w:pos="391"/>
        </w:tabs>
        <w:snapToGrid w:val="0"/>
        <w:ind w:left="0" w:firstLine="0"/>
        <w:rPr>
          <w:rFonts w:eastAsiaTheme="minorEastAsia"/>
          <w:color w:val="231F20"/>
          <w:spacing w:val="-6"/>
          <w:sz w:val="24"/>
          <w:szCs w:val="24"/>
          <w:lang w:val="en-US"/>
        </w:rPr>
      </w:pPr>
      <w:r w:rsidRPr="00AD275A">
        <w:rPr>
          <w:rFonts w:hint="eastAsia"/>
          <w:color w:val="231F20"/>
          <w:spacing w:val="-6"/>
          <w:sz w:val="24"/>
          <w:szCs w:val="24"/>
          <w:lang w:val="en-US"/>
        </w:rPr>
        <w:t>References</w:t>
      </w:r>
    </w:p>
    <w:p w14:paraId="6E2418A0" w14:textId="77777777" w:rsidR="005F399C" w:rsidRDefault="005F399C" w:rsidP="005F399C">
      <w:pPr>
        <w:snapToGrid w:val="0"/>
        <w:ind w:left="709" w:hanging="709"/>
        <w:jc w:val="both"/>
        <w:rPr>
          <w:color w:val="231F20"/>
          <w:sz w:val="24"/>
          <w:szCs w:val="24"/>
          <w:lang w:val="en-MY"/>
        </w:rPr>
      </w:pPr>
      <w:r>
        <w:rPr>
          <w:color w:val="231F20"/>
          <w:sz w:val="24"/>
          <w:szCs w:val="24"/>
          <w:lang w:val="en-US"/>
        </w:rPr>
        <w:t>[1]</w:t>
      </w:r>
      <w:r>
        <w:rPr>
          <w:color w:val="231F20"/>
          <w:sz w:val="24"/>
          <w:szCs w:val="24"/>
          <w:lang w:val="en-US"/>
        </w:rPr>
        <w:tab/>
      </w:r>
      <w:r w:rsidRPr="005F399C">
        <w:rPr>
          <w:color w:val="231F20"/>
          <w:sz w:val="24"/>
          <w:szCs w:val="24"/>
          <w:lang w:val="en-MY"/>
        </w:rPr>
        <w:t xml:space="preserve">Li H, Ford C, Bianchi M, et al., 2022, BRL/Pisa/IIT </w:t>
      </w:r>
      <w:proofErr w:type="spellStart"/>
      <w:r w:rsidRPr="005F399C">
        <w:rPr>
          <w:color w:val="231F20"/>
          <w:sz w:val="24"/>
          <w:szCs w:val="24"/>
          <w:lang w:val="en-MY"/>
        </w:rPr>
        <w:t>SoftHand</w:t>
      </w:r>
      <w:proofErr w:type="spellEnd"/>
      <w:r w:rsidRPr="005F399C">
        <w:rPr>
          <w:color w:val="231F20"/>
          <w:sz w:val="24"/>
          <w:szCs w:val="24"/>
          <w:lang w:val="en-MY"/>
        </w:rPr>
        <w:t xml:space="preserve">: A Low-Cost, 3D-Printed, Underactuated, Tendon-Driven Hand </w:t>
      </w:r>
      <w:r>
        <w:rPr>
          <w:color w:val="231F20"/>
          <w:sz w:val="24"/>
          <w:szCs w:val="24"/>
          <w:lang w:val="en-MY"/>
        </w:rPr>
        <w:t>w</w:t>
      </w:r>
      <w:r w:rsidRPr="005F399C">
        <w:rPr>
          <w:color w:val="231F20"/>
          <w:sz w:val="24"/>
          <w:szCs w:val="24"/>
          <w:lang w:val="en-MY"/>
        </w:rPr>
        <w:t>ith Soft and Adaptive Synergies. IEEE Robotics and Automation Letters, 7(4): 8745–8751.</w:t>
      </w:r>
    </w:p>
    <w:p w14:paraId="77684427"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2</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Zhou X, Fu H, Shentu B, et al., 2024, Design and Control of a Tendon-Driven Robotic Finger Based on Grasping Task Analysis. Biomimetics, 9(6): 370.</w:t>
      </w:r>
    </w:p>
    <w:p w14:paraId="78A81083"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3</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Li G, Liang X, Gao Y, et al., 2024, A Linkage-Driven Underactuated Robotic Hand for Adaptive Grasping and In-Hand Manipulation. IEEE Transactions on Automation Science and Engineering, 21(3): 3039–3051.</w:t>
      </w:r>
    </w:p>
    <w:p w14:paraId="34FB1E74"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4</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Morgan A, Hang K, Wen B, et al., 2022, Complex In-Hand Manipulation Via Compliance-Enabled Finger Gaiting and Multi-Modal Planning. IEEE Robotics and Automation Letters, 7(2): 4821–4828.</w:t>
      </w:r>
    </w:p>
    <w:p w14:paraId="2822B90A"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5</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 xml:space="preserve">Chen T, </w:t>
      </w:r>
      <w:proofErr w:type="spellStart"/>
      <w:r w:rsidRPr="005F399C">
        <w:rPr>
          <w:color w:val="231F20"/>
          <w:sz w:val="24"/>
          <w:szCs w:val="24"/>
          <w:lang w:val="en-MY"/>
        </w:rPr>
        <w:t>Tippur</w:t>
      </w:r>
      <w:proofErr w:type="spellEnd"/>
      <w:r w:rsidRPr="005F399C">
        <w:rPr>
          <w:color w:val="231F20"/>
          <w:sz w:val="24"/>
          <w:szCs w:val="24"/>
          <w:lang w:val="en-MY"/>
        </w:rPr>
        <w:t xml:space="preserve"> M, Wu S, et al., 2023, Visual Dexterity: In-Hand Reorientation of Novel and Complex Object Shapes. Science Robotics, 8(84): eadc9244.</w:t>
      </w:r>
    </w:p>
    <w:p w14:paraId="7B869719"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6</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Jiang Y, Yu M, Zhu X, et al., 2024, Contact-Implicit Model Predictive Control for Dexterous In-Hand Manipulation: A Long-Horizon and Robust Approach. 2024 IEEE/RSJ International Conference on Intelligent Robots and Systems: 5260–5266.</w:t>
      </w:r>
    </w:p>
    <w:p w14:paraId="5639C65F"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7</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Yu M, Jiang Y, Chen C, et al., 2025, Robotic In-Hand Manipulation for Large-Range Precise Object Movement: The RGMC Champion Solution. IEEE Robotics and Automation Letters, 10(5): 4738–4745.</w:t>
      </w:r>
    </w:p>
    <w:p w14:paraId="62F9DB45"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8</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Sieler A, Brock O, 2023, Dexterous Soft Hands Linearize Feedback-Control for In-Hand Manipulation. 2023 IEEE/RSJ International Conference on Intelligent Robots and Systems: 8757–8764.</w:t>
      </w:r>
    </w:p>
    <w:p w14:paraId="39CE5C12"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9</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 xml:space="preserve">Saito D, </w:t>
      </w:r>
      <w:proofErr w:type="spellStart"/>
      <w:r w:rsidRPr="005F399C">
        <w:rPr>
          <w:color w:val="231F20"/>
          <w:sz w:val="24"/>
          <w:szCs w:val="24"/>
          <w:lang w:val="en-MY"/>
        </w:rPr>
        <w:t>Kanehira</w:t>
      </w:r>
      <w:proofErr w:type="spellEnd"/>
      <w:r w:rsidRPr="005F399C">
        <w:rPr>
          <w:color w:val="231F20"/>
          <w:sz w:val="24"/>
          <w:szCs w:val="24"/>
          <w:lang w:val="en-MY"/>
        </w:rPr>
        <w:t xml:space="preserve"> A, Sasabuchi K, et al., 2024, </w:t>
      </w:r>
      <w:proofErr w:type="spellStart"/>
      <w:r w:rsidRPr="005F399C">
        <w:rPr>
          <w:color w:val="231F20"/>
          <w:sz w:val="24"/>
          <w:szCs w:val="24"/>
          <w:lang w:val="en-MY"/>
        </w:rPr>
        <w:t>APriCoT</w:t>
      </w:r>
      <w:proofErr w:type="spellEnd"/>
      <w:r w:rsidRPr="005F399C">
        <w:rPr>
          <w:color w:val="231F20"/>
          <w:sz w:val="24"/>
          <w:szCs w:val="24"/>
          <w:lang w:val="en-MY"/>
        </w:rPr>
        <w:t>: Action Primitives Based on Contact-</w:t>
      </w:r>
      <w:r w:rsidRPr="005F399C">
        <w:rPr>
          <w:color w:val="231F20"/>
          <w:sz w:val="24"/>
          <w:szCs w:val="24"/>
          <w:lang w:val="en-MY"/>
        </w:rPr>
        <w:lastRenderedPageBreak/>
        <w:t>State Transition for In-Hand Tool Manipulation. 2024 IEEE-RAS 23rd International Conference on Humanoid Robots: 827–834.</w:t>
      </w:r>
    </w:p>
    <w:p w14:paraId="7725F6EF"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w:t>
      </w:r>
      <w:r>
        <w:rPr>
          <w:color w:val="231F20"/>
          <w:sz w:val="24"/>
          <w:szCs w:val="24"/>
          <w:lang w:val="en-MY"/>
        </w:rPr>
        <w:t>10</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Bircher W, Morgan A, Dollar A, 2021, Complex Manipulation with a Simple Robotic Hand Through Contact Breaking and Caging. Science Robotics, 6(54): eabd2666.</w:t>
      </w:r>
    </w:p>
    <w:p w14:paraId="56D52BA3"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1</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Teeple C, Aktas B, Yuen M, et al., 2022, Controlling Palm-Object Interactions Via Friction for Enhanced In-Hand Manipulation. IEEE Robotics and Automation Letters, 7(2): 2258–2265.</w:t>
      </w:r>
    </w:p>
    <w:p w14:paraId="2AAE50DC"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2</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 xml:space="preserve">Yu C, Wang P, 2022, Dexterous Manipulation for Multi-Fingered Robotic Hands </w:t>
      </w:r>
      <w:r>
        <w:rPr>
          <w:color w:val="231F20"/>
          <w:sz w:val="24"/>
          <w:szCs w:val="24"/>
          <w:lang w:val="en-MY"/>
        </w:rPr>
        <w:t>w</w:t>
      </w:r>
      <w:r w:rsidRPr="005F399C">
        <w:rPr>
          <w:color w:val="231F20"/>
          <w:sz w:val="24"/>
          <w:szCs w:val="24"/>
          <w:lang w:val="en-MY"/>
        </w:rPr>
        <w:t>ith Reinforcement Learning: A Review. Frontiers in Neurorobotics, 16: 861825.</w:t>
      </w:r>
    </w:p>
    <w:p w14:paraId="57F3243A"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3</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 xml:space="preserve">Chen T, Xu J, Agrawal P, 2021, A System for General In-Hand Object Re-Orientation. </w:t>
      </w:r>
      <w:proofErr w:type="spellStart"/>
      <w:r w:rsidRPr="005F399C">
        <w:rPr>
          <w:color w:val="231F20"/>
          <w:sz w:val="24"/>
          <w:szCs w:val="24"/>
          <w:lang w:val="en-MY"/>
        </w:rPr>
        <w:t>arXiv</w:t>
      </w:r>
      <w:proofErr w:type="spellEnd"/>
      <w:r w:rsidRPr="005F399C">
        <w:rPr>
          <w:color w:val="231F20"/>
          <w:sz w:val="24"/>
          <w:szCs w:val="24"/>
          <w:lang w:val="en-MY"/>
        </w:rPr>
        <w:t>, arXiv:2111.03043.</w:t>
      </w:r>
    </w:p>
    <w:p w14:paraId="0C8F03F1"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4</w:t>
      </w:r>
      <w:r w:rsidRPr="005F399C">
        <w:rPr>
          <w:color w:val="231F20"/>
          <w:sz w:val="24"/>
          <w:szCs w:val="24"/>
          <w:lang w:val="en-MY"/>
        </w:rPr>
        <w:t xml:space="preserve">] </w:t>
      </w:r>
      <w:r>
        <w:rPr>
          <w:color w:val="231F20"/>
          <w:sz w:val="24"/>
          <w:szCs w:val="24"/>
          <w:lang w:val="en-MY"/>
        </w:rPr>
        <w:tab/>
      </w:r>
      <w:proofErr w:type="spellStart"/>
      <w:r w:rsidRPr="005F399C">
        <w:rPr>
          <w:color w:val="231F20"/>
          <w:sz w:val="24"/>
          <w:szCs w:val="24"/>
          <w:lang w:val="en-MY"/>
        </w:rPr>
        <w:t>Chanrungmaneekul</w:t>
      </w:r>
      <w:proofErr w:type="spellEnd"/>
      <w:r w:rsidRPr="005F399C">
        <w:rPr>
          <w:color w:val="231F20"/>
          <w:sz w:val="24"/>
          <w:szCs w:val="24"/>
          <w:lang w:val="en-MY"/>
        </w:rPr>
        <w:t xml:space="preserve"> P, Ren K, Grace J, et al., 2023, Non-Parametric Self-Identification and Model Predictive Control of Dexterous In-Hand Manipulation. 2023 IEEE/RSJ International Conference on Intelligent Robots and Systems: 8743–8750.</w:t>
      </w:r>
    </w:p>
    <w:p w14:paraId="0D172F49"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5</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 xml:space="preserve">Weinberg A, </w:t>
      </w:r>
      <w:proofErr w:type="spellStart"/>
      <w:r w:rsidRPr="005F399C">
        <w:rPr>
          <w:color w:val="231F20"/>
          <w:sz w:val="24"/>
          <w:szCs w:val="24"/>
          <w:lang w:val="en-MY"/>
        </w:rPr>
        <w:t>Shirizly</w:t>
      </w:r>
      <w:proofErr w:type="spellEnd"/>
      <w:r w:rsidRPr="005F399C">
        <w:rPr>
          <w:color w:val="231F20"/>
          <w:sz w:val="24"/>
          <w:szCs w:val="24"/>
          <w:lang w:val="en-MY"/>
        </w:rPr>
        <w:t xml:space="preserve"> A, Azulay O, et al., 2024, Survey of Learning-Based Approaches for Robotic In-Hand Manipulation. Frontiers in Robotics and AI, 11: 1455431.</w:t>
      </w:r>
    </w:p>
    <w:p w14:paraId="4864BEFE"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6</w:t>
      </w:r>
      <w:r w:rsidRPr="005F399C">
        <w:rPr>
          <w:color w:val="231F20"/>
          <w:sz w:val="24"/>
          <w:szCs w:val="24"/>
          <w:lang w:val="en-MY"/>
        </w:rPr>
        <w:t xml:space="preserve">] </w:t>
      </w:r>
      <w:r>
        <w:rPr>
          <w:color w:val="231F20"/>
          <w:sz w:val="24"/>
          <w:szCs w:val="24"/>
          <w:lang w:val="en-MY"/>
        </w:rPr>
        <w:tab/>
      </w:r>
      <w:proofErr w:type="spellStart"/>
      <w:r w:rsidRPr="005F399C">
        <w:rPr>
          <w:color w:val="231F20"/>
          <w:sz w:val="24"/>
          <w:szCs w:val="24"/>
          <w:lang w:val="en-MY"/>
        </w:rPr>
        <w:t>Sintov</w:t>
      </w:r>
      <w:proofErr w:type="spellEnd"/>
      <w:r w:rsidRPr="005F399C">
        <w:rPr>
          <w:color w:val="231F20"/>
          <w:sz w:val="24"/>
          <w:szCs w:val="24"/>
          <w:lang w:val="en-MY"/>
        </w:rPr>
        <w:t xml:space="preserve"> A, Kimmel A, Wen B, et al., 2020, Tools for Data-Driven </w:t>
      </w:r>
      <w:proofErr w:type="spellStart"/>
      <w:r w:rsidRPr="005F399C">
        <w:rPr>
          <w:color w:val="231F20"/>
          <w:sz w:val="24"/>
          <w:szCs w:val="24"/>
          <w:lang w:val="en-MY"/>
        </w:rPr>
        <w:t>Modeling</w:t>
      </w:r>
      <w:proofErr w:type="spellEnd"/>
      <w:r w:rsidRPr="005F399C">
        <w:rPr>
          <w:color w:val="231F20"/>
          <w:sz w:val="24"/>
          <w:szCs w:val="24"/>
          <w:lang w:val="en-MY"/>
        </w:rPr>
        <w:t xml:space="preserve"> of Within-Hand Manipulation with Underactuated Adaptive Hands. Proceedings of Machine Learning Research, 120: 771–780.</w:t>
      </w:r>
    </w:p>
    <w:p w14:paraId="134C5543" w14:textId="77777777" w:rsidR="005F399C" w:rsidRDefault="005F399C" w:rsidP="005F399C">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7</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Patidar S, Sieler A, Brock O, 2023, In-Hand Cube Reconfiguration: Simplified. 2023 IEEE/RSJ International Conference on Intelligent Robots and Systems: 8751–8756.</w:t>
      </w:r>
    </w:p>
    <w:p w14:paraId="6E8DDD14" w14:textId="50548604" w:rsidR="005F399C" w:rsidRPr="005F399C" w:rsidRDefault="005F399C" w:rsidP="00AD275A">
      <w:pPr>
        <w:snapToGrid w:val="0"/>
        <w:ind w:left="709" w:hanging="709"/>
        <w:jc w:val="both"/>
        <w:rPr>
          <w:color w:val="231F20"/>
          <w:sz w:val="24"/>
          <w:szCs w:val="24"/>
          <w:lang w:val="en-MY"/>
        </w:rPr>
      </w:pPr>
      <w:r w:rsidRPr="005F399C">
        <w:rPr>
          <w:color w:val="231F20"/>
          <w:sz w:val="24"/>
          <w:szCs w:val="24"/>
          <w:lang w:val="en-MY"/>
        </w:rPr>
        <w:t>[1</w:t>
      </w:r>
      <w:r>
        <w:rPr>
          <w:color w:val="231F20"/>
          <w:sz w:val="24"/>
          <w:szCs w:val="24"/>
          <w:lang w:val="en-MY"/>
        </w:rPr>
        <w:t>8</w:t>
      </w:r>
      <w:r w:rsidRPr="005F399C">
        <w:rPr>
          <w:color w:val="231F20"/>
          <w:sz w:val="24"/>
          <w:szCs w:val="24"/>
          <w:lang w:val="en-MY"/>
        </w:rPr>
        <w:t xml:space="preserve">] </w:t>
      </w:r>
      <w:r>
        <w:rPr>
          <w:color w:val="231F20"/>
          <w:sz w:val="24"/>
          <w:szCs w:val="24"/>
          <w:lang w:val="en-MY"/>
        </w:rPr>
        <w:tab/>
      </w:r>
      <w:r w:rsidRPr="005F399C">
        <w:rPr>
          <w:color w:val="231F20"/>
          <w:sz w:val="24"/>
          <w:szCs w:val="24"/>
          <w:lang w:val="en-MY"/>
        </w:rPr>
        <w:t>Hess A, Kübler A, Forrai B, et al., 2025, Sampling-Based Model Predictive Control for Dexterous Manipulation on a Biomimetic Tendon-Driven Hand. 2025 IEEE/RSJ International Conference on Intelligent Robots and Systems: 5509–5516.</w:t>
      </w:r>
    </w:p>
    <w:p w14:paraId="32D59FDF" w14:textId="77777777" w:rsidR="0022084D" w:rsidRDefault="0022084D" w:rsidP="009155F0">
      <w:pPr>
        <w:snapToGrid w:val="0"/>
        <w:rPr>
          <w:color w:val="231F20"/>
          <w:sz w:val="24"/>
          <w:szCs w:val="24"/>
          <w:lang w:val="en-US"/>
        </w:rPr>
      </w:pPr>
    </w:p>
    <w:p w14:paraId="095BB827" w14:textId="77777777" w:rsidR="0022084D" w:rsidRPr="00AD275A" w:rsidRDefault="0022084D" w:rsidP="0022084D">
      <w:pPr>
        <w:tabs>
          <w:tab w:val="left" w:pos="420"/>
        </w:tabs>
        <w:snapToGrid w:val="0"/>
        <w:rPr>
          <w:b/>
          <w:bCs/>
          <w:sz w:val="20"/>
          <w:szCs w:val="20"/>
          <w:lang w:val="en-MY"/>
        </w:rPr>
      </w:pPr>
      <w:r w:rsidRPr="00AD275A">
        <w:rPr>
          <w:b/>
          <w:bCs/>
          <w:sz w:val="20"/>
          <w:szCs w:val="20"/>
          <w:lang w:val="en-MY"/>
        </w:rPr>
        <w:t>Publisher’s note</w:t>
      </w:r>
    </w:p>
    <w:p w14:paraId="1EB46FA2" w14:textId="77777777" w:rsidR="0022084D" w:rsidRPr="00AD275A" w:rsidRDefault="0022084D" w:rsidP="0022084D">
      <w:pPr>
        <w:tabs>
          <w:tab w:val="left" w:pos="420"/>
        </w:tabs>
        <w:snapToGrid w:val="0"/>
        <w:rPr>
          <w:bCs/>
          <w:sz w:val="20"/>
          <w:szCs w:val="20"/>
          <w:lang w:val="en-MY"/>
        </w:rPr>
      </w:pPr>
      <w:r w:rsidRPr="00AD275A">
        <w:rPr>
          <w:bCs/>
          <w:sz w:val="20"/>
          <w:szCs w:val="20"/>
          <w:lang w:val="en-MY"/>
        </w:rPr>
        <w:t xml:space="preserve">Bio-Byword Scientific Publishing remains neutral with regard to jurisdictional claims in published maps and institutional affiliations. </w:t>
      </w:r>
    </w:p>
    <w:p w14:paraId="1AE61FB9" w14:textId="77777777" w:rsidR="0022084D" w:rsidRPr="00AD275A" w:rsidRDefault="0022084D" w:rsidP="00AD275A">
      <w:pPr>
        <w:snapToGrid w:val="0"/>
        <w:rPr>
          <w:color w:val="231F20"/>
          <w:sz w:val="24"/>
          <w:szCs w:val="24"/>
          <w:lang w:val="en-MY"/>
        </w:rPr>
      </w:pPr>
    </w:p>
    <w:sectPr w:rsidR="0022084D" w:rsidRPr="00AD275A" w:rsidSect="00AD275A">
      <w:footerReference w:type="even" r:id="rId9"/>
      <w:footerReference w:type="default" r:id="rId10"/>
      <w:pgSz w:w="12250" w:h="17180"/>
      <w:pgMar w:top="1134" w:right="1134" w:bottom="1134" w:left="1134"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5A47" w14:textId="77777777" w:rsidR="008D26D6" w:rsidRDefault="008D26D6">
      <w:r>
        <w:separator/>
      </w:r>
    </w:p>
  </w:endnote>
  <w:endnote w:type="continuationSeparator" w:id="0">
    <w:p w14:paraId="74F93824" w14:textId="77777777" w:rsidR="008D26D6" w:rsidRDefault="008D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BoldMT">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0DB4" w14:textId="77777777" w:rsidR="00F02C74" w:rsidRDefault="00F02C7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0DB5" w14:textId="77777777" w:rsidR="00F02C74" w:rsidRDefault="00F02C7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389C" w14:textId="77777777" w:rsidR="008D26D6" w:rsidRDefault="008D26D6">
      <w:r>
        <w:separator/>
      </w:r>
    </w:p>
  </w:footnote>
  <w:footnote w:type="continuationSeparator" w:id="0">
    <w:p w14:paraId="62672103" w14:textId="77777777" w:rsidR="008D26D6" w:rsidRDefault="008D2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510" w:hanging="401"/>
      </w:pPr>
      <w:rPr>
        <w:rFonts w:ascii="Times New Roman" w:eastAsia="Times New Roman" w:hAnsi="Times New Roman" w:cs="Times New Roman" w:hint="default"/>
        <w:color w:val="231F20"/>
        <w:spacing w:val="-1"/>
        <w:w w:val="100"/>
        <w:sz w:val="20"/>
        <w:szCs w:val="20"/>
        <w:lang w:val="zh-CN" w:eastAsia="zh-CN" w:bidi="zh-CN"/>
      </w:rPr>
    </w:lvl>
    <w:lvl w:ilvl="1">
      <w:numFmt w:val="bullet"/>
      <w:lvlText w:val="•"/>
      <w:lvlJc w:val="left"/>
      <w:pPr>
        <w:ind w:left="1476" w:hanging="401"/>
      </w:pPr>
      <w:rPr>
        <w:rFonts w:hint="default"/>
        <w:lang w:val="zh-CN" w:eastAsia="zh-CN" w:bidi="zh-CN"/>
      </w:rPr>
    </w:lvl>
    <w:lvl w:ilvl="2">
      <w:numFmt w:val="bullet"/>
      <w:lvlText w:val="•"/>
      <w:lvlJc w:val="left"/>
      <w:pPr>
        <w:ind w:left="2433" w:hanging="401"/>
      </w:pPr>
      <w:rPr>
        <w:rFonts w:hint="default"/>
        <w:lang w:val="zh-CN" w:eastAsia="zh-CN" w:bidi="zh-CN"/>
      </w:rPr>
    </w:lvl>
    <w:lvl w:ilvl="3">
      <w:numFmt w:val="bullet"/>
      <w:lvlText w:val="•"/>
      <w:lvlJc w:val="left"/>
      <w:pPr>
        <w:ind w:left="3389" w:hanging="401"/>
      </w:pPr>
      <w:rPr>
        <w:rFonts w:hint="default"/>
        <w:lang w:val="zh-CN" w:eastAsia="zh-CN" w:bidi="zh-CN"/>
      </w:rPr>
    </w:lvl>
    <w:lvl w:ilvl="4">
      <w:numFmt w:val="bullet"/>
      <w:lvlText w:val="•"/>
      <w:lvlJc w:val="left"/>
      <w:pPr>
        <w:ind w:left="4346" w:hanging="401"/>
      </w:pPr>
      <w:rPr>
        <w:rFonts w:hint="default"/>
        <w:lang w:val="zh-CN" w:eastAsia="zh-CN" w:bidi="zh-CN"/>
      </w:rPr>
    </w:lvl>
    <w:lvl w:ilvl="5">
      <w:numFmt w:val="bullet"/>
      <w:lvlText w:val="•"/>
      <w:lvlJc w:val="left"/>
      <w:pPr>
        <w:ind w:left="5302" w:hanging="401"/>
      </w:pPr>
      <w:rPr>
        <w:rFonts w:hint="default"/>
        <w:lang w:val="zh-CN" w:eastAsia="zh-CN" w:bidi="zh-CN"/>
      </w:rPr>
    </w:lvl>
    <w:lvl w:ilvl="6">
      <w:numFmt w:val="bullet"/>
      <w:lvlText w:val="•"/>
      <w:lvlJc w:val="left"/>
      <w:pPr>
        <w:ind w:left="6259" w:hanging="401"/>
      </w:pPr>
      <w:rPr>
        <w:rFonts w:hint="default"/>
        <w:lang w:val="zh-CN" w:eastAsia="zh-CN" w:bidi="zh-CN"/>
      </w:rPr>
    </w:lvl>
    <w:lvl w:ilvl="7">
      <w:numFmt w:val="bullet"/>
      <w:lvlText w:val="•"/>
      <w:lvlJc w:val="left"/>
      <w:pPr>
        <w:ind w:left="7215" w:hanging="401"/>
      </w:pPr>
      <w:rPr>
        <w:rFonts w:hint="default"/>
        <w:lang w:val="zh-CN" w:eastAsia="zh-CN" w:bidi="zh-CN"/>
      </w:rPr>
    </w:lvl>
    <w:lvl w:ilvl="8">
      <w:numFmt w:val="bullet"/>
      <w:lvlText w:val="•"/>
      <w:lvlJc w:val="left"/>
      <w:pPr>
        <w:ind w:left="8172" w:hanging="401"/>
      </w:pPr>
      <w:rPr>
        <w:rFonts w:hint="default"/>
        <w:lang w:val="zh-CN" w:eastAsia="zh-CN" w:bidi="zh-CN"/>
      </w:rPr>
    </w:lvl>
  </w:abstractNum>
  <w:num w:numId="1" w16cid:durableId="33889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evenAndOddHeaders/>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56C6"/>
    <w:rsid w:val="00061324"/>
    <w:rsid w:val="00093780"/>
    <w:rsid w:val="000A1793"/>
    <w:rsid w:val="001102EC"/>
    <w:rsid w:val="00140971"/>
    <w:rsid w:val="00172A27"/>
    <w:rsid w:val="00176CBF"/>
    <w:rsid w:val="00212A14"/>
    <w:rsid w:val="0022084D"/>
    <w:rsid w:val="0022499B"/>
    <w:rsid w:val="002955B2"/>
    <w:rsid w:val="002A2F8C"/>
    <w:rsid w:val="002C461A"/>
    <w:rsid w:val="003338CB"/>
    <w:rsid w:val="00347B07"/>
    <w:rsid w:val="0039209B"/>
    <w:rsid w:val="003C3C88"/>
    <w:rsid w:val="003E0B5F"/>
    <w:rsid w:val="00437DA8"/>
    <w:rsid w:val="00447643"/>
    <w:rsid w:val="00447B44"/>
    <w:rsid w:val="004A3697"/>
    <w:rsid w:val="004F4E12"/>
    <w:rsid w:val="0051028F"/>
    <w:rsid w:val="00513923"/>
    <w:rsid w:val="005C0831"/>
    <w:rsid w:val="005F399C"/>
    <w:rsid w:val="00623C64"/>
    <w:rsid w:val="006702EA"/>
    <w:rsid w:val="006D0469"/>
    <w:rsid w:val="006F21BA"/>
    <w:rsid w:val="00762D26"/>
    <w:rsid w:val="0078096D"/>
    <w:rsid w:val="007930DA"/>
    <w:rsid w:val="007A2D91"/>
    <w:rsid w:val="007C634D"/>
    <w:rsid w:val="007C6C6C"/>
    <w:rsid w:val="00846530"/>
    <w:rsid w:val="008D26D6"/>
    <w:rsid w:val="008E38A9"/>
    <w:rsid w:val="009155F0"/>
    <w:rsid w:val="00971B7B"/>
    <w:rsid w:val="00975F36"/>
    <w:rsid w:val="009B042A"/>
    <w:rsid w:val="009C727F"/>
    <w:rsid w:val="009E377F"/>
    <w:rsid w:val="00AD2702"/>
    <w:rsid w:val="00AD275A"/>
    <w:rsid w:val="00AD3FAE"/>
    <w:rsid w:val="00AF69C9"/>
    <w:rsid w:val="00B15521"/>
    <w:rsid w:val="00B20FCD"/>
    <w:rsid w:val="00B47FB7"/>
    <w:rsid w:val="00C45365"/>
    <w:rsid w:val="00C51487"/>
    <w:rsid w:val="00D5726E"/>
    <w:rsid w:val="00E33126"/>
    <w:rsid w:val="00E87832"/>
    <w:rsid w:val="00F02C74"/>
    <w:rsid w:val="00F15BEA"/>
    <w:rsid w:val="00F85CA9"/>
    <w:rsid w:val="00FA7752"/>
    <w:rsid w:val="00FD5748"/>
    <w:rsid w:val="00FE3579"/>
    <w:rsid w:val="00FE74AD"/>
    <w:rsid w:val="00FF79EC"/>
    <w:rsid w:val="01D474CE"/>
    <w:rsid w:val="05DF453D"/>
    <w:rsid w:val="0E3B0000"/>
    <w:rsid w:val="143A77ED"/>
    <w:rsid w:val="17243B59"/>
    <w:rsid w:val="1CD37A02"/>
    <w:rsid w:val="1E8A5184"/>
    <w:rsid w:val="2C517A1E"/>
    <w:rsid w:val="32287A98"/>
    <w:rsid w:val="329C393D"/>
    <w:rsid w:val="3B6944CA"/>
    <w:rsid w:val="45742B37"/>
    <w:rsid w:val="46DA08F7"/>
    <w:rsid w:val="4B083EF1"/>
    <w:rsid w:val="57284198"/>
    <w:rsid w:val="5C7152A7"/>
    <w:rsid w:val="5DEA4621"/>
    <w:rsid w:val="60006DFF"/>
    <w:rsid w:val="61CA743E"/>
    <w:rsid w:val="66B67C40"/>
    <w:rsid w:val="689723FA"/>
    <w:rsid w:val="71110AFE"/>
    <w:rsid w:val="728B07CD"/>
    <w:rsid w:val="76314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0CDF"/>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zh-CN" w:bidi="zh-CN"/>
    </w:rPr>
  </w:style>
  <w:style w:type="paragraph" w:styleId="Heading1">
    <w:name w:val="heading 1"/>
    <w:basedOn w:val="Normal"/>
    <w:uiPriority w:val="1"/>
    <w:qFormat/>
    <w:pPr>
      <w:ind w:left="390" w:hanging="280"/>
      <w:outlineLvl w:val="0"/>
    </w:pPr>
    <w:rPr>
      <w:b/>
      <w:bCs/>
      <w:sz w:val="28"/>
      <w:szCs w:val="28"/>
    </w:rPr>
  </w:style>
  <w:style w:type="paragraph" w:styleId="Heading2">
    <w:name w:val="heading 2"/>
    <w:basedOn w:val="Normal"/>
    <w:link w:val="Heading2Char"/>
    <w:uiPriority w:val="1"/>
    <w:qFormat/>
    <w:pPr>
      <w:spacing w:before="1"/>
      <w:ind w:left="470" w:hanging="360"/>
      <w:outlineLvl w:val="1"/>
    </w:pPr>
    <w:rPr>
      <w:b/>
      <w:bCs/>
      <w:sz w:val="24"/>
      <w:szCs w:val="24"/>
    </w:rPr>
  </w:style>
  <w:style w:type="paragraph" w:styleId="Heading3">
    <w:name w:val="heading 3"/>
    <w:basedOn w:val="Normal"/>
    <w:uiPriority w:val="1"/>
    <w:qFormat/>
    <w:pPr>
      <w:ind w:left="560" w:hanging="450"/>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style>
  <w:style w:type="paragraph" w:styleId="BodyText">
    <w:name w:val="Body Text"/>
    <w:basedOn w:val="Normal"/>
    <w:uiPriority w:val="1"/>
    <w:qFormat/>
    <w:rPr>
      <w:sz w:val="20"/>
      <w:szCs w:val="20"/>
    </w:rPr>
  </w:style>
  <w:style w:type="paragraph" w:styleId="Footer">
    <w:name w:val="footer"/>
    <w:basedOn w:val="Normal"/>
    <w:link w:val="FooterChar"/>
    <w:qFormat/>
    <w:pPr>
      <w:tabs>
        <w:tab w:val="center" w:pos="4153"/>
        <w:tab w:val="right" w:pos="8306"/>
      </w:tabs>
      <w:snapToGrid w:val="0"/>
    </w:pPr>
    <w:rPr>
      <w:sz w:val="18"/>
      <w:szCs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styleId="Emphasis">
    <w:name w:val="Emphasis"/>
    <w:basedOn w:val="DefaultParagraphFont"/>
    <w:qFormat/>
    <w:rPr>
      <w:i/>
    </w:rPr>
  </w:style>
  <w:style w:type="character" w:styleId="Hyperlink">
    <w:name w:val="Hyperlink"/>
    <w:basedOn w:val="DefaultParagraphFont"/>
    <w:qFormat/>
    <w:rPr>
      <w:color w:val="0000FF" w:themeColor="hyperlink"/>
      <w:u w:val="single"/>
    </w:rPr>
  </w:style>
  <w:style w:type="character" w:styleId="CommentReference">
    <w:name w:val="annotation reference"/>
    <w:basedOn w:val="DefaultParagraphFont"/>
    <w:qFormat/>
    <w:rPr>
      <w:sz w:val="21"/>
      <w:szCs w:val="21"/>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1"/>
      <w:ind w:left="510" w:hanging="400"/>
    </w:pPr>
  </w:style>
  <w:style w:type="paragraph" w:customStyle="1" w:styleId="TableParagraph">
    <w:name w:val="Table Paragraph"/>
    <w:basedOn w:val="Normal"/>
    <w:uiPriority w:val="1"/>
    <w:qFormat/>
    <w:pPr>
      <w:jc w:val="center"/>
    </w:pPr>
  </w:style>
  <w:style w:type="paragraph" w:customStyle="1" w:styleId="Default">
    <w:name w:val="Default"/>
    <w:uiPriority w:val="99"/>
    <w:unhideWhenUsed/>
    <w:qFormat/>
    <w:pPr>
      <w:widowControl w:val="0"/>
      <w:autoSpaceDE w:val="0"/>
      <w:autoSpaceDN w:val="0"/>
      <w:adjustRightInd w:val="0"/>
    </w:pPr>
    <w:rPr>
      <w:rFonts w:eastAsia="Times New Roman" w:cstheme="minorBidi" w:hint="eastAsia"/>
      <w:color w:val="000000"/>
      <w:sz w:val="24"/>
      <w:szCs w:val="24"/>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qFormat/>
    <w:rPr>
      <w:color w:val="666666"/>
    </w:rPr>
  </w:style>
  <w:style w:type="character" w:customStyle="1" w:styleId="Heading2Char">
    <w:name w:val="Heading 2 Char"/>
    <w:basedOn w:val="DefaultParagraphFont"/>
    <w:link w:val="Heading2"/>
    <w:uiPriority w:val="1"/>
    <w:rPr>
      <w:rFonts w:eastAsia="Times New Roman"/>
      <w:b/>
      <w:bCs/>
      <w:sz w:val="24"/>
      <w:szCs w:val="24"/>
      <w:lang w:val="zh-CN" w:bidi="zh-CN"/>
    </w:rPr>
  </w:style>
  <w:style w:type="character" w:customStyle="1" w:styleId="FooterChar">
    <w:name w:val="Footer Char"/>
    <w:basedOn w:val="DefaultParagraphFont"/>
    <w:link w:val="Footer"/>
    <w:qFormat/>
    <w:rPr>
      <w:rFonts w:eastAsia="Times New Roman"/>
      <w:sz w:val="18"/>
      <w:szCs w:val="18"/>
      <w:lang w:val="zh-CN" w:bidi="zh-CN"/>
    </w:rPr>
  </w:style>
  <w:style w:type="paragraph" w:styleId="Revision">
    <w:name w:val="Revision"/>
    <w:hidden/>
    <w:uiPriority w:val="99"/>
    <w:unhideWhenUsed/>
    <w:rsid w:val="009155F0"/>
    <w:rPr>
      <w:rFonts w:eastAsia="Times New Roman"/>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2617</Words>
  <Characters>14923</Characters>
  <Application>Microsoft Office Word</Application>
  <DocSecurity>0</DocSecurity>
  <Lines>124</Lines>
  <Paragraphs>35</Paragraphs>
  <ScaleCrop>false</ScaleCrop>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Acer NB1</cp:lastModifiedBy>
  <cp:revision>2</cp:revision>
  <dcterms:created xsi:type="dcterms:W3CDTF">2026-07-24T03:01:00Z</dcterms:created>
  <dcterms:modified xsi:type="dcterms:W3CDTF">2026-07-24T03:01:00Z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Adobe InDesign 15.0 (Windows)</vt:lpwstr>
  </property>
  <property fmtid="{D5CDD505-2E9C-101B-9397-08002B2CF9AE}" pid="4" name="LastSaved">
    <vt:filetime>2025-02-14T00:00:00Z</vt:filetime>
  </property>
  <property fmtid="{D5CDD505-2E9C-101B-9397-08002B2CF9AE}" pid="5" name="KSOTemplateDocerSaveRecord">
    <vt:lpwstr>eyJoZGlkIjoiYzEzOWZlYzFlNTk2MmQzMDQwMDE5MjliMjM5ODUzNjEiLCJ1c2VySWQiOiI2NTQ2OTg3NDEifQ==</vt:lpwstr>
  </property>
  <property fmtid="{D5CDD505-2E9C-101B-9397-08002B2CF9AE}" pid="6" name="KSOProductBuildVer">
    <vt:lpwstr>2052-12.1.0.26895</vt:lpwstr>
  </property>
  <property fmtid="{D5CDD505-2E9C-101B-9397-08002B2CF9AE}" pid="7" name="ICV">
    <vt:lpwstr>E0622A5AD6354009AE6D7CFEC036F027_12</vt:lpwstr>
  </property>
  <property fmtid="{D5CDD505-2E9C-101B-9397-08002B2CF9AE}" pid="8" name="GrammarlyDocumentId">
    <vt:lpwstr>2ff18cc5-8550-42b0-a6c2-000f93060e04</vt:lpwstr>
  </property>
</Properties>
</file>