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CAE2C" w14:textId="064E32C2" w:rsidR="008547AB" w:rsidRPr="00FC534A" w:rsidRDefault="0012176C" w:rsidP="00FC534A">
      <w:pPr>
        <w:snapToGrid w:val="0"/>
        <w:ind w:firstLineChars="0" w:firstLine="0"/>
        <w:jc w:val="left"/>
        <w:rPr>
          <w:color w:val="000000" w:themeColor="text1"/>
        </w:rPr>
      </w:pPr>
      <w:r w:rsidRPr="00FC534A">
        <w:rPr>
          <w:b/>
          <w:bCs/>
          <w:color w:val="000000" w:themeColor="text1"/>
          <w:sz w:val="44"/>
          <w:szCs w:val="44"/>
        </w:rPr>
        <w:t>Polynomial Mitigation of the Fermionic Sign Problem via Topological Neural Flows and Generalized Complex Manifold Deformations</w:t>
      </w:r>
      <w:r w:rsidRPr="00FC534A">
        <w:rPr>
          <w:b/>
          <w:bCs/>
          <w:color w:val="000000" w:themeColor="text1"/>
          <w:sz w:val="44"/>
          <w:szCs w:val="44"/>
        </w:rPr>
        <w:br/>
      </w:r>
      <w:proofErr w:type="spellStart"/>
      <w:r w:rsidRPr="00FC534A">
        <w:rPr>
          <w:b/>
          <w:bCs/>
          <w:color w:val="000000" w:themeColor="text1"/>
        </w:rPr>
        <w:t>Kaiyang</w:t>
      </w:r>
      <w:proofErr w:type="spellEnd"/>
      <w:r w:rsidRPr="00FC534A">
        <w:rPr>
          <w:b/>
          <w:bCs/>
          <w:color w:val="000000" w:themeColor="text1"/>
        </w:rPr>
        <w:t xml:space="preserve"> Liu</w:t>
      </w:r>
      <w:r w:rsidRPr="00FC534A">
        <w:rPr>
          <w:color w:val="000000" w:themeColor="text1"/>
        </w:rPr>
        <w:br/>
        <w:t>Dulwich College Suzhou, Suzhou 215021, China</w:t>
      </w:r>
    </w:p>
    <w:p w14:paraId="2F029757" w14:textId="77777777" w:rsidR="008547AB" w:rsidRPr="00FC534A" w:rsidRDefault="008547AB" w:rsidP="00EA7692">
      <w:pPr>
        <w:snapToGrid w:val="0"/>
        <w:ind w:firstLineChars="0" w:firstLine="0"/>
        <w:rPr>
          <w:color w:val="000000" w:themeColor="text1"/>
        </w:rPr>
      </w:pPr>
    </w:p>
    <w:p w14:paraId="66A14F4E" w14:textId="77777777" w:rsidR="00EA7692" w:rsidRPr="00FC534A" w:rsidRDefault="00EA7692" w:rsidP="00FC534A">
      <w:pPr>
        <w:snapToGrid w:val="0"/>
        <w:ind w:firstLineChars="0" w:firstLine="0"/>
        <w:rPr>
          <w:color w:val="000000" w:themeColor="text1"/>
          <w:sz w:val="20"/>
          <w:szCs w:val="20"/>
        </w:rPr>
      </w:pPr>
      <w:r w:rsidRPr="00FC534A">
        <w:rPr>
          <w:b/>
          <w:bCs/>
          <w:color w:val="000000" w:themeColor="text1"/>
          <w:sz w:val="20"/>
          <w:szCs w:val="20"/>
        </w:rPr>
        <w:t>Copyright:</w:t>
      </w:r>
      <w:r w:rsidRPr="00FC534A">
        <w:rPr>
          <w:color w:val="000000" w:themeColor="text1"/>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10F32066" w14:textId="77777777" w:rsidR="00EA7692" w:rsidRPr="00FC534A" w:rsidRDefault="00EA7692" w:rsidP="00FC534A">
      <w:pPr>
        <w:snapToGrid w:val="0"/>
        <w:ind w:firstLineChars="0" w:firstLine="0"/>
        <w:rPr>
          <w:color w:val="000000" w:themeColor="text1"/>
        </w:rPr>
      </w:pPr>
    </w:p>
    <w:p w14:paraId="1174B7C7" w14:textId="4D700456" w:rsidR="008547AB" w:rsidRPr="00FC534A" w:rsidRDefault="0012176C" w:rsidP="00FC534A">
      <w:pPr>
        <w:pStyle w:val="Heading1"/>
        <w:snapToGrid w:val="0"/>
        <w:spacing w:before="0" w:after="0"/>
        <w:jc w:val="both"/>
        <w:rPr>
          <w:b w:val="0"/>
          <w:bCs w:val="0"/>
          <w:color w:val="000000" w:themeColor="text1"/>
          <w:sz w:val="24"/>
          <w:szCs w:val="24"/>
        </w:rPr>
      </w:pPr>
      <w:r w:rsidRPr="00FC534A">
        <w:rPr>
          <w:color w:val="000000" w:themeColor="text1"/>
          <w:sz w:val="24"/>
          <w:szCs w:val="24"/>
        </w:rPr>
        <w:t>Abstract:</w:t>
      </w:r>
      <w:r w:rsidR="00EA7692" w:rsidRPr="00FC534A">
        <w:rPr>
          <w:color w:val="000000" w:themeColor="text1"/>
          <w:sz w:val="24"/>
          <w:szCs w:val="24"/>
        </w:rPr>
        <w:t xml:space="preserve"> </w:t>
      </w:r>
      <w:r w:rsidRPr="00FC534A">
        <w:rPr>
          <w:b w:val="0"/>
          <w:bCs w:val="0"/>
          <w:color w:val="000000" w:themeColor="text1"/>
          <w:sz w:val="24"/>
          <w:szCs w:val="24"/>
        </w:rPr>
        <w:t>Since the discovery of the sign problem in the 1980s, all unbiased numerical methods have failed to avoid the exponential growth of computational complexity when simulating strongly correlated fermions at finite densities. This paper proves that by analytically continuing the path integral to a continuous complex manifold and transforming it into an unsupervised geometric optimization problem, this exponential wall can be systematically mitigated. We introduce the Topological Neural Flow (TNF) framework, utilizing Equivariant Continuous Normalizing Flows constrained by Cauchy</w:t>
      </w:r>
      <w:r w:rsidR="00EA7692" w:rsidRPr="00FC534A">
        <w:rPr>
          <w:b w:val="0"/>
          <w:bCs w:val="0"/>
          <w:color w:val="000000" w:themeColor="text1"/>
          <w:sz w:val="24"/>
          <w:szCs w:val="24"/>
        </w:rPr>
        <w:t>’</w:t>
      </w:r>
      <w:r w:rsidRPr="00FC534A">
        <w:rPr>
          <w:b w:val="0"/>
          <w:bCs w:val="0"/>
          <w:color w:val="000000" w:themeColor="text1"/>
          <w:sz w:val="24"/>
          <w:szCs w:val="24"/>
        </w:rPr>
        <w:t>s integral theorem to dynamically learn a deformation contour that minimizes the imaginary phase variance of the effective action.</w:t>
      </w:r>
      <w:r w:rsidR="00EA7692" w:rsidRPr="00FC534A">
        <w:rPr>
          <w:b w:val="0"/>
          <w:bCs w:val="0"/>
          <w:color w:val="000000" w:themeColor="text1"/>
          <w:sz w:val="24"/>
          <w:szCs w:val="24"/>
        </w:rPr>
        <w:t xml:space="preserve"> Focusing on the highly challenging 2D hole-doped repulsive Hubbard model, we demonstrate exponential sign mitigation on lattices up to 10 × 10, reducing the required number of Monte-Carlo samples by up to 8 orders of magnitude. We explicitly map the critical breakdown point of the method at the 12 × 12 scale, establishing a rigorous mathematical and physical foundation for AI-assisted path integral contour deformations.</w:t>
      </w:r>
    </w:p>
    <w:p w14:paraId="45BB1899" w14:textId="14873590" w:rsidR="008547AB" w:rsidRPr="00FC534A" w:rsidRDefault="00EA7692" w:rsidP="00EA7692">
      <w:pPr>
        <w:snapToGrid w:val="0"/>
        <w:ind w:firstLineChars="0" w:firstLine="0"/>
        <w:rPr>
          <w:color w:val="000000" w:themeColor="text1"/>
        </w:rPr>
      </w:pPr>
      <w:r w:rsidRPr="00FC534A">
        <w:rPr>
          <w:b/>
          <w:bCs/>
          <w:color w:val="000000" w:themeColor="text1"/>
        </w:rPr>
        <w:t xml:space="preserve">Keywords: </w:t>
      </w:r>
      <w:r w:rsidR="0012176C" w:rsidRPr="00FC534A">
        <w:rPr>
          <w:color w:val="000000" w:themeColor="text1"/>
        </w:rPr>
        <w:t>Fermionic sign problem</w:t>
      </w:r>
      <w:r w:rsidRPr="00FC534A">
        <w:rPr>
          <w:color w:val="000000" w:themeColor="text1"/>
        </w:rPr>
        <w:t xml:space="preserve">; </w:t>
      </w:r>
      <w:r w:rsidR="0012176C" w:rsidRPr="00FC534A">
        <w:rPr>
          <w:color w:val="000000" w:themeColor="text1"/>
        </w:rPr>
        <w:t xml:space="preserve">Topological </w:t>
      </w:r>
      <w:r w:rsidR="00E62253" w:rsidRPr="00FC534A">
        <w:rPr>
          <w:color w:val="000000" w:themeColor="text1"/>
        </w:rPr>
        <w:t>neural flow</w:t>
      </w:r>
      <w:r w:rsidRPr="00FC534A">
        <w:rPr>
          <w:color w:val="000000" w:themeColor="text1"/>
        </w:rPr>
        <w:t xml:space="preserve">; </w:t>
      </w:r>
      <w:r w:rsidR="0012176C" w:rsidRPr="00FC534A">
        <w:rPr>
          <w:color w:val="000000" w:themeColor="text1"/>
        </w:rPr>
        <w:t>Complex manifold deformation</w:t>
      </w:r>
      <w:r w:rsidRPr="00FC534A">
        <w:rPr>
          <w:color w:val="000000" w:themeColor="text1"/>
        </w:rPr>
        <w:t xml:space="preserve">; </w:t>
      </w:r>
      <w:r w:rsidR="0012176C" w:rsidRPr="00FC534A">
        <w:rPr>
          <w:color w:val="000000" w:themeColor="text1"/>
        </w:rPr>
        <w:t xml:space="preserve">2D </w:t>
      </w:r>
      <w:proofErr w:type="spellStart"/>
      <w:r w:rsidR="00E62253" w:rsidRPr="00FC534A">
        <w:rPr>
          <w:color w:val="000000" w:themeColor="text1"/>
        </w:rPr>
        <w:t>hubbard</w:t>
      </w:r>
      <w:proofErr w:type="spellEnd"/>
      <w:r w:rsidR="00E62253" w:rsidRPr="00FC534A">
        <w:rPr>
          <w:color w:val="000000" w:themeColor="text1"/>
        </w:rPr>
        <w:t xml:space="preserve"> </w:t>
      </w:r>
      <w:r w:rsidR="0012176C" w:rsidRPr="00FC534A">
        <w:rPr>
          <w:color w:val="000000" w:themeColor="text1"/>
        </w:rPr>
        <w:t>model</w:t>
      </w:r>
    </w:p>
    <w:p w14:paraId="56B77EE3" w14:textId="77777777" w:rsidR="00EA7692" w:rsidRPr="00FC534A" w:rsidRDefault="00EA7692" w:rsidP="00EA7692">
      <w:pPr>
        <w:snapToGrid w:val="0"/>
        <w:ind w:firstLineChars="0" w:firstLine="0"/>
        <w:rPr>
          <w:color w:val="000000" w:themeColor="text1"/>
        </w:rPr>
      </w:pPr>
    </w:p>
    <w:p w14:paraId="6966F8B6" w14:textId="1376F6C6" w:rsidR="00EA7692" w:rsidRPr="00FC534A" w:rsidRDefault="00EA7692" w:rsidP="00EA7692">
      <w:pPr>
        <w:snapToGrid w:val="0"/>
        <w:ind w:firstLineChars="0" w:firstLine="0"/>
        <w:rPr>
          <w:b/>
          <w:bCs/>
          <w:color w:val="000000" w:themeColor="text1"/>
        </w:rPr>
      </w:pPr>
      <w:r w:rsidRPr="00FC534A">
        <w:rPr>
          <w:b/>
          <w:bCs/>
          <w:color w:val="000000" w:themeColor="text1"/>
        </w:rPr>
        <w:t>Online publication:</w:t>
      </w:r>
    </w:p>
    <w:p w14:paraId="5E1B0E65" w14:textId="77777777" w:rsidR="00EA7692" w:rsidRPr="00FC534A" w:rsidRDefault="00EA7692" w:rsidP="00FC534A">
      <w:pPr>
        <w:snapToGrid w:val="0"/>
        <w:ind w:firstLineChars="0" w:firstLine="0"/>
        <w:rPr>
          <w:color w:val="000000" w:themeColor="text1"/>
        </w:rPr>
      </w:pPr>
    </w:p>
    <w:p w14:paraId="35AB6E1D" w14:textId="77777777" w:rsidR="008547AB" w:rsidRPr="00FC534A" w:rsidRDefault="0012176C" w:rsidP="00FC534A">
      <w:pPr>
        <w:pStyle w:val="Heading1"/>
        <w:snapToGrid w:val="0"/>
        <w:spacing w:before="0" w:after="0"/>
        <w:rPr>
          <w:color w:val="000000" w:themeColor="text1"/>
          <w:sz w:val="24"/>
          <w:szCs w:val="24"/>
        </w:rPr>
      </w:pPr>
      <w:r w:rsidRPr="00FC534A">
        <w:rPr>
          <w:color w:val="000000" w:themeColor="text1"/>
          <w:sz w:val="24"/>
          <w:szCs w:val="24"/>
        </w:rPr>
        <w:t>1. Introduction</w:t>
      </w:r>
    </w:p>
    <w:p w14:paraId="0CAC21C9" w14:textId="77777777" w:rsidR="008547AB" w:rsidRPr="00FC534A" w:rsidRDefault="0012176C" w:rsidP="00FC534A">
      <w:pPr>
        <w:snapToGrid w:val="0"/>
        <w:ind w:firstLineChars="0" w:firstLine="0"/>
        <w:rPr>
          <w:color w:val="000000" w:themeColor="text1"/>
        </w:rPr>
      </w:pPr>
      <w:r w:rsidRPr="00FC534A">
        <w:rPr>
          <w:color w:val="000000" w:themeColor="text1"/>
        </w:rPr>
        <w:t xml:space="preserve">The deterministic prediction of strongly interacting quantum many-body systems remains a foundational challenge in condensed matter and high-energy physics. Auxiliary-Field Quantum Monte Carlo (AFQMC) provides an exact </w:t>
      </w:r>
      <w:r w:rsidRPr="00FC534A">
        <w:rPr>
          <w:i/>
          <w:iCs/>
          <w:color w:val="000000" w:themeColor="text1"/>
        </w:rPr>
        <w:t>ab initio</w:t>
      </w:r>
      <w:r w:rsidRPr="00FC534A">
        <w:rPr>
          <w:color w:val="000000" w:themeColor="text1"/>
        </w:rPr>
        <w:t xml:space="preserve"> pathway, but the integration over fermionic degrees of freedom frequently yields a non-positive statistical weight.</w:t>
      </w:r>
    </w:p>
    <w:p w14:paraId="4298C7ED" w14:textId="08755EEE" w:rsidR="008547AB" w:rsidRPr="00FC534A" w:rsidRDefault="0012176C" w:rsidP="00FC534A">
      <w:pPr>
        <w:snapToGrid w:val="0"/>
        <w:ind w:firstLine="480"/>
        <w:rPr>
          <w:color w:val="000000" w:themeColor="text1"/>
        </w:rPr>
      </w:pPr>
      <w:r w:rsidRPr="00FC534A">
        <w:rPr>
          <w:color w:val="000000" w:themeColor="text1"/>
        </w:rPr>
        <w:t xml:space="preserve">The fermionic sign problem is caused by the </w:t>
      </w:r>
      <w:proofErr w:type="spellStart"/>
      <w:r w:rsidR="00EA7692" w:rsidRPr="00FC534A">
        <w:rPr>
          <w:color w:val="000000" w:themeColor="text1"/>
        </w:rPr>
        <w:t>antisymmetry</w:t>
      </w:r>
      <w:proofErr w:type="spellEnd"/>
      <w:r w:rsidRPr="00FC534A">
        <w:rPr>
          <w:color w:val="000000" w:themeColor="text1"/>
        </w:rPr>
        <w:t xml:space="preserve"> of fermionic wavefunctions. Without additional symmetries, such as charge conjugation or particle-hole symmetry, Monte Carlo sampling yields oscillating contributions of both signs; thus, there is a strong cancellation and an exponential reduction in the signal-to-noise ratio. Therefore, the direct simulation of some physically significant materials, such as high-temperature superconductors and the hypothetical quark-gluon plasma core of the heaviest neutron stars, is not feasible by traditional means.</w:t>
      </w:r>
    </w:p>
    <w:p w14:paraId="7A3AB9DE" w14:textId="160F18EF" w:rsidR="008547AB" w:rsidRPr="00FC534A" w:rsidRDefault="0012176C" w:rsidP="00FC534A">
      <w:pPr>
        <w:snapToGrid w:val="0"/>
        <w:ind w:firstLine="480"/>
        <w:rPr>
          <w:color w:val="000000" w:themeColor="text1"/>
        </w:rPr>
      </w:pPr>
      <w:r w:rsidRPr="00FC534A">
        <w:rPr>
          <w:color w:val="000000" w:themeColor="text1"/>
        </w:rPr>
        <w:t xml:space="preserve">To quantify the severity: standard AFQMC on a realistic 16 × 16 lattice at low temperatures (βt &gt; 8) yields an average sign of </w:t>
      </w:r>
      <w:r w:rsidRPr="00FC534A">
        <w:rPr>
          <w:rFonts w:ascii="Cambria Math" w:hAnsi="Cambria Math" w:cs="Cambria Math"/>
          <w:color w:val="000000" w:themeColor="text1"/>
        </w:rPr>
        <w:t>⟨</w:t>
      </w:r>
      <w:r w:rsidRPr="00FC534A">
        <w:rPr>
          <w:color w:val="000000" w:themeColor="text1"/>
        </w:rPr>
        <w:t>sign</w:t>
      </w:r>
      <w:r w:rsidRPr="00FC534A">
        <w:rPr>
          <w:rFonts w:ascii="Cambria Math" w:hAnsi="Cambria Math" w:cs="Cambria Math"/>
          <w:color w:val="000000" w:themeColor="text1"/>
        </w:rPr>
        <w:t>⟩</w:t>
      </w:r>
      <w:r w:rsidRPr="00FC534A">
        <w:rPr>
          <w:color w:val="000000" w:themeColor="text1"/>
        </w:rPr>
        <w:t xml:space="preserve"> &lt; 10</w:t>
      </w:r>
      <w:r w:rsidRPr="00FC534A">
        <w:rPr>
          <w:color w:val="000000" w:themeColor="text1"/>
          <w:vertAlign w:val="superscript"/>
        </w:rPr>
        <w:t>−8</w:t>
      </w:r>
      <w:r w:rsidRPr="00FC534A">
        <w:rPr>
          <w:color w:val="000000" w:themeColor="text1"/>
        </w:rPr>
        <w:t>. To extract a single statistically significant observable, the required number of Markov Chain Monte Carlo (MCMC) samples exceeds O</w:t>
      </w:r>
      <w:r w:rsidR="00EA7692" w:rsidRPr="00FC534A">
        <w:rPr>
          <w:color w:val="000000" w:themeColor="text1"/>
        </w:rPr>
        <w:t xml:space="preserve"> </w:t>
      </w:r>
      <w:r w:rsidRPr="00FC534A">
        <w:rPr>
          <w:color w:val="000000" w:themeColor="text1"/>
        </w:rPr>
        <w:t>(10</w:t>
      </w:r>
      <w:r w:rsidRPr="00FC534A">
        <w:rPr>
          <w:color w:val="000000" w:themeColor="text1"/>
          <w:vertAlign w:val="superscript"/>
        </w:rPr>
        <w:t>16</w:t>
      </w:r>
      <w:r w:rsidRPr="00FC534A">
        <w:rPr>
          <w:color w:val="000000" w:themeColor="text1"/>
        </w:rPr>
        <w:t>), representing a computational impossibility even on exascale supercomputers.</w:t>
      </w:r>
    </w:p>
    <w:p w14:paraId="39F973A2" w14:textId="45FC96B9" w:rsidR="008547AB" w:rsidRPr="00FC534A" w:rsidRDefault="0012176C" w:rsidP="00FC534A">
      <w:pPr>
        <w:snapToGrid w:val="0"/>
        <w:ind w:firstLine="480"/>
        <w:rPr>
          <w:color w:val="000000" w:themeColor="text1"/>
        </w:rPr>
      </w:pPr>
      <w:r w:rsidRPr="00FC534A">
        <w:rPr>
          <w:color w:val="000000" w:themeColor="text1"/>
        </w:rPr>
        <w:t xml:space="preserve">Because it is a small model that includes the necessary physics, the 2D repulsive Hubbard model has been used to study the physical properties of </w:t>
      </w:r>
      <w:proofErr w:type="spellStart"/>
      <w:r w:rsidRPr="00FC534A">
        <w:rPr>
          <w:color w:val="000000" w:themeColor="text1"/>
        </w:rPr>
        <w:t>cuprate</w:t>
      </w:r>
      <w:proofErr w:type="spellEnd"/>
      <w:r w:rsidRPr="00FC534A">
        <w:rPr>
          <w:color w:val="000000" w:themeColor="text1"/>
        </w:rPr>
        <w:t xml:space="preserve"> high-temperature superconductors</w:t>
      </w:r>
      <w:r w:rsidR="00EA7692" w:rsidRPr="00FC534A">
        <w:rPr>
          <w:color w:val="000000" w:themeColor="text1"/>
        </w:rPr>
        <w:t>. Since</w:t>
      </w:r>
      <w:r w:rsidRPr="00FC534A">
        <w:rPr>
          <w:color w:val="000000" w:themeColor="text1"/>
        </w:rPr>
        <w:t xml:space="preserve"> the discovery of </w:t>
      </w:r>
      <w:proofErr w:type="spellStart"/>
      <w:r w:rsidRPr="00FC534A">
        <w:rPr>
          <w:color w:val="000000" w:themeColor="text1"/>
        </w:rPr>
        <w:t>cuprate</w:t>
      </w:r>
      <w:proofErr w:type="spellEnd"/>
      <w:r w:rsidRPr="00FC534A">
        <w:rPr>
          <w:color w:val="000000" w:themeColor="text1"/>
        </w:rPr>
        <w:t xml:space="preserve"> superconductivity in 1986, it has provided an ideal example for the model in strongly correlated numerical methods. At hole doping δ = 0.125 and strong coupling U/t = 8, the model enters a regime with many competing orders, including antiferromagnetism, stripe formation</w:t>
      </w:r>
      <w:r w:rsidR="00EA7692" w:rsidRPr="00FC534A">
        <w:rPr>
          <w:color w:val="000000" w:themeColor="text1"/>
        </w:rPr>
        <w:t>,</w:t>
      </w:r>
      <w:r w:rsidRPr="00FC534A">
        <w:rPr>
          <w:color w:val="000000" w:themeColor="text1"/>
        </w:rPr>
        <w:t xml:space="preserve"> and d-wave </w:t>
      </w:r>
      <w:r w:rsidRPr="00FC534A">
        <w:rPr>
          <w:color w:val="000000" w:themeColor="text1"/>
        </w:rPr>
        <w:lastRenderedPageBreak/>
        <w:t>superconductivity; thus, unbiased simulation is both urgently needed and exceptionally demanding.</w:t>
      </w:r>
    </w:p>
    <w:p w14:paraId="61323C72" w14:textId="392C18FB" w:rsidR="00EA7692" w:rsidRPr="00FC534A" w:rsidRDefault="0012176C" w:rsidP="00FC534A">
      <w:pPr>
        <w:snapToGrid w:val="0"/>
        <w:ind w:firstLine="480"/>
        <w:rPr>
          <w:color w:val="000000" w:themeColor="text1"/>
        </w:rPr>
      </w:pPr>
      <w:r w:rsidRPr="00FC534A">
        <w:rPr>
          <w:color w:val="000000" w:themeColor="text1"/>
        </w:rPr>
        <w:t xml:space="preserve">Previous paradigms have attempted to bypass this issue but introduced fatal compromises </w:t>
      </w:r>
      <w:r w:rsidRPr="00FC534A">
        <w:rPr>
          <w:color w:val="000000" w:themeColor="text1"/>
          <w:vertAlign w:val="superscript"/>
        </w:rPr>
        <w:t>[1]</w:t>
      </w:r>
      <w:r w:rsidRPr="00FC534A">
        <w:rPr>
          <w:color w:val="000000" w:themeColor="text1"/>
        </w:rPr>
        <w:t>:</w:t>
      </w:r>
    </w:p>
    <w:p w14:paraId="3A856D1A" w14:textId="77777777" w:rsidR="00EA7692" w:rsidRPr="00FC534A" w:rsidRDefault="00EA7692" w:rsidP="00EA7692">
      <w:pPr>
        <w:snapToGrid w:val="0"/>
        <w:ind w:left="709" w:firstLineChars="0" w:hanging="709"/>
        <w:rPr>
          <w:color w:val="000000" w:themeColor="text1"/>
        </w:rPr>
      </w:pPr>
      <w:r w:rsidRPr="00FC534A">
        <w:rPr>
          <w:color w:val="000000" w:themeColor="text1"/>
        </w:rPr>
        <w:t>(1)</w:t>
      </w:r>
      <w:r w:rsidRPr="00FC534A">
        <w:rPr>
          <w:color w:val="000000" w:themeColor="text1"/>
        </w:rPr>
        <w:tab/>
      </w:r>
      <w:r w:rsidR="0012176C" w:rsidRPr="00FC534A">
        <w:rPr>
          <w:color w:val="000000" w:themeColor="text1"/>
        </w:rPr>
        <w:t>Constrained-Path QMC (CP-QMC)</w:t>
      </w:r>
    </w:p>
    <w:p w14:paraId="3EBCED24" w14:textId="4345E101" w:rsidR="00EA7692" w:rsidRPr="00FC534A" w:rsidRDefault="00EA7692" w:rsidP="00FC534A">
      <w:pPr>
        <w:snapToGrid w:val="0"/>
        <w:ind w:left="709" w:firstLineChars="0" w:hanging="709"/>
        <w:rPr>
          <w:color w:val="000000" w:themeColor="text1"/>
        </w:rPr>
      </w:pPr>
      <w:r w:rsidRPr="00FC534A">
        <w:rPr>
          <w:b/>
          <w:bCs/>
          <w:color w:val="000000" w:themeColor="text1"/>
        </w:rPr>
        <w:tab/>
      </w:r>
      <w:r w:rsidR="0012176C" w:rsidRPr="00FC534A">
        <w:rPr>
          <w:color w:val="000000" w:themeColor="text1"/>
        </w:rPr>
        <w:t>Introduces unquantifiable systematic biases due to trial wavefunction restrictions, often incorrectly predicting delicate ground-state correlations.</w:t>
      </w:r>
    </w:p>
    <w:p w14:paraId="7016D384" w14:textId="6AD5AF90" w:rsidR="00EA7692" w:rsidRPr="00FC534A" w:rsidRDefault="00EA7692" w:rsidP="00EA7692">
      <w:pPr>
        <w:snapToGrid w:val="0"/>
        <w:ind w:left="709" w:firstLineChars="0" w:hanging="709"/>
        <w:rPr>
          <w:color w:val="000000" w:themeColor="text1"/>
        </w:rPr>
      </w:pPr>
      <w:r w:rsidRPr="00FC534A">
        <w:rPr>
          <w:color w:val="000000" w:themeColor="text1"/>
        </w:rPr>
        <w:t>(2)</w:t>
      </w:r>
      <w:r w:rsidRPr="00FC534A">
        <w:rPr>
          <w:color w:val="000000" w:themeColor="text1"/>
        </w:rPr>
        <w:tab/>
      </w:r>
      <w:proofErr w:type="spellStart"/>
      <w:r w:rsidR="0012176C" w:rsidRPr="00FC534A">
        <w:rPr>
          <w:color w:val="000000" w:themeColor="text1"/>
        </w:rPr>
        <w:t>Lefschetz</w:t>
      </w:r>
      <w:proofErr w:type="spellEnd"/>
      <w:r w:rsidR="0012176C" w:rsidRPr="00FC534A">
        <w:rPr>
          <w:color w:val="000000" w:themeColor="text1"/>
        </w:rPr>
        <w:t xml:space="preserve"> </w:t>
      </w:r>
      <w:r w:rsidRPr="00FC534A">
        <w:rPr>
          <w:color w:val="000000" w:themeColor="text1"/>
        </w:rPr>
        <w:t>t</w:t>
      </w:r>
      <w:r w:rsidR="0012176C" w:rsidRPr="00FC534A">
        <w:rPr>
          <w:color w:val="000000" w:themeColor="text1"/>
        </w:rPr>
        <w:t>himbles</w:t>
      </w:r>
    </w:p>
    <w:p w14:paraId="32460EAA" w14:textId="10D2BD40" w:rsidR="00EA7692" w:rsidRPr="00FC534A" w:rsidRDefault="00EA7692" w:rsidP="00FC534A">
      <w:pPr>
        <w:snapToGrid w:val="0"/>
        <w:ind w:left="709" w:firstLineChars="0" w:hanging="709"/>
        <w:rPr>
          <w:color w:val="000000" w:themeColor="text1"/>
        </w:rPr>
      </w:pPr>
      <w:r w:rsidRPr="00FC534A">
        <w:rPr>
          <w:b/>
          <w:bCs/>
          <w:color w:val="000000" w:themeColor="text1"/>
        </w:rPr>
        <w:tab/>
      </w:r>
      <w:r w:rsidR="0012176C" w:rsidRPr="00FC534A">
        <w:rPr>
          <w:color w:val="000000" w:themeColor="text1"/>
        </w:rPr>
        <w:t>Exact in theory, but suffers from severe topological trapping between distinct thimbles and an intractable O(N</w:t>
      </w:r>
      <w:r w:rsidRPr="00FC534A">
        <w:rPr>
          <w:color w:val="000000" w:themeColor="text1"/>
          <w:vertAlign w:val="superscript"/>
        </w:rPr>
        <w:t>3</w:t>
      </w:r>
      <w:r w:rsidR="0012176C" w:rsidRPr="00FC534A">
        <w:rPr>
          <w:color w:val="000000" w:themeColor="text1"/>
        </w:rPr>
        <w:t>) Jacobian evaluation cost, limiting simulations to minimal lattices. Furthermore, even on a single thimble, the contour deformation introduces a complex Jacobian that itself produces fluctuating phases, constituting a residual sign problem that persists even after decomposition.</w:t>
      </w:r>
    </w:p>
    <w:p w14:paraId="3298E9C4" w14:textId="77777777" w:rsidR="00EA7692" w:rsidRPr="00FC534A" w:rsidRDefault="00EA7692" w:rsidP="00EA7692">
      <w:pPr>
        <w:snapToGrid w:val="0"/>
        <w:ind w:left="709" w:firstLineChars="0" w:hanging="709"/>
        <w:rPr>
          <w:color w:val="000000" w:themeColor="text1"/>
        </w:rPr>
      </w:pPr>
      <w:r w:rsidRPr="00FC534A">
        <w:rPr>
          <w:color w:val="000000" w:themeColor="text1"/>
        </w:rPr>
        <w:t>(3)</w:t>
      </w:r>
      <w:r w:rsidRPr="00FC534A">
        <w:rPr>
          <w:color w:val="000000" w:themeColor="text1"/>
        </w:rPr>
        <w:tab/>
      </w:r>
      <w:r w:rsidR="0012176C" w:rsidRPr="00FC534A">
        <w:rPr>
          <w:color w:val="000000" w:themeColor="text1"/>
        </w:rPr>
        <w:t xml:space="preserve">Variational </w:t>
      </w:r>
      <w:r w:rsidRPr="00FC534A">
        <w:rPr>
          <w:color w:val="000000" w:themeColor="text1"/>
        </w:rPr>
        <w:t xml:space="preserve">neural quantum states </w:t>
      </w:r>
      <w:r w:rsidR="0012176C" w:rsidRPr="00FC534A">
        <w:rPr>
          <w:color w:val="000000" w:themeColor="text1"/>
        </w:rPr>
        <w:t>(NQS)</w:t>
      </w:r>
    </w:p>
    <w:p w14:paraId="2AB0F341" w14:textId="656EEFC8" w:rsidR="00EA7692" w:rsidRPr="00FC534A" w:rsidRDefault="00EA7692" w:rsidP="00FC534A">
      <w:pPr>
        <w:snapToGrid w:val="0"/>
        <w:ind w:left="709" w:firstLineChars="0" w:hanging="709"/>
        <w:rPr>
          <w:color w:val="000000" w:themeColor="text1"/>
        </w:rPr>
      </w:pPr>
      <w:r w:rsidRPr="00FC534A">
        <w:rPr>
          <w:b/>
          <w:bCs/>
          <w:color w:val="000000" w:themeColor="text1"/>
        </w:rPr>
        <w:tab/>
      </w:r>
      <w:r w:rsidR="0012176C" w:rsidRPr="00FC534A">
        <w:rPr>
          <w:color w:val="000000" w:themeColor="text1"/>
        </w:rPr>
        <w:t>Inherently variational, meaning they provide an upper bound to the energy but cannot be independently verified against exact path integrals without inherent inductive biases</w:t>
      </w:r>
      <w:r w:rsidR="0012176C" w:rsidRPr="00FC534A">
        <w:rPr>
          <w:color w:val="000000" w:themeColor="text1"/>
          <w:vertAlign w:val="superscript"/>
        </w:rPr>
        <w:t xml:space="preserve"> [2]</w:t>
      </w:r>
      <w:r w:rsidR="0012176C" w:rsidRPr="00FC534A">
        <w:rPr>
          <w:color w:val="000000" w:themeColor="text1"/>
        </w:rPr>
        <w:t>.</w:t>
      </w:r>
    </w:p>
    <w:p w14:paraId="65282A21" w14:textId="6BF1A6D7" w:rsidR="00EA7692" w:rsidRPr="00FC534A" w:rsidRDefault="00EA7692" w:rsidP="00EA7692">
      <w:pPr>
        <w:snapToGrid w:val="0"/>
        <w:ind w:left="709" w:firstLineChars="0" w:hanging="709"/>
        <w:rPr>
          <w:color w:val="000000" w:themeColor="text1"/>
        </w:rPr>
      </w:pPr>
      <w:r w:rsidRPr="00FC534A">
        <w:rPr>
          <w:color w:val="000000" w:themeColor="text1"/>
        </w:rPr>
        <w:t>(4)</w:t>
      </w:r>
      <w:r w:rsidRPr="00FC534A">
        <w:rPr>
          <w:color w:val="000000" w:themeColor="text1"/>
        </w:rPr>
        <w:tab/>
      </w:r>
      <w:r w:rsidR="0012176C" w:rsidRPr="00FC534A">
        <w:rPr>
          <w:color w:val="000000" w:themeColor="text1"/>
        </w:rPr>
        <w:t xml:space="preserve">Complex Langevin / Stochastic </w:t>
      </w:r>
      <w:r w:rsidRPr="00FC534A">
        <w:rPr>
          <w:color w:val="000000" w:themeColor="text1"/>
        </w:rPr>
        <w:t>q</w:t>
      </w:r>
      <w:r w:rsidR="0012176C" w:rsidRPr="00FC534A">
        <w:rPr>
          <w:color w:val="000000" w:themeColor="text1"/>
        </w:rPr>
        <w:t>uantization</w:t>
      </w:r>
    </w:p>
    <w:p w14:paraId="71D50A89" w14:textId="3372B29F" w:rsidR="008547AB" w:rsidRPr="00FC534A" w:rsidRDefault="00EA7692" w:rsidP="00FC534A">
      <w:pPr>
        <w:snapToGrid w:val="0"/>
        <w:ind w:left="709" w:firstLineChars="0" w:hanging="709"/>
        <w:rPr>
          <w:color w:val="000000" w:themeColor="text1"/>
        </w:rPr>
      </w:pPr>
      <w:r w:rsidRPr="00FC534A">
        <w:rPr>
          <w:color w:val="000000" w:themeColor="text1"/>
        </w:rPr>
        <w:tab/>
      </w:r>
      <w:r w:rsidR="0012176C" w:rsidRPr="00FC534A">
        <w:rPr>
          <w:color w:val="000000" w:themeColor="text1"/>
        </w:rPr>
        <w:t>To avoid direct sign-problem sampling, fields are evolved along a complex Langevin equation, but it has been found that this method yields incorrect results in the presence of boundary terms and singular drift problems; thus, a complicated correctness criterion must be employed, which is difficult to verify in practice.</w:t>
      </w:r>
    </w:p>
    <w:p w14:paraId="15020B7B" w14:textId="523B52BB" w:rsidR="008547AB" w:rsidRPr="00FC534A" w:rsidRDefault="0012176C" w:rsidP="00EA7692">
      <w:pPr>
        <w:snapToGrid w:val="0"/>
        <w:ind w:firstLine="480"/>
        <w:rPr>
          <w:color w:val="000000" w:themeColor="text1"/>
        </w:rPr>
      </w:pPr>
      <w:r w:rsidRPr="00FC534A">
        <w:rPr>
          <w:color w:val="000000" w:themeColor="text1"/>
        </w:rPr>
        <w:t xml:space="preserve">New directions have recently been revealed by machine learning </w:t>
      </w:r>
      <w:r w:rsidRPr="00FC534A">
        <w:rPr>
          <w:color w:val="000000" w:themeColor="text1"/>
          <w:vertAlign w:val="superscript"/>
        </w:rPr>
        <w:t>[3]</w:t>
      </w:r>
      <w:r w:rsidRPr="00FC534A">
        <w:rPr>
          <w:color w:val="000000" w:themeColor="text1"/>
        </w:rPr>
        <w:t xml:space="preserve">. Flow-based generative models, especially normalizing flows, have shown good performance in representing Boltzmann distributions for a large number of physical systems, such as lattice QCD and statistical mechanics </w:t>
      </w:r>
      <w:r w:rsidRPr="00FC534A">
        <w:rPr>
          <w:color w:val="000000" w:themeColor="text1"/>
          <w:vertAlign w:val="superscript"/>
        </w:rPr>
        <w:t>[4]</w:t>
      </w:r>
      <w:r w:rsidRPr="00FC534A">
        <w:rPr>
          <w:color w:val="000000" w:themeColor="text1"/>
        </w:rPr>
        <w:t>. To build a more efficient and unbiased sampler, some of the basic reasons for explicitly preserving the physical symmetries of translational invariance and SU</w:t>
      </w:r>
      <w:r w:rsidR="00EA7692" w:rsidRPr="00FC534A">
        <w:rPr>
          <w:color w:val="000000" w:themeColor="text1"/>
        </w:rPr>
        <w:t xml:space="preserve"> </w:t>
      </w:r>
      <w:r w:rsidRPr="00FC534A">
        <w:rPr>
          <w:color w:val="000000" w:themeColor="text1"/>
        </w:rPr>
        <w:t>(2) spin symmetry are well-known. Symmetry-equivariant architectures limit the class of learnable transformations, thus reducing sample complexity and enhancing the training stability of large lattice sizes</w:t>
      </w:r>
      <w:r w:rsidR="00EA7692" w:rsidRPr="00FC534A">
        <w:rPr>
          <w:color w:val="000000" w:themeColor="text1"/>
        </w:rPr>
        <w:t xml:space="preserve"> </w:t>
      </w:r>
      <w:r w:rsidR="00EA7692" w:rsidRPr="00FC534A">
        <w:rPr>
          <w:color w:val="000000" w:themeColor="text1"/>
          <w:vertAlign w:val="superscript"/>
        </w:rPr>
        <w:t>[5]</w:t>
      </w:r>
      <w:r w:rsidRPr="00FC534A">
        <w:rPr>
          <w:color w:val="000000" w:themeColor="text1"/>
        </w:rPr>
        <w:t>.</w:t>
      </w:r>
    </w:p>
    <w:p w14:paraId="79503B2E" w14:textId="5C7F8119" w:rsidR="00EA7692" w:rsidRPr="00FC534A" w:rsidRDefault="00EA7692" w:rsidP="00FC534A">
      <w:pPr>
        <w:snapToGrid w:val="0"/>
        <w:ind w:firstLine="480"/>
        <w:rPr>
          <w:color w:val="000000" w:themeColor="text1"/>
        </w:rPr>
      </w:pPr>
    </w:p>
    <w:p w14:paraId="0A7F1BC5" w14:textId="48E1A906" w:rsidR="008547AB" w:rsidRPr="00FC534A" w:rsidRDefault="00EA7692" w:rsidP="00FC534A">
      <w:pPr>
        <w:pStyle w:val="Heading2"/>
        <w:snapToGrid w:val="0"/>
        <w:spacing w:before="0" w:after="0"/>
        <w:rPr>
          <w:i w:val="0"/>
          <w:iCs w:val="0"/>
          <w:color w:val="000000" w:themeColor="text1"/>
          <w:sz w:val="24"/>
          <w:szCs w:val="24"/>
        </w:rPr>
      </w:pPr>
      <w:r w:rsidRPr="00FC534A">
        <w:rPr>
          <w:i w:val="0"/>
          <w:iCs w:val="0"/>
          <w:color w:val="000000" w:themeColor="text1"/>
          <w:sz w:val="24"/>
          <w:szCs w:val="24"/>
        </w:rPr>
        <w:t xml:space="preserve">1.1. </w:t>
      </w:r>
      <w:r w:rsidR="0012176C" w:rsidRPr="00FC534A">
        <w:rPr>
          <w:i w:val="0"/>
          <w:iCs w:val="0"/>
          <w:color w:val="000000" w:themeColor="text1"/>
          <w:sz w:val="24"/>
          <w:szCs w:val="24"/>
        </w:rPr>
        <w:t xml:space="preserve">Core </w:t>
      </w:r>
      <w:r w:rsidRPr="00FC534A">
        <w:rPr>
          <w:i w:val="0"/>
          <w:iCs w:val="0"/>
          <w:color w:val="000000" w:themeColor="text1"/>
          <w:sz w:val="24"/>
          <w:szCs w:val="24"/>
        </w:rPr>
        <w:t>c</w:t>
      </w:r>
      <w:r w:rsidR="0012176C" w:rsidRPr="00FC534A">
        <w:rPr>
          <w:i w:val="0"/>
          <w:iCs w:val="0"/>
          <w:color w:val="000000" w:themeColor="text1"/>
          <w:sz w:val="24"/>
          <w:szCs w:val="24"/>
        </w:rPr>
        <w:t>ontributions</w:t>
      </w:r>
    </w:p>
    <w:p w14:paraId="330A677A" w14:textId="555629A8" w:rsidR="00EA7692" w:rsidRPr="00FC534A" w:rsidRDefault="0012176C" w:rsidP="00FC534A">
      <w:pPr>
        <w:snapToGrid w:val="0"/>
        <w:ind w:firstLineChars="0" w:firstLine="0"/>
        <w:rPr>
          <w:color w:val="000000" w:themeColor="text1"/>
        </w:rPr>
      </w:pPr>
      <w:r w:rsidRPr="00FC534A">
        <w:rPr>
          <w:color w:val="000000" w:themeColor="text1"/>
        </w:rPr>
        <w:t xml:space="preserve">Importantly, we do not claim to have solved the sign problem in its full NP-hard generality </w:t>
      </w:r>
      <w:r w:rsidRPr="00FC534A">
        <w:rPr>
          <w:color w:val="000000" w:themeColor="text1"/>
          <w:vertAlign w:val="superscript"/>
        </w:rPr>
        <w:t>[6]</w:t>
      </w:r>
      <w:r w:rsidRPr="00FC534A">
        <w:rPr>
          <w:color w:val="000000" w:themeColor="text1"/>
        </w:rPr>
        <w:t>. Instead, we show that for physically relevant Hamiltonians with local interactions, the exponential barrier can be reduced to a polynomial overhead for system sizes of practical interest. This paper initiates a paradigm shift, presenting the first scalable, exact, and unbiased Machine Learning-assisted QMC framework</w:t>
      </w:r>
      <w:r w:rsidR="00EA7692" w:rsidRPr="00FC534A">
        <w:rPr>
          <w:color w:val="000000" w:themeColor="text1"/>
        </w:rPr>
        <w:t>.</w:t>
      </w:r>
    </w:p>
    <w:p w14:paraId="2631B234" w14:textId="6588EC3E" w:rsidR="00EA7692" w:rsidRPr="00FC534A" w:rsidRDefault="00EA7692" w:rsidP="00EA7692">
      <w:pPr>
        <w:snapToGrid w:val="0"/>
        <w:ind w:left="709" w:firstLineChars="0" w:hanging="709"/>
        <w:rPr>
          <w:color w:val="000000" w:themeColor="text1"/>
        </w:rPr>
      </w:pPr>
      <w:r w:rsidRPr="00FC534A">
        <w:rPr>
          <w:color w:val="000000" w:themeColor="text1"/>
        </w:rPr>
        <w:t>(1)</w:t>
      </w:r>
      <w:r w:rsidRPr="00FC534A">
        <w:rPr>
          <w:color w:val="000000" w:themeColor="text1"/>
        </w:rPr>
        <w:tab/>
      </w:r>
      <w:r w:rsidR="0012176C" w:rsidRPr="00FC534A">
        <w:rPr>
          <w:color w:val="000000" w:themeColor="text1"/>
        </w:rPr>
        <w:t xml:space="preserve">The TNF </w:t>
      </w:r>
      <w:r w:rsidRPr="00FC534A">
        <w:rPr>
          <w:color w:val="000000" w:themeColor="text1"/>
        </w:rPr>
        <w:t>framework</w:t>
      </w:r>
    </w:p>
    <w:p w14:paraId="68AD31E5" w14:textId="1087CD9B" w:rsidR="00EA7692" w:rsidRPr="00FC534A" w:rsidRDefault="00EA7692" w:rsidP="00FC534A">
      <w:pPr>
        <w:snapToGrid w:val="0"/>
        <w:ind w:left="709" w:firstLineChars="0" w:hanging="709"/>
        <w:rPr>
          <w:color w:val="000000" w:themeColor="text1"/>
        </w:rPr>
      </w:pPr>
      <w:r w:rsidRPr="00FC534A">
        <w:rPr>
          <w:color w:val="000000" w:themeColor="text1"/>
        </w:rPr>
        <w:tab/>
      </w:r>
      <w:r w:rsidR="0012176C" w:rsidRPr="00FC534A">
        <w:rPr>
          <w:color w:val="000000" w:themeColor="text1"/>
        </w:rPr>
        <w:t>We systematically transform the algebraic sign problem into an unsupervised geometric optimization problem on complex manifolds.</w:t>
      </w:r>
    </w:p>
    <w:p w14:paraId="4B11E235" w14:textId="5AF8B8EC" w:rsidR="00EA7692" w:rsidRPr="00FC534A" w:rsidRDefault="00EA7692" w:rsidP="00EA7692">
      <w:pPr>
        <w:snapToGrid w:val="0"/>
        <w:ind w:left="709" w:firstLineChars="0" w:hanging="709"/>
        <w:rPr>
          <w:color w:val="000000" w:themeColor="text1"/>
        </w:rPr>
      </w:pPr>
      <w:r w:rsidRPr="00FC534A">
        <w:rPr>
          <w:color w:val="000000" w:themeColor="text1"/>
        </w:rPr>
        <w:t>(2)</w:t>
      </w:r>
      <w:r w:rsidRPr="00FC534A">
        <w:rPr>
          <w:color w:val="000000" w:themeColor="text1"/>
        </w:rPr>
        <w:tab/>
      </w:r>
      <w:r w:rsidR="0012176C" w:rsidRPr="00FC534A">
        <w:rPr>
          <w:color w:val="000000" w:themeColor="text1"/>
        </w:rPr>
        <w:t xml:space="preserve">Equivariant </w:t>
      </w:r>
      <w:r w:rsidRPr="00FC534A">
        <w:rPr>
          <w:color w:val="000000" w:themeColor="text1"/>
        </w:rPr>
        <w:t>continuous normalizing flows</w:t>
      </w:r>
    </w:p>
    <w:p w14:paraId="57F87E74" w14:textId="4B82C0BC" w:rsidR="00EA7692" w:rsidRPr="00FC534A" w:rsidRDefault="00EA7692" w:rsidP="00FC534A">
      <w:pPr>
        <w:snapToGrid w:val="0"/>
        <w:ind w:left="709" w:firstLineChars="0" w:hanging="709"/>
        <w:rPr>
          <w:color w:val="000000" w:themeColor="text1"/>
        </w:rPr>
      </w:pPr>
      <w:r w:rsidRPr="00FC534A">
        <w:rPr>
          <w:color w:val="000000" w:themeColor="text1"/>
        </w:rPr>
        <w:tab/>
      </w:r>
      <w:r w:rsidR="0012176C" w:rsidRPr="00FC534A">
        <w:rPr>
          <w:color w:val="000000" w:themeColor="text1"/>
        </w:rPr>
        <w:t>We guarantee the exactness of physical observables and Hamiltonian symmetries (SU</w:t>
      </w:r>
      <w:r w:rsidRPr="00FC534A">
        <w:rPr>
          <w:color w:val="000000" w:themeColor="text1"/>
        </w:rPr>
        <w:t xml:space="preserve"> </w:t>
      </w:r>
      <w:r w:rsidR="0012176C" w:rsidRPr="00FC534A">
        <w:rPr>
          <w:color w:val="000000" w:themeColor="text1"/>
        </w:rPr>
        <w:t>(2), U</w:t>
      </w:r>
      <w:r w:rsidRPr="00FC534A">
        <w:rPr>
          <w:color w:val="000000" w:themeColor="text1"/>
        </w:rPr>
        <w:t xml:space="preserve"> </w:t>
      </w:r>
      <w:r w:rsidR="0012176C" w:rsidRPr="00FC534A">
        <w:rPr>
          <w:color w:val="000000" w:themeColor="text1"/>
        </w:rPr>
        <w:t>(1), translations) via strict Cauchy constraints.</w:t>
      </w:r>
    </w:p>
    <w:p w14:paraId="7F2DE082" w14:textId="244C30CA" w:rsidR="00EA7692" w:rsidRPr="00FC534A" w:rsidRDefault="00EA7692" w:rsidP="00EA7692">
      <w:pPr>
        <w:snapToGrid w:val="0"/>
        <w:ind w:left="709" w:firstLineChars="0" w:hanging="709"/>
        <w:rPr>
          <w:color w:val="000000" w:themeColor="text1"/>
        </w:rPr>
      </w:pPr>
      <w:r w:rsidRPr="00FC534A">
        <w:rPr>
          <w:color w:val="000000" w:themeColor="text1"/>
        </w:rPr>
        <w:t>(3)</w:t>
      </w:r>
      <w:r w:rsidRPr="00FC534A">
        <w:rPr>
          <w:color w:val="000000" w:themeColor="text1"/>
        </w:rPr>
        <w:tab/>
      </w:r>
      <w:r w:rsidR="0012176C" w:rsidRPr="00FC534A">
        <w:rPr>
          <w:color w:val="000000" w:themeColor="text1"/>
        </w:rPr>
        <w:t xml:space="preserve">Rigorous </w:t>
      </w:r>
      <w:r w:rsidRPr="00FC534A">
        <w:rPr>
          <w:color w:val="000000" w:themeColor="text1"/>
        </w:rPr>
        <w:t>phase boundary mapping</w:t>
      </w:r>
    </w:p>
    <w:p w14:paraId="0CD94D9B" w14:textId="7228C6CF" w:rsidR="008547AB" w:rsidRPr="00FC534A" w:rsidRDefault="00EA7692" w:rsidP="00EA7692">
      <w:pPr>
        <w:snapToGrid w:val="0"/>
        <w:ind w:left="709" w:firstLineChars="0" w:hanging="709"/>
        <w:rPr>
          <w:color w:val="000000" w:themeColor="text1"/>
        </w:rPr>
      </w:pPr>
      <w:r w:rsidRPr="00FC534A">
        <w:rPr>
          <w:b/>
          <w:bCs/>
          <w:color w:val="000000" w:themeColor="text1"/>
        </w:rPr>
        <w:tab/>
      </w:r>
      <w:r w:rsidR="0012176C" w:rsidRPr="00FC534A">
        <w:rPr>
          <w:color w:val="000000" w:themeColor="text1"/>
        </w:rPr>
        <w:t>We provide unbiased measurements on 8 × 8 and 10 × 10 lattices, while transparently identifying the physical breakdown limits of continuous deformations at the 12 × 12 scale.</w:t>
      </w:r>
    </w:p>
    <w:p w14:paraId="54993EFF" w14:textId="77777777" w:rsidR="00EA7692" w:rsidRPr="00FC534A" w:rsidRDefault="00EA7692" w:rsidP="00FC534A">
      <w:pPr>
        <w:snapToGrid w:val="0"/>
        <w:ind w:left="709" w:firstLineChars="0" w:hanging="709"/>
        <w:rPr>
          <w:color w:val="000000" w:themeColor="text1"/>
        </w:rPr>
      </w:pPr>
    </w:p>
    <w:p w14:paraId="0782F2B4" w14:textId="215FDD3A" w:rsidR="008547AB" w:rsidRPr="00FC534A" w:rsidRDefault="0012176C" w:rsidP="00FC534A">
      <w:pPr>
        <w:pStyle w:val="Heading1"/>
        <w:snapToGrid w:val="0"/>
        <w:spacing w:before="0" w:after="0"/>
        <w:rPr>
          <w:color w:val="000000" w:themeColor="text1"/>
          <w:sz w:val="24"/>
          <w:szCs w:val="24"/>
        </w:rPr>
      </w:pPr>
      <w:r w:rsidRPr="00FC534A">
        <w:rPr>
          <w:color w:val="000000" w:themeColor="text1"/>
          <w:sz w:val="24"/>
          <w:szCs w:val="24"/>
        </w:rPr>
        <w:t xml:space="preserve">2. Theoretical </w:t>
      </w:r>
      <w:r w:rsidR="00EA7692" w:rsidRPr="00FC534A">
        <w:rPr>
          <w:color w:val="000000" w:themeColor="text1"/>
          <w:sz w:val="24"/>
          <w:szCs w:val="24"/>
        </w:rPr>
        <w:t>framework</w:t>
      </w:r>
    </w:p>
    <w:p w14:paraId="45A58A21" w14:textId="7C4F23FA" w:rsidR="008547AB" w:rsidRPr="00FC534A" w:rsidRDefault="0012176C" w:rsidP="00FC534A">
      <w:pPr>
        <w:pStyle w:val="Heading2"/>
        <w:snapToGrid w:val="0"/>
        <w:spacing w:before="0" w:after="0"/>
        <w:rPr>
          <w:i w:val="0"/>
          <w:iCs w:val="0"/>
          <w:color w:val="000000" w:themeColor="text1"/>
          <w:sz w:val="24"/>
          <w:szCs w:val="24"/>
        </w:rPr>
      </w:pPr>
      <w:r w:rsidRPr="00FC534A">
        <w:rPr>
          <w:i w:val="0"/>
          <w:iCs w:val="0"/>
          <w:color w:val="000000" w:themeColor="text1"/>
          <w:sz w:val="24"/>
          <w:szCs w:val="24"/>
        </w:rPr>
        <w:t>2.1</w:t>
      </w:r>
      <w:r w:rsidR="00EA7692" w:rsidRPr="00FC534A">
        <w:rPr>
          <w:i w:val="0"/>
          <w:iCs w:val="0"/>
          <w:color w:val="000000" w:themeColor="text1"/>
          <w:sz w:val="24"/>
          <w:szCs w:val="24"/>
        </w:rPr>
        <w:t>.</w:t>
      </w:r>
      <w:r w:rsidRPr="00FC534A">
        <w:rPr>
          <w:i w:val="0"/>
          <w:iCs w:val="0"/>
          <w:color w:val="000000" w:themeColor="text1"/>
          <w:sz w:val="24"/>
          <w:szCs w:val="24"/>
        </w:rPr>
        <w:t xml:space="preserve"> Multidimensional </w:t>
      </w:r>
      <w:r w:rsidR="00EA7692" w:rsidRPr="00FC534A">
        <w:rPr>
          <w:i w:val="0"/>
          <w:iCs w:val="0"/>
          <w:color w:val="000000" w:themeColor="text1"/>
          <w:sz w:val="24"/>
          <w:szCs w:val="24"/>
        </w:rPr>
        <w:t>analytic continuation</w:t>
      </w:r>
    </w:p>
    <w:p w14:paraId="7AB0EA4D" w14:textId="77777777" w:rsidR="008547AB" w:rsidRPr="00FC534A" w:rsidRDefault="0012176C" w:rsidP="00FC534A">
      <w:pPr>
        <w:snapToGrid w:val="0"/>
        <w:ind w:firstLineChars="0" w:firstLine="0"/>
        <w:rPr>
          <w:color w:val="000000" w:themeColor="text1"/>
        </w:rPr>
      </w:pPr>
      <w:r w:rsidRPr="00FC534A">
        <w:rPr>
          <w:color w:val="000000" w:themeColor="text1"/>
        </w:rPr>
        <w:t xml:space="preserve">By the </w:t>
      </w:r>
      <w:proofErr w:type="spellStart"/>
      <w:r w:rsidRPr="00FC534A">
        <w:rPr>
          <w:color w:val="000000" w:themeColor="text1"/>
        </w:rPr>
        <w:t>homotopy</w:t>
      </w:r>
      <w:proofErr w:type="spellEnd"/>
      <w:r w:rsidRPr="00FC534A">
        <w:rPr>
          <w:color w:val="000000" w:themeColor="text1"/>
        </w:rPr>
        <w:t xml:space="preserve"> invariance of integrals for holomorphic functions in several complex variables, the partition function Z remains invariant under a smooth deformation of the integration domain from </w:t>
      </w:r>
      <w:proofErr w:type="spellStart"/>
      <w:r w:rsidRPr="00FC534A">
        <w:rPr>
          <w:color w:val="000000" w:themeColor="text1"/>
        </w:rPr>
        <w:t>ℝ</w:t>
      </w:r>
      <w:r w:rsidRPr="00FC534A">
        <w:rPr>
          <w:color w:val="000000" w:themeColor="text1"/>
          <w:vertAlign w:val="superscript"/>
        </w:rPr>
        <w:t>n</w:t>
      </w:r>
      <w:proofErr w:type="spellEnd"/>
      <w:r w:rsidRPr="00FC534A">
        <w:rPr>
          <w:color w:val="000000" w:themeColor="text1"/>
        </w:rPr>
        <w:t xml:space="preserve"> to a manifold </w:t>
      </w:r>
      <w:proofErr w:type="spellStart"/>
      <w:r w:rsidRPr="00FC534A">
        <w:rPr>
          <w:color w:val="000000" w:themeColor="text1"/>
        </w:rPr>
        <w:t>M</w:t>
      </w:r>
      <w:r w:rsidRPr="00FC534A">
        <w:rPr>
          <w:color w:val="000000" w:themeColor="text1"/>
          <w:vertAlign w:val="subscript"/>
        </w:rPr>
        <w:t>θ</w:t>
      </w:r>
      <w:proofErr w:type="spellEnd"/>
      <w:r w:rsidRPr="00FC534A">
        <w:rPr>
          <w:color w:val="000000" w:themeColor="text1"/>
        </w:rPr>
        <w:t xml:space="preserve"> </w:t>
      </w:r>
      <w:r w:rsidRPr="00FC534A">
        <w:rPr>
          <w:rFonts w:ascii="Cambria Math" w:hAnsi="Cambria Math" w:cs="Cambria Math"/>
          <w:color w:val="000000" w:themeColor="text1"/>
        </w:rPr>
        <w:t>⊂</w:t>
      </w:r>
      <w:r w:rsidRPr="00FC534A">
        <w:rPr>
          <w:color w:val="000000" w:themeColor="text1"/>
        </w:rPr>
        <w:t xml:space="preserve"> </w:t>
      </w:r>
      <w:proofErr w:type="spellStart"/>
      <w:r w:rsidRPr="00FC534A">
        <w:rPr>
          <w:color w:val="000000" w:themeColor="text1"/>
        </w:rPr>
        <w:t>ℂ</w:t>
      </w:r>
      <w:r w:rsidRPr="00FC534A">
        <w:rPr>
          <w:color w:val="000000" w:themeColor="text1"/>
          <w:vertAlign w:val="superscript"/>
        </w:rPr>
        <w:t>n</w:t>
      </w:r>
      <w:proofErr w:type="spellEnd"/>
      <w:r w:rsidRPr="00FC534A">
        <w:rPr>
          <w:color w:val="000000" w:themeColor="text1"/>
        </w:rPr>
        <w:t>, provided no singularities of the integrand are crossed during the deformation:</w:t>
      </w:r>
    </w:p>
    <w:p w14:paraId="20935B8B" w14:textId="77777777" w:rsidR="008547AB" w:rsidRPr="00FC534A" w:rsidRDefault="008547AB" w:rsidP="00FC534A">
      <w:pPr>
        <w:snapToGrid w:val="0"/>
        <w:ind w:firstLine="480"/>
        <w:rPr>
          <w:color w:val="000000" w:themeColor="text1"/>
        </w:rPr>
      </w:pPr>
    </w:p>
    <w:p w14:paraId="502BA728" w14:textId="77777777" w:rsidR="008547AB" w:rsidRPr="00FC534A" w:rsidRDefault="0012176C" w:rsidP="00FC534A">
      <w:pPr>
        <w:snapToGrid w:val="0"/>
        <w:ind w:firstLine="480"/>
        <w:jc w:val="center"/>
        <w:rPr>
          <w:iCs/>
          <w:color w:val="000000" w:themeColor="text1"/>
        </w:rPr>
      </w:pPr>
      <m:oMath>
        <m:r>
          <m:rPr>
            <m:nor/>
          </m:rPr>
          <w:rPr>
            <w:i/>
            <w:color w:val="000000" w:themeColor="text1"/>
          </w:rPr>
          <w:lastRenderedPageBreak/>
          <m:t>z</m:t>
        </m:r>
        <m:r>
          <m:rPr>
            <m:nor/>
          </m:rPr>
          <w:rPr>
            <w:color w:val="000000" w:themeColor="text1"/>
          </w:rPr>
          <m:t>=</m:t>
        </m:r>
        <m:nary>
          <m:naryPr>
            <m:limLoc m:val="subSup"/>
            <m:grow m:val="1"/>
            <m:supHide m:val="1"/>
            <m:ctrlPr>
              <w:rPr>
                <w:rFonts w:ascii="Cambria Math" w:hAnsi="Cambria Math"/>
                <w:i/>
                <w:iCs/>
                <w:color w:val="000000" w:themeColor="text1"/>
              </w:rPr>
            </m:ctrlPr>
          </m:naryPr>
          <m:sub>
            <m:sSup>
              <m:sSupPr>
                <m:ctrlPr>
                  <w:rPr>
                    <w:rFonts w:ascii="Cambria Math" w:hAnsi="Cambria Math"/>
                    <w:i/>
                    <w:iCs/>
                    <w:color w:val="000000" w:themeColor="text1"/>
                  </w:rPr>
                </m:ctrlPr>
              </m:sSupPr>
              <m:e>
                <m:r>
                  <m:rPr>
                    <m:nor/>
                  </m:rPr>
                  <w:rPr>
                    <w:rFonts w:eastAsia="MS Mincho"/>
                    <w:color w:val="000000" w:themeColor="text1"/>
                  </w:rPr>
                  <m:t>R</m:t>
                </m:r>
              </m:e>
              <m:sup>
                <m:r>
                  <m:rPr>
                    <m:nor/>
                  </m:rPr>
                  <w:rPr>
                    <w:i/>
                    <w:color w:val="000000" w:themeColor="text1"/>
                  </w:rPr>
                  <m:t>n</m:t>
                </m:r>
              </m:sup>
            </m:sSup>
          </m:sub>
          <m:sup/>
          <m:e>
            <m:r>
              <m:rPr>
                <m:nor/>
              </m:rPr>
              <w:rPr>
                <w:i/>
                <w:color w:val="000000" w:themeColor="text1"/>
              </w:rPr>
              <m:t>d</m:t>
            </m:r>
            <m:r>
              <m:rPr>
                <m:nor/>
              </m:rPr>
              <w:rPr>
                <w:color w:val="000000" w:themeColor="text1"/>
              </w:rPr>
              <m:t>ϕⅇ-</m:t>
            </m:r>
            <m:sSub>
              <m:sSubPr>
                <m:ctrlPr>
                  <w:rPr>
                    <w:rFonts w:ascii="Cambria Math" w:hAnsi="Cambria Math"/>
                    <w:i/>
                    <w:iCs/>
                    <w:color w:val="000000" w:themeColor="text1"/>
                  </w:rPr>
                </m:ctrlPr>
              </m:sSubPr>
              <m:e>
                <m:r>
                  <m:rPr>
                    <m:nor/>
                  </m:rPr>
                  <w:rPr>
                    <w:i/>
                    <w:color w:val="000000" w:themeColor="text1"/>
                  </w:rPr>
                  <m:t>S</m:t>
                </m:r>
              </m:e>
              <m:sub>
                <m:r>
                  <m:rPr>
                    <m:nor/>
                  </m:rPr>
                  <w:rPr>
                    <w:i/>
                    <w:color w:val="000000" w:themeColor="text1"/>
                  </w:rPr>
                  <m:t>eff</m:t>
                </m:r>
              </m:sub>
            </m:sSub>
            <m:d>
              <m:dPr>
                <m:begChr m:val="["/>
                <m:endChr m:val="]"/>
                <m:ctrlPr>
                  <w:rPr>
                    <w:rFonts w:ascii="Cambria Math" w:hAnsi="Cambria Math"/>
                    <w:i/>
                    <w:iCs/>
                    <w:color w:val="000000" w:themeColor="text1"/>
                  </w:rPr>
                </m:ctrlPr>
              </m:dPr>
              <m:e>
                <m:r>
                  <m:rPr>
                    <m:nor/>
                  </m:rPr>
                  <w:rPr>
                    <w:color w:val="000000" w:themeColor="text1"/>
                  </w:rPr>
                  <m:t>ϕ</m:t>
                </m:r>
              </m:e>
            </m:d>
            <m:r>
              <m:rPr>
                <m:nor/>
              </m:rPr>
              <w:rPr>
                <w:color w:val="000000" w:themeColor="text1"/>
              </w:rPr>
              <m:t>=</m:t>
            </m:r>
            <m:nary>
              <m:naryPr>
                <m:limLoc m:val="subSup"/>
                <m:grow m:val="1"/>
                <m:supHide m:val="1"/>
                <m:ctrlPr>
                  <w:rPr>
                    <w:rFonts w:ascii="Cambria Math" w:hAnsi="Cambria Math"/>
                    <w:i/>
                    <w:iCs/>
                    <w:color w:val="000000" w:themeColor="text1"/>
                  </w:rPr>
                </m:ctrlPr>
              </m:naryPr>
              <m:sub>
                <m:r>
                  <m:rPr>
                    <m:nor/>
                  </m:rPr>
                  <w:rPr>
                    <w:i/>
                    <w:color w:val="000000" w:themeColor="text1"/>
                  </w:rPr>
                  <m:t>Mθ</m:t>
                </m:r>
              </m:sub>
              <m:sup/>
              <m:e>
                <m:r>
                  <m:rPr>
                    <m:nor/>
                  </m:rPr>
                  <w:rPr>
                    <w:color w:val="000000" w:themeColor="text1"/>
                  </w:rPr>
                  <m:t>ⅆ</m:t>
                </m:r>
                <m:acc>
                  <m:accPr>
                    <m:chr m:val="̃"/>
                    <m:ctrlPr>
                      <w:rPr>
                        <w:rFonts w:ascii="Cambria Math" w:hAnsi="Cambria Math"/>
                        <w:i/>
                        <w:iCs/>
                        <w:color w:val="000000" w:themeColor="text1"/>
                      </w:rPr>
                    </m:ctrlPr>
                  </m:accPr>
                  <m:e>
                    <m:r>
                      <m:rPr>
                        <m:nor/>
                      </m:rPr>
                      <w:rPr>
                        <w:color w:val="000000" w:themeColor="text1"/>
                      </w:rPr>
                      <m:t>ϕ</m:t>
                    </m:r>
                  </m:e>
                </m:acc>
              </m:e>
            </m:nary>
            <m:sSup>
              <m:sSupPr>
                <m:ctrlPr>
                  <w:rPr>
                    <w:rFonts w:ascii="Cambria Math" w:hAnsi="Cambria Math"/>
                    <w:i/>
                    <w:iCs/>
                    <w:color w:val="000000" w:themeColor="text1"/>
                  </w:rPr>
                </m:ctrlPr>
              </m:sSupPr>
              <m:e>
                <m:r>
                  <m:rPr>
                    <m:nor/>
                  </m:rPr>
                  <w:rPr>
                    <w:color w:val="000000" w:themeColor="text1"/>
                  </w:rPr>
                  <m:t>ⅇ</m:t>
                </m:r>
              </m:e>
              <m:sup>
                <m:r>
                  <m:rPr>
                    <m:nor/>
                  </m:rPr>
                  <w:rPr>
                    <w:color w:val="000000" w:themeColor="text1"/>
                  </w:rPr>
                  <m:t>-</m:t>
                </m:r>
                <m:sSub>
                  <m:sSubPr>
                    <m:ctrlPr>
                      <w:rPr>
                        <w:rFonts w:ascii="Cambria Math" w:hAnsi="Cambria Math"/>
                        <w:i/>
                        <w:iCs/>
                        <w:color w:val="000000" w:themeColor="text1"/>
                      </w:rPr>
                    </m:ctrlPr>
                  </m:sSubPr>
                  <m:e>
                    <m:r>
                      <m:rPr>
                        <m:nor/>
                      </m:rPr>
                      <w:rPr>
                        <w:i/>
                        <w:color w:val="000000" w:themeColor="text1"/>
                      </w:rPr>
                      <m:t>S</m:t>
                    </m:r>
                  </m:e>
                  <m:sub>
                    <m:r>
                      <m:rPr>
                        <m:nor/>
                      </m:rPr>
                      <w:rPr>
                        <w:color w:val="000000" w:themeColor="text1"/>
                      </w:rPr>
                      <m:t>ⅇ</m:t>
                    </m:r>
                    <m:r>
                      <m:rPr>
                        <m:nor/>
                      </m:rPr>
                      <w:rPr>
                        <w:i/>
                        <w:color w:val="000000" w:themeColor="text1"/>
                      </w:rPr>
                      <m:t>ff</m:t>
                    </m:r>
                  </m:sub>
                </m:sSub>
                <m:d>
                  <m:dPr>
                    <m:begChr m:val="["/>
                    <m:endChr m:val="]"/>
                    <m:ctrlPr>
                      <w:rPr>
                        <w:rFonts w:ascii="Cambria Math" w:hAnsi="Cambria Math"/>
                        <w:i/>
                        <w:iCs/>
                        <w:color w:val="000000" w:themeColor="text1"/>
                      </w:rPr>
                    </m:ctrlPr>
                  </m:dPr>
                  <m:e>
                    <m:acc>
                      <m:accPr>
                        <m:chr m:val="̃"/>
                        <m:ctrlPr>
                          <w:rPr>
                            <w:rFonts w:ascii="Cambria Math" w:hAnsi="Cambria Math"/>
                            <w:i/>
                            <w:iCs/>
                            <w:color w:val="000000" w:themeColor="text1"/>
                          </w:rPr>
                        </m:ctrlPr>
                      </m:accPr>
                      <m:e>
                        <m:r>
                          <m:rPr>
                            <m:nor/>
                          </m:rPr>
                          <w:rPr>
                            <w:color w:val="000000" w:themeColor="text1"/>
                          </w:rPr>
                          <m:t>ϕ</m:t>
                        </m:r>
                      </m:e>
                    </m:acc>
                  </m:e>
                </m:d>
              </m:sup>
            </m:sSup>
          </m:e>
        </m:nary>
      </m:oMath>
      <w:r w:rsidRPr="00FC534A">
        <w:rPr>
          <w:iCs/>
          <w:color w:val="000000" w:themeColor="text1"/>
        </w:rPr>
        <w:tab/>
      </w:r>
      <w:r w:rsidRPr="00FC534A">
        <w:rPr>
          <w:iCs/>
          <w:color w:val="000000" w:themeColor="text1"/>
        </w:rPr>
        <w:tab/>
      </w:r>
      <w:r w:rsidRPr="00FC534A">
        <w:rPr>
          <w:iCs/>
          <w:color w:val="000000" w:themeColor="text1"/>
        </w:rPr>
        <w:tab/>
      </w:r>
      <w:r w:rsidRPr="00FC534A">
        <w:rPr>
          <w:iCs/>
          <w:color w:val="000000" w:themeColor="text1"/>
        </w:rPr>
        <w:tab/>
        <w:t>(1)</w:t>
      </w:r>
    </w:p>
    <w:p w14:paraId="35B88432" w14:textId="59BFB3CA" w:rsidR="008547AB" w:rsidRPr="00FC534A" w:rsidRDefault="0012176C" w:rsidP="00FC534A">
      <w:pPr>
        <w:snapToGrid w:val="0"/>
        <w:ind w:firstLine="480"/>
        <w:rPr>
          <w:color w:val="000000" w:themeColor="text1"/>
        </w:rPr>
      </w:pPr>
      <w:r w:rsidRPr="00FC534A">
        <w:rPr>
          <w:color w:val="000000" w:themeColor="text1"/>
        </w:rPr>
        <w:t>Physical Intuition:</w:t>
      </w:r>
      <w:r w:rsidRPr="00FC534A">
        <w:rPr>
          <w:i/>
          <w:iCs/>
          <w:color w:val="000000" w:themeColor="text1"/>
        </w:rPr>
        <w:t xml:space="preserve"> </w:t>
      </w:r>
      <w:r w:rsidRPr="00FC534A">
        <w:rPr>
          <w:color w:val="000000" w:themeColor="text1"/>
        </w:rPr>
        <w:t xml:space="preserve">The real-axis integration path is a terrain of violent phase oscillations where positive and negative weights cancel out. The TNF acts as a high-dimensional fluid, lifting this path into the complex plane, routing around the </w:t>
      </w:r>
      <w:r w:rsidR="00EA7692" w:rsidRPr="00FC534A">
        <w:rPr>
          <w:color w:val="000000" w:themeColor="text1"/>
        </w:rPr>
        <w:t>zeros of</w:t>
      </w:r>
      <w:r w:rsidRPr="00FC534A">
        <w:rPr>
          <w:color w:val="000000" w:themeColor="text1"/>
        </w:rPr>
        <w:t xml:space="preserve"> the fermion determinant to discover a </w:t>
      </w:r>
      <w:r w:rsidR="00EA7692" w:rsidRPr="00FC534A">
        <w:rPr>
          <w:color w:val="000000" w:themeColor="text1"/>
        </w:rPr>
        <w:t>“</w:t>
      </w:r>
      <w:r w:rsidRPr="00FC534A">
        <w:rPr>
          <w:color w:val="000000" w:themeColor="text1"/>
        </w:rPr>
        <w:t>calm valley</w:t>
      </w:r>
      <w:r w:rsidR="00EA7692" w:rsidRPr="00FC534A">
        <w:rPr>
          <w:color w:val="000000" w:themeColor="text1"/>
        </w:rPr>
        <w:t>”</w:t>
      </w:r>
      <w:r w:rsidRPr="00FC534A">
        <w:rPr>
          <w:color w:val="000000" w:themeColor="text1"/>
        </w:rPr>
        <w:t xml:space="preserve"> of nearly constant phase.</w:t>
      </w:r>
    </w:p>
    <w:p w14:paraId="02B443C4" w14:textId="6E151295" w:rsidR="008547AB" w:rsidRPr="00FC534A" w:rsidRDefault="0012176C" w:rsidP="00EA7692">
      <w:pPr>
        <w:snapToGrid w:val="0"/>
        <w:ind w:firstLine="480"/>
        <w:rPr>
          <w:color w:val="000000" w:themeColor="text1"/>
        </w:rPr>
      </w:pPr>
      <w:r w:rsidRPr="00FC534A">
        <w:rPr>
          <w:color w:val="000000" w:themeColor="text1"/>
        </w:rPr>
        <w:t xml:space="preserve">This is the same as the </w:t>
      </w:r>
      <w:proofErr w:type="spellStart"/>
      <w:r w:rsidRPr="00FC534A">
        <w:rPr>
          <w:color w:val="000000" w:themeColor="text1"/>
        </w:rPr>
        <w:t>Lefschetz</w:t>
      </w:r>
      <w:proofErr w:type="spellEnd"/>
      <w:r w:rsidRPr="00FC534A">
        <w:rPr>
          <w:color w:val="000000" w:themeColor="text1"/>
        </w:rPr>
        <w:t xml:space="preserve"> thimble method, but the integration domain has been modified to steepest-descent manifolds that connect to critical points of the action</w:t>
      </w:r>
      <w:r w:rsidR="00EA7692" w:rsidRPr="00FC534A">
        <w:rPr>
          <w:color w:val="000000" w:themeColor="text1"/>
        </w:rPr>
        <w:t xml:space="preserve"> </w:t>
      </w:r>
      <w:r w:rsidR="00EA7692" w:rsidRPr="00FC534A">
        <w:rPr>
          <w:color w:val="000000" w:themeColor="text1"/>
          <w:vertAlign w:val="superscript"/>
        </w:rPr>
        <w:t>[7]</w:t>
      </w:r>
      <w:r w:rsidRPr="00FC534A">
        <w:rPr>
          <w:color w:val="000000" w:themeColor="text1"/>
        </w:rPr>
        <w:t xml:space="preserve">. On each </w:t>
      </w:r>
      <w:proofErr w:type="spellStart"/>
      <w:r w:rsidRPr="00FC534A">
        <w:rPr>
          <w:color w:val="000000" w:themeColor="text1"/>
        </w:rPr>
        <w:t>Lefschetz</w:t>
      </w:r>
      <w:proofErr w:type="spellEnd"/>
      <w:r w:rsidRPr="00FC534A">
        <w:rPr>
          <w:color w:val="000000" w:themeColor="text1"/>
        </w:rPr>
        <w:t xml:space="preserve"> thimble, the imaginary part of the action is constant and equal to its value at the corresponding critical point. However, as shown by the above research, the pure thimble method is not perfect and still has two sources of residual cancellation</w:t>
      </w:r>
      <w:r w:rsidRPr="00FC534A">
        <w:rPr>
          <w:color w:val="000000" w:themeColor="text1"/>
          <w:vertAlign w:val="superscript"/>
        </w:rPr>
        <w:t xml:space="preserve"> [8]</w:t>
      </w:r>
      <w:r w:rsidRPr="00FC534A">
        <w:rPr>
          <w:color w:val="000000" w:themeColor="text1"/>
        </w:rPr>
        <w:t>. First, the contour deformation introduces a complex Jacobian that generates fluctuating phases itself. Second, for fermionic systems, the contributions from many thimbles must be summed, and there will be inter-thimble cancellations. The TNF framework does not have the issues of discrete critical points and complex decompositions, and instead learns a globally optimal continuous manifold deformation to directly reduce the variance of the effective phase without exact thimble identification.</w:t>
      </w:r>
    </w:p>
    <w:p w14:paraId="5CD5176B" w14:textId="77777777" w:rsidR="00EA7692" w:rsidRPr="00FC534A" w:rsidRDefault="00EA7692" w:rsidP="00FC534A">
      <w:pPr>
        <w:snapToGrid w:val="0"/>
        <w:ind w:firstLine="480"/>
        <w:rPr>
          <w:color w:val="000000" w:themeColor="text1"/>
        </w:rPr>
      </w:pPr>
    </w:p>
    <w:p w14:paraId="58986243" w14:textId="74B1B216" w:rsidR="008547AB" w:rsidRPr="00FC534A" w:rsidRDefault="0012176C" w:rsidP="00FC534A">
      <w:pPr>
        <w:pStyle w:val="Heading2"/>
        <w:snapToGrid w:val="0"/>
        <w:spacing w:before="0" w:after="0"/>
        <w:rPr>
          <w:i w:val="0"/>
          <w:iCs w:val="0"/>
          <w:color w:val="000000" w:themeColor="text1"/>
          <w:sz w:val="24"/>
          <w:szCs w:val="24"/>
        </w:rPr>
      </w:pPr>
      <w:r w:rsidRPr="00FC534A">
        <w:rPr>
          <w:i w:val="0"/>
          <w:iCs w:val="0"/>
          <w:color w:val="000000" w:themeColor="text1"/>
          <w:sz w:val="24"/>
          <w:szCs w:val="24"/>
        </w:rPr>
        <w:t>2.2</w:t>
      </w:r>
      <w:r w:rsidR="00EA7692" w:rsidRPr="00FC534A">
        <w:rPr>
          <w:i w:val="0"/>
          <w:iCs w:val="0"/>
          <w:color w:val="000000" w:themeColor="text1"/>
          <w:sz w:val="24"/>
          <w:szCs w:val="24"/>
        </w:rPr>
        <w:t>.</w:t>
      </w:r>
      <w:r w:rsidRPr="00FC534A">
        <w:rPr>
          <w:i w:val="0"/>
          <w:iCs w:val="0"/>
          <w:color w:val="000000" w:themeColor="text1"/>
          <w:sz w:val="24"/>
          <w:szCs w:val="24"/>
        </w:rPr>
        <w:t xml:space="preserve"> Neural ODEs and </w:t>
      </w:r>
      <w:r w:rsidR="00E62253" w:rsidRPr="00FC534A">
        <w:rPr>
          <w:i w:val="0"/>
          <w:iCs w:val="0"/>
          <w:color w:val="000000" w:themeColor="text1"/>
          <w:sz w:val="24"/>
          <w:szCs w:val="24"/>
        </w:rPr>
        <w:t>manifold generation</w:t>
      </w:r>
    </w:p>
    <w:p w14:paraId="68FE76B0" w14:textId="77777777" w:rsidR="008547AB" w:rsidRPr="00FC534A" w:rsidRDefault="0012176C" w:rsidP="00FC534A">
      <w:pPr>
        <w:snapToGrid w:val="0"/>
        <w:ind w:firstLineChars="0" w:firstLine="0"/>
        <w:rPr>
          <w:color w:val="000000" w:themeColor="text1"/>
        </w:rPr>
      </w:pPr>
      <w:r w:rsidRPr="00FC534A">
        <w:rPr>
          <w:color w:val="000000" w:themeColor="text1"/>
        </w:rPr>
        <w:t xml:space="preserve">We define a diffeomorphism </w:t>
      </w:r>
      <w:proofErr w:type="spellStart"/>
      <w:r w:rsidRPr="00FC534A">
        <w:rPr>
          <w:color w:val="000000" w:themeColor="text1"/>
        </w:rPr>
        <w:t>f</w:t>
      </w:r>
      <w:r w:rsidRPr="00FC534A">
        <w:rPr>
          <w:color w:val="000000" w:themeColor="text1"/>
          <w:vertAlign w:val="subscript"/>
        </w:rPr>
        <w:t>θ</w:t>
      </w:r>
      <w:proofErr w:type="spellEnd"/>
      <w:r w:rsidRPr="00FC534A">
        <w:rPr>
          <w:color w:val="000000" w:themeColor="text1"/>
        </w:rPr>
        <w:t xml:space="preserve">: </w:t>
      </w:r>
      <w:proofErr w:type="spellStart"/>
      <w:r w:rsidRPr="00FC534A">
        <w:rPr>
          <w:color w:val="000000" w:themeColor="text1"/>
        </w:rPr>
        <w:t>ℝ</w:t>
      </w:r>
      <w:r w:rsidRPr="00FC534A">
        <w:rPr>
          <w:color w:val="000000" w:themeColor="text1"/>
          <w:vertAlign w:val="superscript"/>
        </w:rPr>
        <w:t>n</w:t>
      </w:r>
      <w:proofErr w:type="spellEnd"/>
      <w:r w:rsidRPr="00FC534A">
        <w:rPr>
          <w:color w:val="000000" w:themeColor="text1"/>
        </w:rPr>
        <w:t xml:space="preserve"> → </w:t>
      </w:r>
      <w:proofErr w:type="spellStart"/>
      <w:r w:rsidRPr="00FC534A">
        <w:rPr>
          <w:color w:val="000000" w:themeColor="text1"/>
        </w:rPr>
        <w:t>ℂ</w:t>
      </w:r>
      <w:r w:rsidRPr="00FC534A">
        <w:rPr>
          <w:color w:val="000000" w:themeColor="text1"/>
          <w:vertAlign w:val="superscript"/>
        </w:rPr>
        <w:t>n</w:t>
      </w:r>
      <w:proofErr w:type="spellEnd"/>
      <w:r w:rsidRPr="00FC534A">
        <w:rPr>
          <w:color w:val="000000" w:themeColor="text1"/>
        </w:rPr>
        <w:t xml:space="preserve"> governed by a Neural Ordinary Differential Equation (Neural ODE):</w:t>
      </w:r>
    </w:p>
    <w:p w14:paraId="051C2053" w14:textId="77777777" w:rsidR="008547AB" w:rsidRPr="00FC534A" w:rsidRDefault="00000000" w:rsidP="00FC534A">
      <w:pPr>
        <w:snapToGrid w:val="0"/>
        <w:ind w:firstLine="480"/>
        <w:jc w:val="center"/>
        <w:rPr>
          <w:color w:val="000000" w:themeColor="text1"/>
        </w:rPr>
      </w:pPr>
      <m:oMath>
        <m:f>
          <m:fPr>
            <m:ctrlPr>
              <w:rPr>
                <w:rFonts w:ascii="Cambria Math" w:hAnsi="Cambria Math"/>
                <w:i/>
                <w:color w:val="000000" w:themeColor="text1"/>
              </w:rPr>
            </m:ctrlPr>
          </m:fPr>
          <m:num>
            <m:r>
              <m:rPr>
                <m:nor/>
              </m:rPr>
              <w:rPr>
                <w:color w:val="000000" w:themeColor="text1"/>
              </w:rPr>
              <m:t>ⅆ</m:t>
            </m:r>
            <m:acc>
              <m:accPr>
                <m:chr m:val="̃"/>
                <m:ctrlPr>
                  <w:rPr>
                    <w:rFonts w:ascii="Cambria Math" w:hAnsi="Cambria Math"/>
                    <w:i/>
                    <w:color w:val="000000" w:themeColor="text1"/>
                  </w:rPr>
                </m:ctrlPr>
              </m:accPr>
              <m:e>
                <m:r>
                  <m:rPr>
                    <m:nor/>
                  </m:rPr>
                  <w:rPr>
                    <w:color w:val="000000" w:themeColor="text1"/>
                  </w:rPr>
                  <m:t>ϕ</m:t>
                </m:r>
              </m:e>
            </m:acc>
            <m:d>
              <m:dPr>
                <m:ctrlPr>
                  <w:rPr>
                    <w:rFonts w:ascii="Cambria Math" w:hAnsi="Cambria Math"/>
                    <w:i/>
                    <w:color w:val="000000" w:themeColor="text1"/>
                  </w:rPr>
                </m:ctrlPr>
              </m:dPr>
              <m:e>
                <m:r>
                  <m:rPr>
                    <m:nor/>
                  </m:rPr>
                  <w:rPr>
                    <w:i/>
                    <w:color w:val="000000" w:themeColor="text1"/>
                  </w:rPr>
                  <m:t>t</m:t>
                </m:r>
              </m:e>
            </m:d>
          </m:num>
          <m:den>
            <m:r>
              <m:rPr>
                <m:nor/>
              </m:rPr>
              <w:rPr>
                <w:color w:val="000000" w:themeColor="text1"/>
              </w:rPr>
              <m:t>ⅆ</m:t>
            </m:r>
            <m:r>
              <m:rPr>
                <m:nor/>
              </m:rPr>
              <w:rPr>
                <w:i/>
                <w:color w:val="000000" w:themeColor="text1"/>
              </w:rPr>
              <m:t>t</m:t>
            </m:r>
          </m:den>
        </m:f>
        <m:r>
          <m:rPr>
            <m:nor/>
          </m:rPr>
          <w:rPr>
            <w:color w:val="000000" w:themeColor="text1"/>
          </w:rPr>
          <m:t>=</m:t>
        </m:r>
        <m:sSub>
          <m:sSubPr>
            <m:ctrlPr>
              <w:rPr>
                <w:rFonts w:ascii="Cambria Math" w:hAnsi="Cambria Math"/>
                <w:i/>
                <w:color w:val="000000" w:themeColor="text1"/>
              </w:rPr>
            </m:ctrlPr>
          </m:sSubPr>
          <m:e>
            <m:r>
              <m:rPr>
                <m:nor/>
              </m:rPr>
              <w:rPr>
                <w:i/>
                <w:color w:val="000000" w:themeColor="text1"/>
              </w:rPr>
              <m:t>v</m:t>
            </m:r>
          </m:e>
          <m:sub>
            <m:r>
              <m:rPr>
                <m:nor/>
              </m:rPr>
              <w:rPr>
                <w:i/>
                <w:color w:val="000000" w:themeColor="text1"/>
              </w:rPr>
              <m:t>θ</m:t>
            </m:r>
          </m:sub>
        </m:sSub>
        <m:d>
          <m:dPr>
            <m:ctrlPr>
              <w:rPr>
                <w:rFonts w:ascii="Cambria Math" w:hAnsi="Cambria Math"/>
                <w:i/>
                <w:color w:val="000000" w:themeColor="text1"/>
              </w:rPr>
            </m:ctrlPr>
          </m:dPr>
          <m:e>
            <m:acc>
              <m:accPr>
                <m:chr m:val="̃"/>
                <m:ctrlPr>
                  <w:rPr>
                    <w:rFonts w:ascii="Cambria Math" w:hAnsi="Cambria Math"/>
                    <w:i/>
                    <w:color w:val="000000" w:themeColor="text1"/>
                  </w:rPr>
                </m:ctrlPr>
              </m:accPr>
              <m:e>
                <m:r>
                  <m:rPr>
                    <m:nor/>
                  </m:rPr>
                  <w:rPr>
                    <w:color w:val="000000" w:themeColor="text1"/>
                  </w:rPr>
                  <m:t>ϕ</m:t>
                </m:r>
              </m:e>
            </m:acc>
            <m:d>
              <m:dPr>
                <m:ctrlPr>
                  <w:rPr>
                    <w:rFonts w:ascii="Cambria Math" w:hAnsi="Cambria Math"/>
                    <w:i/>
                    <w:color w:val="000000" w:themeColor="text1"/>
                  </w:rPr>
                </m:ctrlPr>
              </m:dPr>
              <m:e>
                <m:r>
                  <m:rPr>
                    <m:nor/>
                  </m:rPr>
                  <w:rPr>
                    <w:i/>
                    <w:color w:val="000000" w:themeColor="text1"/>
                  </w:rPr>
                  <m:t>t</m:t>
                </m:r>
              </m:e>
            </m:d>
            <m:r>
              <m:rPr>
                <m:nor/>
              </m:rPr>
              <w:rPr>
                <w:color w:val="000000" w:themeColor="text1"/>
              </w:rPr>
              <m:t>,</m:t>
            </m:r>
            <m:r>
              <m:rPr>
                <m:nor/>
              </m:rPr>
              <w:rPr>
                <w:i/>
                <w:color w:val="000000" w:themeColor="text1"/>
              </w:rPr>
              <m:t>t</m:t>
            </m:r>
          </m:e>
        </m:d>
      </m:oMath>
      <w:r w:rsidR="0012176C" w:rsidRPr="00FC534A">
        <w:rPr>
          <w:iCs/>
          <w:color w:val="000000" w:themeColor="text1"/>
        </w:rPr>
        <w:tab/>
      </w:r>
      <w:r w:rsidR="0012176C" w:rsidRPr="00FC534A">
        <w:rPr>
          <w:iCs/>
          <w:color w:val="000000" w:themeColor="text1"/>
        </w:rPr>
        <w:tab/>
      </w:r>
      <w:r w:rsidR="0012176C" w:rsidRPr="00FC534A">
        <w:rPr>
          <w:iCs/>
          <w:color w:val="000000" w:themeColor="text1"/>
        </w:rPr>
        <w:tab/>
      </w:r>
      <w:r w:rsidR="0012176C" w:rsidRPr="00FC534A">
        <w:rPr>
          <w:iCs/>
          <w:color w:val="000000" w:themeColor="text1"/>
        </w:rPr>
        <w:tab/>
      </w:r>
      <w:r w:rsidR="0012176C" w:rsidRPr="00FC534A">
        <w:rPr>
          <w:iCs/>
          <w:color w:val="000000" w:themeColor="text1"/>
        </w:rPr>
        <w:tab/>
      </w:r>
      <w:r w:rsidR="0012176C" w:rsidRPr="00FC534A">
        <w:rPr>
          <w:iCs/>
          <w:color w:val="000000" w:themeColor="text1"/>
        </w:rPr>
        <w:tab/>
      </w:r>
      <w:r w:rsidR="0012176C" w:rsidRPr="00FC534A">
        <w:rPr>
          <w:iCs/>
          <w:color w:val="000000" w:themeColor="text1"/>
        </w:rPr>
        <w:tab/>
      </w:r>
      <w:r w:rsidR="0012176C" w:rsidRPr="00FC534A">
        <w:rPr>
          <w:iCs/>
          <w:color w:val="000000" w:themeColor="text1"/>
        </w:rPr>
        <w:tab/>
        <w:t>(2)</w:t>
      </w:r>
    </w:p>
    <w:p w14:paraId="2310B039" w14:textId="0522F4DB" w:rsidR="008547AB" w:rsidRPr="00FC534A" w:rsidRDefault="0012176C" w:rsidP="00FC534A">
      <w:pPr>
        <w:snapToGrid w:val="0"/>
        <w:ind w:firstLine="480"/>
        <w:rPr>
          <w:color w:val="000000" w:themeColor="text1"/>
        </w:rPr>
      </w:pPr>
      <w:r w:rsidRPr="00FC534A">
        <w:rPr>
          <w:color w:val="000000" w:themeColor="text1"/>
        </w:rPr>
        <w:t>Integrating from t</w:t>
      </w:r>
      <w:r w:rsidR="00EA7692" w:rsidRPr="00FC534A">
        <w:rPr>
          <w:color w:val="000000" w:themeColor="text1"/>
        </w:rPr>
        <w:t xml:space="preserve"> </w:t>
      </w:r>
      <w:r w:rsidRPr="00FC534A">
        <w:rPr>
          <w:color w:val="000000" w:themeColor="text1"/>
        </w:rPr>
        <w:t>=</w:t>
      </w:r>
      <w:r w:rsidR="00EA7692" w:rsidRPr="00FC534A">
        <w:rPr>
          <w:color w:val="000000" w:themeColor="text1"/>
        </w:rPr>
        <w:t xml:space="preserve"> </w:t>
      </w:r>
      <w:r w:rsidRPr="00FC534A">
        <w:rPr>
          <w:color w:val="000000" w:themeColor="text1"/>
        </w:rPr>
        <w:t>0 to t</w:t>
      </w:r>
      <w:r w:rsidR="00EA7692" w:rsidRPr="00FC534A">
        <w:rPr>
          <w:color w:val="000000" w:themeColor="text1"/>
        </w:rPr>
        <w:t xml:space="preserve"> </w:t>
      </w:r>
      <w:r w:rsidRPr="00FC534A">
        <w:rPr>
          <w:color w:val="000000" w:themeColor="text1"/>
        </w:rPr>
        <w:t>=</w:t>
      </w:r>
      <w:r w:rsidR="00EA7692" w:rsidRPr="00FC534A">
        <w:rPr>
          <w:color w:val="000000" w:themeColor="text1"/>
        </w:rPr>
        <w:t xml:space="preserve"> </w:t>
      </w:r>
      <w:r w:rsidRPr="00FC534A">
        <w:rPr>
          <w:color w:val="000000" w:themeColor="text1"/>
        </w:rPr>
        <w:t xml:space="preserve">1 </w:t>
      </w:r>
      <w:r w:rsidR="00EA7692" w:rsidRPr="00FC534A">
        <w:rPr>
          <w:color w:val="000000" w:themeColor="text1"/>
        </w:rPr>
        <w:t>generates the target manifold</w:t>
      </w:r>
      <w:r w:rsidRPr="00FC534A">
        <w:rPr>
          <w:color w:val="000000" w:themeColor="text1"/>
        </w:rPr>
        <w:t xml:space="preserve">. The modified effective </w:t>
      </w:r>
      <w:r w:rsidR="00EA7692" w:rsidRPr="00FC534A">
        <w:rPr>
          <w:color w:val="000000" w:themeColor="text1"/>
        </w:rPr>
        <w:t>action</w:t>
      </w:r>
      <w:r w:rsidRPr="00FC534A">
        <w:rPr>
          <w:color w:val="000000" w:themeColor="text1"/>
        </w:rPr>
        <w:t xml:space="preserve"> on the base space </w:t>
      </w:r>
      <w:r w:rsidR="00EA7692" w:rsidRPr="00FC534A">
        <w:rPr>
          <w:color w:val="000000" w:themeColor="text1"/>
        </w:rPr>
        <w:t>requires</w:t>
      </w:r>
      <w:r w:rsidRPr="00FC534A">
        <w:rPr>
          <w:color w:val="000000" w:themeColor="text1"/>
        </w:rPr>
        <w:t xml:space="preserve"> the Jacobian </w:t>
      </w:r>
      <m:oMath>
        <m:r>
          <m:rPr>
            <m:nor/>
          </m:rPr>
          <w:rPr>
            <w:i/>
            <w:color w:val="000000" w:themeColor="text1"/>
          </w:rPr>
          <m:t>J</m:t>
        </m:r>
        <m:d>
          <m:dPr>
            <m:ctrlPr>
              <w:rPr>
                <w:rFonts w:ascii="Cambria Math" w:hAnsi="Cambria Math"/>
                <w:i/>
                <w:color w:val="000000" w:themeColor="text1"/>
              </w:rPr>
            </m:ctrlPr>
          </m:dPr>
          <m:e>
            <m:r>
              <m:rPr>
                <m:nor/>
              </m:rPr>
              <w:rPr>
                <w:color w:val="000000" w:themeColor="text1"/>
              </w:rPr>
              <m:t>ϕ</m:t>
            </m:r>
          </m:e>
        </m:d>
        <m:r>
          <m:rPr>
            <m:nor/>
          </m:rPr>
          <w:rPr>
            <w:color w:val="000000" w:themeColor="text1"/>
          </w:rPr>
          <m:t>=</m:t>
        </m:r>
        <m:f>
          <m:fPr>
            <m:ctrlPr>
              <w:rPr>
                <w:rFonts w:ascii="Cambria Math" w:hAnsi="Cambria Math"/>
                <w:i/>
                <w:color w:val="000000" w:themeColor="text1"/>
              </w:rPr>
            </m:ctrlPr>
          </m:fPr>
          <m:num>
            <m:r>
              <m:rPr>
                <m:nor/>
              </m:rPr>
              <w:rPr>
                <w:color w:val="000000" w:themeColor="text1"/>
              </w:rPr>
              <m:t>∂</m:t>
            </m:r>
            <m:acc>
              <m:accPr>
                <m:chr m:val="̃"/>
                <m:ctrlPr>
                  <w:rPr>
                    <w:rFonts w:ascii="Cambria Math" w:hAnsi="Cambria Math"/>
                    <w:i/>
                    <w:color w:val="000000" w:themeColor="text1"/>
                  </w:rPr>
                </m:ctrlPr>
              </m:accPr>
              <m:e>
                <m:r>
                  <m:rPr>
                    <m:nor/>
                  </m:rPr>
                  <w:rPr>
                    <w:color w:val="000000" w:themeColor="text1"/>
                  </w:rPr>
                  <m:t>ϕ</m:t>
                </m:r>
              </m:e>
            </m:acc>
            <m:d>
              <m:dPr>
                <m:ctrlPr>
                  <w:rPr>
                    <w:rFonts w:ascii="Cambria Math" w:hAnsi="Cambria Math"/>
                    <w:i/>
                    <w:color w:val="000000" w:themeColor="text1"/>
                  </w:rPr>
                </m:ctrlPr>
              </m:dPr>
              <m:e>
                <m:r>
                  <m:rPr>
                    <m:nor/>
                  </m:rPr>
                  <w:rPr>
                    <w:color w:val="000000" w:themeColor="text1"/>
                  </w:rPr>
                  <m:t>1</m:t>
                </m:r>
              </m:e>
            </m:d>
          </m:num>
          <m:den>
            <m:r>
              <m:rPr>
                <m:nor/>
              </m:rPr>
              <w:rPr>
                <w:color w:val="000000" w:themeColor="text1"/>
              </w:rPr>
              <m:t>∂ϕ</m:t>
            </m:r>
          </m:den>
        </m:f>
      </m:oMath>
      <w:r w:rsidRPr="00FC534A">
        <w:rPr>
          <w:color w:val="000000" w:themeColor="text1"/>
        </w:rPr>
        <w:t>:</w:t>
      </w:r>
    </w:p>
    <w:p w14:paraId="52454AA8" w14:textId="77777777" w:rsidR="008547AB" w:rsidRPr="00FC534A" w:rsidRDefault="008547AB" w:rsidP="00FC534A">
      <w:pPr>
        <w:snapToGrid w:val="0"/>
        <w:ind w:firstLine="480"/>
        <w:jc w:val="right"/>
        <w:rPr>
          <w:iCs/>
          <w:color w:val="000000" w:themeColor="text1"/>
        </w:rPr>
      </w:pPr>
    </w:p>
    <w:p w14:paraId="474DE19A" w14:textId="77777777" w:rsidR="008547AB" w:rsidRPr="00FC534A" w:rsidRDefault="00000000" w:rsidP="00FC534A">
      <w:pPr>
        <w:snapToGrid w:val="0"/>
        <w:ind w:firstLine="480"/>
        <w:jc w:val="center"/>
        <w:rPr>
          <w:color w:val="000000" w:themeColor="text1"/>
        </w:rPr>
      </w:pPr>
      <m:oMath>
        <m:sSub>
          <m:sSubPr>
            <m:ctrlPr>
              <w:rPr>
                <w:rFonts w:ascii="Cambria Math" w:hAnsi="Cambria Math"/>
                <w:color w:val="000000" w:themeColor="text1"/>
              </w:rPr>
            </m:ctrlPr>
          </m:sSubPr>
          <m:e>
            <m:r>
              <m:rPr>
                <m:nor/>
              </m:rPr>
              <w:rPr>
                <w:rFonts w:eastAsia="Cambria Math"/>
                <w:i/>
                <w:color w:val="000000" w:themeColor="text1"/>
              </w:rPr>
              <m:t>S</m:t>
            </m:r>
          </m:e>
          <m:sub>
            <m:r>
              <m:rPr>
                <m:nor/>
              </m:rPr>
              <w:rPr>
                <w:rFonts w:eastAsia="Cambria Math"/>
                <w:i/>
                <w:color w:val="000000" w:themeColor="text1"/>
              </w:rPr>
              <m:t>eff</m:t>
            </m:r>
          </m:sub>
        </m:sSub>
        <m:r>
          <m:rPr>
            <m:nor/>
          </m:rPr>
          <w:rPr>
            <w:rFonts w:eastAsia="Cambria Math"/>
            <w:color w:val="000000" w:themeColor="text1"/>
          </w:rPr>
          <m:t>[</m:t>
        </m:r>
        <w:proofErr w:type="spellStart"/>
        <m:r>
          <m:rPr>
            <m:nor/>
          </m:rPr>
          <w:rPr>
            <w:rFonts w:eastAsia="Cambria Math"/>
            <w:color w:val="000000" w:themeColor="text1"/>
          </w:rPr>
          <m:t>ϕ;</m:t>
        </m:r>
        <m:r>
          <m:rPr>
            <m:nor/>
          </m:rPr>
          <w:rPr>
            <w:rFonts w:eastAsia="Cambria Math"/>
            <w:i/>
            <w:color w:val="000000" w:themeColor="text1"/>
          </w:rPr>
          <m:t>θ</m:t>
        </m:r>
        <w:proofErr w:type="spellEnd"/>
        <m:r>
          <m:rPr>
            <m:nor/>
          </m:rPr>
          <w:rPr>
            <w:rFonts w:eastAsia="Cambria Math"/>
            <w:color w:val="000000" w:themeColor="text1"/>
          </w:rPr>
          <m:t>]=</m:t>
        </m:r>
        <m:r>
          <m:rPr>
            <m:nor/>
          </m:rPr>
          <w:rPr>
            <w:rFonts w:eastAsia="Cambria Math"/>
            <w:i/>
            <w:color w:val="000000" w:themeColor="text1"/>
          </w:rPr>
          <m:t>S</m:t>
        </m:r>
        <m:r>
          <m:rPr>
            <m:nor/>
          </m:rPr>
          <w:rPr>
            <w:rFonts w:eastAsia="Cambria Math"/>
            <w:color w:val="000000" w:themeColor="text1"/>
          </w:rPr>
          <m:t>(</m:t>
        </m:r>
        <m:sSub>
          <m:sSubPr>
            <m:ctrlPr>
              <w:rPr>
                <w:rFonts w:ascii="Cambria Math" w:hAnsi="Cambria Math"/>
                <w:color w:val="000000" w:themeColor="text1"/>
              </w:rPr>
            </m:ctrlPr>
          </m:sSubPr>
          <m:e>
            <m:r>
              <m:rPr>
                <m:nor/>
              </m:rPr>
              <w:rPr>
                <w:rFonts w:eastAsia="Cambria Math"/>
                <w:i/>
                <w:color w:val="000000" w:themeColor="text1"/>
              </w:rPr>
              <m:t>f</m:t>
            </m:r>
          </m:e>
          <m:sub>
            <m:r>
              <m:rPr>
                <m:nor/>
              </m:rPr>
              <w:rPr>
                <w:rFonts w:eastAsia="Cambria Math"/>
                <w:i/>
                <w:color w:val="000000" w:themeColor="text1"/>
              </w:rPr>
              <m:t>θ</m:t>
            </m:r>
          </m:sub>
        </m:sSub>
        <m:r>
          <m:rPr>
            <m:nor/>
          </m:rPr>
          <w:rPr>
            <w:rFonts w:eastAsia="Cambria Math"/>
            <w:color w:val="000000" w:themeColor="text1"/>
          </w:rPr>
          <m:t>(ϕ))-</m:t>
        </m:r>
        <w:proofErr w:type="spellStart"/>
        <m:r>
          <m:rPr>
            <m:nor/>
          </m:rPr>
          <w:rPr>
            <w:rFonts w:eastAsia="Cambria Math"/>
            <w:i/>
            <w:color w:val="000000" w:themeColor="text1"/>
          </w:rPr>
          <m:t>ln</m:t>
        </m:r>
        <m:r>
          <m:rPr>
            <m:nor/>
          </m:rPr>
          <w:rPr>
            <w:rFonts w:eastAsia="Cambria Math"/>
            <w:color w:val="000000" w:themeColor="text1"/>
          </w:rPr>
          <m:t>⁡</m:t>
        </m:r>
        <m:r>
          <m:rPr>
            <m:nor/>
          </m:rPr>
          <w:rPr>
            <w:rFonts w:eastAsia="Cambria Math"/>
            <w:i/>
            <w:color w:val="000000" w:themeColor="text1"/>
          </w:rPr>
          <m:t>detJ</m:t>
        </m:r>
        <w:proofErr w:type="spellEnd"/>
        <m:r>
          <m:rPr>
            <m:nor/>
          </m:rPr>
          <w:rPr>
            <w:rFonts w:eastAsia="Cambria Math"/>
            <w:color w:val="000000" w:themeColor="text1"/>
          </w:rPr>
          <m:t>(ϕ)</m:t>
        </m:r>
      </m:oMath>
      <w:r w:rsidR="0012176C" w:rsidRPr="00FC534A">
        <w:rPr>
          <w:iCs/>
          <w:color w:val="000000" w:themeColor="text1"/>
        </w:rPr>
        <w:tab/>
      </w:r>
      <w:r w:rsidR="0012176C" w:rsidRPr="00FC534A">
        <w:rPr>
          <w:iCs/>
          <w:color w:val="000000" w:themeColor="text1"/>
        </w:rPr>
        <w:tab/>
      </w:r>
      <w:r w:rsidR="0012176C" w:rsidRPr="00FC534A">
        <w:rPr>
          <w:iCs/>
          <w:color w:val="000000" w:themeColor="text1"/>
        </w:rPr>
        <w:tab/>
      </w:r>
      <w:r w:rsidR="0012176C" w:rsidRPr="00FC534A">
        <w:rPr>
          <w:iCs/>
          <w:color w:val="000000" w:themeColor="text1"/>
        </w:rPr>
        <w:tab/>
      </w:r>
      <w:r w:rsidR="0012176C" w:rsidRPr="00FC534A">
        <w:rPr>
          <w:iCs/>
          <w:color w:val="000000" w:themeColor="text1"/>
        </w:rPr>
        <w:tab/>
      </w:r>
      <w:r w:rsidR="0012176C" w:rsidRPr="00FC534A">
        <w:rPr>
          <w:iCs/>
          <w:color w:val="000000" w:themeColor="text1"/>
        </w:rPr>
        <w:tab/>
      </w:r>
      <w:r w:rsidR="0012176C" w:rsidRPr="00FC534A">
        <w:rPr>
          <w:iCs/>
          <w:color w:val="000000" w:themeColor="text1"/>
        </w:rPr>
        <w:tab/>
        <w:t>(3)</w:t>
      </w:r>
    </w:p>
    <w:p w14:paraId="11D4B13B" w14:textId="3976C083" w:rsidR="008547AB" w:rsidRPr="00FC534A" w:rsidRDefault="0012176C" w:rsidP="00FC534A">
      <w:pPr>
        <w:snapToGrid w:val="0"/>
        <w:ind w:firstLine="480"/>
        <w:rPr>
          <w:color w:val="000000" w:themeColor="text1"/>
        </w:rPr>
      </w:pPr>
      <w:r w:rsidRPr="00FC534A">
        <w:rPr>
          <w:color w:val="000000" w:themeColor="text1"/>
        </w:rPr>
        <w:t xml:space="preserve">The parameters in a Neural ODE are relatively straightforward to </w:t>
      </w:r>
      <w:r w:rsidR="00EA7692" w:rsidRPr="00FC534A">
        <w:rPr>
          <w:color w:val="000000" w:themeColor="text1"/>
        </w:rPr>
        <w:t>optimize</w:t>
      </w:r>
      <w:r w:rsidRPr="00FC534A">
        <w:rPr>
          <w:color w:val="000000" w:themeColor="text1"/>
        </w:rPr>
        <w:t xml:space="preserve"> compared with those of discrete flow networks. Continuous-time flows are very expressive and flexible; therefore, many large symmetry groups can be included without the lattice partitioning required by discrete coupling-layer approaches </w:t>
      </w:r>
      <w:r w:rsidRPr="00FC534A">
        <w:rPr>
          <w:color w:val="000000" w:themeColor="text1"/>
          <w:vertAlign w:val="superscript"/>
        </w:rPr>
        <w:t>[9]</w:t>
      </w:r>
      <w:r w:rsidRPr="00FC534A">
        <w:rPr>
          <w:color w:val="000000" w:themeColor="text1"/>
        </w:rPr>
        <w:t xml:space="preserve">. The vector field </w:t>
      </w:r>
      <w:proofErr w:type="spellStart"/>
      <w:r w:rsidRPr="00FC534A">
        <w:rPr>
          <w:color w:val="000000" w:themeColor="text1"/>
        </w:rPr>
        <w:t>v</w:t>
      </w:r>
      <w:r w:rsidRPr="00FC534A">
        <w:rPr>
          <w:color w:val="000000" w:themeColor="text1"/>
          <w:vertAlign w:val="subscript"/>
        </w:rPr>
        <w:t>θ</w:t>
      </w:r>
      <w:proofErr w:type="spellEnd"/>
      <w:r w:rsidRPr="00FC534A">
        <w:rPr>
          <w:color w:val="000000" w:themeColor="text1"/>
        </w:rPr>
        <w:t xml:space="preserve"> in our architecture is </w:t>
      </w:r>
      <w:r w:rsidR="00EA7692" w:rsidRPr="00FC534A">
        <w:rPr>
          <w:color w:val="000000" w:themeColor="text1"/>
        </w:rPr>
        <w:t>parameterized</w:t>
      </w:r>
      <w:r w:rsidRPr="00FC534A">
        <w:rPr>
          <w:color w:val="000000" w:themeColor="text1"/>
        </w:rPr>
        <w:t xml:space="preserve"> by an Equivariant Graph Convolutional Network (E-GCN) that preserves the SU</w:t>
      </w:r>
      <w:r w:rsidR="00EA7692" w:rsidRPr="00FC534A">
        <w:rPr>
          <w:color w:val="000000" w:themeColor="text1"/>
        </w:rPr>
        <w:t xml:space="preserve"> </w:t>
      </w:r>
      <w:r w:rsidRPr="00FC534A">
        <w:rPr>
          <w:color w:val="000000" w:themeColor="text1"/>
        </w:rPr>
        <w:t>(2) spin symmetry, U</w:t>
      </w:r>
      <w:r w:rsidR="00E62253" w:rsidRPr="00FC534A">
        <w:rPr>
          <w:color w:val="000000" w:themeColor="text1"/>
        </w:rPr>
        <w:t xml:space="preserve"> </w:t>
      </w:r>
      <w:r w:rsidRPr="00FC534A">
        <w:rPr>
          <w:color w:val="000000" w:themeColor="text1"/>
        </w:rPr>
        <w:t xml:space="preserve">(1) particle-hole symmetry, and spatial translation symmetry of the underlying Hubbard Hamiltonian. Symmetry </w:t>
      </w:r>
      <w:r w:rsidR="00EA7692" w:rsidRPr="00FC534A">
        <w:rPr>
          <w:color w:val="000000" w:themeColor="text1"/>
        </w:rPr>
        <w:t>constraints reduce the size of the optimization space and prevent</w:t>
      </w:r>
      <w:r w:rsidRPr="00FC534A">
        <w:rPr>
          <w:color w:val="000000" w:themeColor="text1"/>
        </w:rPr>
        <w:t xml:space="preserve"> the network from learning spurious asymmetric deformations that would violate physical observables</w:t>
      </w:r>
      <w:r w:rsidR="00EA7692" w:rsidRPr="00FC534A">
        <w:rPr>
          <w:color w:val="000000" w:themeColor="text1"/>
        </w:rPr>
        <w:t xml:space="preserve"> </w:t>
      </w:r>
      <w:r w:rsidR="00EA7692" w:rsidRPr="00FC534A">
        <w:rPr>
          <w:color w:val="000000" w:themeColor="text1"/>
          <w:vertAlign w:val="superscript"/>
        </w:rPr>
        <w:t>[10]</w:t>
      </w:r>
      <w:r w:rsidRPr="00FC534A">
        <w:rPr>
          <w:color w:val="000000" w:themeColor="text1"/>
        </w:rPr>
        <w:t>.</w:t>
      </w:r>
    </w:p>
    <w:p w14:paraId="279FE792" w14:textId="4F431E00" w:rsidR="008547AB" w:rsidRPr="00FC534A" w:rsidRDefault="0012176C" w:rsidP="00EA7692">
      <w:pPr>
        <w:snapToGrid w:val="0"/>
        <w:ind w:firstLine="480"/>
        <w:rPr>
          <w:color w:val="000000" w:themeColor="text1"/>
        </w:rPr>
      </w:pPr>
      <w:r w:rsidRPr="00FC534A">
        <w:rPr>
          <w:color w:val="000000" w:themeColor="text1"/>
        </w:rPr>
        <w:t>The Jacobian determinant det J(ϕ) is calculated by the instantaneous change-of-variables formula, and the costly O(N</w:t>
      </w:r>
      <w:r w:rsidR="00EA7692" w:rsidRPr="00FC534A">
        <w:rPr>
          <w:color w:val="000000" w:themeColor="text1"/>
          <w:vertAlign w:val="superscript"/>
        </w:rPr>
        <w:t>3</w:t>
      </w:r>
      <w:r w:rsidRPr="00FC534A">
        <w:rPr>
          <w:color w:val="000000" w:themeColor="text1"/>
        </w:rPr>
        <w:t xml:space="preserve">) determinant evaluation can be transformed into a trace computation: d/dt </w:t>
      </w:r>
      <w:proofErr w:type="spellStart"/>
      <w:r w:rsidRPr="00FC534A">
        <w:rPr>
          <w:color w:val="000000" w:themeColor="text1"/>
        </w:rPr>
        <w:t>ln|det</w:t>
      </w:r>
      <w:proofErr w:type="spellEnd"/>
      <w:r w:rsidRPr="00FC534A">
        <w:rPr>
          <w:color w:val="000000" w:themeColor="text1"/>
        </w:rPr>
        <w:t xml:space="preserve"> J| = Tr[∂</w:t>
      </w:r>
      <w:proofErr w:type="spellStart"/>
      <w:r w:rsidRPr="00FC534A">
        <w:rPr>
          <w:color w:val="000000" w:themeColor="text1"/>
        </w:rPr>
        <w:t>v</w:t>
      </w:r>
      <w:r w:rsidRPr="00FC534A">
        <w:rPr>
          <w:color w:val="000000" w:themeColor="text1"/>
          <w:vertAlign w:val="subscript"/>
        </w:rPr>
        <w:t>θ</w:t>
      </w:r>
      <w:proofErr w:type="spellEnd"/>
      <w:r w:rsidRPr="00FC534A">
        <w:rPr>
          <w:color w:val="000000" w:themeColor="text1"/>
        </w:rPr>
        <w:t>/∂ϕ]. The Hutchinson stochastic estimator can be used efficiently to approximate this trace, reducing the per-step cost from O(N</w:t>
      </w:r>
      <w:r w:rsidR="00EA7692" w:rsidRPr="00FC534A">
        <w:rPr>
          <w:color w:val="000000" w:themeColor="text1"/>
          <w:vertAlign w:val="superscript"/>
        </w:rPr>
        <w:t>3</w:t>
      </w:r>
      <w:r w:rsidRPr="00FC534A">
        <w:rPr>
          <w:color w:val="000000" w:themeColor="text1"/>
        </w:rPr>
        <w:t>) to O(N) at the expense of extra variance; this variance is controlled by the number of probe vectors.</w:t>
      </w:r>
    </w:p>
    <w:p w14:paraId="6913AE89" w14:textId="77777777" w:rsidR="00EA7692" w:rsidRPr="00FC534A" w:rsidRDefault="00EA7692" w:rsidP="00FC534A">
      <w:pPr>
        <w:snapToGrid w:val="0"/>
        <w:ind w:firstLine="480"/>
        <w:rPr>
          <w:color w:val="000000" w:themeColor="text1"/>
        </w:rPr>
      </w:pPr>
    </w:p>
    <w:p w14:paraId="3C839C4A" w14:textId="5CE2B473" w:rsidR="008547AB" w:rsidRPr="00FC534A" w:rsidRDefault="0012176C" w:rsidP="00FC534A">
      <w:pPr>
        <w:pStyle w:val="Heading2"/>
        <w:snapToGrid w:val="0"/>
        <w:spacing w:before="0" w:after="0"/>
        <w:rPr>
          <w:i w:val="0"/>
          <w:iCs w:val="0"/>
          <w:color w:val="000000" w:themeColor="text1"/>
          <w:sz w:val="24"/>
          <w:szCs w:val="24"/>
        </w:rPr>
      </w:pPr>
      <w:r w:rsidRPr="00FC534A">
        <w:rPr>
          <w:i w:val="0"/>
          <w:iCs w:val="0"/>
          <w:color w:val="000000" w:themeColor="text1"/>
          <w:sz w:val="24"/>
          <w:szCs w:val="24"/>
        </w:rPr>
        <w:t>2.3</w:t>
      </w:r>
      <w:r w:rsidR="00EA7692" w:rsidRPr="00FC534A">
        <w:rPr>
          <w:i w:val="0"/>
          <w:iCs w:val="0"/>
          <w:color w:val="000000" w:themeColor="text1"/>
          <w:sz w:val="24"/>
          <w:szCs w:val="24"/>
        </w:rPr>
        <w:t>.</w:t>
      </w:r>
      <w:r w:rsidRPr="00FC534A">
        <w:rPr>
          <w:i w:val="0"/>
          <w:iCs w:val="0"/>
          <w:color w:val="000000" w:themeColor="text1"/>
          <w:sz w:val="24"/>
          <w:szCs w:val="24"/>
        </w:rPr>
        <w:t xml:space="preserve"> The </w:t>
      </w:r>
      <w:r w:rsidR="00EA7692" w:rsidRPr="00FC534A">
        <w:rPr>
          <w:i w:val="0"/>
          <w:iCs w:val="0"/>
          <w:color w:val="000000" w:themeColor="text1"/>
          <w:sz w:val="24"/>
          <w:szCs w:val="24"/>
        </w:rPr>
        <w:t>loss func</w:t>
      </w:r>
      <w:r w:rsidRPr="00FC534A">
        <w:rPr>
          <w:i w:val="0"/>
          <w:iCs w:val="0"/>
          <w:color w:val="000000" w:themeColor="text1"/>
          <w:sz w:val="24"/>
          <w:szCs w:val="24"/>
        </w:rPr>
        <w:t xml:space="preserve">tion: Variance </w:t>
      </w:r>
      <w:r w:rsidR="00EA7692" w:rsidRPr="00FC534A">
        <w:rPr>
          <w:i w:val="0"/>
          <w:iCs w:val="0"/>
          <w:color w:val="000000" w:themeColor="text1"/>
          <w:sz w:val="24"/>
          <w:szCs w:val="24"/>
        </w:rPr>
        <w:t>minimization</w:t>
      </w:r>
    </w:p>
    <w:p w14:paraId="200F8AF7" w14:textId="77777777" w:rsidR="008547AB" w:rsidRPr="00FC534A" w:rsidRDefault="0012176C" w:rsidP="00FC534A">
      <w:pPr>
        <w:snapToGrid w:val="0"/>
        <w:ind w:firstLineChars="0" w:firstLine="0"/>
        <w:rPr>
          <w:color w:val="000000" w:themeColor="text1"/>
        </w:rPr>
      </w:pPr>
      <w:r w:rsidRPr="00FC534A">
        <w:rPr>
          <w:color w:val="000000" w:themeColor="text1"/>
        </w:rPr>
        <w:t>Directly maximizing the average sign is a non-convex optimization nightmare prone to local minima. Instead, we minimize the variance of the imaginary phase:</w:t>
      </w:r>
    </w:p>
    <w:p w14:paraId="0F52F588" w14:textId="77777777" w:rsidR="008547AB" w:rsidRPr="00FC534A" w:rsidRDefault="0012176C" w:rsidP="00FC534A">
      <w:pPr>
        <w:snapToGrid w:val="0"/>
        <w:ind w:firstLine="480"/>
        <w:jc w:val="center"/>
        <w:rPr>
          <w:color w:val="000000" w:themeColor="text1"/>
        </w:rPr>
      </w:pPr>
      <m:oMath>
        <m:r>
          <m:rPr>
            <m:nor/>
          </m:rPr>
          <w:rPr>
            <w:rFonts w:eastAsia="MS Mincho"/>
            <w:color w:val="000000" w:themeColor="text1"/>
          </w:rPr>
          <m:t>L</m:t>
        </m:r>
        <m:d>
          <m:dPr>
            <m:ctrlPr>
              <w:rPr>
                <w:rFonts w:ascii="Cambria Math" w:hAnsi="Cambria Math"/>
                <w:i/>
                <w:color w:val="000000" w:themeColor="text1"/>
              </w:rPr>
            </m:ctrlPr>
          </m:dPr>
          <m:e>
            <m:r>
              <m:rPr>
                <m:nor/>
              </m:rPr>
              <w:rPr>
                <w:i/>
                <w:color w:val="000000" w:themeColor="text1"/>
              </w:rPr>
              <m:t>θ</m:t>
            </m:r>
          </m:e>
        </m:d>
        <m:r>
          <m:rPr>
            <m:nor/>
          </m:rPr>
          <w:rPr>
            <w:color w:val="000000" w:themeColor="text1"/>
          </w:rPr>
          <m:t>=</m:t>
        </m:r>
        <m:sSub>
          <m:sSubPr>
            <m:ctrlPr>
              <w:rPr>
                <w:rFonts w:ascii="Cambria Math" w:hAnsi="Cambria Math"/>
                <w:color w:val="000000" w:themeColor="text1"/>
              </w:rPr>
            </m:ctrlPr>
          </m:sSubPr>
          <m:e>
            <m:r>
              <m:rPr>
                <m:nor/>
              </m:rPr>
              <w:rPr>
                <w:rFonts w:eastAsia="Cambria Math"/>
                <w:i/>
                <w:color w:val="000000" w:themeColor="text1"/>
              </w:rPr>
              <m:t>E</m:t>
            </m:r>
          </m:e>
          <m:sub>
            <m:r>
              <m:rPr>
                <m:nor/>
              </m:rPr>
              <w:rPr>
                <w:rFonts w:eastAsia="Cambria Math"/>
                <w:color w:val="000000" w:themeColor="text1"/>
              </w:rPr>
              <m:t>ϕ</m:t>
            </m:r>
            <m:r>
              <m:rPr>
                <m:nor/>
              </m:rPr>
              <w:rPr>
                <w:rFonts w:ascii="Cambria Math" w:eastAsia="Cambria Math" w:hAnsi="Cambria Math" w:cs="Cambria Math"/>
                <w:color w:val="000000" w:themeColor="text1"/>
              </w:rPr>
              <m:t>∼</m:t>
            </m:r>
            <m:sSub>
              <m:sSubPr>
                <m:ctrlPr>
                  <w:rPr>
                    <w:rFonts w:ascii="Cambria Math" w:hAnsi="Cambria Math"/>
                    <w:color w:val="000000" w:themeColor="text1"/>
                  </w:rPr>
                </m:ctrlPr>
              </m:sSubPr>
              <m:e>
                <m:r>
                  <m:rPr>
                    <m:nor/>
                  </m:rPr>
                  <w:rPr>
                    <w:rFonts w:eastAsia="Cambria Math"/>
                    <w:i/>
                    <w:color w:val="000000" w:themeColor="text1"/>
                  </w:rPr>
                  <m:t>P</m:t>
                </m:r>
              </m:e>
              <m:sub>
                <m:r>
                  <m:rPr>
                    <m:nor/>
                  </m:rPr>
                  <w:rPr>
                    <w:rFonts w:eastAsia="Cambria Math"/>
                    <w:i/>
                    <w:color w:val="000000" w:themeColor="text1"/>
                  </w:rPr>
                  <m:t>base</m:t>
                </m:r>
              </m:sub>
            </m:sSub>
          </m:sub>
        </m:sSub>
        <m:r>
          <m:rPr>
            <m:nor/>
          </m:rPr>
          <w:rPr>
            <w:color w:val="000000" w:themeColor="text1"/>
          </w:rPr>
          <m:t>[(</m:t>
        </m:r>
        <w:proofErr w:type="spellStart"/>
        <m:r>
          <m:rPr>
            <m:nor/>
          </m:rPr>
          <w:rPr>
            <w:i/>
            <w:color w:val="000000" w:themeColor="text1"/>
          </w:rPr>
          <m:t>Im</m:t>
        </m:r>
        <w:proofErr w:type="spellEnd"/>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m:rPr>
                    <m:nor/>
                  </m:rPr>
                  <w:rPr>
                    <w:i/>
                    <w:color w:val="000000" w:themeColor="text1"/>
                  </w:rPr>
                  <m:t>S</m:t>
                </m:r>
              </m:e>
            </m:acc>
          </m:e>
          <m:sub>
            <m:r>
              <m:rPr>
                <m:nor/>
              </m:rPr>
              <w:rPr>
                <w:i/>
                <w:color w:val="000000" w:themeColor="text1"/>
              </w:rPr>
              <m:t>eff</m:t>
            </m:r>
          </m:sub>
        </m:sSub>
        <m:r>
          <m:rPr>
            <m:nor/>
          </m:rPr>
          <w:rPr>
            <w:color w:val="000000" w:themeColor="text1"/>
          </w:rPr>
          <m:t>[</m:t>
        </m:r>
        <w:proofErr w:type="spellStart"/>
        <m:r>
          <m:rPr>
            <m:nor/>
          </m:rPr>
          <w:rPr>
            <w:color w:val="000000" w:themeColor="text1"/>
          </w:rPr>
          <m:t>ϕ;</m:t>
        </m:r>
        <m:r>
          <m:rPr>
            <m:nor/>
          </m:rPr>
          <w:rPr>
            <w:i/>
            <w:color w:val="000000" w:themeColor="text1"/>
          </w:rPr>
          <m:t>θ</m:t>
        </m:r>
        <w:proofErr w:type="spellEnd"/>
        <m:r>
          <m:rPr>
            <m:nor/>
          </m:rPr>
          <w:rPr>
            <w:color w:val="000000" w:themeColor="text1"/>
          </w:rPr>
          <m:t>]-</m:t>
        </m:r>
        <m:sSub>
          <m:sSubPr>
            <m:ctrlPr>
              <w:rPr>
                <w:rFonts w:ascii="Cambria Math" w:hAnsi="Cambria Math"/>
                <w:i/>
                <w:color w:val="000000" w:themeColor="text1"/>
              </w:rPr>
            </m:ctrlPr>
          </m:sSubPr>
          <m:e>
            <m:r>
              <m:rPr>
                <m:nor/>
              </m:rPr>
              <w:rPr>
                <w:i/>
                <w:color w:val="000000" w:themeColor="text1"/>
              </w:rPr>
              <m:t>μ</m:t>
            </m:r>
          </m:e>
          <m:sub>
            <w:proofErr w:type="spellStart"/>
            <m:r>
              <m:rPr>
                <m:nor/>
              </m:rPr>
              <w:rPr>
                <w:color w:val="000000" w:themeColor="text1"/>
              </w:rPr>
              <m:t>Im</m:t>
            </m:r>
            <w:proofErr w:type="spellEnd"/>
          </m:sub>
        </m:sSub>
        <m:sSup>
          <m:sSupPr>
            <m:ctrlPr>
              <w:rPr>
                <w:rFonts w:ascii="Cambria Math" w:hAnsi="Cambria Math"/>
                <w:i/>
                <w:color w:val="000000" w:themeColor="text1"/>
              </w:rPr>
            </m:ctrlPr>
          </m:sSupPr>
          <m:e>
            <m:r>
              <m:rPr>
                <m:nor/>
              </m:rPr>
              <w:rPr>
                <w:color w:val="000000" w:themeColor="text1"/>
              </w:rPr>
              <m:t>)</m:t>
            </m:r>
          </m:e>
          <m:sup>
            <m:r>
              <m:rPr>
                <m:nor/>
              </m:rPr>
              <w:rPr>
                <w:color w:val="000000" w:themeColor="text1"/>
              </w:rPr>
              <m:t>2</m:t>
            </m:r>
          </m:sup>
        </m:sSup>
      </m:oMath>
      <w:r w:rsidRPr="00FC534A">
        <w:rPr>
          <w:color w:val="000000" w:themeColor="text1"/>
        </w:rPr>
        <w:t>]</w:t>
      </w:r>
      <w:r w:rsidRPr="00FC534A">
        <w:rPr>
          <w:iCs/>
          <w:color w:val="000000" w:themeColor="text1"/>
        </w:rPr>
        <w:t xml:space="preserve"> </w:t>
      </w:r>
      <w:r w:rsidRPr="00FC534A">
        <w:rPr>
          <w:iCs/>
          <w:color w:val="000000" w:themeColor="text1"/>
        </w:rPr>
        <w:tab/>
      </w:r>
      <w:r w:rsidRPr="00FC534A">
        <w:rPr>
          <w:iCs/>
          <w:color w:val="000000" w:themeColor="text1"/>
        </w:rPr>
        <w:tab/>
      </w:r>
      <w:r w:rsidRPr="00FC534A">
        <w:rPr>
          <w:iCs/>
          <w:color w:val="000000" w:themeColor="text1"/>
        </w:rPr>
        <w:tab/>
      </w:r>
      <w:r w:rsidRPr="00FC534A">
        <w:rPr>
          <w:iCs/>
          <w:color w:val="000000" w:themeColor="text1"/>
        </w:rPr>
        <w:tab/>
      </w:r>
      <w:r w:rsidRPr="00FC534A">
        <w:rPr>
          <w:iCs/>
          <w:color w:val="000000" w:themeColor="text1"/>
        </w:rPr>
        <w:tab/>
      </w:r>
      <w:r w:rsidRPr="00FC534A">
        <w:rPr>
          <w:iCs/>
          <w:color w:val="000000" w:themeColor="text1"/>
        </w:rPr>
        <w:tab/>
        <w:t>(4)</w:t>
      </w:r>
    </w:p>
    <w:p w14:paraId="7CA2270A" w14:textId="77777777" w:rsidR="008547AB" w:rsidRPr="00FC534A" w:rsidRDefault="0012176C" w:rsidP="00FC534A">
      <w:pPr>
        <w:snapToGrid w:val="0"/>
        <w:ind w:firstLine="480"/>
        <w:rPr>
          <w:color w:val="000000" w:themeColor="text1"/>
        </w:rPr>
      </w:pPr>
      <w:r w:rsidRPr="00FC534A">
        <w:rPr>
          <w:color w:val="000000" w:themeColor="text1"/>
        </w:rPr>
        <w:t>Minimizing phase variance operates as a strictly convex objective locally. As variance approaches zero, the average sign naturally converges toward unity.</w:t>
      </w:r>
    </w:p>
    <w:p w14:paraId="73C09328" w14:textId="77777777" w:rsidR="008547AB" w:rsidRPr="00FC534A" w:rsidRDefault="0012176C" w:rsidP="00FC534A">
      <w:pPr>
        <w:snapToGrid w:val="0"/>
        <w:ind w:firstLine="480"/>
        <w:rPr>
          <w:color w:val="000000" w:themeColor="text1"/>
        </w:rPr>
      </w:pPr>
      <w:r w:rsidRPr="00FC534A">
        <w:rPr>
          <w:color w:val="000000" w:themeColor="text1"/>
        </w:rPr>
        <w:t xml:space="preserve">This choice of the loss function has an inherent geometry. Phase variance is the mean-square deviation of the integration contour from a surface of constant imaginary action, which is one defining </w:t>
      </w:r>
      <w:r w:rsidRPr="00FC534A">
        <w:rPr>
          <w:color w:val="000000" w:themeColor="text1"/>
        </w:rPr>
        <w:lastRenderedPageBreak/>
        <w:t xml:space="preserve">property of a </w:t>
      </w:r>
      <w:proofErr w:type="spellStart"/>
      <w:r w:rsidRPr="00FC534A">
        <w:rPr>
          <w:color w:val="000000" w:themeColor="text1"/>
        </w:rPr>
        <w:t>Lefschetz</w:t>
      </w:r>
      <w:proofErr w:type="spellEnd"/>
      <w:r w:rsidRPr="00FC534A">
        <w:rPr>
          <w:color w:val="000000" w:themeColor="text1"/>
        </w:rPr>
        <w:t xml:space="preserve"> thimble. In the limit of zero variance, the manifold aligns with surfaces of constant </w:t>
      </w:r>
      <w:proofErr w:type="spellStart"/>
      <w:r w:rsidRPr="00FC534A">
        <w:rPr>
          <w:color w:val="000000" w:themeColor="text1"/>
        </w:rPr>
        <w:t>Im</w:t>
      </w:r>
      <w:proofErr w:type="spellEnd"/>
      <w:r w:rsidRPr="00FC534A">
        <w:rPr>
          <w:color w:val="000000" w:themeColor="text1"/>
        </w:rPr>
        <w:t xml:space="preserve"> S, matching the core geometric feature of </w:t>
      </w:r>
      <w:proofErr w:type="spellStart"/>
      <w:r w:rsidRPr="00FC534A">
        <w:rPr>
          <w:color w:val="000000" w:themeColor="text1"/>
        </w:rPr>
        <w:t>Lefschetz</w:t>
      </w:r>
      <w:proofErr w:type="spellEnd"/>
      <w:r w:rsidRPr="00FC534A">
        <w:rPr>
          <w:color w:val="000000" w:themeColor="text1"/>
        </w:rPr>
        <w:t xml:space="preserve"> thimbles without requiring exact steepest-descent structure. Therefore, TNF learns a smooth approximation of the union of relevant thimbles without needing explicit gradient flow to individual critical points and thus avoids the well-known ergodicity and topological trapping problems of hard thimble methods.</w:t>
      </w:r>
    </w:p>
    <w:p w14:paraId="3DDA4E5B" w14:textId="14226190" w:rsidR="008547AB" w:rsidRPr="00FC534A" w:rsidRDefault="0012176C" w:rsidP="00EA7692">
      <w:pPr>
        <w:snapToGrid w:val="0"/>
        <w:ind w:firstLine="480"/>
        <w:rPr>
          <w:color w:val="000000" w:themeColor="text1"/>
        </w:rPr>
      </w:pPr>
      <w:r w:rsidRPr="00FC534A">
        <w:rPr>
          <w:color w:val="000000" w:themeColor="text1"/>
        </w:rPr>
        <w:t>A typical technical problem is the one of gradient estimation. As the loss function includes expectations over the deformed manifold, differentiation needs to be carried out using the Neural ODE solver. We use the adjoint sensitivity method to calculate the gradient with an O</w:t>
      </w:r>
      <w:r w:rsidR="0070737E" w:rsidRPr="00FC534A">
        <w:rPr>
          <w:color w:val="000000" w:themeColor="text1"/>
        </w:rPr>
        <w:t xml:space="preserve"> </w:t>
      </w:r>
      <w:r w:rsidRPr="00FC534A">
        <w:rPr>
          <w:color w:val="000000" w:themeColor="text1"/>
        </w:rPr>
        <w:t>(1) memory overhead independent of integration depth, and this way can be scaled to the high-dimensional field space of a 10 × 10 lattice.</w:t>
      </w:r>
    </w:p>
    <w:p w14:paraId="58370E56" w14:textId="77777777" w:rsidR="0070737E" w:rsidRPr="00FC534A" w:rsidRDefault="0070737E" w:rsidP="00FC534A">
      <w:pPr>
        <w:snapToGrid w:val="0"/>
        <w:ind w:firstLine="480"/>
        <w:rPr>
          <w:color w:val="000000" w:themeColor="text1"/>
        </w:rPr>
      </w:pPr>
    </w:p>
    <w:p w14:paraId="7AFCD764" w14:textId="5AFDB9B8" w:rsidR="008547AB" w:rsidRPr="00FC534A" w:rsidRDefault="0012176C" w:rsidP="00FC534A">
      <w:pPr>
        <w:pStyle w:val="Heading1"/>
        <w:snapToGrid w:val="0"/>
        <w:spacing w:before="0" w:after="0"/>
        <w:rPr>
          <w:color w:val="000000" w:themeColor="text1"/>
          <w:sz w:val="24"/>
          <w:szCs w:val="24"/>
        </w:rPr>
      </w:pPr>
      <w:r w:rsidRPr="00FC534A">
        <w:rPr>
          <w:color w:val="000000" w:themeColor="text1"/>
          <w:sz w:val="24"/>
          <w:szCs w:val="24"/>
        </w:rPr>
        <w:t xml:space="preserve">3. Algorithmic </w:t>
      </w:r>
      <w:r w:rsidR="0070737E" w:rsidRPr="00FC534A">
        <w:rPr>
          <w:color w:val="000000" w:themeColor="text1"/>
          <w:sz w:val="24"/>
          <w:szCs w:val="24"/>
        </w:rPr>
        <w:t>architecture and implementation</w:t>
      </w:r>
    </w:p>
    <w:p w14:paraId="50E00B77" w14:textId="00318070" w:rsidR="008547AB" w:rsidRPr="00FC534A" w:rsidRDefault="0012176C" w:rsidP="00FC534A">
      <w:pPr>
        <w:snapToGrid w:val="0"/>
        <w:ind w:firstLineChars="0" w:firstLine="0"/>
        <w:rPr>
          <w:color w:val="000000" w:themeColor="text1"/>
        </w:rPr>
      </w:pPr>
      <w:r w:rsidRPr="00FC534A">
        <w:rPr>
          <w:color w:val="000000" w:themeColor="text1"/>
        </w:rPr>
        <w:t>To ensure scalability, the computational architecture is heavily optimized. The MCMC random walk and Sherman-Morrison rank-1 updates for the Green</w:t>
      </w:r>
      <w:r w:rsidR="00EA7692" w:rsidRPr="00FC534A">
        <w:rPr>
          <w:color w:val="000000" w:themeColor="text1"/>
        </w:rPr>
        <w:t>’</w:t>
      </w:r>
      <w:r w:rsidRPr="00FC534A">
        <w:rPr>
          <w:color w:val="000000" w:themeColor="text1"/>
        </w:rPr>
        <w:t xml:space="preserve">s functions are written in highly optimized C++. The Neural ODE vector fields </w:t>
      </w:r>
      <w:proofErr w:type="spellStart"/>
      <w:r w:rsidRPr="00FC534A">
        <w:rPr>
          <w:color w:val="000000" w:themeColor="text1"/>
        </w:rPr>
        <w:t>v</w:t>
      </w:r>
      <w:r w:rsidRPr="00FC534A">
        <w:rPr>
          <w:color w:val="000000" w:themeColor="text1"/>
          <w:vertAlign w:val="subscript"/>
        </w:rPr>
        <w:t>θ</w:t>
      </w:r>
      <w:proofErr w:type="spellEnd"/>
      <w:r w:rsidRPr="00FC534A">
        <w:rPr>
          <w:color w:val="000000" w:themeColor="text1"/>
        </w:rPr>
        <w:t xml:space="preserve"> (parameterized via Equivariant Graph Convolutional Networks) and the Hutchinson stochastic trace estimations are implemented in JAX.</w:t>
      </w:r>
    </w:p>
    <w:p w14:paraId="3E24C30D" w14:textId="77777777" w:rsidR="008547AB" w:rsidRPr="00FC534A" w:rsidRDefault="0012176C" w:rsidP="00FC534A">
      <w:pPr>
        <w:snapToGrid w:val="0"/>
        <w:ind w:firstLine="480"/>
        <w:rPr>
          <w:color w:val="000000" w:themeColor="text1"/>
        </w:rPr>
      </w:pPr>
      <w:r w:rsidRPr="00FC534A">
        <w:rPr>
          <w:color w:val="000000" w:themeColor="text1"/>
        </w:rPr>
        <w:t xml:space="preserve">During the pre-training phase, gradients are computed via reverse-mode </w:t>
      </w:r>
      <w:proofErr w:type="spellStart"/>
      <w:r w:rsidRPr="00FC534A">
        <w:rPr>
          <w:color w:val="000000" w:themeColor="text1"/>
        </w:rPr>
        <w:t>autodiff</w:t>
      </w:r>
      <w:proofErr w:type="spellEnd"/>
      <w:r w:rsidRPr="00FC534A">
        <w:rPr>
          <w:color w:val="000000" w:themeColor="text1"/>
        </w:rPr>
        <w:t xml:space="preserve"> (XLA compiled on Google TPU v5e). During the production MCMC phase, the neural weights are frozen, and the JAX-compiled forward pass operates strictly as a deterministic geometric map for the C++ sampling engine.</w:t>
      </w:r>
    </w:p>
    <w:p w14:paraId="235B9600" w14:textId="0619084E" w:rsidR="008547AB" w:rsidRPr="00FC534A" w:rsidRDefault="0012176C" w:rsidP="00FC534A">
      <w:pPr>
        <w:snapToGrid w:val="0"/>
        <w:ind w:firstLine="480"/>
        <w:rPr>
          <w:color w:val="000000" w:themeColor="text1"/>
        </w:rPr>
      </w:pPr>
      <w:r w:rsidRPr="00FC534A">
        <w:rPr>
          <w:color w:val="000000" w:themeColor="text1"/>
        </w:rPr>
        <w:t xml:space="preserve">The three links of this process are shown below. In Stage 1 (unsupervised pre-training), a small pilot MCMC chain is used to learn manifold deformation. The loss is calculated based on mini-batches of auxiliary field configurations drawn from the base distribution </w:t>
      </w:r>
      <w:proofErr w:type="spellStart"/>
      <w:r w:rsidRPr="00FC534A">
        <w:rPr>
          <w:color w:val="000000" w:themeColor="text1"/>
        </w:rPr>
        <w:t>P</w:t>
      </w:r>
      <w:r w:rsidRPr="00FC534A">
        <w:rPr>
          <w:color w:val="000000" w:themeColor="text1"/>
          <w:vertAlign w:val="subscript"/>
        </w:rPr>
        <w:t>base</w:t>
      </w:r>
      <w:proofErr w:type="spellEnd"/>
      <w:r w:rsidRPr="00FC534A">
        <w:rPr>
          <w:color w:val="000000" w:themeColor="text1"/>
        </w:rPr>
        <w:t>, and then gradients are backpropagated through the Neural ODE solver using the adjoint method. Stage 1 generally needs 50,000</w:t>
      </w:r>
      <w:r w:rsidR="0070737E" w:rsidRPr="00FC534A">
        <w:rPr>
          <w:color w:val="000000" w:themeColor="text1"/>
        </w:rPr>
        <w:t>–</w:t>
      </w:r>
      <w:r w:rsidRPr="00FC534A">
        <w:rPr>
          <w:color w:val="000000" w:themeColor="text1"/>
        </w:rPr>
        <w:t xml:space="preserve">200,000 gradient steps on a TPU v5e and is fully </w:t>
      </w:r>
      <w:r w:rsidR="00EA7692" w:rsidRPr="00FC534A">
        <w:rPr>
          <w:color w:val="000000" w:themeColor="text1"/>
        </w:rPr>
        <w:t>parallelized</w:t>
      </w:r>
      <w:r w:rsidRPr="00FC534A">
        <w:rPr>
          <w:color w:val="000000" w:themeColor="text1"/>
        </w:rPr>
        <w:t xml:space="preserve"> across multiple independent chains.</w:t>
      </w:r>
    </w:p>
    <w:p w14:paraId="0B965465" w14:textId="096053FC" w:rsidR="008547AB" w:rsidRPr="00FC534A" w:rsidRDefault="0012176C" w:rsidP="00FC534A">
      <w:pPr>
        <w:snapToGrid w:val="0"/>
        <w:ind w:firstLine="480"/>
        <w:rPr>
          <w:color w:val="000000" w:themeColor="text1"/>
        </w:rPr>
      </w:pPr>
      <w:r w:rsidRPr="00FC534A">
        <w:rPr>
          <w:color w:val="000000" w:themeColor="text1"/>
        </w:rPr>
        <w:t>In Stage 2 (production sampling), the trained network weights are frozen and exported as a compiled JAX function. The C++ MCMC engine calls this function as a black-box coordinate transformation in each proposed step. The acceptance rate is equal to the reweighted probability times the Jacobian determinant. Since the forward pass is fully deterministic and XLA-compiled, the per-sample overhead is mainly due to the O(N²) Green</w:t>
      </w:r>
      <w:r w:rsidR="00EA7692" w:rsidRPr="00FC534A">
        <w:rPr>
          <w:color w:val="000000" w:themeColor="text1"/>
        </w:rPr>
        <w:t>’</w:t>
      </w:r>
      <w:r w:rsidRPr="00FC534A">
        <w:rPr>
          <w:color w:val="000000" w:themeColor="text1"/>
        </w:rPr>
        <w:t>s function update rather than neural network evaluation.</w:t>
      </w:r>
    </w:p>
    <w:p w14:paraId="21306ABA" w14:textId="339EA732" w:rsidR="008547AB" w:rsidRPr="00FC534A" w:rsidRDefault="0012176C" w:rsidP="00EA7692">
      <w:pPr>
        <w:snapToGrid w:val="0"/>
        <w:ind w:firstLine="480"/>
        <w:rPr>
          <w:color w:val="000000" w:themeColor="text1"/>
        </w:rPr>
      </w:pPr>
      <w:r w:rsidRPr="00FC534A">
        <w:rPr>
          <w:color w:val="000000" w:themeColor="text1"/>
        </w:rPr>
        <w:t>In Stage 3 (observable extraction), the physical observables are computed as reweighted averages of the deformed manifold samples. The reweighting factor is exp</w:t>
      </w:r>
      <w:r w:rsidR="0070737E" w:rsidRPr="00FC534A">
        <w:rPr>
          <w:color w:val="000000" w:themeColor="text1"/>
        </w:rPr>
        <w:t xml:space="preserve"> </w:t>
      </w:r>
      <w:r w:rsidRPr="00FC534A">
        <w:rPr>
          <w:color w:val="000000" w:themeColor="text1"/>
        </w:rPr>
        <w:t>(−</w:t>
      </w:r>
      <w:proofErr w:type="spellStart"/>
      <w:r w:rsidRPr="00FC534A">
        <w:rPr>
          <w:color w:val="000000" w:themeColor="text1"/>
        </w:rPr>
        <w:t>Im</w:t>
      </w:r>
      <w:proofErr w:type="spellEnd"/>
      <w:r w:rsidRPr="00FC534A">
        <w:rPr>
          <w:color w:val="000000" w:themeColor="text1"/>
        </w:rPr>
        <w:t xml:space="preserve"> </w:t>
      </w:r>
      <w:proofErr w:type="spellStart"/>
      <w:r w:rsidRPr="00FC534A">
        <w:rPr>
          <w:color w:val="000000" w:themeColor="text1"/>
        </w:rPr>
        <w:t>S_</w:t>
      </w:r>
      <w:proofErr w:type="gramStart"/>
      <w:r w:rsidRPr="00FC534A">
        <w:rPr>
          <w:color w:val="000000" w:themeColor="text1"/>
        </w:rPr>
        <w:t>eff</w:t>
      </w:r>
      <w:proofErr w:type="spellEnd"/>
      <w:r w:rsidRPr="00FC534A">
        <w:rPr>
          <w:color w:val="000000" w:themeColor="text1"/>
        </w:rPr>
        <w:t>[</w:t>
      </w:r>
      <w:proofErr w:type="gramEnd"/>
      <w:r w:rsidRPr="00FC534A">
        <w:rPr>
          <w:color w:val="000000" w:themeColor="text1"/>
        </w:rPr>
        <w:t>ϕ; θ]), and its variance is directly related to the effective sample size. An 8-order-of-magnitude increase in sample efficiency at the 8</w:t>
      </w:r>
      <w:r w:rsidR="0070737E" w:rsidRPr="00FC534A">
        <w:rPr>
          <w:color w:val="000000" w:themeColor="text1"/>
        </w:rPr>
        <w:t xml:space="preserve"> </w:t>
      </w:r>
      <w:r w:rsidRPr="00FC534A">
        <w:rPr>
          <w:color w:val="000000" w:themeColor="text1"/>
        </w:rPr>
        <w:t>×</w:t>
      </w:r>
      <w:r w:rsidR="0070737E" w:rsidRPr="00FC534A">
        <w:rPr>
          <w:color w:val="000000" w:themeColor="text1"/>
        </w:rPr>
        <w:t xml:space="preserve"> </w:t>
      </w:r>
      <w:r w:rsidRPr="00FC534A">
        <w:rPr>
          <w:color w:val="000000" w:themeColor="text1"/>
        </w:rPr>
        <w:t>8 scale can thus be used to extract energy, double occupancy, spin correlations</w:t>
      </w:r>
      <w:r w:rsidR="00EA7692" w:rsidRPr="00FC534A">
        <w:rPr>
          <w:color w:val="000000" w:themeColor="text1"/>
        </w:rPr>
        <w:t>,</w:t>
      </w:r>
      <w:r w:rsidRPr="00FC534A">
        <w:rPr>
          <w:color w:val="000000" w:themeColor="text1"/>
        </w:rPr>
        <w:t xml:space="preserve"> and pairing susceptibilities with sub-percent statistical accuracy. The equivariant graph convolutional architecture encodes each lattice site as a node with local Hubbard–</w:t>
      </w:r>
      <w:proofErr w:type="spellStart"/>
      <w:r w:rsidRPr="00FC534A">
        <w:rPr>
          <w:color w:val="000000" w:themeColor="text1"/>
        </w:rPr>
        <w:t>Stratonovich</w:t>
      </w:r>
      <w:proofErr w:type="spellEnd"/>
      <w:r w:rsidRPr="00FC534A">
        <w:rPr>
          <w:color w:val="000000" w:themeColor="text1"/>
        </w:rPr>
        <w:t xml:space="preserve"> auxiliary-field values, and builds messages along </w:t>
      </w:r>
      <w:r w:rsidR="00EA7692" w:rsidRPr="00FC534A">
        <w:rPr>
          <w:color w:val="000000" w:themeColor="text1"/>
        </w:rPr>
        <w:t>nearest-neighbor</w:t>
      </w:r>
      <w:r w:rsidRPr="00FC534A">
        <w:rPr>
          <w:color w:val="000000" w:themeColor="text1"/>
        </w:rPr>
        <w:t xml:space="preserve"> bonds that transform correctly under SU</w:t>
      </w:r>
      <w:r w:rsidR="0070737E" w:rsidRPr="00FC534A">
        <w:rPr>
          <w:color w:val="000000" w:themeColor="text1"/>
        </w:rPr>
        <w:t xml:space="preserve"> </w:t>
      </w:r>
      <w:r w:rsidRPr="00FC534A">
        <w:rPr>
          <w:color w:val="000000" w:themeColor="text1"/>
        </w:rPr>
        <w:t>(2) spin symmetry and spatial symmetry operations. L</w:t>
      </w:r>
      <w:r w:rsidR="0070737E" w:rsidRPr="00FC534A">
        <w:rPr>
          <w:color w:val="000000" w:themeColor="text1"/>
        </w:rPr>
        <w:t xml:space="preserve"> </w:t>
      </w:r>
      <w:r w:rsidRPr="00FC534A">
        <w:rPr>
          <w:color w:val="000000" w:themeColor="text1"/>
        </w:rPr>
        <w:t>=</w:t>
      </w:r>
      <w:r w:rsidR="0070737E" w:rsidRPr="00FC534A">
        <w:rPr>
          <w:color w:val="000000" w:themeColor="text1"/>
        </w:rPr>
        <w:t xml:space="preserve"> </w:t>
      </w:r>
      <w:r w:rsidRPr="00FC534A">
        <w:rPr>
          <w:color w:val="000000" w:themeColor="text1"/>
        </w:rPr>
        <w:t xml:space="preserve">4 layers of message passing are conducted, and then the output is decoded into the real and imaginary parts of the vector field </w:t>
      </w:r>
      <w:proofErr w:type="spellStart"/>
      <w:r w:rsidRPr="00FC534A">
        <w:rPr>
          <w:color w:val="000000" w:themeColor="text1"/>
        </w:rPr>
        <w:t>v</w:t>
      </w:r>
      <w:r w:rsidRPr="00FC534A">
        <w:rPr>
          <w:color w:val="000000" w:themeColor="text1"/>
          <w:vertAlign w:val="subscript"/>
        </w:rPr>
        <w:t>θ</w:t>
      </w:r>
      <w:proofErr w:type="spellEnd"/>
      <w:r w:rsidRPr="00FC534A">
        <w:rPr>
          <w:color w:val="000000" w:themeColor="text1"/>
        </w:rPr>
        <w:t>. Empirically, we have found that requiring exact equivariance rather than learning it approximately is necessary for the training stability of lattices larger than 6</w:t>
      </w:r>
      <w:r w:rsidR="0070737E" w:rsidRPr="00FC534A">
        <w:rPr>
          <w:color w:val="000000" w:themeColor="text1"/>
        </w:rPr>
        <w:t xml:space="preserve"> </w:t>
      </w:r>
      <w:r w:rsidRPr="00FC534A">
        <w:rPr>
          <w:color w:val="000000" w:themeColor="text1"/>
        </w:rPr>
        <w:t>×</w:t>
      </w:r>
      <w:r w:rsidR="0070737E" w:rsidRPr="00FC534A">
        <w:rPr>
          <w:color w:val="000000" w:themeColor="text1"/>
        </w:rPr>
        <w:t xml:space="preserve"> </w:t>
      </w:r>
      <w:r w:rsidRPr="00FC534A">
        <w:rPr>
          <w:color w:val="000000" w:themeColor="text1"/>
        </w:rPr>
        <w:t>6, which is consistent with the results in the normalizing flow literature for lattice gauge theories.</w:t>
      </w:r>
    </w:p>
    <w:p w14:paraId="5BB3F34F" w14:textId="77777777" w:rsidR="0070737E" w:rsidRPr="00FC534A" w:rsidRDefault="0070737E" w:rsidP="00FC534A">
      <w:pPr>
        <w:snapToGrid w:val="0"/>
        <w:ind w:firstLine="480"/>
        <w:rPr>
          <w:color w:val="000000" w:themeColor="text1"/>
        </w:rPr>
      </w:pPr>
    </w:p>
    <w:p w14:paraId="597B38B6" w14:textId="26EB62DF" w:rsidR="008547AB" w:rsidRPr="00FC534A" w:rsidRDefault="0012176C" w:rsidP="00FC534A">
      <w:pPr>
        <w:pStyle w:val="Heading1"/>
        <w:snapToGrid w:val="0"/>
        <w:spacing w:before="0" w:after="0"/>
        <w:rPr>
          <w:color w:val="000000" w:themeColor="text1"/>
          <w:sz w:val="24"/>
          <w:szCs w:val="24"/>
        </w:rPr>
      </w:pPr>
      <w:r w:rsidRPr="00FC534A">
        <w:rPr>
          <w:color w:val="000000" w:themeColor="text1"/>
          <w:sz w:val="24"/>
          <w:szCs w:val="24"/>
        </w:rPr>
        <w:t>4. High-</w:t>
      </w:r>
      <w:r w:rsidR="0070737E" w:rsidRPr="00FC534A">
        <w:rPr>
          <w:color w:val="000000" w:themeColor="text1"/>
          <w:sz w:val="24"/>
          <w:szCs w:val="24"/>
        </w:rPr>
        <w:t>performance benchmarks and physical boundaries</w:t>
      </w:r>
    </w:p>
    <w:p w14:paraId="673B8178" w14:textId="77777777" w:rsidR="008547AB" w:rsidRPr="00FC534A" w:rsidRDefault="0012176C" w:rsidP="00FC534A">
      <w:pPr>
        <w:snapToGrid w:val="0"/>
        <w:ind w:firstLineChars="0" w:firstLine="0"/>
        <w:rPr>
          <w:color w:val="000000" w:themeColor="text1"/>
        </w:rPr>
      </w:pPr>
      <w:r w:rsidRPr="00FC534A">
        <w:rPr>
          <w:color w:val="000000" w:themeColor="text1"/>
        </w:rPr>
        <w:t>We strictly benchmarked TNF on the 2D repulsive Hubbard model at a physically demanding parameter regime: interaction strength U/t = 8.0, hole-doping δ = 0.125.</w:t>
      </w:r>
    </w:p>
    <w:p w14:paraId="70E2D340" w14:textId="0B2E7738" w:rsidR="008547AB" w:rsidRPr="00FC534A" w:rsidRDefault="0012176C" w:rsidP="00EA7692">
      <w:pPr>
        <w:snapToGrid w:val="0"/>
        <w:ind w:firstLine="480"/>
        <w:rPr>
          <w:color w:val="000000" w:themeColor="text1"/>
          <w:u w:val="single"/>
        </w:rPr>
      </w:pPr>
      <w:r w:rsidRPr="00FC534A">
        <w:rPr>
          <w:color w:val="000000" w:themeColor="text1"/>
        </w:rPr>
        <w:t xml:space="preserve">The Selection of the </w:t>
      </w:r>
      <w:r w:rsidR="00EA7692" w:rsidRPr="00FC534A">
        <w:rPr>
          <w:color w:val="000000" w:themeColor="text1"/>
        </w:rPr>
        <w:t>parameters is in line with their</w:t>
      </w:r>
      <w:r w:rsidRPr="00FC534A">
        <w:rPr>
          <w:color w:val="000000" w:themeColor="text1"/>
        </w:rPr>
        <w:t xml:space="preserve"> actual function. The underdoped </w:t>
      </w:r>
      <w:proofErr w:type="spellStart"/>
      <w:r w:rsidRPr="00FC534A">
        <w:rPr>
          <w:color w:val="000000" w:themeColor="text1"/>
        </w:rPr>
        <w:t>cuprate</w:t>
      </w:r>
      <w:proofErr w:type="spellEnd"/>
      <w:r w:rsidRPr="00FC534A">
        <w:rPr>
          <w:color w:val="000000" w:themeColor="text1"/>
        </w:rPr>
        <w:t xml:space="preserve"> superconductors are well described by the single-band Hubbard model with U/t </w:t>
      </w:r>
      <w:r w:rsidR="0070737E" w:rsidRPr="00FC534A">
        <w:rPr>
          <w:color w:val="000000" w:themeColor="text1"/>
        </w:rPr>
        <w:t>=</w:t>
      </w:r>
      <w:r w:rsidRPr="00FC534A">
        <w:rPr>
          <w:color w:val="000000" w:themeColor="text1"/>
        </w:rPr>
        <w:t xml:space="preserve"> 6</w:t>
      </w:r>
      <w:r w:rsidR="0070737E" w:rsidRPr="00FC534A">
        <w:rPr>
          <w:color w:val="000000" w:themeColor="text1"/>
        </w:rPr>
        <w:t>–</w:t>
      </w:r>
      <w:r w:rsidRPr="00FC534A">
        <w:rPr>
          <w:color w:val="000000" w:themeColor="text1"/>
        </w:rPr>
        <w:t xml:space="preserve">10 and hole doping δ </w:t>
      </w:r>
      <w:r w:rsidR="0070737E" w:rsidRPr="00FC534A">
        <w:rPr>
          <w:color w:val="000000" w:themeColor="text1"/>
        </w:rPr>
        <w:t>=</w:t>
      </w:r>
      <w:r w:rsidRPr="00FC534A">
        <w:rPr>
          <w:color w:val="000000" w:themeColor="text1"/>
        </w:rPr>
        <w:t xml:space="preserve"> 0.05</w:t>
      </w:r>
      <w:r w:rsidR="0070737E" w:rsidRPr="00FC534A">
        <w:rPr>
          <w:color w:val="000000" w:themeColor="text1"/>
        </w:rPr>
        <w:t>–</w:t>
      </w:r>
      <w:r w:rsidRPr="00FC534A">
        <w:rPr>
          <w:color w:val="000000" w:themeColor="text1"/>
        </w:rPr>
        <w:t xml:space="preserve">0.20. The specific doping δ = 0.125 (one hole per eight sites) corresponds to the </w:t>
      </w:r>
      <w:r w:rsidR="00EA7692" w:rsidRPr="00FC534A">
        <w:rPr>
          <w:color w:val="000000" w:themeColor="text1"/>
        </w:rPr>
        <w:t>“</w:t>
      </w:r>
      <w:r w:rsidRPr="00FC534A">
        <w:rPr>
          <w:color w:val="000000" w:themeColor="text1"/>
        </w:rPr>
        <w:t>1/8 anomaly</w:t>
      </w:r>
      <w:r w:rsidR="00EA7692" w:rsidRPr="00FC534A">
        <w:rPr>
          <w:color w:val="000000" w:themeColor="text1"/>
        </w:rPr>
        <w:t>”</w:t>
      </w:r>
      <w:r w:rsidRPr="00FC534A">
        <w:rPr>
          <w:color w:val="000000" w:themeColor="text1"/>
        </w:rPr>
        <w:t xml:space="preserve"> regime, and stripe instabilities are most severe and competing orders are hardest to address numerically. At βt = 8</w:t>
      </w:r>
      <w:r w:rsidR="0070737E" w:rsidRPr="00FC534A">
        <w:rPr>
          <w:color w:val="000000" w:themeColor="text1"/>
        </w:rPr>
        <w:t>–</w:t>
      </w:r>
      <w:r w:rsidRPr="00FC534A">
        <w:rPr>
          <w:color w:val="000000" w:themeColor="text1"/>
        </w:rPr>
        <w:t xml:space="preserve">10, the system enters the </w:t>
      </w:r>
      <w:proofErr w:type="spellStart"/>
      <w:r w:rsidRPr="00FC534A">
        <w:rPr>
          <w:color w:val="000000" w:themeColor="text1"/>
        </w:rPr>
        <w:t>pseudogap</w:t>
      </w:r>
      <w:proofErr w:type="spellEnd"/>
      <w:r w:rsidRPr="00FC534A">
        <w:rPr>
          <w:color w:val="000000" w:themeColor="text1"/>
        </w:rPr>
        <w:t xml:space="preserve"> regime of the phase diagram, while superconducting order </w:t>
      </w:r>
      <w:r w:rsidRPr="00FC534A">
        <w:rPr>
          <w:color w:val="000000" w:themeColor="text1"/>
        </w:rPr>
        <w:lastRenderedPageBreak/>
        <w:t xml:space="preserve">emerges at significantly lower temperatures (higher βt). Accurate simulation in this regime is therefore a necessary step toward mapping the full </w:t>
      </w:r>
      <w:proofErr w:type="spellStart"/>
      <w:r w:rsidRPr="00FC534A">
        <w:rPr>
          <w:color w:val="000000" w:themeColor="text1"/>
        </w:rPr>
        <w:t>cuprate</w:t>
      </w:r>
      <w:proofErr w:type="spellEnd"/>
      <w:r w:rsidRPr="00FC534A">
        <w:rPr>
          <w:color w:val="000000" w:themeColor="text1"/>
        </w:rPr>
        <w:t xml:space="preserve"> phase diagram.</w:t>
      </w:r>
    </w:p>
    <w:p w14:paraId="4E31959F" w14:textId="77777777" w:rsidR="0070737E" w:rsidRPr="00FC534A" w:rsidRDefault="0070737E" w:rsidP="00FC534A">
      <w:pPr>
        <w:snapToGrid w:val="0"/>
        <w:ind w:firstLine="480"/>
        <w:rPr>
          <w:color w:val="000000" w:themeColor="text1"/>
          <w:u w:val="single"/>
        </w:rPr>
      </w:pPr>
    </w:p>
    <w:p w14:paraId="48CF255A" w14:textId="73A13C6C" w:rsidR="008547AB" w:rsidRPr="00FC534A" w:rsidRDefault="0012176C" w:rsidP="00FC534A">
      <w:pPr>
        <w:pStyle w:val="Heading2"/>
        <w:snapToGrid w:val="0"/>
        <w:spacing w:before="0" w:after="0"/>
        <w:rPr>
          <w:i w:val="0"/>
          <w:iCs w:val="0"/>
          <w:color w:val="000000" w:themeColor="text1"/>
          <w:sz w:val="24"/>
          <w:szCs w:val="24"/>
        </w:rPr>
      </w:pPr>
      <w:r w:rsidRPr="00FC534A">
        <w:rPr>
          <w:i w:val="0"/>
          <w:iCs w:val="0"/>
          <w:color w:val="000000" w:themeColor="text1"/>
          <w:sz w:val="24"/>
          <w:szCs w:val="24"/>
        </w:rPr>
        <w:t>4.1</w:t>
      </w:r>
      <w:r w:rsidR="0070737E" w:rsidRPr="00FC534A">
        <w:rPr>
          <w:i w:val="0"/>
          <w:iCs w:val="0"/>
          <w:color w:val="000000" w:themeColor="text1"/>
          <w:sz w:val="24"/>
          <w:szCs w:val="24"/>
        </w:rPr>
        <w:t>.</w:t>
      </w:r>
      <w:r w:rsidRPr="00FC534A">
        <w:rPr>
          <w:i w:val="0"/>
          <w:iCs w:val="0"/>
          <w:color w:val="000000" w:themeColor="text1"/>
          <w:sz w:val="24"/>
          <w:szCs w:val="24"/>
        </w:rPr>
        <w:t xml:space="preserve"> Exposing the </w:t>
      </w:r>
      <w:r w:rsidR="0070737E" w:rsidRPr="00FC534A">
        <w:rPr>
          <w:i w:val="0"/>
          <w:iCs w:val="0"/>
          <w:color w:val="000000" w:themeColor="text1"/>
          <w:sz w:val="24"/>
          <w:szCs w:val="24"/>
        </w:rPr>
        <w:t>a</w:t>
      </w:r>
      <w:r w:rsidRPr="00FC534A">
        <w:rPr>
          <w:i w:val="0"/>
          <w:iCs w:val="0"/>
          <w:color w:val="000000" w:themeColor="text1"/>
          <w:sz w:val="24"/>
          <w:szCs w:val="24"/>
        </w:rPr>
        <w:t xml:space="preserve">lgorithmic </w:t>
      </w:r>
      <w:r w:rsidR="0070737E" w:rsidRPr="00FC534A">
        <w:rPr>
          <w:i w:val="0"/>
          <w:iCs w:val="0"/>
          <w:color w:val="000000" w:themeColor="text1"/>
          <w:sz w:val="24"/>
          <w:szCs w:val="24"/>
        </w:rPr>
        <w:t>b</w:t>
      </w:r>
      <w:r w:rsidRPr="00FC534A">
        <w:rPr>
          <w:i w:val="0"/>
          <w:iCs w:val="0"/>
          <w:color w:val="000000" w:themeColor="text1"/>
          <w:sz w:val="24"/>
          <w:szCs w:val="24"/>
        </w:rPr>
        <w:t>oundaries</w:t>
      </w:r>
    </w:p>
    <w:p w14:paraId="4DD8C523" w14:textId="5F520886" w:rsidR="008547AB" w:rsidRPr="00FC534A" w:rsidRDefault="0012176C" w:rsidP="0070737E">
      <w:pPr>
        <w:snapToGrid w:val="0"/>
        <w:ind w:firstLineChars="0" w:firstLine="0"/>
        <w:rPr>
          <w:color w:val="000000" w:themeColor="text1"/>
        </w:rPr>
      </w:pPr>
      <w:r w:rsidRPr="00FC534A">
        <w:rPr>
          <w:color w:val="000000" w:themeColor="text1"/>
        </w:rPr>
        <w:t>We explicitly map the regime of exponential mitigation against the precise phase boundary where our Neural ODE approach hits its physical limits.</w:t>
      </w:r>
      <w:r w:rsidR="0070737E" w:rsidRPr="00FC534A">
        <w:rPr>
          <w:color w:val="000000" w:themeColor="text1"/>
        </w:rPr>
        <w:t xml:space="preserve"> See </w:t>
      </w:r>
      <w:r w:rsidR="0070737E" w:rsidRPr="00FC534A">
        <w:rPr>
          <w:b/>
          <w:bCs/>
          <w:color w:val="000000" w:themeColor="text1"/>
        </w:rPr>
        <w:t>Table 1</w:t>
      </w:r>
      <w:r w:rsidR="0070737E" w:rsidRPr="00FC534A">
        <w:rPr>
          <w:color w:val="000000" w:themeColor="text1"/>
        </w:rPr>
        <w:t>.</w:t>
      </w:r>
    </w:p>
    <w:p w14:paraId="1FB1D9E0" w14:textId="77777777" w:rsidR="0070737E" w:rsidRPr="00FC534A" w:rsidRDefault="0070737E" w:rsidP="00FC534A">
      <w:pPr>
        <w:snapToGrid w:val="0"/>
        <w:ind w:firstLineChars="0" w:firstLine="0"/>
        <w:rPr>
          <w:color w:val="000000" w:themeColor="text1"/>
        </w:rPr>
      </w:pPr>
    </w:p>
    <w:p w14:paraId="100FA895" w14:textId="0B97E5DC" w:rsidR="008547AB" w:rsidRPr="00FC534A" w:rsidRDefault="0012176C" w:rsidP="0070737E">
      <w:pPr>
        <w:snapToGrid w:val="0"/>
        <w:ind w:firstLineChars="0" w:firstLine="0"/>
        <w:rPr>
          <w:color w:val="000000" w:themeColor="text1"/>
        </w:rPr>
      </w:pPr>
      <w:r w:rsidRPr="00FC534A">
        <w:rPr>
          <w:b/>
          <w:bCs/>
          <w:color w:val="000000" w:themeColor="text1"/>
        </w:rPr>
        <w:t>Table 1</w:t>
      </w:r>
      <w:r w:rsidR="0070737E" w:rsidRPr="00FC534A">
        <w:rPr>
          <w:b/>
          <w:bCs/>
          <w:color w:val="000000" w:themeColor="text1"/>
        </w:rPr>
        <w:t>.</w:t>
      </w:r>
      <w:r w:rsidRPr="00FC534A">
        <w:rPr>
          <w:b/>
          <w:bCs/>
          <w:color w:val="000000" w:themeColor="text1"/>
        </w:rPr>
        <w:t xml:space="preserve"> </w:t>
      </w:r>
      <w:r w:rsidRPr="00FC534A">
        <w:rPr>
          <w:color w:val="000000" w:themeColor="text1"/>
        </w:rPr>
        <w:t xml:space="preserve">Sign </w:t>
      </w:r>
      <w:r w:rsidR="0070737E" w:rsidRPr="00FC534A">
        <w:rPr>
          <w:color w:val="000000" w:themeColor="text1"/>
        </w:rPr>
        <w:t xml:space="preserve">mitigation and algorithmic breakdown boundaries </w:t>
      </w:r>
      <w:r w:rsidRPr="00FC534A">
        <w:rPr>
          <w:color w:val="000000" w:themeColor="text1"/>
        </w:rPr>
        <w:t>(U/t</w:t>
      </w:r>
      <w:r w:rsidR="0070737E" w:rsidRPr="00FC534A">
        <w:rPr>
          <w:color w:val="000000" w:themeColor="text1"/>
        </w:rPr>
        <w:t xml:space="preserve"> </w:t>
      </w:r>
      <w:r w:rsidRPr="00FC534A">
        <w:rPr>
          <w:color w:val="000000" w:themeColor="text1"/>
        </w:rPr>
        <w:t>=</w:t>
      </w:r>
      <w:r w:rsidR="0070737E" w:rsidRPr="00FC534A">
        <w:rPr>
          <w:color w:val="000000" w:themeColor="text1"/>
        </w:rPr>
        <w:t xml:space="preserve"> </w:t>
      </w:r>
      <w:r w:rsidRPr="00FC534A">
        <w:rPr>
          <w:color w:val="000000" w:themeColor="text1"/>
        </w:rPr>
        <w:t>8.0, δ</w:t>
      </w:r>
      <w:r w:rsidR="0070737E" w:rsidRPr="00FC534A">
        <w:rPr>
          <w:color w:val="000000" w:themeColor="text1"/>
        </w:rPr>
        <w:t xml:space="preserve"> </w:t>
      </w:r>
      <w:r w:rsidRPr="00FC534A">
        <w:rPr>
          <w:color w:val="000000" w:themeColor="text1"/>
        </w:rPr>
        <w:t>=</w:t>
      </w:r>
      <w:r w:rsidR="0070737E" w:rsidRPr="00FC534A">
        <w:rPr>
          <w:color w:val="000000" w:themeColor="text1"/>
        </w:rPr>
        <w:t xml:space="preserve"> </w:t>
      </w:r>
      <w:r w:rsidRPr="00FC534A">
        <w:rPr>
          <w:color w:val="000000" w:themeColor="text1"/>
        </w:rPr>
        <w:t>0.125)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275"/>
        <w:gridCol w:w="2268"/>
        <w:gridCol w:w="1701"/>
        <w:gridCol w:w="3730"/>
      </w:tblGrid>
      <w:tr w:rsidR="0070737E" w:rsidRPr="00FC534A" w14:paraId="23E95B87" w14:textId="77777777" w:rsidTr="00FC534A">
        <w:tc>
          <w:tcPr>
            <w:tcW w:w="988" w:type="dxa"/>
            <w:tcBorders>
              <w:top w:val="single" w:sz="4" w:space="0" w:color="auto"/>
              <w:bottom w:val="single" w:sz="4" w:space="0" w:color="auto"/>
            </w:tcBorders>
            <w:vAlign w:val="center"/>
          </w:tcPr>
          <w:p w14:paraId="358655D2" w14:textId="126DDB61" w:rsidR="0070737E" w:rsidRPr="00FC534A" w:rsidRDefault="0070737E" w:rsidP="00FC534A">
            <w:pPr>
              <w:snapToGrid w:val="0"/>
              <w:ind w:firstLineChars="0" w:firstLine="0"/>
              <w:jc w:val="left"/>
              <w:rPr>
                <w:color w:val="000000" w:themeColor="text1"/>
              </w:rPr>
            </w:pPr>
            <w:r w:rsidRPr="00FC534A">
              <w:rPr>
                <w:b/>
                <w:bCs/>
                <w:color w:val="000000" w:themeColor="text1"/>
              </w:rPr>
              <w:t>Lattice size</w:t>
            </w:r>
          </w:p>
        </w:tc>
        <w:tc>
          <w:tcPr>
            <w:tcW w:w="1275" w:type="dxa"/>
            <w:tcBorders>
              <w:top w:val="single" w:sz="4" w:space="0" w:color="auto"/>
              <w:bottom w:val="single" w:sz="4" w:space="0" w:color="auto"/>
            </w:tcBorders>
            <w:vAlign w:val="center"/>
          </w:tcPr>
          <w:p w14:paraId="7D972556" w14:textId="05E49ECE" w:rsidR="0070737E" w:rsidRPr="00FC534A" w:rsidRDefault="0070737E" w:rsidP="00FC534A">
            <w:pPr>
              <w:snapToGrid w:val="0"/>
              <w:ind w:firstLineChars="0" w:firstLine="0"/>
              <w:jc w:val="center"/>
              <w:rPr>
                <w:color w:val="000000" w:themeColor="text1"/>
              </w:rPr>
            </w:pPr>
            <w:r w:rsidRPr="00FC534A">
              <w:rPr>
                <w:b/>
                <w:bCs/>
                <w:color w:val="000000" w:themeColor="text1"/>
              </w:rPr>
              <w:t>Inverse temp (βt)</w:t>
            </w:r>
          </w:p>
        </w:tc>
        <w:tc>
          <w:tcPr>
            <w:tcW w:w="2268" w:type="dxa"/>
            <w:tcBorders>
              <w:top w:val="single" w:sz="4" w:space="0" w:color="auto"/>
              <w:bottom w:val="single" w:sz="4" w:space="0" w:color="auto"/>
            </w:tcBorders>
            <w:vAlign w:val="center"/>
          </w:tcPr>
          <w:p w14:paraId="2A806275" w14:textId="18E3F8FD" w:rsidR="0070737E" w:rsidRPr="00FC534A" w:rsidRDefault="0070737E" w:rsidP="00FC534A">
            <w:pPr>
              <w:snapToGrid w:val="0"/>
              <w:ind w:firstLineChars="0" w:firstLine="0"/>
              <w:jc w:val="center"/>
              <w:rPr>
                <w:color w:val="000000" w:themeColor="text1"/>
              </w:rPr>
            </w:pPr>
            <w:r w:rsidRPr="00FC534A">
              <w:rPr>
                <w:b/>
                <w:bCs/>
                <w:color w:val="000000" w:themeColor="text1"/>
              </w:rPr>
              <w:t xml:space="preserve">Standard AFQMC </w:t>
            </w:r>
            <w:r w:rsidRPr="00FC534A">
              <w:rPr>
                <w:rFonts w:ascii="Cambria Math" w:hAnsi="Cambria Math" w:cs="Cambria Math"/>
                <w:b/>
                <w:bCs/>
                <w:color w:val="000000" w:themeColor="text1"/>
              </w:rPr>
              <w:t>⟨</w:t>
            </w:r>
            <w:r w:rsidRPr="00FC534A">
              <w:rPr>
                <w:b/>
                <w:bCs/>
                <w:color w:val="000000" w:themeColor="text1"/>
              </w:rPr>
              <w:t>sign</w:t>
            </w:r>
            <w:r w:rsidRPr="00FC534A">
              <w:rPr>
                <w:rFonts w:ascii="Cambria Math" w:hAnsi="Cambria Math" w:cs="Cambria Math"/>
                <w:b/>
                <w:bCs/>
                <w:color w:val="000000" w:themeColor="text1"/>
              </w:rPr>
              <w:t>⟩</w:t>
            </w:r>
          </w:p>
        </w:tc>
        <w:tc>
          <w:tcPr>
            <w:tcW w:w="1701" w:type="dxa"/>
            <w:tcBorders>
              <w:top w:val="single" w:sz="4" w:space="0" w:color="auto"/>
              <w:bottom w:val="single" w:sz="4" w:space="0" w:color="auto"/>
            </w:tcBorders>
            <w:vAlign w:val="center"/>
          </w:tcPr>
          <w:p w14:paraId="1A4DF30E" w14:textId="7CD3B8D4" w:rsidR="0070737E" w:rsidRPr="00FC534A" w:rsidRDefault="0070737E" w:rsidP="00FC534A">
            <w:pPr>
              <w:snapToGrid w:val="0"/>
              <w:ind w:firstLineChars="0" w:firstLine="0"/>
              <w:jc w:val="center"/>
              <w:rPr>
                <w:color w:val="000000" w:themeColor="text1"/>
              </w:rPr>
            </w:pPr>
            <w:r w:rsidRPr="00FC534A">
              <w:rPr>
                <w:b/>
                <w:bCs/>
                <w:color w:val="000000" w:themeColor="text1"/>
              </w:rPr>
              <w:t xml:space="preserve">TNF-QMC </w:t>
            </w:r>
            <w:r w:rsidRPr="00FC534A">
              <w:rPr>
                <w:rFonts w:ascii="Cambria Math" w:hAnsi="Cambria Math" w:cs="Cambria Math"/>
                <w:b/>
                <w:bCs/>
                <w:color w:val="000000" w:themeColor="text1"/>
              </w:rPr>
              <w:t>⟨</w:t>
            </w:r>
            <w:r w:rsidRPr="00FC534A">
              <w:rPr>
                <w:b/>
                <w:bCs/>
                <w:color w:val="000000" w:themeColor="text1"/>
              </w:rPr>
              <w:t>sign</w:t>
            </w:r>
            <w:r w:rsidRPr="00FC534A">
              <w:rPr>
                <w:rFonts w:ascii="Cambria Math" w:hAnsi="Cambria Math" w:cs="Cambria Math"/>
                <w:b/>
                <w:bCs/>
                <w:color w:val="000000" w:themeColor="text1"/>
              </w:rPr>
              <w:t>⟩</w:t>
            </w:r>
          </w:p>
        </w:tc>
        <w:tc>
          <w:tcPr>
            <w:tcW w:w="3730" w:type="dxa"/>
            <w:tcBorders>
              <w:top w:val="single" w:sz="4" w:space="0" w:color="auto"/>
              <w:bottom w:val="single" w:sz="4" w:space="0" w:color="auto"/>
            </w:tcBorders>
            <w:vAlign w:val="center"/>
          </w:tcPr>
          <w:p w14:paraId="3B721DAD" w14:textId="68477263" w:rsidR="0070737E" w:rsidRPr="00FC534A" w:rsidRDefault="0070737E" w:rsidP="00FC534A">
            <w:pPr>
              <w:snapToGrid w:val="0"/>
              <w:ind w:firstLineChars="0" w:firstLine="0"/>
              <w:jc w:val="center"/>
              <w:rPr>
                <w:color w:val="000000" w:themeColor="text1"/>
              </w:rPr>
            </w:pPr>
            <w:r w:rsidRPr="00FC534A">
              <w:rPr>
                <w:b/>
                <w:bCs/>
                <w:color w:val="000000" w:themeColor="text1"/>
              </w:rPr>
              <w:t>Physical status</w:t>
            </w:r>
          </w:p>
        </w:tc>
      </w:tr>
      <w:tr w:rsidR="0070737E" w:rsidRPr="00FC534A" w14:paraId="5B9968D6" w14:textId="77777777" w:rsidTr="00FC534A">
        <w:tc>
          <w:tcPr>
            <w:tcW w:w="988" w:type="dxa"/>
            <w:tcBorders>
              <w:top w:val="single" w:sz="4" w:space="0" w:color="auto"/>
            </w:tcBorders>
            <w:vAlign w:val="center"/>
          </w:tcPr>
          <w:p w14:paraId="4A69102D" w14:textId="397C1593" w:rsidR="0070737E" w:rsidRPr="00FC534A" w:rsidRDefault="0070737E" w:rsidP="00FC534A">
            <w:pPr>
              <w:snapToGrid w:val="0"/>
              <w:ind w:firstLineChars="0" w:firstLine="0"/>
              <w:jc w:val="left"/>
              <w:rPr>
                <w:color w:val="000000" w:themeColor="text1"/>
              </w:rPr>
            </w:pPr>
            <w:r w:rsidRPr="00FC534A">
              <w:rPr>
                <w:color w:val="000000" w:themeColor="text1"/>
              </w:rPr>
              <w:t>4 × 4</w:t>
            </w:r>
          </w:p>
        </w:tc>
        <w:tc>
          <w:tcPr>
            <w:tcW w:w="1275" w:type="dxa"/>
            <w:tcBorders>
              <w:top w:val="single" w:sz="4" w:space="0" w:color="auto"/>
            </w:tcBorders>
            <w:vAlign w:val="center"/>
          </w:tcPr>
          <w:p w14:paraId="3B9E68C9" w14:textId="685487DC" w:rsidR="0070737E" w:rsidRPr="00FC534A" w:rsidRDefault="0070737E" w:rsidP="00FC534A">
            <w:pPr>
              <w:snapToGrid w:val="0"/>
              <w:ind w:firstLineChars="0" w:firstLine="0"/>
              <w:jc w:val="center"/>
              <w:rPr>
                <w:color w:val="000000" w:themeColor="text1"/>
              </w:rPr>
            </w:pPr>
            <w:r w:rsidRPr="00FC534A">
              <w:rPr>
                <w:color w:val="000000" w:themeColor="text1"/>
              </w:rPr>
              <w:t>10.0</w:t>
            </w:r>
          </w:p>
        </w:tc>
        <w:tc>
          <w:tcPr>
            <w:tcW w:w="2268" w:type="dxa"/>
            <w:tcBorders>
              <w:top w:val="single" w:sz="4" w:space="0" w:color="auto"/>
            </w:tcBorders>
            <w:vAlign w:val="center"/>
          </w:tcPr>
          <w:p w14:paraId="4726CA13" w14:textId="0243A933" w:rsidR="0070737E" w:rsidRPr="00FC534A" w:rsidRDefault="0070737E" w:rsidP="00FC534A">
            <w:pPr>
              <w:snapToGrid w:val="0"/>
              <w:ind w:firstLineChars="0" w:firstLine="0"/>
              <w:jc w:val="center"/>
              <w:rPr>
                <w:color w:val="000000" w:themeColor="text1"/>
              </w:rPr>
            </w:pPr>
            <w:r w:rsidRPr="00FC534A">
              <w:rPr>
                <w:color w:val="000000" w:themeColor="text1"/>
              </w:rPr>
              <w:t>0.052 ± 0.004</w:t>
            </w:r>
          </w:p>
        </w:tc>
        <w:tc>
          <w:tcPr>
            <w:tcW w:w="1701" w:type="dxa"/>
            <w:tcBorders>
              <w:top w:val="single" w:sz="4" w:space="0" w:color="auto"/>
            </w:tcBorders>
            <w:vAlign w:val="center"/>
          </w:tcPr>
          <w:p w14:paraId="362319B0" w14:textId="55399B5A" w:rsidR="0070737E" w:rsidRPr="00FC534A" w:rsidRDefault="0070737E" w:rsidP="00FC534A">
            <w:pPr>
              <w:snapToGrid w:val="0"/>
              <w:ind w:firstLineChars="0" w:firstLine="0"/>
              <w:jc w:val="center"/>
              <w:rPr>
                <w:color w:val="000000" w:themeColor="text1"/>
              </w:rPr>
            </w:pPr>
            <w:r w:rsidRPr="00FC534A">
              <w:rPr>
                <w:color w:val="000000" w:themeColor="text1"/>
              </w:rPr>
              <w:t>0.981± 0.002</w:t>
            </w:r>
          </w:p>
        </w:tc>
        <w:tc>
          <w:tcPr>
            <w:tcW w:w="3730" w:type="dxa"/>
            <w:tcBorders>
              <w:top w:val="single" w:sz="4" w:space="0" w:color="auto"/>
            </w:tcBorders>
            <w:vAlign w:val="center"/>
          </w:tcPr>
          <w:p w14:paraId="7B9D4628" w14:textId="4EB6EF3F" w:rsidR="0070737E" w:rsidRPr="00FC534A" w:rsidRDefault="0070737E" w:rsidP="00FC534A">
            <w:pPr>
              <w:snapToGrid w:val="0"/>
              <w:ind w:firstLineChars="0" w:firstLine="0"/>
              <w:jc w:val="center"/>
              <w:rPr>
                <w:color w:val="000000" w:themeColor="text1"/>
              </w:rPr>
            </w:pPr>
            <w:r w:rsidRPr="00FC534A">
              <w:rPr>
                <w:color w:val="000000" w:themeColor="text1"/>
              </w:rPr>
              <w:t>Fully solved. Near-perfect phase alignment.</w:t>
            </w:r>
          </w:p>
        </w:tc>
      </w:tr>
      <w:tr w:rsidR="0070737E" w:rsidRPr="00FC534A" w14:paraId="4A490B5F" w14:textId="77777777" w:rsidTr="00FC534A">
        <w:tc>
          <w:tcPr>
            <w:tcW w:w="988" w:type="dxa"/>
            <w:vAlign w:val="center"/>
          </w:tcPr>
          <w:p w14:paraId="2757C0C5" w14:textId="7598ADFD" w:rsidR="0070737E" w:rsidRPr="00FC534A" w:rsidRDefault="0070737E" w:rsidP="00FC534A">
            <w:pPr>
              <w:snapToGrid w:val="0"/>
              <w:ind w:firstLineChars="0" w:firstLine="0"/>
              <w:jc w:val="left"/>
              <w:rPr>
                <w:color w:val="000000" w:themeColor="text1"/>
              </w:rPr>
            </w:pPr>
            <w:r w:rsidRPr="00FC534A">
              <w:rPr>
                <w:color w:val="000000" w:themeColor="text1"/>
              </w:rPr>
              <w:t>8 × 8</w:t>
            </w:r>
          </w:p>
        </w:tc>
        <w:tc>
          <w:tcPr>
            <w:tcW w:w="1275" w:type="dxa"/>
            <w:vAlign w:val="center"/>
          </w:tcPr>
          <w:p w14:paraId="6C8B1609" w14:textId="7D57AA62" w:rsidR="0070737E" w:rsidRPr="00FC534A" w:rsidRDefault="0070737E" w:rsidP="00FC534A">
            <w:pPr>
              <w:snapToGrid w:val="0"/>
              <w:ind w:firstLineChars="0" w:firstLine="0"/>
              <w:jc w:val="center"/>
              <w:rPr>
                <w:color w:val="000000" w:themeColor="text1"/>
              </w:rPr>
            </w:pPr>
            <w:r w:rsidRPr="00FC534A">
              <w:rPr>
                <w:color w:val="000000" w:themeColor="text1"/>
              </w:rPr>
              <w:t>6.0</w:t>
            </w:r>
          </w:p>
        </w:tc>
        <w:tc>
          <w:tcPr>
            <w:tcW w:w="2268" w:type="dxa"/>
            <w:vAlign w:val="center"/>
          </w:tcPr>
          <w:p w14:paraId="2ED95A9F" w14:textId="27306BF6" w:rsidR="0070737E" w:rsidRPr="00FC534A" w:rsidRDefault="0070737E" w:rsidP="00FC534A">
            <w:pPr>
              <w:snapToGrid w:val="0"/>
              <w:ind w:firstLineChars="0" w:firstLine="0"/>
              <w:jc w:val="center"/>
              <w:rPr>
                <w:color w:val="000000" w:themeColor="text1"/>
              </w:rPr>
            </w:pPr>
            <w:r w:rsidRPr="00FC534A">
              <w:rPr>
                <w:color w:val="000000" w:themeColor="text1"/>
              </w:rPr>
              <w:t>0.003 ± 0.001</w:t>
            </w:r>
          </w:p>
        </w:tc>
        <w:tc>
          <w:tcPr>
            <w:tcW w:w="1701" w:type="dxa"/>
            <w:vAlign w:val="center"/>
          </w:tcPr>
          <w:p w14:paraId="63764945" w14:textId="07AA87AD" w:rsidR="0070737E" w:rsidRPr="00FC534A" w:rsidRDefault="0070737E" w:rsidP="00FC534A">
            <w:pPr>
              <w:snapToGrid w:val="0"/>
              <w:ind w:firstLineChars="0" w:firstLine="0"/>
              <w:jc w:val="center"/>
              <w:rPr>
                <w:color w:val="000000" w:themeColor="text1"/>
              </w:rPr>
            </w:pPr>
            <w:r w:rsidRPr="00FC534A">
              <w:rPr>
                <w:color w:val="000000" w:themeColor="text1"/>
              </w:rPr>
              <w:t>0.412 ± 0.015</w:t>
            </w:r>
          </w:p>
        </w:tc>
        <w:tc>
          <w:tcPr>
            <w:tcW w:w="3730" w:type="dxa"/>
            <w:vAlign w:val="center"/>
          </w:tcPr>
          <w:p w14:paraId="4BE5CF28" w14:textId="7BF4FD98" w:rsidR="0070737E" w:rsidRPr="00FC534A" w:rsidRDefault="0070737E" w:rsidP="00FC534A">
            <w:pPr>
              <w:snapToGrid w:val="0"/>
              <w:ind w:firstLineChars="0" w:firstLine="0"/>
              <w:jc w:val="center"/>
              <w:rPr>
                <w:color w:val="000000" w:themeColor="text1"/>
              </w:rPr>
            </w:pPr>
            <w:r w:rsidRPr="00FC534A">
              <w:rPr>
                <w:color w:val="000000" w:themeColor="text1"/>
              </w:rPr>
              <w:t>Major mitigation. Tractable sampling regime.</w:t>
            </w:r>
          </w:p>
        </w:tc>
      </w:tr>
      <w:tr w:rsidR="0070737E" w:rsidRPr="00FC534A" w14:paraId="54200E9E" w14:textId="77777777" w:rsidTr="00FC534A">
        <w:tc>
          <w:tcPr>
            <w:tcW w:w="988" w:type="dxa"/>
            <w:vAlign w:val="center"/>
          </w:tcPr>
          <w:p w14:paraId="6F460D2E" w14:textId="54D85EB3" w:rsidR="0070737E" w:rsidRPr="00FC534A" w:rsidRDefault="0070737E" w:rsidP="00FC534A">
            <w:pPr>
              <w:snapToGrid w:val="0"/>
              <w:ind w:firstLineChars="0" w:firstLine="0"/>
              <w:jc w:val="left"/>
              <w:rPr>
                <w:color w:val="000000" w:themeColor="text1"/>
              </w:rPr>
            </w:pPr>
            <w:r w:rsidRPr="00FC534A">
              <w:rPr>
                <w:color w:val="000000" w:themeColor="text1"/>
              </w:rPr>
              <w:t>8 × 8</w:t>
            </w:r>
          </w:p>
        </w:tc>
        <w:tc>
          <w:tcPr>
            <w:tcW w:w="1275" w:type="dxa"/>
            <w:vAlign w:val="center"/>
          </w:tcPr>
          <w:p w14:paraId="6D749D76" w14:textId="0BB5CB4D" w:rsidR="0070737E" w:rsidRPr="00FC534A" w:rsidRDefault="0070737E" w:rsidP="00FC534A">
            <w:pPr>
              <w:snapToGrid w:val="0"/>
              <w:ind w:firstLineChars="0" w:firstLine="0"/>
              <w:jc w:val="center"/>
              <w:rPr>
                <w:color w:val="000000" w:themeColor="text1"/>
              </w:rPr>
            </w:pPr>
            <w:r w:rsidRPr="00FC534A">
              <w:rPr>
                <w:color w:val="000000" w:themeColor="text1"/>
              </w:rPr>
              <w:t>10.0</w:t>
            </w:r>
          </w:p>
        </w:tc>
        <w:tc>
          <w:tcPr>
            <w:tcW w:w="2268" w:type="dxa"/>
            <w:vAlign w:val="center"/>
          </w:tcPr>
          <w:p w14:paraId="2DC9AC88" w14:textId="08516AF4" w:rsidR="0070737E" w:rsidRPr="00FC534A" w:rsidRDefault="0070737E" w:rsidP="00FC534A">
            <w:pPr>
              <w:snapToGrid w:val="0"/>
              <w:ind w:firstLineChars="0" w:firstLine="0"/>
              <w:jc w:val="center"/>
              <w:rPr>
                <w:color w:val="000000" w:themeColor="text1"/>
              </w:rPr>
            </w:pPr>
            <w:r w:rsidRPr="00FC534A">
              <w:rPr>
                <w:color w:val="000000" w:themeColor="text1"/>
              </w:rPr>
              <w:t>&lt; 10</w:t>
            </w:r>
            <w:r w:rsidRPr="00FC534A">
              <w:rPr>
                <w:color w:val="000000" w:themeColor="text1"/>
                <w:vertAlign w:val="superscript"/>
              </w:rPr>
              <w:t>-5</w:t>
            </w:r>
            <w:r w:rsidRPr="00FC534A">
              <w:rPr>
                <w:color w:val="000000" w:themeColor="text1"/>
              </w:rPr>
              <w:t xml:space="preserve"> (Collapse)</w:t>
            </w:r>
          </w:p>
        </w:tc>
        <w:tc>
          <w:tcPr>
            <w:tcW w:w="1701" w:type="dxa"/>
            <w:vAlign w:val="center"/>
          </w:tcPr>
          <w:p w14:paraId="2CECB034" w14:textId="6C1F3C38" w:rsidR="0070737E" w:rsidRPr="00FC534A" w:rsidRDefault="0070737E" w:rsidP="00FC534A">
            <w:pPr>
              <w:snapToGrid w:val="0"/>
              <w:ind w:firstLineChars="0" w:firstLine="0"/>
              <w:jc w:val="center"/>
              <w:rPr>
                <w:color w:val="000000" w:themeColor="text1"/>
              </w:rPr>
            </w:pPr>
            <w:r w:rsidRPr="00FC534A">
              <w:rPr>
                <w:color w:val="000000" w:themeColor="text1"/>
              </w:rPr>
              <w:t>0.154 ± 0.021</w:t>
            </w:r>
          </w:p>
        </w:tc>
        <w:tc>
          <w:tcPr>
            <w:tcW w:w="3730" w:type="dxa"/>
            <w:vAlign w:val="center"/>
          </w:tcPr>
          <w:p w14:paraId="0F3089B8" w14:textId="3400DA27" w:rsidR="0070737E" w:rsidRPr="00FC534A" w:rsidRDefault="0070737E" w:rsidP="00FC534A">
            <w:pPr>
              <w:snapToGrid w:val="0"/>
              <w:ind w:firstLineChars="0" w:firstLine="0"/>
              <w:jc w:val="center"/>
              <w:rPr>
                <w:color w:val="000000" w:themeColor="text1"/>
              </w:rPr>
            </w:pPr>
            <w:r w:rsidRPr="00FC534A">
              <w:rPr>
                <w:color w:val="000000" w:themeColor="text1"/>
              </w:rPr>
              <w:t>Limit of precision. Observable extraction requires heavy, but polynomial, sampling.</w:t>
            </w:r>
          </w:p>
        </w:tc>
      </w:tr>
      <w:tr w:rsidR="0070737E" w:rsidRPr="00FC534A" w14:paraId="509E1A40" w14:textId="77777777" w:rsidTr="00FC534A">
        <w:tc>
          <w:tcPr>
            <w:tcW w:w="988" w:type="dxa"/>
            <w:vAlign w:val="center"/>
          </w:tcPr>
          <w:p w14:paraId="6CDD94C5" w14:textId="54E7CFBF" w:rsidR="0070737E" w:rsidRPr="00FC534A" w:rsidRDefault="0070737E" w:rsidP="00FC534A">
            <w:pPr>
              <w:snapToGrid w:val="0"/>
              <w:ind w:firstLineChars="0" w:firstLine="0"/>
              <w:jc w:val="left"/>
              <w:rPr>
                <w:color w:val="000000" w:themeColor="text1"/>
              </w:rPr>
            </w:pPr>
            <w:r w:rsidRPr="00FC534A">
              <w:rPr>
                <w:color w:val="000000" w:themeColor="text1"/>
              </w:rPr>
              <w:t>10 × 10</w:t>
            </w:r>
          </w:p>
        </w:tc>
        <w:tc>
          <w:tcPr>
            <w:tcW w:w="1275" w:type="dxa"/>
            <w:vAlign w:val="center"/>
          </w:tcPr>
          <w:p w14:paraId="0BA12D73" w14:textId="5C19AED9" w:rsidR="0070737E" w:rsidRPr="00FC534A" w:rsidRDefault="0070737E" w:rsidP="00FC534A">
            <w:pPr>
              <w:snapToGrid w:val="0"/>
              <w:ind w:firstLineChars="0" w:firstLine="0"/>
              <w:jc w:val="center"/>
              <w:rPr>
                <w:color w:val="000000" w:themeColor="text1"/>
              </w:rPr>
            </w:pPr>
            <w:r w:rsidRPr="00FC534A">
              <w:rPr>
                <w:color w:val="000000" w:themeColor="text1"/>
              </w:rPr>
              <w:t>8.0</w:t>
            </w:r>
          </w:p>
        </w:tc>
        <w:tc>
          <w:tcPr>
            <w:tcW w:w="2268" w:type="dxa"/>
            <w:vAlign w:val="center"/>
          </w:tcPr>
          <w:p w14:paraId="41594D33" w14:textId="3AB6C712" w:rsidR="0070737E" w:rsidRPr="00FC534A" w:rsidRDefault="0070737E" w:rsidP="00FC534A">
            <w:pPr>
              <w:snapToGrid w:val="0"/>
              <w:ind w:firstLineChars="0" w:firstLine="0"/>
              <w:jc w:val="center"/>
              <w:rPr>
                <w:color w:val="000000" w:themeColor="text1"/>
              </w:rPr>
            </w:pPr>
            <w:r w:rsidRPr="00FC534A">
              <w:rPr>
                <w:color w:val="000000" w:themeColor="text1"/>
              </w:rPr>
              <w:t>&lt; 10</w:t>
            </w:r>
            <w:r w:rsidRPr="00FC534A">
              <w:rPr>
                <w:color w:val="000000" w:themeColor="text1"/>
                <w:vertAlign w:val="superscript"/>
              </w:rPr>
              <w:t>-6</w:t>
            </w:r>
            <w:r w:rsidRPr="00FC534A">
              <w:rPr>
                <w:color w:val="000000" w:themeColor="text1"/>
              </w:rPr>
              <w:t xml:space="preserve"> (Collapse)</w:t>
            </w:r>
          </w:p>
        </w:tc>
        <w:tc>
          <w:tcPr>
            <w:tcW w:w="1701" w:type="dxa"/>
            <w:vAlign w:val="center"/>
          </w:tcPr>
          <w:p w14:paraId="19F36EC1" w14:textId="4F0A1296" w:rsidR="0070737E" w:rsidRPr="00FC534A" w:rsidRDefault="0070737E" w:rsidP="00FC534A">
            <w:pPr>
              <w:snapToGrid w:val="0"/>
              <w:ind w:firstLineChars="0" w:firstLine="0"/>
              <w:jc w:val="center"/>
              <w:rPr>
                <w:color w:val="000000" w:themeColor="text1"/>
              </w:rPr>
            </w:pPr>
            <w:r w:rsidRPr="00FC534A">
              <w:rPr>
                <w:color w:val="000000" w:themeColor="text1"/>
              </w:rPr>
              <w:t>0.045 ± 0.011</w:t>
            </w:r>
          </w:p>
        </w:tc>
        <w:tc>
          <w:tcPr>
            <w:tcW w:w="3730" w:type="dxa"/>
            <w:vAlign w:val="center"/>
          </w:tcPr>
          <w:p w14:paraId="2AEC91B2" w14:textId="14A09E41" w:rsidR="0070737E" w:rsidRPr="00FC534A" w:rsidRDefault="0070737E" w:rsidP="00FC534A">
            <w:pPr>
              <w:snapToGrid w:val="0"/>
              <w:ind w:firstLineChars="0" w:firstLine="0"/>
              <w:jc w:val="center"/>
              <w:rPr>
                <w:color w:val="000000" w:themeColor="text1"/>
              </w:rPr>
            </w:pPr>
            <w:r w:rsidRPr="00FC534A">
              <w:rPr>
                <w:color w:val="000000" w:themeColor="text1"/>
              </w:rPr>
              <w:t>Critical slowdown. Network struggles with the dense distribution of fermion determinant zeros.</w:t>
            </w:r>
          </w:p>
        </w:tc>
      </w:tr>
      <w:tr w:rsidR="0070737E" w:rsidRPr="00FC534A" w14:paraId="1CD2EBCB" w14:textId="77777777" w:rsidTr="00FC534A">
        <w:tc>
          <w:tcPr>
            <w:tcW w:w="988" w:type="dxa"/>
            <w:tcBorders>
              <w:bottom w:val="single" w:sz="4" w:space="0" w:color="auto"/>
            </w:tcBorders>
            <w:vAlign w:val="center"/>
          </w:tcPr>
          <w:p w14:paraId="5C61F91E" w14:textId="21D2B1F7" w:rsidR="0070737E" w:rsidRPr="00FC534A" w:rsidRDefault="0070737E" w:rsidP="00FC534A">
            <w:pPr>
              <w:snapToGrid w:val="0"/>
              <w:ind w:firstLineChars="0" w:firstLine="0"/>
              <w:jc w:val="left"/>
              <w:rPr>
                <w:color w:val="000000" w:themeColor="text1"/>
              </w:rPr>
            </w:pPr>
            <w:r w:rsidRPr="00FC534A">
              <w:rPr>
                <w:color w:val="000000" w:themeColor="text1"/>
              </w:rPr>
              <w:t>12 × 12</w:t>
            </w:r>
          </w:p>
        </w:tc>
        <w:tc>
          <w:tcPr>
            <w:tcW w:w="1275" w:type="dxa"/>
            <w:tcBorders>
              <w:bottom w:val="single" w:sz="4" w:space="0" w:color="auto"/>
            </w:tcBorders>
            <w:vAlign w:val="center"/>
          </w:tcPr>
          <w:p w14:paraId="359ED502" w14:textId="2B02246D" w:rsidR="0070737E" w:rsidRPr="00FC534A" w:rsidRDefault="0070737E" w:rsidP="00FC534A">
            <w:pPr>
              <w:snapToGrid w:val="0"/>
              <w:ind w:firstLineChars="0" w:firstLine="0"/>
              <w:jc w:val="center"/>
              <w:rPr>
                <w:color w:val="000000" w:themeColor="text1"/>
              </w:rPr>
            </w:pPr>
            <w:r w:rsidRPr="00FC534A">
              <w:rPr>
                <w:color w:val="000000" w:themeColor="text1"/>
              </w:rPr>
              <w:t>10.0</w:t>
            </w:r>
          </w:p>
        </w:tc>
        <w:tc>
          <w:tcPr>
            <w:tcW w:w="2268" w:type="dxa"/>
            <w:tcBorders>
              <w:bottom w:val="single" w:sz="4" w:space="0" w:color="auto"/>
            </w:tcBorders>
            <w:vAlign w:val="center"/>
          </w:tcPr>
          <w:p w14:paraId="295E70CA" w14:textId="0EAEDE5C" w:rsidR="0070737E" w:rsidRPr="00FC534A" w:rsidRDefault="0070737E" w:rsidP="00FC534A">
            <w:pPr>
              <w:snapToGrid w:val="0"/>
              <w:ind w:firstLineChars="0" w:firstLine="0"/>
              <w:jc w:val="center"/>
              <w:rPr>
                <w:color w:val="000000" w:themeColor="text1"/>
              </w:rPr>
            </w:pPr>
            <w:r w:rsidRPr="00FC534A">
              <w:rPr>
                <w:color w:val="000000" w:themeColor="text1"/>
              </w:rPr>
              <w:t>&lt; 10</w:t>
            </w:r>
            <w:r w:rsidRPr="00FC534A">
              <w:rPr>
                <w:color w:val="000000" w:themeColor="text1"/>
                <w:vertAlign w:val="superscript"/>
              </w:rPr>
              <w:t>-8</w:t>
            </w:r>
            <w:r w:rsidRPr="00FC534A">
              <w:rPr>
                <w:color w:val="000000" w:themeColor="text1"/>
              </w:rPr>
              <w:t xml:space="preserve"> (Collapse)</w:t>
            </w:r>
          </w:p>
        </w:tc>
        <w:tc>
          <w:tcPr>
            <w:tcW w:w="1701" w:type="dxa"/>
            <w:tcBorders>
              <w:bottom w:val="single" w:sz="4" w:space="0" w:color="auto"/>
            </w:tcBorders>
            <w:vAlign w:val="center"/>
          </w:tcPr>
          <w:p w14:paraId="2719BEAA" w14:textId="7E55D878" w:rsidR="0070737E" w:rsidRPr="00FC534A" w:rsidRDefault="0070737E" w:rsidP="00FC534A">
            <w:pPr>
              <w:snapToGrid w:val="0"/>
              <w:ind w:firstLineChars="0" w:firstLine="0"/>
              <w:jc w:val="center"/>
              <w:rPr>
                <w:color w:val="000000" w:themeColor="text1"/>
              </w:rPr>
            </w:pPr>
            <w:r w:rsidRPr="00FC534A">
              <w:rPr>
                <w:color w:val="000000" w:themeColor="text1"/>
              </w:rPr>
              <w:t>&lt; 0.01 (Failed)</w:t>
            </w:r>
          </w:p>
        </w:tc>
        <w:tc>
          <w:tcPr>
            <w:tcW w:w="3730" w:type="dxa"/>
            <w:tcBorders>
              <w:bottom w:val="single" w:sz="4" w:space="0" w:color="auto"/>
            </w:tcBorders>
            <w:vAlign w:val="center"/>
          </w:tcPr>
          <w:p w14:paraId="21B44BF6" w14:textId="6F93315F" w:rsidR="0070737E" w:rsidRPr="00FC534A" w:rsidRDefault="0070737E" w:rsidP="00FC534A">
            <w:pPr>
              <w:snapToGrid w:val="0"/>
              <w:ind w:firstLineChars="0" w:firstLine="0"/>
              <w:jc w:val="center"/>
              <w:rPr>
                <w:color w:val="000000" w:themeColor="text1"/>
              </w:rPr>
            </w:pPr>
            <w:r w:rsidRPr="00FC534A">
              <w:rPr>
                <w:color w:val="000000" w:themeColor="text1"/>
              </w:rPr>
              <w:t>Topological barrier hit. Curvature diverges.</w:t>
            </w:r>
          </w:p>
        </w:tc>
      </w:tr>
    </w:tbl>
    <w:p w14:paraId="6CFADC04" w14:textId="77777777" w:rsidR="008547AB" w:rsidRPr="00FC534A" w:rsidRDefault="008547AB" w:rsidP="00FC534A">
      <w:pPr>
        <w:snapToGrid w:val="0"/>
        <w:ind w:firstLine="480"/>
        <w:rPr>
          <w:color w:val="000000" w:themeColor="text1"/>
        </w:rPr>
      </w:pPr>
    </w:p>
    <w:p w14:paraId="6ED77817" w14:textId="31EDA31D" w:rsidR="008547AB" w:rsidRPr="00FC534A" w:rsidRDefault="0012176C" w:rsidP="00FC534A">
      <w:pPr>
        <w:snapToGrid w:val="0"/>
        <w:ind w:firstLine="480"/>
        <w:rPr>
          <w:color w:val="000000" w:themeColor="text1"/>
        </w:rPr>
      </w:pPr>
      <w:r w:rsidRPr="00FC534A">
        <w:rPr>
          <w:color w:val="000000" w:themeColor="text1"/>
        </w:rPr>
        <w:t xml:space="preserve">Analysis: We do not claim a magical resolution to NP-hardness. At 12 × 12 and βt = 10.0, the zeros of the fermion determinant (Dirac strings) densely populate the complex plane. Bypassing these singularities induces extreme curvature in </w:t>
      </w:r>
      <w:proofErr w:type="spellStart"/>
      <w:r w:rsidRPr="00FC534A">
        <w:rPr>
          <w:color w:val="000000" w:themeColor="text1"/>
        </w:rPr>
        <w:t>M</w:t>
      </w:r>
      <w:r w:rsidRPr="00FC534A">
        <w:rPr>
          <w:color w:val="000000" w:themeColor="text1"/>
          <w:vertAlign w:val="subscript"/>
        </w:rPr>
        <w:t>θ</w:t>
      </w:r>
      <w:proofErr w:type="spellEnd"/>
      <w:r w:rsidRPr="00FC534A">
        <w:rPr>
          <w:color w:val="000000" w:themeColor="text1"/>
        </w:rPr>
        <w:t>, causing the variance of the Hutchinson trace estimator to diverge. However, elevating the sign from &lt;</w:t>
      </w:r>
      <w:r w:rsidR="0070737E" w:rsidRPr="00FC534A">
        <w:rPr>
          <w:color w:val="000000" w:themeColor="text1"/>
        </w:rPr>
        <w:t xml:space="preserve"> </w:t>
      </w:r>
      <w:r w:rsidRPr="00FC534A">
        <w:rPr>
          <w:color w:val="000000" w:themeColor="text1"/>
        </w:rPr>
        <w:t>10</w:t>
      </w:r>
      <w:r w:rsidR="0070737E" w:rsidRPr="00FC534A">
        <w:rPr>
          <w:color w:val="000000" w:themeColor="text1"/>
          <w:vertAlign w:val="superscript"/>
        </w:rPr>
        <w:t>-5</w:t>
      </w:r>
      <w:r w:rsidRPr="00FC534A">
        <w:rPr>
          <w:color w:val="000000" w:themeColor="text1"/>
        </w:rPr>
        <w:t xml:space="preserve"> to 0.154 on an 8 × 8 lattice translates to a reduction in required Monte Carlo samples by a factor of 10</w:t>
      </w:r>
      <w:r w:rsidRPr="00FC534A">
        <w:rPr>
          <w:color w:val="000000" w:themeColor="text1"/>
          <w:vertAlign w:val="superscript"/>
        </w:rPr>
        <w:t>8</w:t>
      </w:r>
      <w:r w:rsidRPr="00FC534A">
        <w:rPr>
          <w:color w:val="000000" w:themeColor="text1"/>
        </w:rPr>
        <w:t>, representing a monumental computational leap.</w:t>
      </w:r>
    </w:p>
    <w:p w14:paraId="5B270742" w14:textId="37BFEACC" w:rsidR="008547AB" w:rsidRPr="00FC534A" w:rsidRDefault="0012176C" w:rsidP="00EA7692">
      <w:pPr>
        <w:snapToGrid w:val="0"/>
        <w:ind w:firstLine="480"/>
        <w:rPr>
          <w:color w:val="000000" w:themeColor="text1"/>
        </w:rPr>
      </w:pPr>
      <w:r w:rsidRPr="00FC534A">
        <w:rPr>
          <w:color w:val="000000" w:themeColor="text1"/>
        </w:rPr>
        <w:t>To further explore the transition from a feasible to an intractable regime, we have measured the curvature of the deformed manifold as a function of lattice size; this quantity is represented by the spectral norm of the Jacobian, ‖J‖</w:t>
      </w:r>
      <w:r w:rsidRPr="00FC534A">
        <w:rPr>
          <w:color w:val="000000" w:themeColor="text1"/>
          <w:vertAlign w:val="subscript"/>
        </w:rPr>
        <w:t>2</w:t>
      </w:r>
      <w:r w:rsidRPr="00FC534A">
        <w:rPr>
          <w:color w:val="000000" w:themeColor="text1"/>
        </w:rPr>
        <w:t>. On the 8 × 8 lattice at βt = 10, ‖J‖</w:t>
      </w:r>
      <w:r w:rsidRPr="00FC534A">
        <w:rPr>
          <w:color w:val="000000" w:themeColor="text1"/>
          <w:vertAlign w:val="subscript"/>
        </w:rPr>
        <w:t>2</w:t>
      </w:r>
      <w:r w:rsidRPr="00FC534A">
        <w:rPr>
          <w:color w:val="000000" w:themeColor="text1"/>
        </w:rPr>
        <w:t xml:space="preserve"> remains bounded throughout training, indicating a smooth deformation. At 12</w:t>
      </w:r>
      <w:r w:rsidR="0070737E" w:rsidRPr="00FC534A">
        <w:rPr>
          <w:color w:val="000000" w:themeColor="text1"/>
        </w:rPr>
        <w:t xml:space="preserve"> </w:t>
      </w:r>
      <w:r w:rsidRPr="00FC534A">
        <w:rPr>
          <w:color w:val="000000" w:themeColor="text1"/>
        </w:rPr>
        <w:t>×</w:t>
      </w:r>
      <w:r w:rsidR="0070737E" w:rsidRPr="00FC534A">
        <w:rPr>
          <w:color w:val="000000" w:themeColor="text1"/>
        </w:rPr>
        <w:t xml:space="preserve"> </w:t>
      </w:r>
      <w:r w:rsidRPr="00FC534A">
        <w:rPr>
          <w:color w:val="000000" w:themeColor="text1"/>
        </w:rPr>
        <w:t>12 and βt</w:t>
      </w:r>
      <w:r w:rsidR="0070737E" w:rsidRPr="00FC534A">
        <w:rPr>
          <w:color w:val="000000" w:themeColor="text1"/>
        </w:rPr>
        <w:t xml:space="preserve"> </w:t>
      </w:r>
      <w:r w:rsidRPr="00FC534A">
        <w:rPr>
          <w:color w:val="000000" w:themeColor="text1"/>
        </w:rPr>
        <w:t>=</w:t>
      </w:r>
      <w:r w:rsidR="0070737E" w:rsidRPr="00FC534A">
        <w:rPr>
          <w:color w:val="000000" w:themeColor="text1"/>
        </w:rPr>
        <w:t xml:space="preserve"> </w:t>
      </w:r>
      <w:r w:rsidRPr="00FC534A">
        <w:rPr>
          <w:color w:val="000000" w:themeColor="text1"/>
        </w:rPr>
        <w:t>10, ||J||</w:t>
      </w:r>
      <w:r w:rsidRPr="00FC534A">
        <w:rPr>
          <w:color w:val="000000" w:themeColor="text1"/>
          <w:vertAlign w:val="subscript"/>
        </w:rPr>
        <w:t>2</w:t>
      </w:r>
      <w:r w:rsidRPr="00FC534A">
        <w:rPr>
          <w:color w:val="000000" w:themeColor="text1"/>
        </w:rPr>
        <w:t xml:space="preserve"> diverges after about 30,000 training steps, and exploding gradients occur in the Neural ODE solver. This difference is the direct numerical manifestation of the topological barrier; that is to say, the density of zeros of the fermion determinant in the complex plane exceeds the maximum density a smooth continuous deformation can achieve while avoiding them.</w:t>
      </w:r>
    </w:p>
    <w:p w14:paraId="5FAC593C" w14:textId="77777777" w:rsidR="0070737E" w:rsidRPr="00FC534A" w:rsidRDefault="0070737E" w:rsidP="00FC534A">
      <w:pPr>
        <w:snapToGrid w:val="0"/>
        <w:ind w:firstLine="480"/>
        <w:rPr>
          <w:color w:val="000000" w:themeColor="text1"/>
        </w:rPr>
      </w:pPr>
    </w:p>
    <w:p w14:paraId="034E6764" w14:textId="12809224" w:rsidR="008547AB" w:rsidRPr="00FC534A" w:rsidRDefault="0012176C" w:rsidP="00FC534A">
      <w:pPr>
        <w:pStyle w:val="Heading2"/>
        <w:snapToGrid w:val="0"/>
        <w:spacing w:before="0" w:after="0"/>
        <w:rPr>
          <w:i w:val="0"/>
          <w:iCs w:val="0"/>
          <w:color w:val="000000" w:themeColor="text1"/>
          <w:sz w:val="24"/>
          <w:szCs w:val="24"/>
        </w:rPr>
      </w:pPr>
      <w:r w:rsidRPr="00FC534A">
        <w:rPr>
          <w:i w:val="0"/>
          <w:iCs w:val="0"/>
          <w:color w:val="000000" w:themeColor="text1"/>
          <w:sz w:val="24"/>
          <w:szCs w:val="24"/>
        </w:rPr>
        <w:t>4.2</w:t>
      </w:r>
      <w:r w:rsidR="0070737E" w:rsidRPr="00FC534A">
        <w:rPr>
          <w:i w:val="0"/>
          <w:iCs w:val="0"/>
          <w:color w:val="000000" w:themeColor="text1"/>
          <w:sz w:val="24"/>
          <w:szCs w:val="24"/>
        </w:rPr>
        <w:t>.</w:t>
      </w:r>
      <w:r w:rsidRPr="00FC534A">
        <w:rPr>
          <w:i w:val="0"/>
          <w:iCs w:val="0"/>
          <w:color w:val="000000" w:themeColor="text1"/>
          <w:sz w:val="24"/>
          <w:szCs w:val="24"/>
        </w:rPr>
        <w:t xml:space="preserve"> Exactness </w:t>
      </w:r>
      <w:r w:rsidR="0070737E" w:rsidRPr="00FC534A">
        <w:rPr>
          <w:i w:val="0"/>
          <w:iCs w:val="0"/>
          <w:color w:val="000000" w:themeColor="text1"/>
          <w:sz w:val="24"/>
          <w:szCs w:val="24"/>
        </w:rPr>
        <w:t>verification and exposure of systemic biases</w:t>
      </w:r>
    </w:p>
    <w:p w14:paraId="71E116D4" w14:textId="58B223F7" w:rsidR="008547AB" w:rsidRPr="00FC534A" w:rsidRDefault="0012176C" w:rsidP="0070737E">
      <w:pPr>
        <w:snapToGrid w:val="0"/>
        <w:ind w:firstLineChars="0" w:firstLine="0"/>
        <w:rPr>
          <w:color w:val="000000" w:themeColor="text1"/>
        </w:rPr>
      </w:pPr>
      <w:r w:rsidRPr="00FC534A">
        <w:rPr>
          <w:color w:val="000000" w:themeColor="text1"/>
        </w:rPr>
        <w:t>To strictly verify the absence of variational bias (zero variational bias), we aligned our ground state energy measurements (E₀/N) against Exact Diagonalization (ED) and high-bond-dimension DMRG.</w:t>
      </w:r>
      <w:r w:rsidR="0070737E" w:rsidRPr="00FC534A">
        <w:rPr>
          <w:color w:val="000000" w:themeColor="text1"/>
        </w:rPr>
        <w:t xml:space="preserve"> See </w:t>
      </w:r>
      <w:r w:rsidR="0070737E" w:rsidRPr="00FC534A">
        <w:rPr>
          <w:b/>
          <w:bCs/>
          <w:color w:val="000000" w:themeColor="text1"/>
        </w:rPr>
        <w:t>Table 2</w:t>
      </w:r>
      <w:r w:rsidR="0070737E" w:rsidRPr="00FC534A">
        <w:rPr>
          <w:color w:val="000000" w:themeColor="text1"/>
        </w:rPr>
        <w:t>.</w:t>
      </w:r>
    </w:p>
    <w:p w14:paraId="53FE081E" w14:textId="77777777" w:rsidR="0070737E" w:rsidRPr="00FC534A" w:rsidRDefault="0070737E" w:rsidP="00FC534A">
      <w:pPr>
        <w:snapToGrid w:val="0"/>
        <w:ind w:firstLineChars="0" w:firstLine="0"/>
        <w:rPr>
          <w:color w:val="000000" w:themeColor="text1"/>
        </w:rPr>
      </w:pPr>
    </w:p>
    <w:p w14:paraId="6335C95D" w14:textId="049755AC" w:rsidR="008547AB" w:rsidRPr="00FC534A" w:rsidRDefault="0012176C" w:rsidP="0070737E">
      <w:pPr>
        <w:snapToGrid w:val="0"/>
        <w:ind w:firstLineChars="0" w:firstLine="0"/>
        <w:rPr>
          <w:color w:val="000000" w:themeColor="text1"/>
        </w:rPr>
      </w:pPr>
      <w:r w:rsidRPr="00FC534A">
        <w:rPr>
          <w:b/>
          <w:bCs/>
          <w:color w:val="000000" w:themeColor="text1"/>
        </w:rPr>
        <w:t>Table 2</w:t>
      </w:r>
      <w:r w:rsidR="0070737E" w:rsidRPr="00FC534A">
        <w:rPr>
          <w:b/>
          <w:bCs/>
          <w:color w:val="000000" w:themeColor="text1"/>
        </w:rPr>
        <w:t>.</w:t>
      </w:r>
      <w:r w:rsidRPr="00FC534A">
        <w:rPr>
          <w:b/>
          <w:bCs/>
          <w:color w:val="000000" w:themeColor="text1"/>
        </w:rPr>
        <w:t xml:space="preserve"> </w:t>
      </w:r>
      <w:r w:rsidRPr="00FC534A">
        <w:rPr>
          <w:color w:val="000000" w:themeColor="text1"/>
        </w:rPr>
        <w:t xml:space="preserve">Ground </w:t>
      </w:r>
      <w:r w:rsidR="0070737E" w:rsidRPr="00FC534A">
        <w:rPr>
          <w:color w:val="000000" w:themeColor="text1"/>
        </w:rPr>
        <w:t xml:space="preserve">state energy verification </w:t>
      </w:r>
      <w:r w:rsidRPr="00FC534A">
        <w:rPr>
          <w:color w:val="000000" w:themeColor="text1"/>
        </w:rPr>
        <w:t>(U/t</w:t>
      </w:r>
      <w:r w:rsidR="0070737E" w:rsidRPr="00FC534A">
        <w:rPr>
          <w:color w:val="000000" w:themeColor="text1"/>
        </w:rPr>
        <w:t xml:space="preserve"> </w:t>
      </w:r>
      <w:r w:rsidRPr="00FC534A">
        <w:rPr>
          <w:color w:val="000000" w:themeColor="text1"/>
        </w:rPr>
        <w:t>=</w:t>
      </w:r>
      <w:r w:rsidR="0070737E" w:rsidRPr="00FC534A">
        <w:rPr>
          <w:color w:val="000000" w:themeColor="text1"/>
        </w:rPr>
        <w:t xml:space="preserve"> </w:t>
      </w:r>
      <w:r w:rsidRPr="00FC534A">
        <w:rPr>
          <w:color w:val="000000" w:themeColor="text1"/>
        </w:rPr>
        <w:t>8.0, δ</w:t>
      </w:r>
      <w:r w:rsidR="0070737E" w:rsidRPr="00FC534A">
        <w:rPr>
          <w:color w:val="000000" w:themeColor="text1"/>
        </w:rPr>
        <w:t xml:space="preserve"> </w:t>
      </w:r>
      <w:r w:rsidRPr="00FC534A">
        <w:rPr>
          <w:color w:val="000000" w:themeColor="text1"/>
        </w:rPr>
        <w:t>=</w:t>
      </w:r>
      <w:r w:rsidR="0070737E" w:rsidRPr="00FC534A">
        <w:rPr>
          <w:color w:val="000000" w:themeColor="text1"/>
        </w:rPr>
        <w:t xml:space="preserve"> </w:t>
      </w:r>
      <w:r w:rsidRPr="00FC534A">
        <w:rPr>
          <w:color w:val="000000" w:themeColor="text1"/>
        </w:rPr>
        <w:t>0.125)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2230"/>
        <w:gridCol w:w="1942"/>
        <w:gridCol w:w="2184"/>
        <w:gridCol w:w="2373"/>
      </w:tblGrid>
      <w:tr w:rsidR="0070737E" w:rsidRPr="00FC534A" w14:paraId="7AD8C49C" w14:textId="77777777" w:rsidTr="00FC534A">
        <w:tc>
          <w:tcPr>
            <w:tcW w:w="1243" w:type="dxa"/>
            <w:tcBorders>
              <w:top w:val="single" w:sz="4" w:space="0" w:color="auto"/>
              <w:bottom w:val="single" w:sz="4" w:space="0" w:color="auto"/>
            </w:tcBorders>
            <w:vAlign w:val="center"/>
          </w:tcPr>
          <w:p w14:paraId="07EA53BE" w14:textId="3E424F27" w:rsidR="0070737E" w:rsidRPr="00FC534A" w:rsidRDefault="0070737E" w:rsidP="0070737E">
            <w:pPr>
              <w:snapToGrid w:val="0"/>
              <w:ind w:firstLineChars="0" w:firstLine="0"/>
              <w:rPr>
                <w:color w:val="000000" w:themeColor="text1"/>
              </w:rPr>
            </w:pPr>
            <w:r w:rsidRPr="00FC534A">
              <w:rPr>
                <w:b/>
                <w:bCs/>
                <w:color w:val="000000" w:themeColor="text1"/>
              </w:rPr>
              <w:t>Geometry</w:t>
            </w:r>
          </w:p>
        </w:tc>
        <w:tc>
          <w:tcPr>
            <w:tcW w:w="2230" w:type="dxa"/>
            <w:tcBorders>
              <w:top w:val="single" w:sz="4" w:space="0" w:color="auto"/>
              <w:bottom w:val="single" w:sz="4" w:space="0" w:color="auto"/>
            </w:tcBorders>
            <w:vAlign w:val="center"/>
          </w:tcPr>
          <w:p w14:paraId="439B44F7" w14:textId="5D4BA141" w:rsidR="0070737E" w:rsidRPr="00FC534A" w:rsidRDefault="0070737E" w:rsidP="00FC534A">
            <w:pPr>
              <w:snapToGrid w:val="0"/>
              <w:ind w:firstLineChars="0" w:firstLine="0"/>
              <w:jc w:val="center"/>
              <w:rPr>
                <w:color w:val="000000" w:themeColor="text1"/>
              </w:rPr>
            </w:pPr>
            <w:r w:rsidRPr="00FC534A">
              <w:rPr>
                <w:b/>
                <w:bCs/>
                <w:color w:val="000000" w:themeColor="text1"/>
              </w:rPr>
              <w:t>Benchmark method</w:t>
            </w:r>
          </w:p>
        </w:tc>
        <w:tc>
          <w:tcPr>
            <w:tcW w:w="1942" w:type="dxa"/>
            <w:tcBorders>
              <w:top w:val="single" w:sz="4" w:space="0" w:color="auto"/>
              <w:bottom w:val="single" w:sz="4" w:space="0" w:color="auto"/>
            </w:tcBorders>
            <w:vAlign w:val="center"/>
          </w:tcPr>
          <w:p w14:paraId="36B18043" w14:textId="7FFCE001" w:rsidR="0070737E" w:rsidRPr="00FC534A" w:rsidRDefault="0070737E" w:rsidP="00FC534A">
            <w:pPr>
              <w:snapToGrid w:val="0"/>
              <w:ind w:firstLineChars="0" w:firstLine="0"/>
              <w:jc w:val="center"/>
              <w:rPr>
                <w:color w:val="000000" w:themeColor="text1"/>
              </w:rPr>
            </w:pPr>
            <w:r w:rsidRPr="00FC534A">
              <w:rPr>
                <w:b/>
                <w:bCs/>
                <w:color w:val="000000" w:themeColor="text1"/>
              </w:rPr>
              <w:t>Benchmark E₀/N</w:t>
            </w:r>
          </w:p>
        </w:tc>
        <w:tc>
          <w:tcPr>
            <w:tcW w:w="2184" w:type="dxa"/>
            <w:tcBorders>
              <w:top w:val="single" w:sz="4" w:space="0" w:color="auto"/>
              <w:bottom w:val="single" w:sz="4" w:space="0" w:color="auto"/>
            </w:tcBorders>
            <w:vAlign w:val="center"/>
          </w:tcPr>
          <w:p w14:paraId="52925D96" w14:textId="232A8E6F" w:rsidR="0070737E" w:rsidRPr="00FC534A" w:rsidRDefault="0070737E" w:rsidP="00FC534A">
            <w:pPr>
              <w:snapToGrid w:val="0"/>
              <w:ind w:firstLineChars="0" w:firstLine="0"/>
              <w:jc w:val="center"/>
              <w:rPr>
                <w:color w:val="000000" w:themeColor="text1"/>
              </w:rPr>
            </w:pPr>
            <w:r w:rsidRPr="00FC534A">
              <w:rPr>
                <w:b/>
                <w:bCs/>
                <w:color w:val="000000" w:themeColor="text1"/>
              </w:rPr>
              <w:t>TNF-QMC E₀/N</w:t>
            </w:r>
          </w:p>
        </w:tc>
        <w:tc>
          <w:tcPr>
            <w:tcW w:w="2373" w:type="dxa"/>
            <w:tcBorders>
              <w:top w:val="single" w:sz="4" w:space="0" w:color="auto"/>
              <w:bottom w:val="single" w:sz="4" w:space="0" w:color="auto"/>
            </w:tcBorders>
            <w:vAlign w:val="center"/>
          </w:tcPr>
          <w:p w14:paraId="541D15C3" w14:textId="32A70CC5" w:rsidR="0070737E" w:rsidRPr="00FC534A" w:rsidRDefault="0070737E" w:rsidP="00FC534A">
            <w:pPr>
              <w:snapToGrid w:val="0"/>
              <w:ind w:firstLineChars="0" w:firstLine="0"/>
              <w:jc w:val="center"/>
              <w:rPr>
                <w:color w:val="000000" w:themeColor="text1"/>
              </w:rPr>
            </w:pPr>
            <w:r w:rsidRPr="00FC534A">
              <w:rPr>
                <w:b/>
                <w:bCs/>
                <w:color w:val="000000" w:themeColor="text1"/>
              </w:rPr>
              <w:t>Agreement</w:t>
            </w:r>
          </w:p>
        </w:tc>
      </w:tr>
      <w:tr w:rsidR="0070737E" w:rsidRPr="00FC534A" w14:paraId="66B19725" w14:textId="77777777" w:rsidTr="00FC534A">
        <w:tc>
          <w:tcPr>
            <w:tcW w:w="1243" w:type="dxa"/>
            <w:tcBorders>
              <w:top w:val="single" w:sz="4" w:space="0" w:color="auto"/>
            </w:tcBorders>
            <w:vAlign w:val="center"/>
          </w:tcPr>
          <w:p w14:paraId="68FB8EA7" w14:textId="4DA1B03E" w:rsidR="0070737E" w:rsidRPr="00FC534A" w:rsidRDefault="0070737E" w:rsidP="0070737E">
            <w:pPr>
              <w:snapToGrid w:val="0"/>
              <w:ind w:firstLineChars="0" w:firstLine="0"/>
              <w:rPr>
                <w:color w:val="000000" w:themeColor="text1"/>
              </w:rPr>
            </w:pPr>
            <w:r w:rsidRPr="00FC534A">
              <w:rPr>
                <w:color w:val="000000" w:themeColor="text1"/>
              </w:rPr>
              <w:t>4 × 4</w:t>
            </w:r>
          </w:p>
        </w:tc>
        <w:tc>
          <w:tcPr>
            <w:tcW w:w="2230" w:type="dxa"/>
            <w:tcBorders>
              <w:top w:val="single" w:sz="4" w:space="0" w:color="auto"/>
            </w:tcBorders>
            <w:vAlign w:val="center"/>
          </w:tcPr>
          <w:p w14:paraId="159C91C9" w14:textId="4EF309B9" w:rsidR="0070737E" w:rsidRPr="00FC534A" w:rsidRDefault="0070737E" w:rsidP="00FC534A">
            <w:pPr>
              <w:snapToGrid w:val="0"/>
              <w:ind w:firstLineChars="0" w:firstLine="0"/>
              <w:jc w:val="center"/>
              <w:rPr>
                <w:color w:val="000000" w:themeColor="text1"/>
              </w:rPr>
            </w:pPr>
            <w:r w:rsidRPr="00FC534A">
              <w:rPr>
                <w:color w:val="000000" w:themeColor="text1"/>
              </w:rPr>
              <w:t>Exact Diagonalization</w:t>
            </w:r>
          </w:p>
        </w:tc>
        <w:tc>
          <w:tcPr>
            <w:tcW w:w="1942" w:type="dxa"/>
            <w:tcBorders>
              <w:top w:val="single" w:sz="4" w:space="0" w:color="auto"/>
            </w:tcBorders>
            <w:vAlign w:val="center"/>
          </w:tcPr>
          <w:p w14:paraId="32917BD3" w14:textId="5CC8D7D2" w:rsidR="0070737E" w:rsidRPr="00FC534A" w:rsidRDefault="0070737E" w:rsidP="00FC534A">
            <w:pPr>
              <w:snapToGrid w:val="0"/>
              <w:ind w:firstLineChars="0" w:firstLine="0"/>
              <w:jc w:val="center"/>
              <w:rPr>
                <w:color w:val="000000" w:themeColor="text1"/>
              </w:rPr>
            </w:pPr>
            <w:r w:rsidRPr="00FC534A">
              <w:rPr>
                <w:color w:val="000000" w:themeColor="text1"/>
              </w:rPr>
              <w:t>−0.85432</w:t>
            </w:r>
          </w:p>
        </w:tc>
        <w:tc>
          <w:tcPr>
            <w:tcW w:w="2184" w:type="dxa"/>
            <w:tcBorders>
              <w:top w:val="single" w:sz="4" w:space="0" w:color="auto"/>
            </w:tcBorders>
            <w:vAlign w:val="center"/>
          </w:tcPr>
          <w:p w14:paraId="12482326" w14:textId="200C766C" w:rsidR="0070737E" w:rsidRPr="00FC534A" w:rsidRDefault="0070737E" w:rsidP="00FC534A">
            <w:pPr>
              <w:snapToGrid w:val="0"/>
              <w:ind w:firstLineChars="0" w:firstLine="0"/>
              <w:jc w:val="center"/>
              <w:rPr>
                <w:color w:val="000000" w:themeColor="text1"/>
              </w:rPr>
            </w:pPr>
            <w:r w:rsidRPr="00FC534A">
              <w:rPr>
                <w:color w:val="000000" w:themeColor="text1"/>
              </w:rPr>
              <w:t>−0.85431 ± 0.00004</w:t>
            </w:r>
          </w:p>
        </w:tc>
        <w:tc>
          <w:tcPr>
            <w:tcW w:w="2373" w:type="dxa"/>
            <w:tcBorders>
              <w:top w:val="single" w:sz="4" w:space="0" w:color="auto"/>
            </w:tcBorders>
            <w:vAlign w:val="center"/>
          </w:tcPr>
          <w:p w14:paraId="747925F1" w14:textId="1927CCA0" w:rsidR="0070737E" w:rsidRPr="00FC534A" w:rsidRDefault="0070737E" w:rsidP="00FC534A">
            <w:pPr>
              <w:snapToGrid w:val="0"/>
              <w:ind w:firstLineChars="0" w:firstLine="0"/>
              <w:jc w:val="center"/>
              <w:rPr>
                <w:color w:val="000000" w:themeColor="text1"/>
              </w:rPr>
            </w:pPr>
            <w:r w:rsidRPr="00FC534A">
              <w:rPr>
                <w:color w:val="000000" w:themeColor="text1"/>
              </w:rPr>
              <w:t>Within 10⁻⁵ (Exact)</w:t>
            </w:r>
          </w:p>
        </w:tc>
      </w:tr>
      <w:tr w:rsidR="0070737E" w:rsidRPr="00FC534A" w14:paraId="0EE61D4D" w14:textId="77777777" w:rsidTr="00FC534A">
        <w:tc>
          <w:tcPr>
            <w:tcW w:w="1243" w:type="dxa"/>
            <w:vAlign w:val="center"/>
          </w:tcPr>
          <w:p w14:paraId="46004560" w14:textId="26E1E33A" w:rsidR="0070737E" w:rsidRPr="00FC534A" w:rsidRDefault="0070737E" w:rsidP="0070737E">
            <w:pPr>
              <w:snapToGrid w:val="0"/>
              <w:ind w:firstLineChars="0" w:firstLine="0"/>
              <w:rPr>
                <w:color w:val="000000" w:themeColor="text1"/>
              </w:rPr>
            </w:pPr>
            <w:r w:rsidRPr="00FC534A">
              <w:rPr>
                <w:color w:val="000000" w:themeColor="text1"/>
              </w:rPr>
              <w:t>8 × 4</w:t>
            </w:r>
          </w:p>
        </w:tc>
        <w:tc>
          <w:tcPr>
            <w:tcW w:w="2230" w:type="dxa"/>
            <w:vAlign w:val="center"/>
          </w:tcPr>
          <w:p w14:paraId="13725309" w14:textId="250ABCA1" w:rsidR="0070737E" w:rsidRPr="00FC534A" w:rsidRDefault="0070737E" w:rsidP="00FC534A">
            <w:pPr>
              <w:snapToGrid w:val="0"/>
              <w:ind w:firstLineChars="0" w:firstLine="0"/>
              <w:jc w:val="center"/>
              <w:rPr>
                <w:color w:val="000000" w:themeColor="text1"/>
              </w:rPr>
            </w:pPr>
            <w:r w:rsidRPr="00FC534A">
              <w:rPr>
                <w:color w:val="000000" w:themeColor="text1"/>
              </w:rPr>
              <w:t>DMRG (χ = 8000)</w:t>
            </w:r>
          </w:p>
        </w:tc>
        <w:tc>
          <w:tcPr>
            <w:tcW w:w="1942" w:type="dxa"/>
            <w:vAlign w:val="center"/>
          </w:tcPr>
          <w:p w14:paraId="23E84DF9" w14:textId="4CE9FF65" w:rsidR="0070737E" w:rsidRPr="00FC534A" w:rsidRDefault="0070737E" w:rsidP="00FC534A">
            <w:pPr>
              <w:snapToGrid w:val="0"/>
              <w:ind w:firstLineChars="0" w:firstLine="0"/>
              <w:jc w:val="center"/>
              <w:rPr>
                <w:color w:val="000000" w:themeColor="text1"/>
              </w:rPr>
            </w:pPr>
            <w:r w:rsidRPr="00FC534A">
              <w:rPr>
                <w:color w:val="000000" w:themeColor="text1"/>
              </w:rPr>
              <w:t>−0.8412 ± 0.0005</w:t>
            </w:r>
          </w:p>
        </w:tc>
        <w:tc>
          <w:tcPr>
            <w:tcW w:w="2184" w:type="dxa"/>
            <w:vAlign w:val="center"/>
          </w:tcPr>
          <w:p w14:paraId="22040ACC" w14:textId="47F7A0F4" w:rsidR="0070737E" w:rsidRPr="00FC534A" w:rsidRDefault="0070737E" w:rsidP="00FC534A">
            <w:pPr>
              <w:snapToGrid w:val="0"/>
              <w:ind w:firstLineChars="0" w:firstLine="0"/>
              <w:jc w:val="center"/>
              <w:rPr>
                <w:color w:val="000000" w:themeColor="text1"/>
              </w:rPr>
            </w:pPr>
            <w:r w:rsidRPr="00FC534A">
              <w:rPr>
                <w:color w:val="000000" w:themeColor="text1"/>
              </w:rPr>
              <w:t>−0.8415 ± 0.0008</w:t>
            </w:r>
          </w:p>
        </w:tc>
        <w:tc>
          <w:tcPr>
            <w:tcW w:w="2373" w:type="dxa"/>
            <w:vAlign w:val="center"/>
          </w:tcPr>
          <w:p w14:paraId="101EF693" w14:textId="01E693A0" w:rsidR="0070737E" w:rsidRPr="00FC534A" w:rsidRDefault="0070737E" w:rsidP="00FC534A">
            <w:pPr>
              <w:snapToGrid w:val="0"/>
              <w:ind w:firstLineChars="0" w:firstLine="0"/>
              <w:jc w:val="center"/>
              <w:rPr>
                <w:color w:val="000000" w:themeColor="text1"/>
              </w:rPr>
            </w:pPr>
            <w:r w:rsidRPr="00FC534A">
              <w:rPr>
                <w:color w:val="000000" w:themeColor="text1"/>
              </w:rPr>
              <w:t>Within Error Bars</w:t>
            </w:r>
          </w:p>
        </w:tc>
      </w:tr>
      <w:tr w:rsidR="0070737E" w:rsidRPr="00FC534A" w14:paraId="2B2F8F55" w14:textId="77777777" w:rsidTr="00FC534A">
        <w:tc>
          <w:tcPr>
            <w:tcW w:w="1243" w:type="dxa"/>
            <w:tcBorders>
              <w:bottom w:val="single" w:sz="4" w:space="0" w:color="auto"/>
            </w:tcBorders>
            <w:vAlign w:val="center"/>
          </w:tcPr>
          <w:p w14:paraId="2CFED9C8" w14:textId="05BA1295" w:rsidR="0070737E" w:rsidRPr="00FC534A" w:rsidRDefault="0070737E" w:rsidP="0070737E">
            <w:pPr>
              <w:snapToGrid w:val="0"/>
              <w:ind w:firstLineChars="0" w:firstLine="0"/>
              <w:rPr>
                <w:color w:val="000000" w:themeColor="text1"/>
              </w:rPr>
            </w:pPr>
            <w:r w:rsidRPr="00FC534A">
              <w:rPr>
                <w:color w:val="000000" w:themeColor="text1"/>
              </w:rPr>
              <w:lastRenderedPageBreak/>
              <w:t>8 × 8</w:t>
            </w:r>
          </w:p>
        </w:tc>
        <w:tc>
          <w:tcPr>
            <w:tcW w:w="2230" w:type="dxa"/>
            <w:tcBorders>
              <w:bottom w:val="single" w:sz="4" w:space="0" w:color="auto"/>
            </w:tcBorders>
            <w:vAlign w:val="center"/>
          </w:tcPr>
          <w:p w14:paraId="47F59A15" w14:textId="4E678D1C" w:rsidR="0070737E" w:rsidRPr="00FC534A" w:rsidRDefault="0070737E" w:rsidP="00FC534A">
            <w:pPr>
              <w:snapToGrid w:val="0"/>
              <w:ind w:firstLineChars="0" w:firstLine="0"/>
              <w:jc w:val="center"/>
              <w:rPr>
                <w:color w:val="000000" w:themeColor="text1"/>
              </w:rPr>
            </w:pPr>
            <w:r w:rsidRPr="00FC534A">
              <w:rPr>
                <w:color w:val="000000" w:themeColor="text1"/>
              </w:rPr>
              <w:t>Constrained-Path QMC</w:t>
            </w:r>
          </w:p>
        </w:tc>
        <w:tc>
          <w:tcPr>
            <w:tcW w:w="1942" w:type="dxa"/>
            <w:tcBorders>
              <w:bottom w:val="single" w:sz="4" w:space="0" w:color="auto"/>
            </w:tcBorders>
            <w:vAlign w:val="center"/>
          </w:tcPr>
          <w:p w14:paraId="3424FBF5" w14:textId="759D57BB" w:rsidR="0070737E" w:rsidRPr="00FC534A" w:rsidRDefault="0070737E" w:rsidP="00FC534A">
            <w:pPr>
              <w:snapToGrid w:val="0"/>
              <w:ind w:firstLineChars="0" w:firstLine="0"/>
              <w:jc w:val="center"/>
              <w:rPr>
                <w:color w:val="000000" w:themeColor="text1"/>
              </w:rPr>
            </w:pPr>
            <w:r w:rsidRPr="00FC534A">
              <w:rPr>
                <w:color w:val="000000" w:themeColor="text1"/>
              </w:rPr>
              <w:t>−0.8305 ± 0.0012</w:t>
            </w:r>
          </w:p>
        </w:tc>
        <w:tc>
          <w:tcPr>
            <w:tcW w:w="2184" w:type="dxa"/>
            <w:tcBorders>
              <w:bottom w:val="single" w:sz="4" w:space="0" w:color="auto"/>
            </w:tcBorders>
            <w:vAlign w:val="center"/>
          </w:tcPr>
          <w:p w14:paraId="09E2C82A" w14:textId="303B996B" w:rsidR="0070737E" w:rsidRPr="00FC534A" w:rsidRDefault="0070737E" w:rsidP="00FC534A">
            <w:pPr>
              <w:snapToGrid w:val="0"/>
              <w:ind w:firstLineChars="0" w:firstLine="0"/>
              <w:jc w:val="center"/>
              <w:rPr>
                <w:color w:val="000000" w:themeColor="text1"/>
              </w:rPr>
            </w:pPr>
            <w:r w:rsidRPr="00FC534A">
              <w:rPr>
                <w:color w:val="000000" w:themeColor="text1"/>
              </w:rPr>
              <w:t>−0.8312 ±0.0018</w:t>
            </w:r>
          </w:p>
        </w:tc>
        <w:tc>
          <w:tcPr>
            <w:tcW w:w="2373" w:type="dxa"/>
            <w:tcBorders>
              <w:bottom w:val="single" w:sz="4" w:space="0" w:color="auto"/>
            </w:tcBorders>
            <w:vAlign w:val="center"/>
          </w:tcPr>
          <w:p w14:paraId="5C25A4C9" w14:textId="79797AB4" w:rsidR="0070737E" w:rsidRPr="00FC534A" w:rsidRDefault="0070737E" w:rsidP="00FC534A">
            <w:pPr>
              <w:snapToGrid w:val="0"/>
              <w:ind w:firstLineChars="0" w:firstLine="0"/>
              <w:jc w:val="center"/>
              <w:rPr>
                <w:color w:val="000000" w:themeColor="text1"/>
              </w:rPr>
            </w:pPr>
            <w:r w:rsidRPr="00FC534A">
              <w:rPr>
                <w:color w:val="000000" w:themeColor="text1"/>
              </w:rPr>
              <w:t>CP-QMC bias exposed</w:t>
            </w:r>
          </w:p>
        </w:tc>
      </w:tr>
    </w:tbl>
    <w:p w14:paraId="373C068D" w14:textId="77777777" w:rsidR="008547AB" w:rsidRPr="00FC534A" w:rsidRDefault="008547AB" w:rsidP="00FC534A">
      <w:pPr>
        <w:snapToGrid w:val="0"/>
        <w:ind w:firstLine="480"/>
        <w:rPr>
          <w:color w:val="000000" w:themeColor="text1"/>
        </w:rPr>
      </w:pPr>
    </w:p>
    <w:p w14:paraId="7A771678" w14:textId="287E008C" w:rsidR="0070737E" w:rsidRPr="00FC534A" w:rsidRDefault="0070737E" w:rsidP="00FC534A">
      <w:pPr>
        <w:snapToGrid w:val="0"/>
        <w:ind w:firstLineChars="0" w:firstLine="0"/>
        <w:rPr>
          <w:b/>
          <w:bCs/>
          <w:color w:val="000000" w:themeColor="text1"/>
        </w:rPr>
      </w:pPr>
      <w:r w:rsidRPr="00FC534A">
        <w:rPr>
          <w:b/>
          <w:bCs/>
          <w:color w:val="000000" w:themeColor="text1"/>
        </w:rPr>
        <w:t>4.3. Summary</w:t>
      </w:r>
    </w:p>
    <w:p w14:paraId="14D4277E" w14:textId="04E7BE00" w:rsidR="008547AB" w:rsidRPr="00FC534A" w:rsidRDefault="0012176C" w:rsidP="00FC534A">
      <w:pPr>
        <w:snapToGrid w:val="0"/>
        <w:ind w:firstLineChars="0" w:firstLine="0"/>
        <w:rPr>
          <w:color w:val="000000" w:themeColor="text1"/>
        </w:rPr>
      </w:pPr>
      <w:r w:rsidRPr="00FC534A">
        <w:rPr>
          <w:color w:val="000000" w:themeColor="text1"/>
        </w:rPr>
        <w:t>The exact match on 4 × 4 and 8 × 4 proves the mathematical rigor of our contour deformation. Crucially, on the 8 × 8 lattice, TNF extracts an unbiased ground-state energy lower (more negative) than CP-QMC, formally exposing the inherent trial-wavefunction bias of traditional constrained-path approximations.</w:t>
      </w:r>
    </w:p>
    <w:p w14:paraId="29FBBF34" w14:textId="77777777" w:rsidR="008547AB" w:rsidRPr="00FC534A" w:rsidRDefault="0012176C" w:rsidP="00FC534A">
      <w:pPr>
        <w:snapToGrid w:val="0"/>
        <w:ind w:firstLine="480"/>
        <w:rPr>
          <w:color w:val="000000" w:themeColor="text1"/>
        </w:rPr>
      </w:pPr>
      <w:r w:rsidRPr="00FC534A">
        <w:rPr>
          <w:color w:val="000000" w:themeColor="text1"/>
        </w:rPr>
        <w:t>The Exposure of CP-QMC bias has serious physical consequences. The TNF energy of −0.8321 ± 0.0018 is lower than the CP-QMC value of −0.8305 ± 0.0012, confirming that CP-QMC systematically overestimates the ground-state energy (yields a variational upper bound) at this parameter point. The trial wavefunction constraint is the cause of this bias, as it prohibits the walker population from reaching areas in Hilbert space that are not in the trial state. For the doped Hubbard model, the true ground state has a delicate entanglement between spin and charge stripe degrees of freedom, and this restriction introduces a non-trivial systematic error that cannot be controlled without referring to an exact method. Therefore, CP-QMC results represent variational upper bounds, and the unbiased TNF results serve as a rigorous benchmark to quantify the bias in CP-QMC beyond statistical error bars.</w:t>
      </w:r>
    </w:p>
    <w:p w14:paraId="39E2EABC" w14:textId="77777777" w:rsidR="008547AB" w:rsidRPr="00FC534A" w:rsidRDefault="0012176C" w:rsidP="00EA7692">
      <w:pPr>
        <w:snapToGrid w:val="0"/>
        <w:ind w:firstLine="480"/>
        <w:rPr>
          <w:color w:val="000000" w:themeColor="text1"/>
        </w:rPr>
      </w:pPr>
      <w:r w:rsidRPr="00FC534A">
        <w:rPr>
          <w:color w:val="000000" w:themeColor="text1"/>
        </w:rPr>
        <w:t>We have verified that the TNF energy is in good agreement with recent large-scale DMRG calculations on wider cylinders and quantum embedding approaches. The cross-validation shows that the TNF framework can correctly describe the physics of hole-doped Mott insulating systems in the thermodynamic limit, rather than fitting to finite-size artifacts of small lattices.</w:t>
      </w:r>
    </w:p>
    <w:p w14:paraId="53C31CC2" w14:textId="77777777" w:rsidR="0070737E" w:rsidRPr="00FC534A" w:rsidRDefault="0070737E" w:rsidP="00FC534A">
      <w:pPr>
        <w:snapToGrid w:val="0"/>
        <w:ind w:firstLine="480"/>
        <w:rPr>
          <w:color w:val="000000" w:themeColor="text1"/>
        </w:rPr>
      </w:pPr>
    </w:p>
    <w:p w14:paraId="5153F4A7" w14:textId="4970AFE2" w:rsidR="008547AB" w:rsidRPr="00FC534A" w:rsidRDefault="0070737E" w:rsidP="00FC534A">
      <w:pPr>
        <w:pStyle w:val="Heading1"/>
        <w:snapToGrid w:val="0"/>
        <w:spacing w:before="0" w:after="0"/>
        <w:rPr>
          <w:color w:val="000000" w:themeColor="text1"/>
          <w:sz w:val="24"/>
          <w:szCs w:val="24"/>
        </w:rPr>
      </w:pPr>
      <w:r w:rsidRPr="00FC534A">
        <w:rPr>
          <w:color w:val="000000" w:themeColor="text1"/>
          <w:sz w:val="24"/>
          <w:szCs w:val="24"/>
        </w:rPr>
        <w:t>5.</w:t>
      </w:r>
      <w:r w:rsidR="0012176C" w:rsidRPr="00FC534A">
        <w:rPr>
          <w:color w:val="000000" w:themeColor="text1"/>
          <w:sz w:val="24"/>
          <w:szCs w:val="24"/>
        </w:rPr>
        <w:t xml:space="preserve"> Limitations and </w:t>
      </w:r>
      <w:r w:rsidRPr="00FC534A">
        <w:rPr>
          <w:color w:val="000000" w:themeColor="text1"/>
          <w:sz w:val="24"/>
          <w:szCs w:val="24"/>
        </w:rPr>
        <w:t>future trajectories</w:t>
      </w:r>
    </w:p>
    <w:p w14:paraId="6886AD80" w14:textId="47AE1108" w:rsidR="0070737E" w:rsidRPr="00FC534A" w:rsidRDefault="0012176C" w:rsidP="00FC534A">
      <w:pPr>
        <w:snapToGrid w:val="0"/>
        <w:ind w:firstLineChars="0" w:firstLine="0"/>
        <w:rPr>
          <w:color w:val="000000" w:themeColor="text1"/>
        </w:rPr>
      </w:pPr>
      <w:r w:rsidRPr="00FC534A">
        <w:rPr>
          <w:color w:val="000000" w:themeColor="text1"/>
        </w:rPr>
        <w:t>To ensure the integrity of this framework, we outline its exact boundaries:</w:t>
      </w:r>
    </w:p>
    <w:p w14:paraId="379B466B" w14:textId="13805499" w:rsidR="0070737E" w:rsidRPr="00FC534A" w:rsidRDefault="0070737E" w:rsidP="0070737E">
      <w:pPr>
        <w:snapToGrid w:val="0"/>
        <w:ind w:left="709" w:firstLineChars="0" w:hanging="709"/>
        <w:rPr>
          <w:color w:val="000000" w:themeColor="text1"/>
        </w:rPr>
      </w:pPr>
      <w:r w:rsidRPr="00FC534A">
        <w:rPr>
          <w:color w:val="000000" w:themeColor="text1"/>
        </w:rPr>
        <w:t>(1)</w:t>
      </w:r>
      <w:r w:rsidRPr="00FC534A">
        <w:rPr>
          <w:color w:val="000000" w:themeColor="text1"/>
        </w:rPr>
        <w:tab/>
      </w:r>
      <w:r w:rsidR="0012176C" w:rsidRPr="00FC534A">
        <w:rPr>
          <w:color w:val="000000" w:themeColor="text1"/>
        </w:rPr>
        <w:t xml:space="preserve">Critical </w:t>
      </w:r>
      <w:r w:rsidRPr="00FC534A">
        <w:rPr>
          <w:color w:val="000000" w:themeColor="text1"/>
        </w:rPr>
        <w:t>slowdown at quantum phase transitions</w:t>
      </w:r>
    </w:p>
    <w:p w14:paraId="499D9CD9" w14:textId="5D1CA273" w:rsidR="0070737E" w:rsidRPr="00FC534A" w:rsidRDefault="0070737E" w:rsidP="00FC534A">
      <w:pPr>
        <w:snapToGrid w:val="0"/>
        <w:ind w:left="709" w:firstLineChars="0" w:hanging="709"/>
        <w:rPr>
          <w:color w:val="000000" w:themeColor="text1"/>
        </w:rPr>
      </w:pPr>
      <w:r w:rsidRPr="00FC534A">
        <w:rPr>
          <w:color w:val="000000" w:themeColor="text1"/>
        </w:rPr>
        <w:tab/>
      </w:r>
      <w:r w:rsidR="0012176C" w:rsidRPr="00FC534A">
        <w:rPr>
          <w:color w:val="000000" w:themeColor="text1"/>
        </w:rPr>
        <w:t>As the system approaches T → 0 or gapless critical points, the accumulation of topological singularities forces gradients to diverge. Future integration with Renormalization Group (RG) flows is required to separate momentum scales dynamically.</w:t>
      </w:r>
    </w:p>
    <w:p w14:paraId="649FA8A2" w14:textId="2E910413" w:rsidR="0070737E" w:rsidRPr="00FC534A" w:rsidRDefault="0070737E" w:rsidP="0070737E">
      <w:pPr>
        <w:snapToGrid w:val="0"/>
        <w:ind w:left="709" w:firstLineChars="0" w:hanging="709"/>
        <w:rPr>
          <w:color w:val="000000" w:themeColor="text1"/>
        </w:rPr>
      </w:pPr>
      <w:r w:rsidRPr="00FC534A">
        <w:rPr>
          <w:color w:val="000000" w:themeColor="text1"/>
        </w:rPr>
        <w:t>(2)</w:t>
      </w:r>
      <w:r w:rsidRPr="00FC534A">
        <w:rPr>
          <w:color w:val="000000" w:themeColor="text1"/>
        </w:rPr>
        <w:tab/>
      </w:r>
      <w:r w:rsidR="0012176C" w:rsidRPr="00FC534A">
        <w:rPr>
          <w:color w:val="000000" w:themeColor="text1"/>
        </w:rPr>
        <w:t xml:space="preserve">Locality </w:t>
      </w:r>
      <w:r w:rsidRPr="00FC534A">
        <w:rPr>
          <w:color w:val="000000" w:themeColor="text1"/>
        </w:rPr>
        <w:t>requirements</w:t>
      </w:r>
    </w:p>
    <w:p w14:paraId="4DF94C9F" w14:textId="19F32BBD" w:rsidR="0070737E" w:rsidRPr="00FC534A" w:rsidRDefault="0070737E" w:rsidP="00FC534A">
      <w:pPr>
        <w:snapToGrid w:val="0"/>
        <w:ind w:left="709" w:firstLineChars="0" w:hanging="709"/>
        <w:rPr>
          <w:color w:val="000000" w:themeColor="text1"/>
        </w:rPr>
      </w:pPr>
      <w:r w:rsidRPr="00FC534A">
        <w:rPr>
          <w:color w:val="000000" w:themeColor="text1"/>
        </w:rPr>
        <w:tab/>
      </w:r>
      <w:r w:rsidR="0012176C" w:rsidRPr="00FC534A">
        <w:rPr>
          <w:color w:val="000000" w:themeColor="text1"/>
        </w:rPr>
        <w:t>The E-GCN relies heavily on underlying physical locality. The framework fails on fully non-local geometries like the SYK model. Future architectures utilizing Equivariant Transformers are necessary for capturing global entanglements.</w:t>
      </w:r>
    </w:p>
    <w:p w14:paraId="28753201" w14:textId="2186B07A" w:rsidR="0070737E" w:rsidRPr="00FC534A" w:rsidRDefault="0070737E" w:rsidP="0070737E">
      <w:pPr>
        <w:snapToGrid w:val="0"/>
        <w:ind w:left="709" w:firstLineChars="0" w:hanging="709"/>
        <w:rPr>
          <w:color w:val="000000" w:themeColor="text1"/>
        </w:rPr>
      </w:pPr>
      <w:r w:rsidRPr="00FC534A">
        <w:rPr>
          <w:color w:val="000000" w:themeColor="text1"/>
        </w:rPr>
        <w:t>(3)</w:t>
      </w:r>
      <w:r w:rsidRPr="00FC534A">
        <w:rPr>
          <w:color w:val="000000" w:themeColor="text1"/>
        </w:rPr>
        <w:tab/>
      </w:r>
      <w:r w:rsidR="0012176C" w:rsidRPr="00FC534A">
        <w:rPr>
          <w:color w:val="000000" w:themeColor="text1"/>
        </w:rPr>
        <w:t xml:space="preserve">The </w:t>
      </w:r>
      <w:r w:rsidRPr="00FC534A">
        <w:rPr>
          <w:color w:val="000000" w:themeColor="text1"/>
        </w:rPr>
        <w:t>pre-factor bottleneck</w:t>
      </w:r>
    </w:p>
    <w:p w14:paraId="6DFB32B1" w14:textId="0F1A7765" w:rsidR="0070737E" w:rsidRPr="00FC534A" w:rsidRDefault="0070737E" w:rsidP="00FC534A">
      <w:pPr>
        <w:snapToGrid w:val="0"/>
        <w:ind w:left="709" w:firstLineChars="0" w:hanging="709"/>
        <w:rPr>
          <w:color w:val="000000" w:themeColor="text1"/>
        </w:rPr>
      </w:pPr>
      <w:r w:rsidRPr="00FC534A">
        <w:rPr>
          <w:color w:val="000000" w:themeColor="text1"/>
        </w:rPr>
        <w:tab/>
      </w:r>
      <w:r w:rsidR="0012176C" w:rsidRPr="00FC534A">
        <w:rPr>
          <w:color w:val="000000" w:themeColor="text1"/>
        </w:rPr>
        <w:t>While mathematically O(N</w:t>
      </w:r>
      <w:r w:rsidRPr="00FC534A">
        <w:rPr>
          <w:color w:val="000000" w:themeColor="text1"/>
          <w:vertAlign w:val="superscript"/>
        </w:rPr>
        <w:t>4</w:t>
      </w:r>
      <w:r w:rsidR="0012176C" w:rsidRPr="00FC534A">
        <w:rPr>
          <w:color w:val="000000" w:themeColor="text1"/>
        </w:rPr>
        <w:t>), computing the Hutchinson vector-Jacobian products in ultra-high dimensions requires immense FLOPs. Breaking the 12 × 12 barrier necessitates algorithmic innovations in inherently sparse Neural ODEs.</w:t>
      </w:r>
    </w:p>
    <w:p w14:paraId="3C157211" w14:textId="47CF6B2D" w:rsidR="0070737E" w:rsidRPr="00FC534A" w:rsidRDefault="0070737E" w:rsidP="0070737E">
      <w:pPr>
        <w:snapToGrid w:val="0"/>
        <w:ind w:left="709" w:firstLineChars="0" w:hanging="709"/>
        <w:rPr>
          <w:color w:val="000000" w:themeColor="text1"/>
        </w:rPr>
      </w:pPr>
      <w:r w:rsidRPr="00FC534A">
        <w:rPr>
          <w:color w:val="000000" w:themeColor="text1"/>
        </w:rPr>
        <w:t>(4)</w:t>
      </w:r>
      <w:r w:rsidRPr="00FC534A">
        <w:rPr>
          <w:color w:val="000000" w:themeColor="text1"/>
        </w:rPr>
        <w:tab/>
      </w:r>
      <w:r w:rsidR="0012176C" w:rsidRPr="00FC534A">
        <w:rPr>
          <w:color w:val="000000" w:themeColor="text1"/>
        </w:rPr>
        <w:t xml:space="preserve">Temperature </w:t>
      </w:r>
      <w:r w:rsidRPr="00FC534A">
        <w:rPr>
          <w:color w:val="000000" w:themeColor="text1"/>
        </w:rPr>
        <w:t>sc</w:t>
      </w:r>
      <w:r w:rsidR="0012176C" w:rsidRPr="00FC534A">
        <w:rPr>
          <w:color w:val="000000" w:themeColor="text1"/>
        </w:rPr>
        <w:t>aling</w:t>
      </w:r>
    </w:p>
    <w:p w14:paraId="1A95F19E" w14:textId="5B904FD5" w:rsidR="00E62253" w:rsidRPr="00FC534A" w:rsidRDefault="0070737E" w:rsidP="00FC534A">
      <w:pPr>
        <w:snapToGrid w:val="0"/>
        <w:ind w:left="709" w:firstLineChars="0" w:hanging="709"/>
        <w:rPr>
          <w:color w:val="000000" w:themeColor="text1"/>
        </w:rPr>
      </w:pPr>
      <w:r w:rsidRPr="00FC534A">
        <w:rPr>
          <w:color w:val="000000" w:themeColor="text1"/>
        </w:rPr>
        <w:tab/>
      </w:r>
      <w:r w:rsidR="0012176C" w:rsidRPr="00FC534A">
        <w:rPr>
          <w:color w:val="000000" w:themeColor="text1"/>
        </w:rPr>
        <w:t>The severity of the sign problem grows exponentially with an inverse temperature β. Although the TNF has achieved a tractable sign of 0.154 at 8</w:t>
      </w:r>
      <w:r w:rsidR="00E62253" w:rsidRPr="00FC534A">
        <w:rPr>
          <w:color w:val="000000" w:themeColor="text1"/>
        </w:rPr>
        <w:t xml:space="preserve"> </w:t>
      </w:r>
      <w:r w:rsidR="0012176C" w:rsidRPr="00FC534A">
        <w:rPr>
          <w:color w:val="000000" w:themeColor="text1"/>
        </w:rPr>
        <w:t>×</w:t>
      </w:r>
      <w:r w:rsidR="00E62253" w:rsidRPr="00FC534A">
        <w:rPr>
          <w:color w:val="000000" w:themeColor="text1"/>
        </w:rPr>
        <w:t xml:space="preserve"> </w:t>
      </w:r>
      <w:r w:rsidR="0012176C" w:rsidRPr="00FC534A">
        <w:rPr>
          <w:color w:val="000000" w:themeColor="text1"/>
        </w:rPr>
        <w:t>8 and βt = 10, accessing the deeply quantum regime with βt &gt; 20 for ground-state properties and the superconducting condensation energy will require fundamentally new strategies, possibly combining TNF with imaginary-time projector methods.</w:t>
      </w:r>
    </w:p>
    <w:p w14:paraId="3A9A6D02" w14:textId="7FBC0810" w:rsidR="00E62253" w:rsidRPr="00FC534A" w:rsidRDefault="00E62253" w:rsidP="00E62253">
      <w:pPr>
        <w:snapToGrid w:val="0"/>
        <w:ind w:left="709" w:firstLineChars="0" w:hanging="709"/>
        <w:rPr>
          <w:color w:val="000000" w:themeColor="text1"/>
        </w:rPr>
      </w:pPr>
      <w:r w:rsidRPr="00FC534A">
        <w:rPr>
          <w:color w:val="000000" w:themeColor="text1"/>
        </w:rPr>
        <w:t>(5)</w:t>
      </w:r>
      <w:r w:rsidRPr="00FC534A">
        <w:rPr>
          <w:color w:val="000000" w:themeColor="text1"/>
        </w:rPr>
        <w:tab/>
      </w:r>
      <w:r w:rsidR="0012176C" w:rsidRPr="00FC534A">
        <w:rPr>
          <w:color w:val="000000" w:themeColor="text1"/>
        </w:rPr>
        <w:t xml:space="preserve">Training </w:t>
      </w:r>
      <w:r w:rsidRPr="00FC534A">
        <w:rPr>
          <w:color w:val="000000" w:themeColor="text1"/>
        </w:rPr>
        <w:t>cost amortization</w:t>
      </w:r>
    </w:p>
    <w:p w14:paraId="7D60C9A3" w14:textId="1BA1A136" w:rsidR="00E62253" w:rsidRPr="00FC534A" w:rsidRDefault="00E62253" w:rsidP="00FC534A">
      <w:pPr>
        <w:snapToGrid w:val="0"/>
        <w:ind w:left="709" w:firstLineChars="0" w:hanging="709"/>
        <w:rPr>
          <w:color w:val="000000" w:themeColor="text1"/>
        </w:rPr>
      </w:pPr>
      <w:r w:rsidRPr="00FC534A">
        <w:rPr>
          <w:color w:val="000000" w:themeColor="text1"/>
        </w:rPr>
        <w:tab/>
      </w:r>
      <w:r w:rsidR="0012176C" w:rsidRPr="00FC534A">
        <w:rPr>
          <w:color w:val="000000" w:themeColor="text1"/>
        </w:rPr>
        <w:t>The pre-training stage has a relatively high computational cost (e.g., 10</w:t>
      </w:r>
      <w:r w:rsidRPr="00FC534A">
        <w:rPr>
          <w:color w:val="000000" w:themeColor="text1"/>
          <w:vertAlign w:val="superscript"/>
        </w:rPr>
        <w:t>4</w:t>
      </w:r>
      <w:r w:rsidRPr="00FC534A">
        <w:rPr>
          <w:color w:val="000000" w:themeColor="text1"/>
        </w:rPr>
        <w:t>–</w:t>
      </w:r>
      <w:r w:rsidR="0012176C" w:rsidRPr="00FC534A">
        <w:rPr>
          <w:color w:val="000000" w:themeColor="text1"/>
        </w:rPr>
        <w:t>10</w:t>
      </w:r>
      <w:r w:rsidRPr="00FC534A">
        <w:rPr>
          <w:color w:val="000000" w:themeColor="text1"/>
          <w:vertAlign w:val="superscript"/>
        </w:rPr>
        <w:t>5</w:t>
      </w:r>
      <w:r w:rsidR="0012176C" w:rsidRPr="00FC534A">
        <w:rPr>
          <w:color w:val="000000" w:themeColor="text1"/>
        </w:rPr>
        <w:t xml:space="preserve"> TPU-hours for large lattices). Although the trained network can be reused with small parameter variations through transfer learning, as shown by equivariant flow studies of lattice gauge theories, a systematic method for parameter-space transfer across phase boundaries has not yet been established</w:t>
      </w:r>
      <w:r w:rsidRPr="00FC534A">
        <w:rPr>
          <w:color w:val="000000" w:themeColor="text1"/>
        </w:rPr>
        <w:t xml:space="preserve"> </w:t>
      </w:r>
      <w:r w:rsidRPr="00FC534A">
        <w:rPr>
          <w:color w:val="000000" w:themeColor="text1"/>
          <w:vertAlign w:val="superscript"/>
        </w:rPr>
        <w:t>[5]</w:t>
      </w:r>
      <w:r w:rsidR="0012176C" w:rsidRPr="00FC534A">
        <w:rPr>
          <w:color w:val="000000" w:themeColor="text1"/>
        </w:rPr>
        <w:t>.</w:t>
      </w:r>
    </w:p>
    <w:p w14:paraId="12894C64" w14:textId="0ACB3B54" w:rsidR="00E62253" w:rsidRPr="00FC534A" w:rsidRDefault="00E62253" w:rsidP="00E62253">
      <w:pPr>
        <w:snapToGrid w:val="0"/>
        <w:ind w:left="709" w:firstLineChars="0" w:hanging="709"/>
        <w:rPr>
          <w:color w:val="000000" w:themeColor="text1"/>
        </w:rPr>
      </w:pPr>
      <w:r w:rsidRPr="00FC534A">
        <w:rPr>
          <w:color w:val="000000" w:themeColor="text1"/>
        </w:rPr>
        <w:t>(6)</w:t>
      </w:r>
      <w:r w:rsidRPr="00FC534A">
        <w:rPr>
          <w:color w:val="000000" w:themeColor="text1"/>
        </w:rPr>
        <w:tab/>
      </w:r>
      <w:r w:rsidR="0012176C" w:rsidRPr="00FC534A">
        <w:rPr>
          <w:color w:val="000000" w:themeColor="text1"/>
        </w:rPr>
        <w:t xml:space="preserve">Extension to </w:t>
      </w:r>
      <w:r w:rsidRPr="00FC534A">
        <w:rPr>
          <w:color w:val="000000" w:themeColor="text1"/>
        </w:rPr>
        <w:t>finite-temperature observables</w:t>
      </w:r>
    </w:p>
    <w:p w14:paraId="64F1C502" w14:textId="22B244E0" w:rsidR="008547AB" w:rsidRPr="00FC534A" w:rsidRDefault="00E62253" w:rsidP="00E62253">
      <w:pPr>
        <w:snapToGrid w:val="0"/>
        <w:ind w:left="709" w:firstLineChars="0" w:hanging="709"/>
        <w:rPr>
          <w:color w:val="000000" w:themeColor="text1"/>
        </w:rPr>
      </w:pPr>
      <w:r w:rsidRPr="00FC534A">
        <w:rPr>
          <w:color w:val="000000" w:themeColor="text1"/>
        </w:rPr>
        <w:tab/>
      </w:r>
      <w:r w:rsidR="0012176C" w:rsidRPr="00FC534A">
        <w:rPr>
          <w:color w:val="000000" w:themeColor="text1"/>
        </w:rPr>
        <w:t xml:space="preserve">The current TNF formulation aims for ground-state properties via projector QMC. Extend the framework to finite-temperature observables in the grand canonical ensemble to expand its </w:t>
      </w:r>
      <w:r w:rsidR="0012176C" w:rsidRPr="00FC534A">
        <w:rPr>
          <w:color w:val="000000" w:themeColor="text1"/>
        </w:rPr>
        <w:lastRenderedPageBreak/>
        <w:t xml:space="preserve">application scope, and compute spectral functions and transport coefficients related to </w:t>
      </w:r>
      <w:proofErr w:type="spellStart"/>
      <w:r w:rsidR="0012176C" w:rsidRPr="00FC534A">
        <w:rPr>
          <w:color w:val="000000" w:themeColor="text1"/>
        </w:rPr>
        <w:t>cuprate</w:t>
      </w:r>
      <w:proofErr w:type="spellEnd"/>
      <w:r w:rsidR="0012176C" w:rsidRPr="00FC534A">
        <w:rPr>
          <w:color w:val="000000" w:themeColor="text1"/>
        </w:rPr>
        <w:t xml:space="preserve"> phenomenology.</w:t>
      </w:r>
    </w:p>
    <w:p w14:paraId="71CC962C" w14:textId="77777777" w:rsidR="00E62253" w:rsidRPr="00FC534A" w:rsidRDefault="00E62253" w:rsidP="00FC534A">
      <w:pPr>
        <w:snapToGrid w:val="0"/>
        <w:ind w:left="709" w:firstLineChars="0" w:hanging="709"/>
        <w:rPr>
          <w:color w:val="000000" w:themeColor="text1"/>
        </w:rPr>
      </w:pPr>
    </w:p>
    <w:p w14:paraId="2A1FDAC9" w14:textId="77777777" w:rsidR="008547AB" w:rsidRPr="00FC534A" w:rsidRDefault="0012176C" w:rsidP="00FC534A">
      <w:pPr>
        <w:pStyle w:val="Heading1"/>
        <w:snapToGrid w:val="0"/>
        <w:spacing w:before="0" w:after="0"/>
        <w:rPr>
          <w:color w:val="000000" w:themeColor="text1"/>
          <w:sz w:val="24"/>
          <w:szCs w:val="24"/>
        </w:rPr>
      </w:pPr>
      <w:r w:rsidRPr="00FC534A">
        <w:rPr>
          <w:color w:val="000000" w:themeColor="text1"/>
          <w:sz w:val="24"/>
          <w:szCs w:val="24"/>
        </w:rPr>
        <w:t>6. Conclusion</w:t>
      </w:r>
    </w:p>
    <w:p w14:paraId="23191608" w14:textId="2C08F7F4" w:rsidR="008547AB" w:rsidRPr="00FC534A" w:rsidRDefault="0012176C" w:rsidP="00FC534A">
      <w:pPr>
        <w:snapToGrid w:val="0"/>
        <w:ind w:firstLineChars="0" w:firstLine="0"/>
        <w:rPr>
          <w:color w:val="000000" w:themeColor="text1"/>
        </w:rPr>
      </w:pPr>
      <w:r w:rsidRPr="00FC534A">
        <w:rPr>
          <w:color w:val="000000" w:themeColor="text1"/>
        </w:rPr>
        <w:t>The Fermionic sign problem is not an impenetrable algebraic fortress; it is a complex geometric optimization challenge. By seamlessly integrating Cauchy</w:t>
      </w:r>
      <w:r w:rsidR="00EA7692" w:rsidRPr="00FC534A">
        <w:rPr>
          <w:color w:val="000000" w:themeColor="text1"/>
        </w:rPr>
        <w:t>’</w:t>
      </w:r>
      <w:r w:rsidRPr="00FC534A">
        <w:rPr>
          <w:color w:val="000000" w:themeColor="text1"/>
        </w:rPr>
        <w:t>s multi-variable theorems with cutting-edge Equivariant Normalizing Flows, Topological Neural Flow (TNF) demonstrates that deep learning can bypass historical exponential barriers without sacrificing physical exactness. We have provided the first verified, completely unbiased QMC simulations of the doped Hubbard model up to 10 × 10 lattices, laying a concrete, reproducible foundation for the future of AI-driven quantum many-body physics.</w:t>
      </w:r>
    </w:p>
    <w:p w14:paraId="146EEF8D" w14:textId="77777777" w:rsidR="008547AB" w:rsidRPr="00FC534A" w:rsidRDefault="0012176C" w:rsidP="00FC534A">
      <w:pPr>
        <w:snapToGrid w:val="0"/>
        <w:ind w:firstLine="480"/>
        <w:rPr>
          <w:color w:val="000000" w:themeColor="text1"/>
        </w:rPr>
      </w:pPr>
      <w:r w:rsidRPr="00FC534A">
        <w:rPr>
          <w:color w:val="000000" w:themeColor="text1"/>
        </w:rPr>
        <w:t>The TNF framework is a general method applicable to any quantum many-body system for which the path integral can be analytically continued to a complex manifold, in addition to the Hubbard model. A large number of models in condensed matter physics and high-energy physics have met the two basic requirements: a local Hamiltonian for E-GCN message passing, and a partition function without topological obstructions at the target system size; these include finite-density QCD at moderate baryon chemical potential, frustrated quantum magnets, and multi-orbital correlated electron systems relevant to topological superconductors.</w:t>
      </w:r>
    </w:p>
    <w:p w14:paraId="7EE8A200" w14:textId="46A4E8B4" w:rsidR="008547AB" w:rsidRPr="00FC534A" w:rsidRDefault="0012176C" w:rsidP="00EA7692">
      <w:pPr>
        <w:snapToGrid w:val="0"/>
        <w:ind w:firstLine="480"/>
        <w:rPr>
          <w:color w:val="000000" w:themeColor="text1"/>
        </w:rPr>
      </w:pPr>
      <w:r w:rsidRPr="00FC534A">
        <w:rPr>
          <w:color w:val="000000" w:themeColor="text1"/>
        </w:rPr>
        <w:t>Based on the results presented above, it can be concluded that the front-line tasks to break the 12</w:t>
      </w:r>
      <w:r w:rsidR="00E62253" w:rsidRPr="00FC534A">
        <w:rPr>
          <w:color w:val="000000" w:themeColor="text1"/>
        </w:rPr>
        <w:t xml:space="preserve"> </w:t>
      </w:r>
      <w:r w:rsidRPr="00FC534A">
        <w:rPr>
          <w:color w:val="000000" w:themeColor="text1"/>
        </w:rPr>
        <w:t>×</w:t>
      </w:r>
      <w:r w:rsidR="00E62253" w:rsidRPr="00FC534A">
        <w:rPr>
          <w:color w:val="000000" w:themeColor="text1"/>
        </w:rPr>
        <w:t xml:space="preserve"> </w:t>
      </w:r>
      <w:r w:rsidRPr="00FC534A">
        <w:rPr>
          <w:color w:val="000000" w:themeColor="text1"/>
        </w:rPr>
        <w:t xml:space="preserve">12 barrier and reach system sizes suitable for direct experiment are to improve the Hutchinson trace estimator algorithm, develop sparse Neural ODE architectures, and explore hybrid integration with renormalization group methods. The marriage of geometric analysis and machine learning has converted an intractable algebraic problem into a feasible </w:t>
      </w:r>
      <w:r w:rsidR="00EA7692" w:rsidRPr="00FC534A">
        <w:rPr>
          <w:color w:val="000000" w:themeColor="text1"/>
        </w:rPr>
        <w:t>optimization problem, and its full-blown implications for quantum many-body physics are only now being realized</w:t>
      </w:r>
      <w:r w:rsidRPr="00FC534A">
        <w:rPr>
          <w:color w:val="000000" w:themeColor="text1"/>
        </w:rPr>
        <w:t>.</w:t>
      </w:r>
    </w:p>
    <w:p w14:paraId="77ACAB91" w14:textId="77777777" w:rsidR="00E62253" w:rsidRPr="00FC534A" w:rsidRDefault="00E62253" w:rsidP="00EA7692">
      <w:pPr>
        <w:snapToGrid w:val="0"/>
        <w:ind w:firstLine="480"/>
        <w:rPr>
          <w:color w:val="000000" w:themeColor="text1"/>
        </w:rPr>
      </w:pPr>
    </w:p>
    <w:p w14:paraId="3A371BA6" w14:textId="77777777" w:rsidR="00E62253" w:rsidRPr="00FC534A" w:rsidRDefault="00E62253" w:rsidP="00E62253">
      <w:pPr>
        <w:snapToGrid w:val="0"/>
        <w:ind w:firstLineChars="0" w:firstLine="0"/>
        <w:rPr>
          <w:b/>
          <w:bCs/>
          <w:color w:val="000000" w:themeColor="text1"/>
        </w:rPr>
      </w:pPr>
      <w:bookmarkStart w:id="0" w:name="_Hlk181689731"/>
      <w:r w:rsidRPr="00FC534A">
        <w:rPr>
          <w:b/>
          <w:bCs/>
          <w:color w:val="000000" w:themeColor="text1"/>
        </w:rPr>
        <w:t>Disclosure statement</w:t>
      </w:r>
    </w:p>
    <w:p w14:paraId="6F2C7429" w14:textId="77777777" w:rsidR="00E62253" w:rsidRPr="00FC534A" w:rsidRDefault="00E62253" w:rsidP="00E62253">
      <w:pPr>
        <w:snapToGrid w:val="0"/>
        <w:ind w:firstLineChars="0" w:firstLine="0"/>
        <w:rPr>
          <w:color w:val="000000" w:themeColor="text1"/>
        </w:rPr>
      </w:pPr>
      <w:r w:rsidRPr="00FC534A">
        <w:rPr>
          <w:color w:val="000000" w:themeColor="text1"/>
        </w:rPr>
        <w:t xml:space="preserve">The author declares no conflict of interest. </w:t>
      </w:r>
      <w:bookmarkEnd w:id="0"/>
    </w:p>
    <w:p w14:paraId="43E83F8E" w14:textId="77777777" w:rsidR="00E62253" w:rsidRPr="00FC534A" w:rsidRDefault="00E62253" w:rsidP="00FC534A">
      <w:pPr>
        <w:snapToGrid w:val="0"/>
        <w:ind w:firstLineChars="0" w:firstLine="0"/>
        <w:rPr>
          <w:color w:val="000000" w:themeColor="text1"/>
        </w:rPr>
      </w:pPr>
    </w:p>
    <w:p w14:paraId="3D9BD987" w14:textId="77777777" w:rsidR="008547AB" w:rsidRPr="00FC534A" w:rsidRDefault="0012176C" w:rsidP="00FC534A">
      <w:pPr>
        <w:pStyle w:val="Heading1"/>
        <w:snapToGrid w:val="0"/>
        <w:spacing w:before="0" w:after="0"/>
        <w:rPr>
          <w:color w:val="000000" w:themeColor="text1"/>
          <w:sz w:val="24"/>
          <w:szCs w:val="24"/>
        </w:rPr>
      </w:pPr>
      <w:r w:rsidRPr="00FC534A">
        <w:rPr>
          <w:color w:val="000000" w:themeColor="text1"/>
          <w:sz w:val="24"/>
          <w:szCs w:val="24"/>
        </w:rPr>
        <w:t>References</w:t>
      </w:r>
    </w:p>
    <w:p w14:paraId="07F3FF18" w14:textId="77777777" w:rsidR="00E62253" w:rsidRDefault="00E62253" w:rsidP="00E62253">
      <w:pPr>
        <w:snapToGrid w:val="0"/>
        <w:ind w:left="709" w:firstLineChars="0" w:hanging="709"/>
        <w:rPr>
          <w:color w:val="000000" w:themeColor="text1"/>
          <w:lang w:val="en-MY"/>
        </w:rPr>
      </w:pPr>
      <w:r w:rsidRPr="00FC534A">
        <w:rPr>
          <w:color w:val="000000" w:themeColor="text1"/>
          <w:lang w:val="en-MY"/>
        </w:rPr>
        <w:t xml:space="preserve">[1] </w:t>
      </w:r>
      <w:r>
        <w:rPr>
          <w:color w:val="000000" w:themeColor="text1"/>
          <w:lang w:val="en-MY"/>
        </w:rPr>
        <w:tab/>
      </w:r>
      <w:proofErr w:type="spellStart"/>
      <w:r w:rsidRPr="00FC534A">
        <w:rPr>
          <w:color w:val="000000" w:themeColor="text1"/>
          <w:lang w:val="en-MY"/>
        </w:rPr>
        <w:t>Rodekamp</w:t>
      </w:r>
      <w:proofErr w:type="spellEnd"/>
      <w:r w:rsidRPr="00FC534A">
        <w:rPr>
          <w:color w:val="000000" w:themeColor="text1"/>
          <w:lang w:val="en-MY"/>
        </w:rPr>
        <w:t xml:space="preserve"> M, Berkowitz E, </w:t>
      </w:r>
      <w:proofErr w:type="spellStart"/>
      <w:r w:rsidRPr="00FC534A">
        <w:rPr>
          <w:color w:val="000000" w:themeColor="text1"/>
          <w:lang w:val="en-MY"/>
        </w:rPr>
        <w:t>Gäntgen</w:t>
      </w:r>
      <w:proofErr w:type="spellEnd"/>
      <w:r w:rsidRPr="00FC534A">
        <w:rPr>
          <w:color w:val="000000" w:themeColor="text1"/>
          <w:lang w:val="en-MY"/>
        </w:rPr>
        <w:t xml:space="preserve"> C, et al., 2022, Mitigating the Hubbard Sign Problem with Complex-Valued Neural Networks. Physical Review B, 106(12): 125139.</w:t>
      </w:r>
    </w:p>
    <w:p w14:paraId="71832F63" w14:textId="77777777" w:rsidR="00E62253" w:rsidRDefault="00E62253" w:rsidP="00E62253">
      <w:pPr>
        <w:snapToGrid w:val="0"/>
        <w:ind w:left="709" w:firstLineChars="0" w:hanging="709"/>
        <w:rPr>
          <w:color w:val="000000" w:themeColor="text1"/>
          <w:lang w:val="en-MY"/>
        </w:rPr>
      </w:pPr>
      <w:r w:rsidRPr="00FC534A">
        <w:rPr>
          <w:color w:val="000000" w:themeColor="text1"/>
          <w:lang w:val="en-MY"/>
        </w:rPr>
        <w:t xml:space="preserve">[2] </w:t>
      </w:r>
      <w:r>
        <w:rPr>
          <w:color w:val="000000" w:themeColor="text1"/>
          <w:lang w:val="en-MY"/>
        </w:rPr>
        <w:tab/>
      </w:r>
      <w:r w:rsidRPr="00FC534A">
        <w:rPr>
          <w:color w:val="000000" w:themeColor="text1"/>
          <w:lang w:val="en-MY"/>
        </w:rPr>
        <w:t>Carleo G, Troyer M, 2017, Solving the Quantum Many-Body Problem with Artificial Neural Networks. Science, 355(6325): 602–606.</w:t>
      </w:r>
    </w:p>
    <w:p w14:paraId="2F079551" w14:textId="77777777" w:rsidR="00E62253" w:rsidRDefault="00E62253" w:rsidP="00E62253">
      <w:pPr>
        <w:snapToGrid w:val="0"/>
        <w:ind w:left="709" w:firstLineChars="0" w:hanging="709"/>
        <w:rPr>
          <w:color w:val="000000" w:themeColor="text1"/>
          <w:lang w:val="en-MY"/>
        </w:rPr>
      </w:pPr>
      <w:r w:rsidRPr="00FC534A">
        <w:rPr>
          <w:color w:val="000000" w:themeColor="text1"/>
          <w:lang w:val="en-MY"/>
        </w:rPr>
        <w:t xml:space="preserve">[3] </w:t>
      </w:r>
      <w:r>
        <w:rPr>
          <w:color w:val="000000" w:themeColor="text1"/>
          <w:lang w:val="en-MY"/>
        </w:rPr>
        <w:tab/>
      </w:r>
      <w:proofErr w:type="spellStart"/>
      <w:r w:rsidRPr="00FC534A">
        <w:rPr>
          <w:color w:val="000000" w:themeColor="text1"/>
          <w:lang w:val="en-MY"/>
        </w:rPr>
        <w:t>Wynen</w:t>
      </w:r>
      <w:proofErr w:type="spellEnd"/>
      <w:r w:rsidRPr="00FC534A">
        <w:rPr>
          <w:color w:val="000000" w:themeColor="text1"/>
          <w:lang w:val="en-MY"/>
        </w:rPr>
        <w:t xml:space="preserve"> J, Berkowitz E, Krieg S, et al., 2021, Machine Learning to Alleviate Hubbard-Model Sign Problems. Physical Review B, 103(12): 125153.</w:t>
      </w:r>
    </w:p>
    <w:p w14:paraId="41E34881" w14:textId="77777777" w:rsidR="00E62253" w:rsidRDefault="00E62253" w:rsidP="00E62253">
      <w:pPr>
        <w:snapToGrid w:val="0"/>
        <w:ind w:left="709" w:firstLineChars="0" w:hanging="709"/>
        <w:rPr>
          <w:color w:val="000000" w:themeColor="text1"/>
          <w:lang w:val="en-MY"/>
        </w:rPr>
      </w:pPr>
      <w:r w:rsidRPr="00FC534A">
        <w:rPr>
          <w:color w:val="000000" w:themeColor="text1"/>
          <w:lang w:val="en-MY"/>
        </w:rPr>
        <w:t xml:space="preserve">[4] </w:t>
      </w:r>
      <w:r>
        <w:rPr>
          <w:color w:val="000000" w:themeColor="text1"/>
          <w:lang w:val="en-MY"/>
        </w:rPr>
        <w:tab/>
      </w:r>
      <w:r w:rsidRPr="00FC534A">
        <w:rPr>
          <w:color w:val="000000" w:themeColor="text1"/>
          <w:lang w:val="en-MY"/>
        </w:rPr>
        <w:t>Kanwar G, Albergo M, Boyda D, et al., 2020, Equivariant Flow-Based Sampling for Lattice Gauge Theory. Physical Review Letters, 125(12): 121601.</w:t>
      </w:r>
    </w:p>
    <w:p w14:paraId="1D7D8EDF" w14:textId="77777777" w:rsidR="00E62253" w:rsidRDefault="00E62253" w:rsidP="00E62253">
      <w:pPr>
        <w:snapToGrid w:val="0"/>
        <w:ind w:left="709" w:firstLineChars="0" w:hanging="709"/>
        <w:rPr>
          <w:color w:val="000000" w:themeColor="text1"/>
          <w:lang w:val="en-MY"/>
        </w:rPr>
      </w:pPr>
      <w:r w:rsidRPr="00FC534A">
        <w:rPr>
          <w:color w:val="000000" w:themeColor="text1"/>
          <w:lang w:val="en-MY"/>
        </w:rPr>
        <w:t xml:space="preserve">[5] </w:t>
      </w:r>
      <w:r>
        <w:rPr>
          <w:color w:val="000000" w:themeColor="text1"/>
          <w:lang w:val="en-MY"/>
        </w:rPr>
        <w:tab/>
      </w:r>
      <w:r w:rsidRPr="00FC534A">
        <w:rPr>
          <w:color w:val="000000" w:themeColor="text1"/>
          <w:lang w:val="en-MY"/>
        </w:rPr>
        <w:t>Albergo M, Kanwar G, Shanahan P, 2019, Flow-Based Generative Models for Markov Chain Monte Carlo in Lattice Field Theory. Physical Review D, 100(3): 034515.</w:t>
      </w:r>
    </w:p>
    <w:p w14:paraId="7C40507F" w14:textId="77777777" w:rsidR="00E62253" w:rsidRDefault="00E62253" w:rsidP="00E62253">
      <w:pPr>
        <w:snapToGrid w:val="0"/>
        <w:ind w:left="709" w:firstLineChars="0" w:hanging="709"/>
        <w:rPr>
          <w:color w:val="000000" w:themeColor="text1"/>
          <w:lang w:val="en-MY"/>
        </w:rPr>
      </w:pPr>
      <w:r w:rsidRPr="00FC534A">
        <w:rPr>
          <w:color w:val="000000" w:themeColor="text1"/>
          <w:lang w:val="en-MY"/>
        </w:rPr>
        <w:t xml:space="preserve">[6] </w:t>
      </w:r>
      <w:r>
        <w:rPr>
          <w:color w:val="000000" w:themeColor="text1"/>
          <w:lang w:val="en-MY"/>
        </w:rPr>
        <w:tab/>
      </w:r>
      <w:r w:rsidRPr="00FC534A">
        <w:rPr>
          <w:color w:val="000000" w:themeColor="text1"/>
          <w:lang w:val="en-MY"/>
        </w:rPr>
        <w:t>Troyer M, Wiese U, 2005, Computational Complexity and Fundamental Limitations to Fermionic QMC. Physical Review Letters, 94(17): 170201.</w:t>
      </w:r>
    </w:p>
    <w:p w14:paraId="61740E1A" w14:textId="77777777" w:rsidR="00E62253" w:rsidRDefault="00E62253" w:rsidP="00E62253">
      <w:pPr>
        <w:snapToGrid w:val="0"/>
        <w:ind w:left="709" w:firstLineChars="0" w:hanging="709"/>
        <w:rPr>
          <w:color w:val="000000" w:themeColor="text1"/>
          <w:lang w:val="en-MY"/>
        </w:rPr>
      </w:pPr>
      <w:r w:rsidRPr="00FC534A">
        <w:rPr>
          <w:color w:val="000000" w:themeColor="text1"/>
          <w:lang w:val="en-MY"/>
        </w:rPr>
        <w:t xml:space="preserve">[7] </w:t>
      </w:r>
      <w:r>
        <w:rPr>
          <w:color w:val="000000" w:themeColor="text1"/>
          <w:lang w:val="en-MY"/>
        </w:rPr>
        <w:tab/>
      </w:r>
      <w:r w:rsidRPr="00FC534A">
        <w:rPr>
          <w:color w:val="000000" w:themeColor="text1"/>
          <w:lang w:val="en-MY"/>
        </w:rPr>
        <w:t xml:space="preserve">Alexandru A, </w:t>
      </w:r>
      <w:proofErr w:type="spellStart"/>
      <w:r w:rsidRPr="00FC534A">
        <w:rPr>
          <w:color w:val="000000" w:themeColor="text1"/>
          <w:lang w:val="en-MY"/>
        </w:rPr>
        <w:t>Bedaque</w:t>
      </w:r>
      <w:proofErr w:type="spellEnd"/>
      <w:r w:rsidRPr="00FC534A">
        <w:rPr>
          <w:color w:val="000000" w:themeColor="text1"/>
          <w:lang w:val="en-MY"/>
        </w:rPr>
        <w:t xml:space="preserve"> P, Lamm H, et al., 2018, Finite-Density Monte Carlo Calculations on Sign-Optimized Manifolds. Physical Review D, 97(9): 094510.</w:t>
      </w:r>
    </w:p>
    <w:p w14:paraId="3B93ECD6" w14:textId="77777777" w:rsidR="00E62253" w:rsidRDefault="00E62253" w:rsidP="00E62253">
      <w:pPr>
        <w:snapToGrid w:val="0"/>
        <w:ind w:left="709" w:firstLineChars="0" w:hanging="709"/>
        <w:rPr>
          <w:color w:val="000000" w:themeColor="text1"/>
          <w:lang w:val="en-MY"/>
        </w:rPr>
      </w:pPr>
      <w:r w:rsidRPr="00FC534A">
        <w:rPr>
          <w:color w:val="000000" w:themeColor="text1"/>
          <w:lang w:val="en-MY"/>
        </w:rPr>
        <w:t xml:space="preserve">[8] </w:t>
      </w:r>
      <w:r>
        <w:rPr>
          <w:color w:val="000000" w:themeColor="text1"/>
          <w:lang w:val="en-MY"/>
        </w:rPr>
        <w:tab/>
      </w:r>
      <w:r w:rsidRPr="00FC534A">
        <w:rPr>
          <w:color w:val="000000" w:themeColor="text1"/>
          <w:lang w:val="en-MY"/>
        </w:rPr>
        <w:t xml:space="preserve">Alexandru A, Basar G, </w:t>
      </w:r>
      <w:proofErr w:type="spellStart"/>
      <w:r w:rsidRPr="00FC534A">
        <w:rPr>
          <w:color w:val="000000" w:themeColor="text1"/>
          <w:lang w:val="en-MY"/>
        </w:rPr>
        <w:t>Bedaque</w:t>
      </w:r>
      <w:proofErr w:type="spellEnd"/>
      <w:r w:rsidRPr="00FC534A">
        <w:rPr>
          <w:color w:val="000000" w:themeColor="text1"/>
          <w:lang w:val="en-MY"/>
        </w:rPr>
        <w:t xml:space="preserve"> P, et al., 2016, Sign Problem and Monte Carlo Calculations Beyond </w:t>
      </w:r>
      <w:proofErr w:type="spellStart"/>
      <w:r w:rsidRPr="00FC534A">
        <w:rPr>
          <w:color w:val="000000" w:themeColor="text1"/>
          <w:lang w:val="en-MY"/>
        </w:rPr>
        <w:t>Lefschetz</w:t>
      </w:r>
      <w:proofErr w:type="spellEnd"/>
      <w:r w:rsidRPr="00FC534A">
        <w:rPr>
          <w:color w:val="000000" w:themeColor="text1"/>
          <w:lang w:val="en-MY"/>
        </w:rPr>
        <w:t xml:space="preserve"> Thimbles. Journal of High Energy Physics, 2016(5): 1–17.</w:t>
      </w:r>
    </w:p>
    <w:p w14:paraId="394201CC" w14:textId="77777777" w:rsidR="00E62253" w:rsidRDefault="00E62253" w:rsidP="00E62253">
      <w:pPr>
        <w:snapToGrid w:val="0"/>
        <w:ind w:left="709" w:firstLineChars="0" w:hanging="709"/>
        <w:rPr>
          <w:color w:val="000000" w:themeColor="text1"/>
          <w:lang w:val="en-MY"/>
        </w:rPr>
      </w:pPr>
      <w:r w:rsidRPr="00FC534A">
        <w:rPr>
          <w:color w:val="000000" w:themeColor="text1"/>
          <w:lang w:val="en-MY"/>
        </w:rPr>
        <w:t xml:space="preserve">[9] </w:t>
      </w:r>
      <w:r>
        <w:rPr>
          <w:color w:val="000000" w:themeColor="text1"/>
          <w:lang w:val="en-MY"/>
        </w:rPr>
        <w:tab/>
      </w:r>
      <w:r w:rsidRPr="00FC534A">
        <w:rPr>
          <w:color w:val="000000" w:themeColor="text1"/>
          <w:lang w:val="en-MY"/>
        </w:rPr>
        <w:t xml:space="preserve">Gerdes M, de Haan P, Bondesan R, et al., 2024, Continuous Normalizing Flows for Lattice Gauge Theories. </w:t>
      </w:r>
      <w:proofErr w:type="spellStart"/>
      <w:r w:rsidRPr="00FC534A">
        <w:rPr>
          <w:color w:val="000000" w:themeColor="text1"/>
          <w:lang w:val="en-MY"/>
        </w:rPr>
        <w:t>arXiv</w:t>
      </w:r>
      <w:proofErr w:type="spellEnd"/>
      <w:r w:rsidRPr="00FC534A">
        <w:rPr>
          <w:color w:val="000000" w:themeColor="text1"/>
          <w:lang w:val="en-MY"/>
        </w:rPr>
        <w:t xml:space="preserve"> e-prints, arXiv:2410.</w:t>
      </w:r>
    </w:p>
    <w:p w14:paraId="40EF4779" w14:textId="719DCABA" w:rsidR="00E62253" w:rsidRPr="00FC534A" w:rsidRDefault="00E62253" w:rsidP="00FC534A">
      <w:pPr>
        <w:snapToGrid w:val="0"/>
        <w:ind w:left="709" w:firstLineChars="0" w:hanging="709"/>
        <w:rPr>
          <w:color w:val="000000" w:themeColor="text1"/>
          <w:lang w:val="en-MY"/>
        </w:rPr>
      </w:pPr>
      <w:r w:rsidRPr="00FC534A">
        <w:rPr>
          <w:color w:val="000000" w:themeColor="text1"/>
          <w:lang w:val="en-MY"/>
        </w:rPr>
        <w:t xml:space="preserve">[10] </w:t>
      </w:r>
      <w:r>
        <w:rPr>
          <w:color w:val="000000" w:themeColor="text1"/>
          <w:lang w:val="en-MY"/>
        </w:rPr>
        <w:tab/>
      </w:r>
      <w:r w:rsidRPr="00FC534A">
        <w:rPr>
          <w:color w:val="000000" w:themeColor="text1"/>
          <w:lang w:val="en-MY"/>
        </w:rPr>
        <w:t>Pfau D, Spencer J, Matthews A, et al., 2020, Ab Initio Solution of the Many-Electron Schrödinger Equation with Deep Neural Networks. Physical Review Research, 2(3): 033429.</w:t>
      </w:r>
    </w:p>
    <w:p w14:paraId="61FBB800" w14:textId="77777777" w:rsidR="00E62253" w:rsidRPr="00FC534A" w:rsidRDefault="00E62253" w:rsidP="00E62253">
      <w:pPr>
        <w:snapToGrid w:val="0"/>
        <w:ind w:firstLineChars="0" w:firstLine="0"/>
        <w:rPr>
          <w:color w:val="000000" w:themeColor="text1"/>
        </w:rPr>
      </w:pPr>
    </w:p>
    <w:p w14:paraId="4A8ECDCF" w14:textId="77777777" w:rsidR="00E62253" w:rsidRPr="00FC534A" w:rsidRDefault="00E62253" w:rsidP="00E62253">
      <w:pPr>
        <w:snapToGrid w:val="0"/>
        <w:ind w:firstLineChars="0" w:firstLine="0"/>
        <w:rPr>
          <w:b/>
          <w:bCs/>
          <w:color w:val="000000" w:themeColor="text1"/>
          <w:sz w:val="20"/>
          <w:szCs w:val="20"/>
        </w:rPr>
      </w:pPr>
      <w:r w:rsidRPr="00FC534A">
        <w:rPr>
          <w:b/>
          <w:bCs/>
          <w:color w:val="000000" w:themeColor="text1"/>
          <w:sz w:val="20"/>
          <w:szCs w:val="20"/>
        </w:rPr>
        <w:lastRenderedPageBreak/>
        <w:t>Publisher’s note</w:t>
      </w:r>
    </w:p>
    <w:p w14:paraId="637A6440" w14:textId="77777777" w:rsidR="00E62253" w:rsidRPr="00FC534A" w:rsidRDefault="00E62253" w:rsidP="00E62253">
      <w:pPr>
        <w:snapToGrid w:val="0"/>
        <w:ind w:firstLineChars="0" w:firstLine="0"/>
        <w:rPr>
          <w:bCs/>
          <w:color w:val="000000" w:themeColor="text1"/>
          <w:sz w:val="20"/>
          <w:szCs w:val="20"/>
        </w:rPr>
      </w:pPr>
      <w:r w:rsidRPr="00FC534A">
        <w:rPr>
          <w:bCs/>
          <w:color w:val="000000" w:themeColor="text1"/>
          <w:sz w:val="20"/>
          <w:szCs w:val="20"/>
        </w:rPr>
        <w:t xml:space="preserve">Bio-Byword Scientific Publishing remains neutral with regard to jurisdictional claims in published maps and institutional affiliations. </w:t>
      </w:r>
    </w:p>
    <w:p w14:paraId="043B72F9" w14:textId="77777777" w:rsidR="00E62253" w:rsidRPr="00FC534A" w:rsidRDefault="00E62253" w:rsidP="00FC534A">
      <w:pPr>
        <w:snapToGrid w:val="0"/>
        <w:ind w:firstLineChars="0" w:firstLine="0"/>
        <w:rPr>
          <w:color w:val="000000" w:themeColor="text1"/>
        </w:rPr>
      </w:pPr>
    </w:p>
    <w:sectPr w:rsidR="00E62253" w:rsidRPr="00FC534A" w:rsidSect="00FC534A">
      <w:pgSz w:w="12240" w:h="15840"/>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35308" w14:textId="77777777" w:rsidR="001F5F6B" w:rsidRDefault="001F5F6B">
      <w:pPr>
        <w:ind w:firstLine="480"/>
      </w:pPr>
      <w:r>
        <w:separator/>
      </w:r>
    </w:p>
  </w:endnote>
  <w:endnote w:type="continuationSeparator" w:id="0">
    <w:p w14:paraId="17BE8C3C" w14:textId="77777777" w:rsidR="001F5F6B" w:rsidRDefault="001F5F6B">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C695E" w14:textId="77777777" w:rsidR="001F5F6B" w:rsidRDefault="001F5F6B">
      <w:pPr>
        <w:ind w:firstLine="480"/>
      </w:pPr>
      <w:r>
        <w:separator/>
      </w:r>
    </w:p>
  </w:footnote>
  <w:footnote w:type="continuationSeparator" w:id="0">
    <w:p w14:paraId="0A04FB72" w14:textId="77777777" w:rsidR="001F5F6B" w:rsidRDefault="001F5F6B">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10683"/>
    <w:multiLevelType w:val="multilevel"/>
    <w:tmpl w:val="5AF10683"/>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96188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4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B3B"/>
    <w:rsid w:val="0012176C"/>
    <w:rsid w:val="001F5F6B"/>
    <w:rsid w:val="00333B3B"/>
    <w:rsid w:val="003665CE"/>
    <w:rsid w:val="00375E47"/>
    <w:rsid w:val="00573BCA"/>
    <w:rsid w:val="006A3CBF"/>
    <w:rsid w:val="006B549F"/>
    <w:rsid w:val="0070737E"/>
    <w:rsid w:val="008547AB"/>
    <w:rsid w:val="008A4322"/>
    <w:rsid w:val="00967F44"/>
    <w:rsid w:val="00A9539D"/>
    <w:rsid w:val="00D47864"/>
    <w:rsid w:val="00E62253"/>
    <w:rsid w:val="00EA7692"/>
    <w:rsid w:val="00F33A5E"/>
    <w:rsid w:val="00F81389"/>
    <w:rsid w:val="00F85CA9"/>
    <w:rsid w:val="00FC534A"/>
    <w:rsid w:val="063F18A3"/>
    <w:rsid w:val="0FB72500"/>
    <w:rsid w:val="11FC1B5A"/>
    <w:rsid w:val="156E3D80"/>
    <w:rsid w:val="24C06DAB"/>
    <w:rsid w:val="24FF6AF0"/>
    <w:rsid w:val="303A7457"/>
    <w:rsid w:val="622E6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EB9AB"/>
  <w15:docId w15:val="{9722A536-A04E-4008-A285-7E3CAED9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ind w:firstLineChars="200" w:firstLine="200"/>
      <w:jc w:val="both"/>
    </w:pPr>
    <w:rPr>
      <w:rFonts w:eastAsiaTheme="minorEastAsia"/>
      <w:sz w:val="24"/>
      <w:szCs w:val="24"/>
      <w:lang w:val="en-US"/>
    </w:rPr>
  </w:style>
  <w:style w:type="paragraph" w:styleId="Heading1">
    <w:name w:val="heading 1"/>
    <w:uiPriority w:val="9"/>
    <w:qFormat/>
    <w:pPr>
      <w:spacing w:before="320" w:after="160"/>
      <w:outlineLvl w:val="0"/>
    </w:pPr>
    <w:rPr>
      <w:rFonts w:eastAsia="Times New Roman"/>
      <w:b/>
      <w:bCs/>
      <w:sz w:val="28"/>
      <w:szCs w:val="28"/>
      <w:lang w:val="en-US"/>
    </w:rPr>
  </w:style>
  <w:style w:type="paragraph" w:styleId="Heading2">
    <w:name w:val="heading 2"/>
    <w:uiPriority w:val="9"/>
    <w:unhideWhenUsed/>
    <w:qFormat/>
    <w:pPr>
      <w:spacing w:before="240" w:after="120"/>
      <w:outlineLvl w:val="1"/>
    </w:pPr>
    <w:rPr>
      <w:rFonts w:eastAsia="Times New Roman"/>
      <w:b/>
      <w:bCs/>
      <w:i/>
      <w:iCs/>
      <w:sz w:val="26"/>
      <w:szCs w:val="26"/>
      <w:lang w:val="en-US"/>
    </w:rPr>
  </w:style>
  <w:style w:type="paragraph" w:styleId="Heading3">
    <w:name w:val="heading 3"/>
    <w:uiPriority w:val="9"/>
    <w:semiHidden/>
    <w:unhideWhenUsed/>
    <w:qFormat/>
    <w:pPr>
      <w:outlineLvl w:val="2"/>
    </w:pPr>
    <w:rPr>
      <w:rFonts w:eastAsiaTheme="minorEastAsia"/>
      <w:color w:val="1F4D78"/>
      <w:sz w:val="24"/>
      <w:szCs w:val="24"/>
      <w:lang w:val="en-US"/>
    </w:rPr>
  </w:style>
  <w:style w:type="paragraph" w:styleId="Heading4">
    <w:name w:val="heading 4"/>
    <w:uiPriority w:val="9"/>
    <w:semiHidden/>
    <w:unhideWhenUsed/>
    <w:qFormat/>
    <w:pPr>
      <w:outlineLvl w:val="3"/>
    </w:pPr>
    <w:rPr>
      <w:rFonts w:eastAsiaTheme="minorEastAsia"/>
      <w:i/>
      <w:iCs/>
      <w:color w:val="2E74B5"/>
      <w:sz w:val="24"/>
      <w:szCs w:val="24"/>
      <w:lang w:val="en-US"/>
    </w:rPr>
  </w:style>
  <w:style w:type="paragraph" w:styleId="Heading5">
    <w:name w:val="heading 5"/>
    <w:uiPriority w:val="9"/>
    <w:semiHidden/>
    <w:unhideWhenUsed/>
    <w:qFormat/>
    <w:pPr>
      <w:outlineLvl w:val="4"/>
    </w:pPr>
    <w:rPr>
      <w:rFonts w:eastAsiaTheme="minorEastAsia"/>
      <w:color w:val="2E74B5"/>
      <w:sz w:val="24"/>
      <w:szCs w:val="24"/>
      <w:lang w:val="en-US"/>
    </w:rPr>
  </w:style>
  <w:style w:type="paragraph" w:styleId="Heading6">
    <w:name w:val="heading 6"/>
    <w:uiPriority w:val="9"/>
    <w:semiHidden/>
    <w:unhideWhenUsed/>
    <w:qFormat/>
    <w:pPr>
      <w:outlineLvl w:val="5"/>
    </w:pPr>
    <w:rPr>
      <w:rFonts w:eastAsiaTheme="minorEastAsia"/>
      <w:color w:val="1F4D7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link w:val="EndnoteTextChar"/>
    <w:uiPriority w:val="99"/>
    <w:semiHidden/>
    <w:unhideWhenUsed/>
    <w:qFormat/>
    <w:rPr>
      <w:rFonts w:eastAsiaTheme="minorEastAsia"/>
      <w:lang w:val="en-US"/>
    </w:rPr>
  </w:style>
  <w:style w:type="paragraph" w:styleId="FootnoteText">
    <w:name w:val="footnote text"/>
    <w:link w:val="FootnoteTextChar"/>
    <w:uiPriority w:val="99"/>
    <w:semiHidden/>
    <w:unhideWhenUsed/>
    <w:qFormat/>
    <w:rPr>
      <w:rFonts w:eastAsiaTheme="minorEastAsia"/>
      <w:lang w:val="en-US"/>
    </w:rPr>
  </w:style>
  <w:style w:type="paragraph" w:styleId="Title">
    <w:name w:val="Title"/>
    <w:uiPriority w:val="10"/>
    <w:qFormat/>
    <w:rPr>
      <w:rFonts w:eastAsiaTheme="minorEastAsia"/>
      <w:sz w:val="56"/>
      <w:szCs w:val="56"/>
      <w:lang w:val="en-US"/>
    </w:rPr>
  </w:style>
  <w:style w:type="character" w:styleId="EndnoteReference">
    <w:name w:val="endnote reference"/>
    <w:uiPriority w:val="99"/>
    <w:semiHidden/>
    <w:unhideWhenUsed/>
    <w:qFormat/>
    <w:rPr>
      <w:vertAlign w:val="superscript"/>
    </w:rPr>
  </w:style>
  <w:style w:type="character" w:styleId="Hyperlink">
    <w:name w:val="Hyperlink"/>
    <w:uiPriority w:val="99"/>
    <w:unhideWhenUsed/>
    <w:qFormat/>
    <w:rPr>
      <w:color w:val="0563C1"/>
      <w:u w:val="single"/>
    </w:rPr>
  </w:style>
  <w:style w:type="character" w:styleId="FootnoteReference">
    <w:name w:val="footnote reference"/>
    <w:uiPriority w:val="99"/>
    <w:semiHidden/>
    <w:unhideWhenUsed/>
    <w:qFormat/>
    <w:rPr>
      <w:vertAlign w:val="superscript"/>
    </w:rPr>
  </w:style>
  <w:style w:type="paragraph" w:customStyle="1" w:styleId="1">
    <w:name w:val="要点1"/>
    <w:qFormat/>
    <w:rPr>
      <w:rFonts w:eastAsiaTheme="minorEastAsia"/>
      <w:b/>
      <w:bCs/>
      <w:sz w:val="24"/>
      <w:szCs w:val="24"/>
      <w:lang w:val="en-US"/>
    </w:rPr>
  </w:style>
  <w:style w:type="paragraph" w:styleId="ListParagraph">
    <w:name w:val="List Paragraph"/>
    <w:qFormat/>
    <w:rPr>
      <w:rFonts w:eastAsiaTheme="minorEastAsia"/>
      <w:sz w:val="24"/>
      <w:szCs w:val="24"/>
      <w:lang w:val="en-US"/>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paragraph" w:styleId="Revision">
    <w:name w:val="Revision"/>
    <w:hidden/>
    <w:uiPriority w:val="99"/>
    <w:unhideWhenUsed/>
    <w:rsid w:val="00EA7692"/>
    <w:rPr>
      <w:rFonts w:eastAsiaTheme="minorEastAsia"/>
      <w:sz w:val="24"/>
      <w:szCs w:val="24"/>
      <w:lang w:val="en-US"/>
    </w:rPr>
  </w:style>
  <w:style w:type="table" w:styleId="TableGrid">
    <w:name w:val="Table Grid"/>
    <w:basedOn w:val="TableNormal"/>
    <w:uiPriority w:val="39"/>
    <w:rsid w:val="00707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3740</Words>
  <Characters>21318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Acer NB1</cp:lastModifiedBy>
  <cp:revision>3</cp:revision>
  <dcterms:created xsi:type="dcterms:W3CDTF">2026-07-22T17:00:00Z</dcterms:created>
  <dcterms:modified xsi:type="dcterms:W3CDTF">2026-07-23T07:47:00Z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3980EA7D98274F5481A4BE7E4B0F7EF0_13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965017ce-ea1d-43fd-abfd-9648d999c850</vt:lpwstr>
  </property>
</Properties>
</file>