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20855" w14:textId="77777777" w:rsidR="00A46A91" w:rsidRPr="00B7392D" w:rsidRDefault="00000000" w:rsidP="00B7392D">
      <w:pPr>
        <w:snapToGrid w:val="0"/>
        <w:jc w:val="left"/>
        <w:rPr>
          <w:rFonts w:ascii="Times New Roman" w:hAnsi="Times New Roman"/>
          <w:b/>
          <w:bCs/>
          <w:sz w:val="44"/>
          <w:szCs w:val="44"/>
        </w:rPr>
      </w:pPr>
      <w:r w:rsidRPr="00B7392D">
        <w:rPr>
          <w:rFonts w:ascii="Times New Roman" w:hAnsi="Times New Roman" w:hint="eastAsia"/>
          <w:b/>
          <w:bCs/>
          <w:sz w:val="44"/>
          <w:szCs w:val="44"/>
        </w:rPr>
        <w:t>Data Privacy and Patient Consent in Smart Hospitals over the Past Decade</w:t>
      </w:r>
    </w:p>
    <w:p w14:paraId="72402CCA" w14:textId="452A12E1" w:rsidR="00A46A91" w:rsidRPr="00B7392D" w:rsidRDefault="00000000" w:rsidP="00B7392D">
      <w:pPr>
        <w:snapToGrid w:val="0"/>
        <w:rPr>
          <w:rFonts w:ascii="Times New Roman" w:hAnsi="Times New Roman"/>
          <w:sz w:val="24"/>
        </w:rPr>
      </w:pPr>
      <w:r w:rsidRPr="00B7392D">
        <w:rPr>
          <w:rFonts w:ascii="Times New Roman" w:hAnsi="Times New Roman" w:hint="eastAsia"/>
          <w:b/>
          <w:bCs/>
          <w:sz w:val="24"/>
        </w:rPr>
        <w:t>Tongxing Zheng, Lin Zhang</w:t>
      </w:r>
    </w:p>
    <w:p w14:paraId="23032FD4" w14:textId="77777777" w:rsidR="00A46A91" w:rsidRPr="00B7392D" w:rsidRDefault="00000000" w:rsidP="00B7392D">
      <w:pPr>
        <w:snapToGrid w:val="0"/>
        <w:rPr>
          <w:rFonts w:ascii="Times New Roman" w:hAnsi="Times New Roman"/>
          <w:sz w:val="24"/>
        </w:rPr>
      </w:pPr>
      <w:r w:rsidRPr="00B7392D">
        <w:rPr>
          <w:rFonts w:ascii="Times New Roman" w:hAnsi="Times New Roman"/>
          <w:sz w:val="24"/>
        </w:rPr>
        <w:t>Information Center, The Second Affiliated Hospital of Wenzhou Medical University, Wenzhou, Zhejiang, China</w:t>
      </w:r>
    </w:p>
    <w:p w14:paraId="4C4EA7F7" w14:textId="77777777" w:rsidR="00A46A91" w:rsidRDefault="00A46A91" w:rsidP="00BB09EA">
      <w:pPr>
        <w:snapToGrid w:val="0"/>
        <w:rPr>
          <w:rFonts w:ascii="Times New Roman" w:hAnsi="Times New Roman"/>
          <w:b/>
          <w:bCs/>
          <w:sz w:val="24"/>
        </w:rPr>
      </w:pPr>
    </w:p>
    <w:p w14:paraId="026FCB13" w14:textId="77777777" w:rsidR="00BB09EA" w:rsidRPr="00B7392D" w:rsidRDefault="00BB09EA" w:rsidP="00BB09EA">
      <w:pPr>
        <w:snapToGrid w:val="0"/>
        <w:rPr>
          <w:rFonts w:ascii="Times New Roman" w:hAnsi="Times New Roman"/>
          <w:b/>
          <w:bCs/>
          <w:sz w:val="20"/>
          <w:szCs w:val="20"/>
        </w:rPr>
      </w:pPr>
      <w:r w:rsidRPr="00B7392D">
        <w:rPr>
          <w:rFonts w:ascii="Times New Roman" w:hAnsi="Times New Roman"/>
          <w:b/>
          <w:bCs/>
          <w:sz w:val="20"/>
          <w:szCs w:val="20"/>
        </w:rPr>
        <w:t xml:space="preserve">Copyright: </w:t>
      </w:r>
      <w:r w:rsidRPr="00B7392D">
        <w:rPr>
          <w:rFonts w:ascii="Times New Roman" w:hAnsi="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4F107B37" w14:textId="77777777" w:rsidR="00BB09EA" w:rsidRDefault="00BB09EA" w:rsidP="00BB09EA">
      <w:pPr>
        <w:snapToGrid w:val="0"/>
        <w:rPr>
          <w:rFonts w:ascii="Times New Roman" w:hAnsi="Times New Roman"/>
          <w:b/>
          <w:bCs/>
          <w:sz w:val="24"/>
        </w:rPr>
      </w:pPr>
    </w:p>
    <w:p w14:paraId="008E814E" w14:textId="7651FCD8" w:rsidR="00A46A91" w:rsidRPr="00B7392D" w:rsidRDefault="00000000" w:rsidP="00B7392D">
      <w:pPr>
        <w:snapToGrid w:val="0"/>
        <w:rPr>
          <w:rFonts w:ascii="Times New Roman" w:hAnsi="Times New Roman"/>
          <w:sz w:val="24"/>
        </w:rPr>
      </w:pPr>
      <w:r w:rsidRPr="00B7392D">
        <w:rPr>
          <w:rFonts w:ascii="Times New Roman" w:hAnsi="Times New Roman" w:hint="eastAsia"/>
          <w:b/>
          <w:bCs/>
          <w:sz w:val="24"/>
        </w:rPr>
        <w:t>Abstract</w:t>
      </w:r>
      <w:r w:rsidR="00BB09EA" w:rsidRPr="00B7392D">
        <w:rPr>
          <w:rFonts w:ascii="Times New Roman" w:hAnsi="Times New Roman"/>
          <w:b/>
          <w:bCs/>
          <w:sz w:val="24"/>
        </w:rPr>
        <w:t xml:space="preserve">: </w:t>
      </w:r>
      <w:r w:rsidR="00BB09EA" w:rsidRPr="00B7392D">
        <w:rPr>
          <w:rFonts w:ascii="Times New Roman" w:hAnsi="Times New Roman"/>
          <w:sz w:val="24"/>
        </w:rPr>
        <w:t>Over the past decade, the construction of data-driven smart hospitals has profoundly changed the medical service model</w:t>
      </w:r>
      <w:r w:rsidRPr="00B7392D">
        <w:rPr>
          <w:rFonts w:ascii="Times New Roman" w:hAnsi="Times New Roman" w:hint="eastAsia"/>
          <w:sz w:val="24"/>
        </w:rPr>
        <w:t xml:space="preserve"> and has also made data privacy and patient informed consent core ethical and legal issues. This study systematically sorts out the practical evolution of data privacy protection and informed consent in smart hospitals from 2016 to 2026, reveals the structural tension of </w:t>
      </w:r>
      <w:r w:rsidR="00BB09EA">
        <w:rPr>
          <w:rFonts w:ascii="Times New Roman" w:hAnsi="Times New Roman"/>
          <w:sz w:val="24"/>
        </w:rPr>
        <w:t>“</w:t>
      </w:r>
      <w:r w:rsidRPr="00B7392D">
        <w:rPr>
          <w:rFonts w:ascii="Times New Roman" w:hAnsi="Times New Roman" w:hint="eastAsia"/>
          <w:sz w:val="24"/>
        </w:rPr>
        <w:t>advanced technology and lagging system</w:t>
      </w:r>
      <w:r w:rsidR="00BB09EA">
        <w:rPr>
          <w:rFonts w:ascii="Times New Roman" w:hAnsi="Times New Roman"/>
          <w:sz w:val="24"/>
        </w:rPr>
        <w:t>”</w:t>
      </w:r>
      <w:r w:rsidRPr="00B7392D">
        <w:rPr>
          <w:rFonts w:ascii="Times New Roman" w:hAnsi="Times New Roman" w:hint="eastAsia"/>
          <w:sz w:val="24"/>
        </w:rPr>
        <w:t xml:space="preserve">, and finds that informed consent is falling into the dilemma of scene generalization and formalization, data ownership is still pending in the legal ambiguity zone, and technical governance brings privacy risks while improving efficiency, forming a </w:t>
      </w:r>
      <w:r w:rsidR="00BB09EA">
        <w:rPr>
          <w:rFonts w:ascii="Times New Roman" w:hAnsi="Times New Roman"/>
          <w:sz w:val="24"/>
        </w:rPr>
        <w:t>“</w:t>
      </w:r>
      <w:r w:rsidRPr="00B7392D">
        <w:rPr>
          <w:rFonts w:ascii="Times New Roman" w:hAnsi="Times New Roman" w:hint="eastAsia"/>
          <w:sz w:val="24"/>
        </w:rPr>
        <w:t>double-edged sword</w:t>
      </w:r>
      <w:r w:rsidR="00BB09EA">
        <w:rPr>
          <w:rFonts w:ascii="Times New Roman" w:hAnsi="Times New Roman"/>
          <w:sz w:val="24"/>
        </w:rPr>
        <w:t>”</w:t>
      </w:r>
      <w:r w:rsidRPr="00B7392D">
        <w:rPr>
          <w:rFonts w:ascii="Times New Roman" w:hAnsi="Times New Roman" w:hint="eastAsia"/>
          <w:sz w:val="24"/>
        </w:rPr>
        <w:t xml:space="preserve"> effect. On this basis, the study puts forward that the key to break through the dilemma lies in the transition from </w:t>
      </w:r>
      <w:r w:rsidR="00BB09EA">
        <w:rPr>
          <w:rFonts w:ascii="Times New Roman" w:hAnsi="Times New Roman"/>
          <w:sz w:val="24"/>
        </w:rPr>
        <w:t>“</w:t>
      </w:r>
      <w:r w:rsidRPr="00B7392D">
        <w:rPr>
          <w:rFonts w:ascii="Times New Roman" w:hAnsi="Times New Roman" w:hint="eastAsia"/>
          <w:sz w:val="24"/>
        </w:rPr>
        <w:t>one-time authorization</w:t>
      </w:r>
      <w:r w:rsidR="00BB09EA">
        <w:rPr>
          <w:rFonts w:ascii="Times New Roman" w:hAnsi="Times New Roman"/>
          <w:sz w:val="24"/>
        </w:rPr>
        <w:t>”</w:t>
      </w:r>
      <w:r w:rsidRPr="00B7392D">
        <w:rPr>
          <w:rFonts w:ascii="Times New Roman" w:hAnsi="Times New Roman" w:hint="eastAsia"/>
          <w:sz w:val="24"/>
        </w:rPr>
        <w:t xml:space="preserve"> to </w:t>
      </w:r>
      <w:r w:rsidR="00BB09EA">
        <w:rPr>
          <w:rFonts w:ascii="Times New Roman" w:hAnsi="Times New Roman"/>
          <w:sz w:val="24"/>
        </w:rPr>
        <w:t>“</w:t>
      </w:r>
      <w:r w:rsidRPr="00B7392D">
        <w:rPr>
          <w:rFonts w:ascii="Times New Roman" w:hAnsi="Times New Roman" w:hint="eastAsia"/>
          <w:sz w:val="24"/>
        </w:rPr>
        <w:t>dynamic informed consent</w:t>
      </w:r>
      <w:r w:rsidR="00BB09EA">
        <w:rPr>
          <w:rFonts w:ascii="Times New Roman" w:hAnsi="Times New Roman"/>
          <w:sz w:val="24"/>
        </w:rPr>
        <w:t>”</w:t>
      </w:r>
      <w:r w:rsidRPr="00B7392D">
        <w:rPr>
          <w:rFonts w:ascii="Times New Roman" w:hAnsi="Times New Roman" w:hint="eastAsia"/>
          <w:sz w:val="24"/>
        </w:rPr>
        <w:t xml:space="preserve"> mechanism, the construction of a three-dimensional protection framework of </w:t>
      </w:r>
      <w:r w:rsidR="00BB09EA">
        <w:rPr>
          <w:rFonts w:ascii="Times New Roman" w:hAnsi="Times New Roman"/>
          <w:sz w:val="24"/>
        </w:rPr>
        <w:t>“</w:t>
      </w:r>
      <w:r w:rsidRPr="00B7392D">
        <w:rPr>
          <w:rFonts w:ascii="Times New Roman" w:hAnsi="Times New Roman" w:hint="eastAsia"/>
          <w:sz w:val="24"/>
        </w:rPr>
        <w:t>legal regulation-technical guarantee-collaborative governance</w:t>
      </w:r>
      <w:r w:rsidR="00BB09EA">
        <w:rPr>
          <w:rFonts w:ascii="Times New Roman" w:hAnsi="Times New Roman"/>
          <w:sz w:val="24"/>
        </w:rPr>
        <w:t>”,</w:t>
      </w:r>
      <w:r w:rsidRPr="00B7392D">
        <w:rPr>
          <w:rFonts w:ascii="Times New Roman" w:hAnsi="Times New Roman" w:hint="eastAsia"/>
          <w:sz w:val="24"/>
        </w:rPr>
        <w:t xml:space="preserve"> and the promotion of institutional innovation in data rights confirmation and benefit distribution; only by putting patients at the center of data governance can we maintain the ethical bottom line in the digital transformation of medical care.</w:t>
      </w:r>
    </w:p>
    <w:p w14:paraId="76034741" w14:textId="57C95D04" w:rsidR="00A46A91" w:rsidRPr="00B7392D" w:rsidRDefault="00BB09EA" w:rsidP="00B7392D">
      <w:pPr>
        <w:snapToGrid w:val="0"/>
        <w:rPr>
          <w:rFonts w:ascii="Times New Roman" w:hAnsi="Times New Roman"/>
          <w:sz w:val="24"/>
        </w:rPr>
      </w:pPr>
      <w:r>
        <w:rPr>
          <w:rFonts w:ascii="Times New Roman" w:hAnsi="Times New Roman"/>
          <w:b/>
          <w:bCs/>
          <w:sz w:val="24"/>
        </w:rPr>
        <w:t xml:space="preserve">Keywords: </w:t>
      </w:r>
      <w:r>
        <w:rPr>
          <w:rFonts w:ascii="Times New Roman" w:hAnsi="Times New Roman"/>
          <w:sz w:val="24"/>
        </w:rPr>
        <w:t>Smart hospital; Data privacy; Informed consent; Patient’s rights; Data governance</w:t>
      </w:r>
    </w:p>
    <w:p w14:paraId="76D1721C" w14:textId="77777777" w:rsidR="00A46A91" w:rsidRDefault="00A46A91" w:rsidP="00BB09EA">
      <w:pPr>
        <w:snapToGrid w:val="0"/>
        <w:rPr>
          <w:rFonts w:ascii="Times New Roman" w:hAnsi="Times New Roman"/>
          <w:sz w:val="24"/>
        </w:rPr>
      </w:pPr>
    </w:p>
    <w:p w14:paraId="4BC728C0" w14:textId="02F44583" w:rsidR="00BB09EA" w:rsidRPr="00B7392D" w:rsidRDefault="00BB09EA" w:rsidP="00BB09EA">
      <w:pPr>
        <w:snapToGrid w:val="0"/>
        <w:rPr>
          <w:rFonts w:ascii="Times New Roman" w:hAnsi="Times New Roman"/>
          <w:b/>
          <w:bCs/>
          <w:sz w:val="24"/>
        </w:rPr>
      </w:pPr>
      <w:r w:rsidRPr="00B7392D">
        <w:rPr>
          <w:rFonts w:ascii="Times New Roman" w:hAnsi="Times New Roman"/>
          <w:b/>
          <w:bCs/>
          <w:sz w:val="24"/>
        </w:rPr>
        <w:t>Online publication:</w:t>
      </w:r>
    </w:p>
    <w:p w14:paraId="735556D4" w14:textId="77777777" w:rsidR="00BB09EA" w:rsidRPr="00B7392D" w:rsidRDefault="00BB09EA" w:rsidP="00B7392D">
      <w:pPr>
        <w:snapToGrid w:val="0"/>
        <w:rPr>
          <w:rFonts w:ascii="Times New Roman" w:hAnsi="Times New Roman"/>
          <w:b/>
          <w:bCs/>
          <w:sz w:val="24"/>
        </w:rPr>
      </w:pPr>
    </w:p>
    <w:p w14:paraId="5C139E52" w14:textId="63024B5A" w:rsidR="00A46A91" w:rsidRPr="00B7392D" w:rsidRDefault="00BB09EA" w:rsidP="00B7392D">
      <w:pPr>
        <w:snapToGrid w:val="0"/>
        <w:rPr>
          <w:rFonts w:ascii="Times New Roman" w:hAnsi="Times New Roman"/>
          <w:b/>
          <w:bCs/>
          <w:sz w:val="24"/>
        </w:rPr>
      </w:pPr>
      <w:r>
        <w:rPr>
          <w:rFonts w:ascii="Times New Roman" w:hAnsi="Times New Roman"/>
          <w:b/>
          <w:bCs/>
          <w:sz w:val="24"/>
        </w:rPr>
        <w:t xml:space="preserve">1. </w:t>
      </w:r>
      <w:r w:rsidR="00000000" w:rsidRPr="00B7392D">
        <w:rPr>
          <w:rFonts w:ascii="Times New Roman" w:hAnsi="Times New Roman" w:hint="eastAsia"/>
          <w:b/>
          <w:bCs/>
          <w:sz w:val="24"/>
        </w:rPr>
        <w:t>Introduction</w:t>
      </w:r>
    </w:p>
    <w:p w14:paraId="77AD9D42" w14:textId="4692CE19" w:rsidR="00A46A91" w:rsidRPr="00B7392D" w:rsidRDefault="00000000" w:rsidP="00B7392D">
      <w:pPr>
        <w:snapToGrid w:val="0"/>
        <w:rPr>
          <w:rFonts w:ascii="Times New Roman" w:hAnsi="Times New Roman"/>
          <w:sz w:val="24"/>
        </w:rPr>
      </w:pPr>
      <w:r w:rsidRPr="00B7392D">
        <w:rPr>
          <w:rFonts w:ascii="Times New Roman" w:hAnsi="Times New Roman" w:hint="eastAsia"/>
          <w:sz w:val="24"/>
        </w:rPr>
        <w:t xml:space="preserve">Smart hospital is not a sudden concept. Over the past decade, on the one hand, the widespread popularity of electronic medical records and the gradual implementation of artificial intelligence-assisted diagnosis and treatment, on the other hand, the entry of wearable devices into the clinic and the real-time recording of doctor-patient dialogue by </w:t>
      </w:r>
      <w:r w:rsidR="00BB09EA">
        <w:rPr>
          <w:rFonts w:ascii="Times New Roman" w:hAnsi="Times New Roman"/>
          <w:sz w:val="24"/>
        </w:rPr>
        <w:t>‘</w:t>
      </w:r>
      <w:r w:rsidRPr="00B7392D">
        <w:rPr>
          <w:rFonts w:ascii="Times New Roman" w:hAnsi="Times New Roman" w:hint="eastAsia"/>
          <w:sz w:val="24"/>
        </w:rPr>
        <w:t>environmental clinical AI</w:t>
      </w:r>
      <w:r w:rsidR="00BB09EA">
        <w:rPr>
          <w:rFonts w:ascii="Times New Roman" w:hAnsi="Times New Roman"/>
          <w:sz w:val="24"/>
        </w:rPr>
        <w:t>‘</w:t>
      </w:r>
      <w:r w:rsidRPr="00B7392D">
        <w:rPr>
          <w:rFonts w:ascii="Times New Roman" w:hAnsi="Times New Roman" w:hint="eastAsia"/>
          <w:sz w:val="24"/>
        </w:rPr>
        <w:t>, these changes have gradually brought the digital transformation of medical services from the original vision into daily reality</w:t>
      </w:r>
      <w:r w:rsidR="00BB09EA">
        <w:rPr>
          <w:rFonts w:ascii="Times New Roman" w:hAnsi="Times New Roman"/>
          <w:sz w:val="24"/>
        </w:rPr>
        <w:t xml:space="preserve"> </w:t>
      </w:r>
      <w:r w:rsidRPr="00B7392D">
        <w:rPr>
          <w:rFonts w:ascii="Times New Roman" w:hAnsi="Times New Roman" w:hint="eastAsia"/>
          <w:sz w:val="24"/>
          <w:vertAlign w:val="superscript"/>
        </w:rPr>
        <w:t>[1]</w:t>
      </w:r>
      <w:r w:rsidRPr="00B7392D">
        <w:rPr>
          <w:rFonts w:ascii="Times New Roman" w:hAnsi="Times New Roman" w:hint="eastAsia"/>
          <w:sz w:val="24"/>
        </w:rPr>
        <w:t>. The core driving force of this profound transformation is data. If the collection, circulation</w:t>
      </w:r>
      <w:r w:rsidR="00BB09EA" w:rsidRPr="00B7392D">
        <w:rPr>
          <w:rFonts w:ascii="Times New Roman" w:hAnsi="Times New Roman"/>
          <w:sz w:val="24"/>
        </w:rPr>
        <w:t>,</w:t>
      </w:r>
      <w:r w:rsidRPr="00B7392D">
        <w:rPr>
          <w:rFonts w:ascii="Times New Roman" w:hAnsi="Times New Roman" w:hint="eastAsia"/>
          <w:sz w:val="24"/>
        </w:rPr>
        <w:t xml:space="preserve"> and training of massive health data are missing, smart medical care will completely lose its foundation and be impossible to talk about</w:t>
      </w:r>
      <w:r w:rsidR="00BB09EA">
        <w:rPr>
          <w:rFonts w:ascii="Times New Roman" w:hAnsi="Times New Roman"/>
          <w:sz w:val="24"/>
        </w:rPr>
        <w:t xml:space="preserve"> </w:t>
      </w:r>
      <w:r w:rsidRPr="00B7392D">
        <w:rPr>
          <w:rFonts w:ascii="Times New Roman" w:hAnsi="Times New Roman" w:hint="eastAsia"/>
          <w:sz w:val="24"/>
          <w:vertAlign w:val="superscript"/>
        </w:rPr>
        <w:t>[2]</w:t>
      </w:r>
      <w:r w:rsidRPr="00B7392D">
        <w:rPr>
          <w:rFonts w:ascii="Times New Roman" w:hAnsi="Times New Roman" w:hint="eastAsia"/>
          <w:sz w:val="24"/>
        </w:rPr>
        <w:t>.</w:t>
      </w:r>
    </w:p>
    <w:p w14:paraId="5A76D547" w14:textId="272C8615"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 xml:space="preserve">However, it is precisely this set of </w:t>
      </w:r>
      <w:r w:rsidR="00BB09EA">
        <w:rPr>
          <w:rFonts w:ascii="Times New Roman" w:hAnsi="Times New Roman"/>
          <w:sz w:val="24"/>
        </w:rPr>
        <w:t xml:space="preserve">‘data-driven’ </w:t>
      </w:r>
      <w:r w:rsidRPr="00B7392D">
        <w:rPr>
          <w:rFonts w:ascii="Times New Roman" w:hAnsi="Times New Roman" w:hint="eastAsia"/>
          <w:sz w:val="24"/>
        </w:rPr>
        <w:t>logic that pushes patient privacy protection to unprecedented challenges</w:t>
      </w:r>
      <w:r w:rsidR="00BB09EA">
        <w:rPr>
          <w:rFonts w:ascii="Times New Roman" w:hAnsi="Times New Roman"/>
          <w:sz w:val="24"/>
        </w:rPr>
        <w:t xml:space="preserve"> </w:t>
      </w:r>
      <w:r w:rsidRPr="00B7392D">
        <w:rPr>
          <w:rFonts w:ascii="Times New Roman" w:hAnsi="Times New Roman" w:hint="eastAsia"/>
          <w:sz w:val="24"/>
          <w:vertAlign w:val="superscript"/>
        </w:rPr>
        <w:t>[3]</w:t>
      </w:r>
      <w:r w:rsidRPr="00B7392D">
        <w:rPr>
          <w:rFonts w:ascii="Times New Roman" w:hAnsi="Times New Roman" w:hint="eastAsia"/>
          <w:sz w:val="24"/>
        </w:rPr>
        <w:t xml:space="preserve">. Medical and health information has been clearly classified into the category of </w:t>
      </w:r>
      <w:r w:rsidR="00BB09EA">
        <w:rPr>
          <w:rFonts w:ascii="Times New Roman" w:hAnsi="Times New Roman"/>
          <w:sz w:val="24"/>
        </w:rPr>
        <w:t>“</w:t>
      </w:r>
      <w:r w:rsidRPr="00B7392D">
        <w:rPr>
          <w:rFonts w:ascii="Times New Roman" w:hAnsi="Times New Roman" w:hint="eastAsia"/>
          <w:sz w:val="24"/>
        </w:rPr>
        <w:t>sensitive personal information</w:t>
      </w:r>
      <w:r w:rsidR="00BB09EA">
        <w:rPr>
          <w:rFonts w:ascii="Times New Roman" w:hAnsi="Times New Roman"/>
          <w:sz w:val="24"/>
        </w:rPr>
        <w:t>”</w:t>
      </w:r>
      <w:r w:rsidRPr="00B7392D">
        <w:rPr>
          <w:rFonts w:ascii="Times New Roman" w:hAnsi="Times New Roman" w:hint="eastAsia"/>
          <w:sz w:val="24"/>
        </w:rPr>
        <w:t xml:space="preserve"> defined in Article 28 of the Personal Information Protection Law.</w:t>
      </w:r>
      <w:r w:rsidR="00BB09EA" w:rsidRPr="00B7392D">
        <w:rPr>
          <w:rFonts w:ascii="Times New Roman" w:hAnsi="Times New Roman"/>
          <w:sz w:val="24"/>
        </w:rPr>
        <w:t xml:space="preserve"> </w:t>
      </w:r>
      <w:r w:rsidRPr="00B7392D">
        <w:rPr>
          <w:rFonts w:ascii="Times New Roman" w:hAnsi="Times New Roman" w:hint="eastAsia"/>
          <w:sz w:val="24"/>
        </w:rPr>
        <w:t>Once it is leaked or abused, it is likely to bring immeasurable damage to the patient</w:t>
      </w:r>
      <w:r w:rsidR="005C716C">
        <w:rPr>
          <w:rFonts w:ascii="Times New Roman" w:hAnsi="Times New Roman"/>
          <w:sz w:val="24"/>
        </w:rPr>
        <w:t>’</w:t>
      </w:r>
      <w:r w:rsidRPr="00B7392D">
        <w:rPr>
          <w:rFonts w:ascii="Times New Roman" w:hAnsi="Times New Roman" w:hint="eastAsia"/>
          <w:sz w:val="24"/>
        </w:rPr>
        <w:t>s life, social evaluation</w:t>
      </w:r>
      <w:r w:rsidR="00BB09EA" w:rsidRPr="00B7392D">
        <w:rPr>
          <w:rFonts w:ascii="Times New Roman" w:hAnsi="Times New Roman"/>
          <w:sz w:val="24"/>
        </w:rPr>
        <w:t>,</w:t>
      </w:r>
      <w:r w:rsidRPr="00B7392D">
        <w:rPr>
          <w:rFonts w:ascii="Times New Roman" w:hAnsi="Times New Roman" w:hint="eastAsia"/>
          <w:sz w:val="24"/>
        </w:rPr>
        <w:t xml:space="preserve"> and even personal dignity. On the other hand, the patient</w:t>
      </w:r>
      <w:r w:rsidR="005C716C">
        <w:rPr>
          <w:rFonts w:ascii="Times New Roman" w:hAnsi="Times New Roman"/>
          <w:sz w:val="24"/>
        </w:rPr>
        <w:t>’</w:t>
      </w:r>
      <w:r w:rsidRPr="00B7392D">
        <w:rPr>
          <w:rFonts w:ascii="Times New Roman" w:hAnsi="Times New Roman" w:hint="eastAsia"/>
          <w:sz w:val="24"/>
        </w:rPr>
        <w:t xml:space="preserve">s informed consent, the core principle of traditional medical ethics, has also fallen into a crisis of applicability in the context of smart hospitals: the use of data is expanding, and the circulation chain has become increasingly complex. The practice of </w:t>
      </w:r>
      <w:r w:rsidR="00BB09EA">
        <w:rPr>
          <w:rFonts w:ascii="Times New Roman" w:hAnsi="Times New Roman"/>
          <w:sz w:val="24"/>
        </w:rPr>
        <w:t>“</w:t>
      </w:r>
      <w:r w:rsidRPr="00B7392D">
        <w:rPr>
          <w:rFonts w:ascii="Times New Roman" w:hAnsi="Times New Roman" w:hint="eastAsia"/>
          <w:sz w:val="24"/>
        </w:rPr>
        <w:t>one-time notification and one-time signature</w:t>
      </w:r>
      <w:r w:rsidR="00BB09EA">
        <w:rPr>
          <w:rFonts w:ascii="Times New Roman" w:hAnsi="Times New Roman"/>
          <w:sz w:val="24"/>
        </w:rPr>
        <w:t>”</w:t>
      </w:r>
      <w:r w:rsidRPr="00B7392D">
        <w:rPr>
          <w:rFonts w:ascii="Times New Roman" w:hAnsi="Times New Roman" w:hint="eastAsia"/>
          <w:sz w:val="24"/>
        </w:rPr>
        <w:t xml:space="preserve"> has been difficult to truly achieve full informed and independent choice</w:t>
      </w:r>
      <w:r w:rsidR="00BB09EA">
        <w:rPr>
          <w:rFonts w:ascii="Times New Roman" w:hAnsi="Times New Roman"/>
          <w:sz w:val="24"/>
        </w:rPr>
        <w:t xml:space="preserve"> </w:t>
      </w:r>
      <w:r w:rsidRPr="00B7392D">
        <w:rPr>
          <w:rFonts w:ascii="Times New Roman" w:hAnsi="Times New Roman" w:hint="eastAsia"/>
          <w:sz w:val="24"/>
          <w:vertAlign w:val="superscript"/>
        </w:rPr>
        <w:t>[4]</w:t>
      </w:r>
      <w:r w:rsidRPr="00B7392D">
        <w:rPr>
          <w:rFonts w:ascii="Times New Roman" w:hAnsi="Times New Roman" w:hint="eastAsia"/>
          <w:sz w:val="24"/>
        </w:rPr>
        <w:t>.</w:t>
      </w:r>
    </w:p>
    <w:p w14:paraId="1BE0D8A4" w14:textId="66059BCE"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 xml:space="preserve">This paper mainly reviews the practical evolution and institutional response of data privacy and </w:t>
      </w:r>
      <w:r w:rsidR="00BB09EA">
        <w:rPr>
          <w:rFonts w:ascii="Times New Roman" w:hAnsi="Times New Roman"/>
          <w:sz w:val="24"/>
        </w:rPr>
        <w:t>patients’</w:t>
      </w:r>
      <w:r w:rsidRPr="00B7392D">
        <w:rPr>
          <w:rFonts w:ascii="Times New Roman" w:hAnsi="Times New Roman" w:hint="eastAsia"/>
          <w:sz w:val="24"/>
        </w:rPr>
        <w:t xml:space="preserve"> informed consent in the context of smart hospitals in the past decade, analyzes the core dilemmas, and discusses the future-oriented optimization path</w:t>
      </w:r>
      <w:r w:rsidR="00BB09EA">
        <w:rPr>
          <w:rFonts w:ascii="Times New Roman" w:hAnsi="Times New Roman"/>
          <w:sz w:val="24"/>
        </w:rPr>
        <w:t xml:space="preserve"> </w:t>
      </w:r>
      <w:r w:rsidRPr="00B7392D">
        <w:rPr>
          <w:rFonts w:ascii="Times New Roman" w:hAnsi="Times New Roman" w:hint="eastAsia"/>
          <w:sz w:val="24"/>
          <w:vertAlign w:val="superscript"/>
        </w:rPr>
        <w:t>[5]</w:t>
      </w:r>
      <w:r w:rsidRPr="00B7392D">
        <w:rPr>
          <w:rFonts w:ascii="Times New Roman" w:hAnsi="Times New Roman" w:hint="eastAsia"/>
          <w:sz w:val="24"/>
        </w:rPr>
        <w:t>. The core argument of the research is that the data governance of smart hospitals must not be at the expense of patient autonomy, and the construction of a dynamic, layered</w:t>
      </w:r>
      <w:r w:rsidR="005C716C">
        <w:rPr>
          <w:rFonts w:ascii="Times New Roman" w:hAnsi="Times New Roman"/>
          <w:sz w:val="24"/>
        </w:rPr>
        <w:t>,</w:t>
      </w:r>
      <w:r w:rsidRPr="00B7392D">
        <w:rPr>
          <w:rFonts w:ascii="Times New Roman" w:hAnsi="Times New Roman" w:hint="eastAsia"/>
          <w:sz w:val="24"/>
        </w:rPr>
        <w:t xml:space="preserve"> and traceable informed consent mechanism and data protection system is an unavoidable ethical bottom line in the process of medical digital transformation.</w:t>
      </w:r>
    </w:p>
    <w:p w14:paraId="1BE3C8DF" w14:textId="77777777" w:rsidR="00A46A91" w:rsidRPr="00B7392D" w:rsidRDefault="00A46A91" w:rsidP="00B7392D">
      <w:pPr>
        <w:snapToGrid w:val="0"/>
        <w:ind w:firstLineChars="200" w:firstLine="480"/>
        <w:rPr>
          <w:rFonts w:ascii="Times New Roman" w:hAnsi="Times New Roman"/>
          <w:sz w:val="24"/>
        </w:rPr>
      </w:pPr>
    </w:p>
    <w:p w14:paraId="0C9DDCD2" w14:textId="0037195D" w:rsidR="00A46A91" w:rsidRPr="00B7392D" w:rsidRDefault="00BB09EA" w:rsidP="00B7392D">
      <w:pPr>
        <w:snapToGrid w:val="0"/>
        <w:rPr>
          <w:rFonts w:ascii="Times New Roman" w:hAnsi="Times New Roman"/>
          <w:b/>
          <w:bCs/>
          <w:sz w:val="24"/>
        </w:rPr>
      </w:pPr>
      <w:r>
        <w:rPr>
          <w:rFonts w:ascii="Times New Roman" w:hAnsi="Times New Roman"/>
          <w:b/>
          <w:bCs/>
          <w:sz w:val="24"/>
        </w:rPr>
        <w:t>2.</w:t>
      </w:r>
      <w:r w:rsidR="00000000" w:rsidRPr="00B7392D">
        <w:rPr>
          <w:rFonts w:ascii="Times New Roman" w:hAnsi="Times New Roman" w:hint="eastAsia"/>
          <w:b/>
          <w:bCs/>
          <w:sz w:val="24"/>
        </w:rPr>
        <w:t xml:space="preserve"> The problem of data privacy in smart hospitals is proposed</w:t>
      </w:r>
    </w:p>
    <w:p w14:paraId="1F2D148C" w14:textId="7A08922D" w:rsidR="00A46A91" w:rsidRPr="00B7392D" w:rsidRDefault="00000000" w:rsidP="00B7392D">
      <w:pPr>
        <w:snapToGrid w:val="0"/>
        <w:rPr>
          <w:rFonts w:ascii="Times New Roman" w:hAnsi="Times New Roman"/>
          <w:sz w:val="24"/>
        </w:rPr>
      </w:pPr>
      <w:r w:rsidRPr="00B7392D">
        <w:rPr>
          <w:rFonts w:ascii="Times New Roman" w:hAnsi="Times New Roman" w:hint="eastAsia"/>
          <w:sz w:val="24"/>
        </w:rPr>
        <w:t>In the past ten years, China</w:t>
      </w:r>
      <w:r w:rsidR="005C716C">
        <w:rPr>
          <w:rFonts w:ascii="Times New Roman" w:hAnsi="Times New Roman"/>
          <w:sz w:val="24"/>
        </w:rPr>
        <w:t>’</w:t>
      </w:r>
      <w:r w:rsidRPr="00B7392D">
        <w:rPr>
          <w:rFonts w:ascii="Times New Roman" w:hAnsi="Times New Roman" w:hint="eastAsia"/>
          <w:sz w:val="24"/>
        </w:rPr>
        <w:t>s rule of law construction in the field of medical data governance has gone through an evolution process from weak to gradual formation. On the one hand, in the early stage (2016</w:t>
      </w:r>
      <w:r w:rsidR="00BB09EA">
        <w:rPr>
          <w:rFonts w:ascii="Times New Roman" w:hAnsi="Times New Roman"/>
          <w:sz w:val="24"/>
        </w:rPr>
        <w:t>–</w:t>
      </w:r>
      <w:r w:rsidRPr="00B7392D">
        <w:rPr>
          <w:rFonts w:ascii="Times New Roman" w:hAnsi="Times New Roman" w:hint="eastAsia"/>
          <w:sz w:val="24"/>
        </w:rPr>
        <w:t xml:space="preserve">2020), the construction of smart hospitals has advanced rapidly, but the norms of data protection have lagged; although the </w:t>
      </w:r>
      <w:r w:rsidR="00BB09EA">
        <w:rPr>
          <w:rFonts w:ascii="Times New Roman" w:hAnsi="Times New Roman"/>
          <w:sz w:val="24"/>
        </w:rPr>
        <w:t>“</w:t>
      </w:r>
      <w:r w:rsidRPr="00B7392D">
        <w:rPr>
          <w:rFonts w:ascii="Times New Roman" w:hAnsi="Times New Roman" w:hint="eastAsia"/>
          <w:sz w:val="24"/>
        </w:rPr>
        <w:t>Medical Record Management Regulations for Medical Institutions</w:t>
      </w:r>
      <w:r w:rsidR="00BB09EA">
        <w:rPr>
          <w:rFonts w:ascii="Times New Roman" w:hAnsi="Times New Roman"/>
          <w:sz w:val="24"/>
        </w:rPr>
        <w:t>”</w:t>
      </w:r>
      <w:r w:rsidRPr="00B7392D">
        <w:rPr>
          <w:rFonts w:ascii="Times New Roman" w:hAnsi="Times New Roman" w:hint="eastAsia"/>
          <w:sz w:val="24"/>
        </w:rPr>
        <w:t xml:space="preserve"> issued in 2018 involves medical record management, it lacks response to new problems such as secondary use of data and cross-border flow</w:t>
      </w:r>
      <w:r w:rsidR="00BB09EA">
        <w:rPr>
          <w:rFonts w:ascii="Times New Roman" w:hAnsi="Times New Roman"/>
          <w:sz w:val="24"/>
        </w:rPr>
        <w:t xml:space="preserve"> </w:t>
      </w:r>
      <w:r w:rsidRPr="00B7392D">
        <w:rPr>
          <w:rFonts w:ascii="Times New Roman" w:hAnsi="Times New Roman" w:hint="eastAsia"/>
          <w:sz w:val="24"/>
          <w:vertAlign w:val="superscript"/>
        </w:rPr>
        <w:t>[6]</w:t>
      </w:r>
      <w:r w:rsidRPr="00B7392D">
        <w:rPr>
          <w:rFonts w:ascii="Times New Roman" w:hAnsi="Times New Roman" w:hint="eastAsia"/>
          <w:sz w:val="24"/>
        </w:rPr>
        <w:t xml:space="preserve">. During this period, </w:t>
      </w:r>
      <w:r w:rsidR="00BB09EA">
        <w:rPr>
          <w:rFonts w:ascii="Times New Roman" w:hAnsi="Times New Roman"/>
          <w:sz w:val="24"/>
        </w:rPr>
        <w:t>patients’</w:t>
      </w:r>
      <w:r w:rsidRPr="00B7392D">
        <w:rPr>
          <w:rFonts w:ascii="Times New Roman" w:hAnsi="Times New Roman" w:hint="eastAsia"/>
          <w:sz w:val="24"/>
        </w:rPr>
        <w:t xml:space="preserve"> health data are often regarded as </w:t>
      </w:r>
      <w:r w:rsidR="00BB09EA">
        <w:rPr>
          <w:rFonts w:ascii="Times New Roman" w:hAnsi="Times New Roman"/>
          <w:sz w:val="24"/>
        </w:rPr>
        <w:t>“</w:t>
      </w:r>
      <w:r w:rsidRPr="00B7392D">
        <w:rPr>
          <w:rFonts w:ascii="Times New Roman" w:hAnsi="Times New Roman" w:hint="eastAsia"/>
          <w:sz w:val="24"/>
        </w:rPr>
        <w:t>hospital assets</w:t>
      </w:r>
      <w:r w:rsidR="00BB09EA">
        <w:rPr>
          <w:rFonts w:ascii="Times New Roman" w:hAnsi="Times New Roman"/>
          <w:sz w:val="24"/>
        </w:rPr>
        <w:t>”</w:t>
      </w:r>
      <w:r w:rsidRPr="00B7392D">
        <w:rPr>
          <w:rFonts w:ascii="Times New Roman" w:hAnsi="Times New Roman" w:hint="eastAsia"/>
          <w:sz w:val="24"/>
        </w:rPr>
        <w:t xml:space="preserve"> in practice, and informed consent is also a mere formality.</w:t>
      </w:r>
      <w:r w:rsidR="00BB09EA" w:rsidRPr="00B7392D">
        <w:rPr>
          <w:rFonts w:ascii="Times New Roman" w:hAnsi="Times New Roman"/>
          <w:sz w:val="24"/>
        </w:rPr>
        <w:t xml:space="preserve"> </w:t>
      </w:r>
      <w:r w:rsidRPr="00B7392D">
        <w:rPr>
          <w:rFonts w:ascii="Times New Roman" w:hAnsi="Times New Roman" w:hint="eastAsia"/>
          <w:sz w:val="24"/>
        </w:rPr>
        <w:t>On the other hand, after entering the period of intensive system construction (2021</w:t>
      </w:r>
      <w:r w:rsidR="00BB09EA">
        <w:rPr>
          <w:rFonts w:ascii="Times New Roman" w:hAnsi="Times New Roman"/>
          <w:sz w:val="24"/>
        </w:rPr>
        <w:t>–</w:t>
      </w:r>
      <w:r w:rsidRPr="00B7392D">
        <w:rPr>
          <w:rFonts w:ascii="Times New Roman" w:hAnsi="Times New Roman" w:hint="eastAsia"/>
          <w:sz w:val="24"/>
        </w:rPr>
        <w:t xml:space="preserve">2023), the </w:t>
      </w:r>
      <w:r w:rsidR="00BB09EA">
        <w:rPr>
          <w:rFonts w:ascii="Times New Roman" w:hAnsi="Times New Roman"/>
          <w:sz w:val="24"/>
        </w:rPr>
        <w:t>‘</w:t>
      </w:r>
      <w:r w:rsidRPr="00B7392D">
        <w:rPr>
          <w:rFonts w:ascii="Times New Roman" w:hAnsi="Times New Roman" w:hint="eastAsia"/>
          <w:sz w:val="24"/>
        </w:rPr>
        <w:t>Data Security Law</w:t>
      </w:r>
      <w:r w:rsidR="00BB09EA">
        <w:rPr>
          <w:rFonts w:ascii="Times New Roman" w:hAnsi="Times New Roman"/>
          <w:sz w:val="24"/>
        </w:rPr>
        <w:t>’</w:t>
      </w:r>
      <w:r w:rsidRPr="00B7392D">
        <w:rPr>
          <w:rFonts w:ascii="Times New Roman" w:hAnsi="Times New Roman" w:hint="eastAsia"/>
          <w:sz w:val="24"/>
        </w:rPr>
        <w:t xml:space="preserve"> (2021) and </w:t>
      </w:r>
      <w:r w:rsidR="00BB09EA">
        <w:rPr>
          <w:rFonts w:ascii="Times New Roman" w:hAnsi="Times New Roman"/>
          <w:sz w:val="24"/>
        </w:rPr>
        <w:t>‘</w:t>
      </w:r>
      <w:r w:rsidRPr="00B7392D">
        <w:rPr>
          <w:rFonts w:ascii="Times New Roman" w:hAnsi="Times New Roman" w:hint="eastAsia"/>
          <w:sz w:val="24"/>
        </w:rPr>
        <w:t>Personal Information Protection Law</w:t>
      </w:r>
      <w:r w:rsidR="00BB09EA">
        <w:rPr>
          <w:rFonts w:ascii="Times New Roman" w:hAnsi="Times New Roman"/>
          <w:sz w:val="24"/>
        </w:rPr>
        <w:t>’</w:t>
      </w:r>
      <w:r w:rsidRPr="00B7392D">
        <w:rPr>
          <w:rFonts w:ascii="Times New Roman" w:hAnsi="Times New Roman" w:hint="eastAsia"/>
          <w:sz w:val="24"/>
        </w:rPr>
        <w:t xml:space="preserve"> (2021) have been implemented one after another, bringing medical data governance into the track of rule of law; in particular, the </w:t>
      </w:r>
      <w:r w:rsidR="00BB09EA">
        <w:rPr>
          <w:rFonts w:ascii="Times New Roman" w:hAnsi="Times New Roman"/>
          <w:sz w:val="24"/>
        </w:rPr>
        <w:t>‘</w:t>
      </w:r>
      <w:r w:rsidRPr="00B7392D">
        <w:rPr>
          <w:rFonts w:ascii="Times New Roman" w:hAnsi="Times New Roman" w:hint="eastAsia"/>
          <w:sz w:val="24"/>
        </w:rPr>
        <w:t>Personal Information Protection Law</w:t>
      </w:r>
      <w:r w:rsidR="00BB09EA">
        <w:rPr>
          <w:rFonts w:ascii="Times New Roman" w:hAnsi="Times New Roman"/>
          <w:sz w:val="24"/>
        </w:rPr>
        <w:t>’</w:t>
      </w:r>
      <w:r w:rsidRPr="00B7392D">
        <w:rPr>
          <w:rFonts w:ascii="Times New Roman" w:hAnsi="Times New Roman" w:hint="eastAsia"/>
          <w:sz w:val="24"/>
        </w:rPr>
        <w:t xml:space="preserve">, for the first time at the legal level, establishes </w:t>
      </w:r>
      <w:r w:rsidR="00BB09EA">
        <w:rPr>
          <w:rFonts w:ascii="Times New Roman" w:hAnsi="Times New Roman"/>
          <w:sz w:val="24"/>
        </w:rPr>
        <w:t>‘</w:t>
      </w:r>
      <w:r w:rsidRPr="00B7392D">
        <w:rPr>
          <w:rFonts w:ascii="Times New Roman" w:hAnsi="Times New Roman" w:hint="eastAsia"/>
          <w:sz w:val="24"/>
        </w:rPr>
        <w:t>informed consent</w:t>
      </w:r>
      <w:r w:rsidR="00BB09EA">
        <w:rPr>
          <w:rFonts w:ascii="Times New Roman" w:hAnsi="Times New Roman"/>
          <w:sz w:val="24"/>
        </w:rPr>
        <w:t>’</w:t>
      </w:r>
      <w:r w:rsidRPr="00B7392D">
        <w:rPr>
          <w:rFonts w:ascii="Times New Roman" w:hAnsi="Times New Roman" w:hint="eastAsia"/>
          <w:sz w:val="24"/>
        </w:rPr>
        <w:t xml:space="preserve"> as the core legal basis for the processing of sensitive personal information, and clearly requires that the processing of medical and health information must obtain the individual</w:t>
      </w:r>
      <w:r w:rsidR="00BB09EA">
        <w:rPr>
          <w:rFonts w:ascii="Times New Roman" w:hAnsi="Times New Roman"/>
          <w:sz w:val="24"/>
        </w:rPr>
        <w:t>’</w:t>
      </w:r>
      <w:r w:rsidRPr="00B7392D">
        <w:rPr>
          <w:rFonts w:ascii="Times New Roman" w:hAnsi="Times New Roman" w:hint="eastAsia"/>
          <w:sz w:val="24"/>
        </w:rPr>
        <w:t xml:space="preserve">s </w:t>
      </w:r>
      <w:r w:rsidR="00BB09EA">
        <w:rPr>
          <w:rFonts w:ascii="Times New Roman" w:hAnsi="Times New Roman"/>
          <w:sz w:val="24"/>
        </w:rPr>
        <w:t>‘</w:t>
      </w:r>
      <w:r w:rsidRPr="00B7392D">
        <w:rPr>
          <w:rFonts w:ascii="Times New Roman" w:hAnsi="Times New Roman" w:hint="eastAsia"/>
          <w:sz w:val="24"/>
        </w:rPr>
        <w:t>individual consent</w:t>
      </w:r>
      <w:r w:rsidR="00BB09EA">
        <w:rPr>
          <w:rFonts w:ascii="Times New Roman" w:hAnsi="Times New Roman"/>
          <w:sz w:val="24"/>
        </w:rPr>
        <w:t>’</w:t>
      </w:r>
      <w:r w:rsidRPr="00B7392D">
        <w:rPr>
          <w:rFonts w:ascii="Times New Roman" w:hAnsi="Times New Roman" w:hint="eastAsia"/>
          <w:sz w:val="24"/>
        </w:rPr>
        <w:t xml:space="preserve">. The </w:t>
      </w:r>
      <w:r w:rsidR="00BB09EA">
        <w:rPr>
          <w:rFonts w:ascii="Times New Roman" w:hAnsi="Times New Roman"/>
          <w:sz w:val="24"/>
        </w:rPr>
        <w:t>“</w:t>
      </w:r>
      <w:r w:rsidRPr="00B7392D">
        <w:rPr>
          <w:rFonts w:ascii="Times New Roman" w:hAnsi="Times New Roman" w:hint="eastAsia"/>
          <w:sz w:val="24"/>
        </w:rPr>
        <w:t>Measures for the Administration of Network Security in Medical and Health Institutions</w:t>
      </w:r>
      <w:r w:rsidR="00BB09EA">
        <w:rPr>
          <w:rFonts w:ascii="Times New Roman" w:hAnsi="Times New Roman"/>
          <w:sz w:val="24"/>
        </w:rPr>
        <w:t>”</w:t>
      </w:r>
      <w:r w:rsidRPr="00B7392D">
        <w:rPr>
          <w:rFonts w:ascii="Times New Roman" w:hAnsi="Times New Roman" w:hint="eastAsia"/>
          <w:sz w:val="24"/>
        </w:rPr>
        <w:t xml:space="preserve"> issued in 2022 further established systems such as data hierarchical protection and data security subject responsibility, while the </w:t>
      </w:r>
      <w:r w:rsidR="00BB09EA">
        <w:rPr>
          <w:rFonts w:ascii="Times New Roman" w:hAnsi="Times New Roman"/>
          <w:sz w:val="24"/>
        </w:rPr>
        <w:t>“</w:t>
      </w:r>
      <w:r w:rsidRPr="00B7392D">
        <w:rPr>
          <w:rFonts w:ascii="Times New Roman" w:hAnsi="Times New Roman" w:hint="eastAsia"/>
          <w:sz w:val="24"/>
        </w:rPr>
        <w:t>National Medical and Health Institutions Information Exchange and Sharing Three-Year Action Plan (2023</w:t>
      </w:r>
      <w:r w:rsidR="00BB09EA">
        <w:rPr>
          <w:rFonts w:ascii="Times New Roman" w:hAnsi="Times New Roman"/>
          <w:sz w:val="24"/>
        </w:rPr>
        <w:t>–</w:t>
      </w:r>
      <w:r w:rsidRPr="00B7392D">
        <w:rPr>
          <w:rFonts w:ascii="Times New Roman" w:hAnsi="Times New Roman" w:hint="eastAsia"/>
          <w:sz w:val="24"/>
        </w:rPr>
        <w:t>2025)</w:t>
      </w:r>
      <w:r w:rsidR="00BB09EA">
        <w:rPr>
          <w:rFonts w:ascii="Times New Roman" w:hAnsi="Times New Roman"/>
          <w:sz w:val="24"/>
        </w:rPr>
        <w:t>”</w:t>
      </w:r>
      <w:r w:rsidRPr="00B7392D">
        <w:rPr>
          <w:rFonts w:ascii="Times New Roman" w:hAnsi="Times New Roman" w:hint="eastAsia"/>
          <w:sz w:val="24"/>
        </w:rPr>
        <w:t xml:space="preserve">  launched in 2023 put forward higher requirements for data security while promoting data sharing</w:t>
      </w:r>
      <w:r w:rsidR="00BB09EA">
        <w:rPr>
          <w:rFonts w:ascii="Times New Roman" w:hAnsi="Times New Roman"/>
          <w:sz w:val="24"/>
        </w:rPr>
        <w:t xml:space="preserve"> </w:t>
      </w:r>
      <w:r w:rsidRPr="00B7392D">
        <w:rPr>
          <w:rFonts w:ascii="Times New Roman" w:hAnsi="Times New Roman" w:hint="eastAsia"/>
          <w:sz w:val="24"/>
          <w:vertAlign w:val="superscript"/>
        </w:rPr>
        <w:t>[7]</w:t>
      </w:r>
      <w:r w:rsidRPr="00B7392D">
        <w:rPr>
          <w:rFonts w:ascii="Times New Roman" w:hAnsi="Times New Roman" w:hint="eastAsia"/>
          <w:sz w:val="24"/>
        </w:rPr>
        <w:t>.</w:t>
      </w:r>
    </w:p>
    <w:p w14:paraId="1F79F170" w14:textId="669EBECB"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After entering the period of improvement and deepening (2024</w:t>
      </w:r>
      <w:r w:rsidR="00BB09EA">
        <w:rPr>
          <w:rFonts w:ascii="Times New Roman" w:hAnsi="Times New Roman"/>
          <w:sz w:val="24"/>
        </w:rPr>
        <w:t>–</w:t>
      </w:r>
      <w:r w:rsidRPr="00B7392D">
        <w:rPr>
          <w:rFonts w:ascii="Times New Roman" w:hAnsi="Times New Roman" w:hint="eastAsia"/>
          <w:sz w:val="24"/>
        </w:rPr>
        <w:t xml:space="preserve">2026), the focus of legislation has obviously shifted from </w:t>
      </w:r>
      <w:r w:rsidR="00BB09EA">
        <w:rPr>
          <w:rFonts w:ascii="Times New Roman" w:hAnsi="Times New Roman"/>
          <w:sz w:val="24"/>
        </w:rPr>
        <w:t>“</w:t>
      </w:r>
      <w:r w:rsidRPr="00B7392D">
        <w:rPr>
          <w:rFonts w:ascii="Times New Roman" w:hAnsi="Times New Roman" w:hint="eastAsia"/>
          <w:sz w:val="24"/>
        </w:rPr>
        <w:t>with or without</w:t>
      </w:r>
      <w:r w:rsidR="00BB09EA">
        <w:rPr>
          <w:rFonts w:ascii="Times New Roman" w:hAnsi="Times New Roman"/>
          <w:sz w:val="24"/>
        </w:rPr>
        <w:t>”</w:t>
      </w:r>
      <w:r w:rsidRPr="00B7392D">
        <w:rPr>
          <w:rFonts w:ascii="Times New Roman" w:hAnsi="Times New Roman" w:hint="eastAsia"/>
          <w:sz w:val="24"/>
        </w:rPr>
        <w:t xml:space="preserve"> to </w:t>
      </w:r>
      <w:r w:rsidR="00BB09EA">
        <w:rPr>
          <w:rFonts w:ascii="Times New Roman" w:hAnsi="Times New Roman"/>
          <w:sz w:val="24"/>
        </w:rPr>
        <w:t>“</w:t>
      </w:r>
      <w:r w:rsidRPr="00B7392D">
        <w:rPr>
          <w:rFonts w:ascii="Times New Roman" w:hAnsi="Times New Roman" w:hint="eastAsia"/>
          <w:sz w:val="24"/>
        </w:rPr>
        <w:t>fine</w:t>
      </w:r>
      <w:r w:rsidR="00BB09EA">
        <w:rPr>
          <w:rFonts w:ascii="Times New Roman" w:hAnsi="Times New Roman"/>
          <w:sz w:val="24"/>
        </w:rPr>
        <w:t>”</w:t>
      </w:r>
      <w:r w:rsidRPr="00B7392D">
        <w:rPr>
          <w:rFonts w:ascii="Times New Roman" w:hAnsi="Times New Roman" w:hint="eastAsia"/>
          <w:sz w:val="24"/>
        </w:rPr>
        <w:t xml:space="preserve">. Academics and practitioners generally call for further refinement of medical data classification standards and the establishment of dynamic authorization mechanisms. In 2025, Beijing launched a technical specification for the anonymization of health care data, which provides operational guidance for </w:t>
      </w:r>
      <w:r w:rsidR="00BB09EA">
        <w:rPr>
          <w:rFonts w:ascii="Times New Roman" w:hAnsi="Times New Roman"/>
          <w:sz w:val="24"/>
        </w:rPr>
        <w:t>‘</w:t>
      </w:r>
      <w:r w:rsidRPr="00B7392D">
        <w:rPr>
          <w:rFonts w:ascii="Times New Roman" w:hAnsi="Times New Roman" w:hint="eastAsia"/>
          <w:sz w:val="24"/>
        </w:rPr>
        <w:t xml:space="preserve">data available and </w:t>
      </w:r>
      <w:r w:rsidR="00BB09EA">
        <w:rPr>
          <w:rFonts w:ascii="Times New Roman" w:hAnsi="Times New Roman"/>
          <w:sz w:val="24"/>
        </w:rPr>
        <w:t>unidentifiable</w:t>
      </w:r>
      <w:r w:rsidR="003A460A">
        <w:rPr>
          <w:rFonts w:ascii="Times New Roman" w:hAnsi="Times New Roman"/>
          <w:sz w:val="24"/>
        </w:rPr>
        <w:t>’</w:t>
      </w:r>
      <w:r w:rsidRPr="00B7392D">
        <w:rPr>
          <w:rFonts w:ascii="Times New Roman" w:hAnsi="Times New Roman" w:hint="eastAsia"/>
          <w:sz w:val="24"/>
        </w:rPr>
        <w:t xml:space="preserve">; the </w:t>
      </w:r>
      <w:r w:rsidR="00BB09EA">
        <w:rPr>
          <w:rFonts w:ascii="Times New Roman" w:hAnsi="Times New Roman"/>
          <w:sz w:val="24"/>
        </w:rPr>
        <w:t>“</w:t>
      </w:r>
      <w:r w:rsidRPr="00B7392D">
        <w:rPr>
          <w:rFonts w:ascii="Times New Roman" w:hAnsi="Times New Roman" w:hint="eastAsia"/>
          <w:sz w:val="24"/>
        </w:rPr>
        <w:t xml:space="preserve"> Expert Consensus on the Application and Governance of Artificial Intelligence in Medical Institutions (</w:t>
      </w:r>
      <w:r w:rsidR="00BB09EA">
        <w:rPr>
          <w:rFonts w:ascii="Times New Roman" w:hAnsi="Times New Roman"/>
          <w:sz w:val="24"/>
        </w:rPr>
        <w:t xml:space="preserve">2026) </w:t>
      </w:r>
      <w:r w:rsidRPr="00B7392D">
        <w:rPr>
          <w:rFonts w:ascii="Times New Roman" w:hAnsi="Times New Roman" w:hint="eastAsia"/>
          <w:sz w:val="24"/>
        </w:rPr>
        <w:t>issued in 2026</w:t>
      </w:r>
      <w:r w:rsidR="00BB09EA">
        <w:rPr>
          <w:rFonts w:ascii="Times New Roman" w:hAnsi="Times New Roman"/>
          <w:sz w:val="24"/>
        </w:rPr>
        <w:t>,</w:t>
      </w:r>
      <w:r w:rsidRPr="00B7392D">
        <w:rPr>
          <w:rFonts w:ascii="Times New Roman" w:hAnsi="Times New Roman" w:hint="eastAsia"/>
          <w:sz w:val="24"/>
        </w:rPr>
        <w:t xml:space="preserve"> systematically proposed the governance framework of hierarchical informed consent and </w:t>
      </w:r>
      <w:r w:rsidR="00BB09EA" w:rsidRPr="00B7392D">
        <w:rPr>
          <w:rFonts w:ascii="Times New Roman" w:hAnsi="Times New Roman"/>
          <w:sz w:val="24"/>
        </w:rPr>
        <w:t>algorithmically</w:t>
      </w:r>
      <w:r w:rsidRPr="00B7392D">
        <w:rPr>
          <w:rFonts w:ascii="Times New Roman" w:hAnsi="Times New Roman" w:hint="eastAsia"/>
          <w:sz w:val="24"/>
        </w:rPr>
        <w:t xml:space="preserve"> interpretable response for the first time</w:t>
      </w:r>
      <w:r w:rsidR="003A460A">
        <w:rPr>
          <w:rFonts w:ascii="Times New Roman" w:hAnsi="Times New Roman"/>
          <w:sz w:val="24"/>
        </w:rPr>
        <w:t xml:space="preserve"> </w:t>
      </w:r>
      <w:r w:rsidRPr="00B7392D">
        <w:rPr>
          <w:rFonts w:ascii="Times New Roman" w:hAnsi="Times New Roman" w:hint="eastAsia"/>
          <w:sz w:val="24"/>
          <w:vertAlign w:val="superscript"/>
        </w:rPr>
        <w:t>[8]</w:t>
      </w:r>
      <w:r w:rsidRPr="00B7392D">
        <w:rPr>
          <w:rFonts w:ascii="Times New Roman" w:hAnsi="Times New Roman" w:hint="eastAsia"/>
          <w:sz w:val="24"/>
        </w:rPr>
        <w:t>.</w:t>
      </w:r>
    </w:p>
    <w:p w14:paraId="24302078" w14:textId="1BF588FA"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In general, China has initially established a data protection system covering laws, administrative regulations, departmental rules</w:t>
      </w:r>
      <w:r w:rsidR="003A460A">
        <w:rPr>
          <w:rFonts w:ascii="Times New Roman" w:hAnsi="Times New Roman"/>
          <w:sz w:val="24"/>
        </w:rPr>
        <w:t>,</w:t>
      </w:r>
      <w:r w:rsidRPr="00B7392D">
        <w:rPr>
          <w:rFonts w:ascii="Times New Roman" w:hAnsi="Times New Roman" w:hint="eastAsia"/>
          <w:sz w:val="24"/>
        </w:rPr>
        <w:t xml:space="preserve"> and technical standards. However, the transformation of the system from </w:t>
      </w:r>
      <w:r w:rsidR="00BB09EA">
        <w:rPr>
          <w:rFonts w:ascii="Times New Roman" w:hAnsi="Times New Roman"/>
          <w:sz w:val="24"/>
        </w:rPr>
        <w:t>“existing</w:t>
      </w:r>
      <w:r w:rsidR="003A460A">
        <w:rPr>
          <w:rFonts w:ascii="Times New Roman" w:hAnsi="Times New Roman"/>
          <w:sz w:val="24"/>
        </w:rPr>
        <w:t>”</w:t>
      </w:r>
      <w:r w:rsidR="00BB09EA">
        <w:rPr>
          <w:rFonts w:ascii="Times New Roman" w:hAnsi="Times New Roman"/>
          <w:sz w:val="24"/>
        </w:rPr>
        <w:t xml:space="preserve"> to </w:t>
      </w:r>
      <w:r w:rsidR="003A460A">
        <w:rPr>
          <w:rFonts w:ascii="Times New Roman" w:hAnsi="Times New Roman"/>
          <w:sz w:val="24"/>
        </w:rPr>
        <w:t>“</w:t>
      </w:r>
      <w:r w:rsidR="00BB09EA">
        <w:rPr>
          <w:rFonts w:ascii="Times New Roman" w:hAnsi="Times New Roman"/>
          <w:sz w:val="24"/>
        </w:rPr>
        <w:t>excellent</w:t>
      </w:r>
      <w:r w:rsidR="003A460A">
        <w:rPr>
          <w:rFonts w:ascii="Times New Roman" w:hAnsi="Times New Roman"/>
          <w:sz w:val="24"/>
        </w:rPr>
        <w:t xml:space="preserve">” </w:t>
      </w:r>
      <w:r w:rsidRPr="00B7392D">
        <w:rPr>
          <w:rFonts w:ascii="Times New Roman" w:hAnsi="Times New Roman" w:hint="eastAsia"/>
          <w:sz w:val="24"/>
        </w:rPr>
        <w:t xml:space="preserve">is still on the way, and the tension between legal norms and technological development has not been fundamentally resolved. </w:t>
      </w:r>
    </w:p>
    <w:p w14:paraId="655A59B5" w14:textId="20F9710F"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The deep root of this tension is the structural contradiction between the inherent lag of legislation and the acceleration of technological iteration. The special feature of medical data governance is that the object it regulates</w:t>
      </w:r>
      <w:r w:rsidR="003A460A">
        <w:rPr>
          <w:rFonts w:ascii="Times New Roman" w:hAnsi="Times New Roman"/>
          <w:sz w:val="24"/>
        </w:rPr>
        <w:t>–</w:t>
      </w:r>
      <w:r w:rsidRPr="00B7392D">
        <w:rPr>
          <w:rFonts w:ascii="Times New Roman" w:hAnsi="Times New Roman" w:hint="eastAsia"/>
          <w:sz w:val="24"/>
        </w:rPr>
        <w:t>health information is not only sensitive personal information that needs strict protection in the legal sense, but also the core production factor that drives artificial intelligence model training, clinical decision support system optimization</w:t>
      </w:r>
      <w:r w:rsidR="00BB09EA" w:rsidRPr="00B7392D">
        <w:rPr>
          <w:rFonts w:ascii="Times New Roman" w:hAnsi="Times New Roman"/>
          <w:sz w:val="24"/>
        </w:rPr>
        <w:t>,</w:t>
      </w:r>
      <w:r w:rsidRPr="00B7392D">
        <w:rPr>
          <w:rFonts w:ascii="Times New Roman" w:hAnsi="Times New Roman" w:hint="eastAsia"/>
          <w:sz w:val="24"/>
        </w:rPr>
        <w:t xml:space="preserve"> and precision medicine research. From drafting, deliberation</w:t>
      </w:r>
      <w:r w:rsidR="00BB09EA" w:rsidRPr="00B7392D">
        <w:rPr>
          <w:rFonts w:ascii="Times New Roman" w:hAnsi="Times New Roman"/>
          <w:sz w:val="24"/>
        </w:rPr>
        <w:t>,</w:t>
      </w:r>
      <w:r w:rsidRPr="00B7392D">
        <w:rPr>
          <w:rFonts w:ascii="Times New Roman" w:hAnsi="Times New Roman" w:hint="eastAsia"/>
          <w:sz w:val="24"/>
        </w:rPr>
        <w:t xml:space="preserve"> to final promulgation and implementation, a legal norm often takes years, and the technology associated with it is likely to have completed multiple iterations and upgrades during this cycle; the protection framework set by the legislation at that time, by the time the technology really landed, it may have been necessary to face the new risk form.</w:t>
      </w:r>
    </w:p>
    <w:p w14:paraId="563064D8" w14:textId="77777777"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 xml:space="preserve">Specifically, this tension is particularly evident in the following three dimensions. </w:t>
      </w:r>
    </w:p>
    <w:p w14:paraId="1999A87C" w14:textId="393B4012"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 xml:space="preserve">The first dimension is the dilemma of legal concepts in the face of technology adaptation. The </w:t>
      </w:r>
      <w:r w:rsidR="00BB09EA">
        <w:rPr>
          <w:rFonts w:ascii="Times New Roman" w:hAnsi="Times New Roman"/>
          <w:sz w:val="24"/>
        </w:rPr>
        <w:t>“</w:t>
      </w:r>
      <w:r w:rsidRPr="00B7392D">
        <w:rPr>
          <w:rFonts w:ascii="Times New Roman" w:hAnsi="Times New Roman" w:hint="eastAsia"/>
          <w:sz w:val="24"/>
        </w:rPr>
        <w:t>Personal Information Protection Law</w:t>
      </w:r>
      <w:r w:rsidR="003A460A">
        <w:rPr>
          <w:rFonts w:ascii="Times New Roman" w:hAnsi="Times New Roman"/>
          <w:sz w:val="24"/>
        </w:rPr>
        <w:t>”</w:t>
      </w:r>
      <w:r w:rsidRPr="00B7392D">
        <w:rPr>
          <w:rFonts w:ascii="Times New Roman" w:hAnsi="Times New Roman" w:hint="eastAsia"/>
          <w:sz w:val="24"/>
        </w:rPr>
        <w:t xml:space="preserve"> defines </w:t>
      </w:r>
      <w:r w:rsidR="00BB09EA">
        <w:rPr>
          <w:rFonts w:ascii="Times New Roman" w:hAnsi="Times New Roman"/>
          <w:sz w:val="24"/>
        </w:rPr>
        <w:t xml:space="preserve">“anonymization </w:t>
      </w:r>
      <w:r w:rsidRPr="00B7392D">
        <w:rPr>
          <w:rFonts w:ascii="Times New Roman" w:hAnsi="Times New Roman" w:hint="eastAsia"/>
          <w:sz w:val="24"/>
        </w:rPr>
        <w:t xml:space="preserve">as the state </w:t>
      </w:r>
      <w:r w:rsidR="00BB09EA">
        <w:rPr>
          <w:rFonts w:ascii="Times New Roman" w:hAnsi="Times New Roman"/>
          <w:sz w:val="24"/>
        </w:rPr>
        <w:t>in which</w:t>
      </w:r>
      <w:r w:rsidR="00BB09EA" w:rsidRPr="00B7392D">
        <w:rPr>
          <w:rFonts w:ascii="Times New Roman" w:hAnsi="Times New Roman" w:hint="eastAsia"/>
          <w:sz w:val="24"/>
        </w:rPr>
        <w:t xml:space="preserve"> </w:t>
      </w:r>
      <w:r w:rsidRPr="00B7392D">
        <w:rPr>
          <w:rFonts w:ascii="Times New Roman" w:hAnsi="Times New Roman" w:hint="eastAsia"/>
          <w:sz w:val="24"/>
        </w:rPr>
        <w:t>personal information cannot be identified as a specific natural person and cannot be restored after processing,</w:t>
      </w:r>
      <w:r w:rsidR="003A460A">
        <w:rPr>
          <w:rFonts w:ascii="Times New Roman" w:hAnsi="Times New Roman"/>
          <w:sz w:val="24"/>
        </w:rPr>
        <w:t xml:space="preserve"> </w:t>
      </w:r>
      <w:r w:rsidRPr="00B7392D">
        <w:rPr>
          <w:rFonts w:ascii="Times New Roman" w:hAnsi="Times New Roman" w:hint="eastAsia"/>
          <w:sz w:val="24"/>
        </w:rPr>
        <w:t xml:space="preserve">and stipulates that the information after anonymization no longer belongs to personal information and can be freely used. This legal definition takes </w:t>
      </w:r>
      <w:r w:rsidR="003A460A">
        <w:rPr>
          <w:rFonts w:ascii="Times New Roman" w:hAnsi="Times New Roman"/>
          <w:sz w:val="24"/>
        </w:rPr>
        <w:t>non-recoverability</w:t>
      </w:r>
      <w:r w:rsidR="00BB09EA">
        <w:rPr>
          <w:rFonts w:ascii="Times New Roman" w:hAnsi="Times New Roman"/>
          <w:sz w:val="24"/>
        </w:rPr>
        <w:t xml:space="preserve"> </w:t>
      </w:r>
      <w:r w:rsidRPr="00B7392D">
        <w:rPr>
          <w:rFonts w:ascii="Times New Roman" w:hAnsi="Times New Roman" w:hint="eastAsia"/>
          <w:sz w:val="24"/>
        </w:rPr>
        <w:t xml:space="preserve">as the only criterion, which seems clear on the surface, but actually shifts the huge burden of judgment to technical practice. At present, there has been a heated debate about the reliability of anonymization technology in the academic community. Some studies have pointed out that even after a seemingly sufficient de-identification process, specific individuals can still be re-identified with a high probability by cross-matching multiple public data sets. With the continuous improvement of correlation analysis technology and </w:t>
      </w:r>
      <w:r w:rsidRPr="00B7392D">
        <w:rPr>
          <w:rFonts w:ascii="Times New Roman" w:hAnsi="Times New Roman" w:hint="eastAsia"/>
          <w:sz w:val="24"/>
        </w:rPr>
        <w:lastRenderedPageBreak/>
        <w:t xml:space="preserve">artificial intelligence inference ability, </w:t>
      </w:r>
      <w:r w:rsidR="003A460A">
        <w:rPr>
          <w:rFonts w:ascii="Times New Roman" w:hAnsi="Times New Roman"/>
          <w:sz w:val="24"/>
        </w:rPr>
        <w:t>today’s</w:t>
      </w:r>
      <w:r w:rsidR="00BB09EA" w:rsidRPr="00B7392D">
        <w:rPr>
          <w:rFonts w:ascii="Times New Roman" w:hAnsi="Times New Roman"/>
          <w:sz w:val="24"/>
        </w:rPr>
        <w:t xml:space="preserve"> </w:t>
      </w:r>
      <w:r w:rsidR="00BB09EA">
        <w:rPr>
          <w:rFonts w:ascii="Times New Roman" w:hAnsi="Times New Roman"/>
          <w:sz w:val="24"/>
        </w:rPr>
        <w:t>‘</w:t>
      </w:r>
      <w:r w:rsidR="00BB09EA" w:rsidRPr="00B7392D">
        <w:rPr>
          <w:rFonts w:ascii="Times New Roman" w:hAnsi="Times New Roman"/>
          <w:sz w:val="24"/>
        </w:rPr>
        <w:t>unrecoverable</w:t>
      </w:r>
      <w:r w:rsidR="003A460A">
        <w:rPr>
          <w:rFonts w:ascii="Times New Roman" w:hAnsi="Times New Roman"/>
          <w:sz w:val="24"/>
        </w:rPr>
        <w:t>’</w:t>
      </w:r>
      <w:r w:rsidR="00BB09EA" w:rsidRPr="00B7392D">
        <w:rPr>
          <w:rFonts w:ascii="Times New Roman" w:hAnsi="Times New Roman"/>
          <w:sz w:val="24"/>
        </w:rPr>
        <w:t xml:space="preserve"> data is likely to become </w:t>
      </w:r>
      <w:r w:rsidR="00BB09EA">
        <w:rPr>
          <w:rFonts w:ascii="Times New Roman" w:hAnsi="Times New Roman"/>
          <w:sz w:val="24"/>
        </w:rPr>
        <w:t>‘</w:t>
      </w:r>
      <w:r w:rsidR="00BB09EA" w:rsidRPr="00B7392D">
        <w:rPr>
          <w:rFonts w:ascii="Times New Roman" w:hAnsi="Times New Roman"/>
          <w:sz w:val="24"/>
        </w:rPr>
        <w:t>recoverable</w:t>
      </w:r>
      <w:r w:rsidR="003A460A">
        <w:rPr>
          <w:rFonts w:ascii="Times New Roman" w:hAnsi="Times New Roman"/>
          <w:sz w:val="24"/>
        </w:rPr>
        <w:t>’</w:t>
      </w:r>
      <w:r w:rsidRPr="00B7392D">
        <w:rPr>
          <w:rFonts w:ascii="Times New Roman" w:hAnsi="Times New Roman" w:hint="eastAsia"/>
          <w:sz w:val="24"/>
        </w:rPr>
        <w:t xml:space="preserve"> by tomorrow. Using a set of static standards to regulate the dynamic evolution of technology, its effectiveness will inevitably continue to encounter challenges.</w:t>
      </w:r>
    </w:p>
    <w:p w14:paraId="36E153BF" w14:textId="1784D6E4"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The second dimension is the coverage gap between normative supply and governance demand. The data circulation of smart hospitals is increasingly showing the characteristics of cross-agency, cross-region</w:t>
      </w:r>
      <w:r w:rsidR="00BB09EA" w:rsidRPr="00B7392D">
        <w:rPr>
          <w:rFonts w:ascii="Times New Roman" w:hAnsi="Times New Roman"/>
          <w:sz w:val="24"/>
        </w:rPr>
        <w:t>,</w:t>
      </w:r>
      <w:r w:rsidRPr="00B7392D">
        <w:rPr>
          <w:rFonts w:ascii="Times New Roman" w:hAnsi="Times New Roman" w:hint="eastAsia"/>
          <w:sz w:val="24"/>
        </w:rPr>
        <w:t xml:space="preserve"> and cross-boundary, while the current institutional framework still regards </w:t>
      </w:r>
      <w:r w:rsidR="00BB09EA">
        <w:rPr>
          <w:rFonts w:ascii="Times New Roman" w:hAnsi="Times New Roman"/>
          <w:sz w:val="24"/>
        </w:rPr>
        <w:t>“</w:t>
      </w:r>
      <w:r w:rsidRPr="00B7392D">
        <w:rPr>
          <w:rFonts w:ascii="Times New Roman" w:hAnsi="Times New Roman" w:hint="eastAsia"/>
          <w:sz w:val="24"/>
        </w:rPr>
        <w:t>institution-based</w:t>
      </w:r>
      <w:r w:rsidR="003A460A">
        <w:rPr>
          <w:rFonts w:ascii="Times New Roman" w:hAnsi="Times New Roman"/>
          <w:sz w:val="24"/>
        </w:rPr>
        <w:t>”</w:t>
      </w:r>
      <w:r w:rsidRPr="00B7392D">
        <w:rPr>
          <w:rFonts w:ascii="Times New Roman" w:hAnsi="Times New Roman" w:hint="eastAsia"/>
          <w:sz w:val="24"/>
        </w:rPr>
        <w:t xml:space="preserve"> as the basic logic, that is, medical institutions are used as data controllers to set compliance obligations. However, in the medical big data industry ecology, the actual flow path of data often involves multiple entities such as cloud service providers, data analysis companies, AI algorithm developers, and drug research and development companies. Once the data leaves the medical institution, how can the </w:t>
      </w:r>
      <w:r w:rsidR="003A460A">
        <w:rPr>
          <w:rFonts w:ascii="Times New Roman" w:hAnsi="Times New Roman"/>
          <w:sz w:val="24"/>
        </w:rPr>
        <w:t>patient’s</w:t>
      </w:r>
      <w:r w:rsidRPr="00B7392D">
        <w:rPr>
          <w:rFonts w:ascii="Times New Roman" w:hAnsi="Times New Roman" w:hint="eastAsia"/>
          <w:sz w:val="24"/>
        </w:rPr>
        <w:t xml:space="preserve"> right to know, delete, and withdraw consent rights be effectively guaranteed among multiple entities</w:t>
      </w:r>
      <w:r w:rsidR="00BB09EA" w:rsidRPr="00B7392D">
        <w:rPr>
          <w:rFonts w:ascii="Times New Roman" w:hAnsi="Times New Roman"/>
          <w:sz w:val="24"/>
        </w:rPr>
        <w:t xml:space="preserve">? </w:t>
      </w:r>
      <w:r w:rsidRPr="00B7392D">
        <w:rPr>
          <w:rFonts w:ascii="Times New Roman" w:hAnsi="Times New Roman" w:hint="eastAsia"/>
          <w:sz w:val="24"/>
        </w:rPr>
        <w:t xml:space="preserve">The current norms have not given a clear answer. This institutional feature of </w:t>
      </w:r>
      <w:r w:rsidR="00BB09EA">
        <w:rPr>
          <w:rFonts w:ascii="Times New Roman" w:hAnsi="Times New Roman"/>
          <w:sz w:val="24"/>
        </w:rPr>
        <w:t>“</w:t>
      </w:r>
      <w:r w:rsidRPr="00B7392D">
        <w:rPr>
          <w:rFonts w:ascii="Times New Roman" w:hAnsi="Times New Roman" w:hint="eastAsia"/>
          <w:sz w:val="24"/>
        </w:rPr>
        <w:t>strict control at the front end and out of focus at the back end</w:t>
      </w:r>
      <w:r w:rsidR="003A460A">
        <w:rPr>
          <w:rFonts w:ascii="Times New Roman" w:hAnsi="Times New Roman"/>
          <w:sz w:val="24"/>
        </w:rPr>
        <w:t>”</w:t>
      </w:r>
      <w:r w:rsidRPr="00B7392D">
        <w:rPr>
          <w:rFonts w:ascii="Times New Roman" w:hAnsi="Times New Roman" w:hint="eastAsia"/>
          <w:sz w:val="24"/>
        </w:rPr>
        <w:t xml:space="preserve"> will make the protection system have </w:t>
      </w:r>
      <w:r w:rsidR="00BB09EA" w:rsidRPr="00B7392D">
        <w:rPr>
          <w:rFonts w:ascii="Times New Roman" w:hAnsi="Times New Roman"/>
          <w:sz w:val="24"/>
        </w:rPr>
        <w:t xml:space="preserve">an </w:t>
      </w:r>
      <w:r w:rsidRPr="00B7392D">
        <w:rPr>
          <w:rFonts w:ascii="Times New Roman" w:hAnsi="Times New Roman" w:hint="eastAsia"/>
          <w:sz w:val="24"/>
        </w:rPr>
        <w:t>obvious coverage vacuum in the middle and lower reaches of the data circulation chain.</w:t>
      </w:r>
    </w:p>
    <w:p w14:paraId="7D5690C9" w14:textId="4D26F002"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 xml:space="preserve">The third dimension is the realistic imbalance between compliance costs and innovation incentives. Strict data protection regulations will inevitably lead to an increase in the compliance costs of medical institutions and technology companies; for large tertiary hospitals, it is still affordable to establish a complete privacy protection compliance system, but for primary medical institutions and start-up digital health enterprises, complicated compliance requirements may constitute substantial barriers to entry. System design must face such a balance problem: how to avoid excessive regulation while protecting </w:t>
      </w:r>
      <w:r w:rsidR="00BB09EA">
        <w:rPr>
          <w:rFonts w:ascii="Times New Roman" w:hAnsi="Times New Roman"/>
          <w:sz w:val="24"/>
        </w:rPr>
        <w:t>patients’</w:t>
      </w:r>
      <w:r w:rsidRPr="00B7392D">
        <w:rPr>
          <w:rFonts w:ascii="Times New Roman" w:hAnsi="Times New Roman" w:hint="eastAsia"/>
          <w:sz w:val="24"/>
        </w:rPr>
        <w:t xml:space="preserve"> privacy rights, so as to inhibit the value release of medical data elements and the innovative development of </w:t>
      </w:r>
      <w:r w:rsidR="00BB09EA" w:rsidRPr="00B7392D">
        <w:rPr>
          <w:rFonts w:ascii="Times New Roman" w:hAnsi="Times New Roman"/>
          <w:sz w:val="24"/>
        </w:rPr>
        <w:t xml:space="preserve">the </w:t>
      </w:r>
      <w:r w:rsidRPr="00B7392D">
        <w:rPr>
          <w:rFonts w:ascii="Times New Roman" w:hAnsi="Times New Roman" w:hint="eastAsia"/>
          <w:sz w:val="24"/>
        </w:rPr>
        <w:t xml:space="preserve">artificial intelligence industry. The </w:t>
      </w:r>
      <w:r w:rsidR="00BB09EA">
        <w:rPr>
          <w:rFonts w:ascii="Times New Roman" w:hAnsi="Times New Roman"/>
          <w:sz w:val="24"/>
        </w:rPr>
        <w:t>“</w:t>
      </w:r>
      <w:r w:rsidRPr="00B7392D">
        <w:rPr>
          <w:rFonts w:ascii="Times New Roman" w:hAnsi="Times New Roman" w:hint="eastAsia"/>
          <w:sz w:val="24"/>
        </w:rPr>
        <w:t>Guiding Opinions on Promoting and Regulating the Circulation of Medical and Health Data Elements</w:t>
      </w:r>
      <w:r w:rsidR="003A460A">
        <w:rPr>
          <w:rFonts w:ascii="Times New Roman" w:hAnsi="Times New Roman"/>
          <w:sz w:val="24"/>
        </w:rPr>
        <w:t>”</w:t>
      </w:r>
      <w:r w:rsidRPr="00B7392D">
        <w:rPr>
          <w:rFonts w:ascii="Times New Roman" w:hAnsi="Times New Roman" w:hint="eastAsia"/>
          <w:sz w:val="24"/>
        </w:rPr>
        <w:t xml:space="preserve"> issued in 2025 clearly put forward the principle of </w:t>
      </w:r>
      <w:r w:rsidR="00BB09EA">
        <w:rPr>
          <w:rFonts w:ascii="Times New Roman" w:hAnsi="Times New Roman"/>
          <w:sz w:val="24"/>
        </w:rPr>
        <w:t>“</w:t>
      </w:r>
      <w:r w:rsidRPr="00B7392D">
        <w:rPr>
          <w:rFonts w:ascii="Times New Roman" w:hAnsi="Times New Roman" w:hint="eastAsia"/>
          <w:sz w:val="24"/>
        </w:rPr>
        <w:t>Inclusive Prudential Supervision</w:t>
      </w:r>
      <w:r w:rsidR="003A460A">
        <w:rPr>
          <w:rFonts w:ascii="Times New Roman" w:hAnsi="Times New Roman"/>
          <w:sz w:val="24"/>
        </w:rPr>
        <w:t>”,</w:t>
      </w:r>
      <w:r w:rsidRPr="00B7392D">
        <w:rPr>
          <w:rFonts w:ascii="Times New Roman" w:hAnsi="Times New Roman" w:hint="eastAsia"/>
          <w:sz w:val="24"/>
        </w:rPr>
        <w:t xml:space="preserve"> which can be regarded as an institutional response to this balanced appeal. However, the specific implementation effect of this principle needs to be further tested by practice.</w:t>
      </w:r>
    </w:p>
    <w:p w14:paraId="1671230A" w14:textId="77777777" w:rsidR="00A46A91" w:rsidRPr="00B7392D" w:rsidRDefault="00A46A91" w:rsidP="00B7392D">
      <w:pPr>
        <w:snapToGrid w:val="0"/>
        <w:rPr>
          <w:rFonts w:ascii="Times New Roman" w:hAnsi="Times New Roman"/>
          <w:sz w:val="24"/>
          <w:highlight w:val="yellow"/>
        </w:rPr>
      </w:pPr>
    </w:p>
    <w:p w14:paraId="0D5A05E9" w14:textId="69D26CAB" w:rsidR="00A46A91" w:rsidRPr="00B7392D" w:rsidRDefault="003A460A" w:rsidP="00B7392D">
      <w:pPr>
        <w:snapToGrid w:val="0"/>
        <w:rPr>
          <w:rFonts w:ascii="Times New Roman" w:hAnsi="Times New Roman"/>
          <w:b/>
          <w:bCs/>
          <w:sz w:val="24"/>
        </w:rPr>
      </w:pPr>
      <w:r>
        <w:rPr>
          <w:rFonts w:ascii="Times New Roman" w:hAnsi="Times New Roman"/>
          <w:b/>
          <w:bCs/>
          <w:sz w:val="24"/>
        </w:rPr>
        <w:t>3.</w:t>
      </w:r>
      <w:r w:rsidR="00000000" w:rsidRPr="00B7392D">
        <w:rPr>
          <w:rFonts w:ascii="Times New Roman" w:hAnsi="Times New Roman" w:hint="eastAsia"/>
          <w:b/>
          <w:bCs/>
          <w:sz w:val="24"/>
        </w:rPr>
        <w:t xml:space="preserve"> The practical dilemma and institutional reflection of the principle of informed consent</w:t>
      </w:r>
    </w:p>
    <w:p w14:paraId="51A175DD" w14:textId="77777777" w:rsidR="00A46A91" w:rsidRPr="00B7392D" w:rsidRDefault="00000000" w:rsidP="00B7392D">
      <w:pPr>
        <w:snapToGrid w:val="0"/>
        <w:rPr>
          <w:rFonts w:ascii="Times New Roman" w:hAnsi="Times New Roman"/>
          <w:sz w:val="24"/>
        </w:rPr>
      </w:pPr>
      <w:r w:rsidRPr="00B7392D">
        <w:rPr>
          <w:rFonts w:ascii="Times New Roman" w:hAnsi="Times New Roman" w:hint="eastAsia"/>
          <w:sz w:val="24"/>
        </w:rPr>
        <w:t>Informed consent is the institutional carrier of patient autonomy and the most vulnerable link in data governance of smart hospitals.</w:t>
      </w:r>
    </w:p>
    <w:p w14:paraId="6F39E71D" w14:textId="77777777" w:rsidR="003A460A" w:rsidRDefault="003A460A" w:rsidP="00BB09EA">
      <w:pPr>
        <w:snapToGrid w:val="0"/>
        <w:ind w:firstLineChars="200" w:firstLine="480"/>
        <w:rPr>
          <w:rFonts w:ascii="Times New Roman" w:hAnsi="Times New Roman"/>
          <w:sz w:val="24"/>
        </w:rPr>
      </w:pPr>
    </w:p>
    <w:p w14:paraId="3A337E4B" w14:textId="489FC432" w:rsidR="00A46A91" w:rsidRPr="00B7392D" w:rsidRDefault="003A460A" w:rsidP="00B7392D">
      <w:pPr>
        <w:snapToGrid w:val="0"/>
        <w:rPr>
          <w:rFonts w:ascii="Times New Roman" w:hAnsi="Times New Roman"/>
          <w:b/>
          <w:bCs/>
          <w:sz w:val="24"/>
        </w:rPr>
      </w:pPr>
      <w:r w:rsidRPr="00B7392D">
        <w:rPr>
          <w:rFonts w:ascii="Times New Roman" w:hAnsi="Times New Roman"/>
          <w:b/>
          <w:bCs/>
          <w:sz w:val="24"/>
        </w:rPr>
        <w:t>3</w:t>
      </w:r>
      <w:r w:rsidR="00000000" w:rsidRPr="00B7392D">
        <w:rPr>
          <w:rFonts w:ascii="Times New Roman" w:hAnsi="Times New Roman" w:hint="eastAsia"/>
          <w:b/>
          <w:bCs/>
          <w:sz w:val="24"/>
        </w:rPr>
        <w:t>.1</w:t>
      </w:r>
      <w:r w:rsidRPr="00B7392D">
        <w:rPr>
          <w:rFonts w:ascii="Times New Roman" w:hAnsi="Times New Roman"/>
          <w:b/>
          <w:bCs/>
          <w:sz w:val="24"/>
        </w:rPr>
        <w:t>.</w:t>
      </w:r>
      <w:r w:rsidR="00000000" w:rsidRPr="00B7392D">
        <w:rPr>
          <w:rFonts w:ascii="Times New Roman" w:hAnsi="Times New Roman" w:hint="eastAsia"/>
          <w:b/>
          <w:bCs/>
          <w:sz w:val="24"/>
        </w:rPr>
        <w:t xml:space="preserve"> Formal crisis of informed consent</w:t>
      </w:r>
    </w:p>
    <w:p w14:paraId="6480E95F" w14:textId="7CC0EBB8" w:rsidR="00A46A91" w:rsidRPr="00B7392D" w:rsidRDefault="00000000" w:rsidP="00B7392D">
      <w:pPr>
        <w:snapToGrid w:val="0"/>
        <w:rPr>
          <w:rFonts w:ascii="Times New Roman" w:hAnsi="Times New Roman"/>
          <w:sz w:val="24"/>
        </w:rPr>
      </w:pPr>
      <w:r w:rsidRPr="00B7392D">
        <w:rPr>
          <w:rFonts w:ascii="Times New Roman" w:hAnsi="Times New Roman" w:hint="eastAsia"/>
          <w:sz w:val="24"/>
        </w:rPr>
        <w:t xml:space="preserve">In traditional medical scenarios, informed consent has always been aimed at specific diagnosis and treatment behaviors, with clear objectives and clear boundaries. However, in smart hospitals, a </w:t>
      </w:r>
      <w:r w:rsidR="003A460A">
        <w:rPr>
          <w:rFonts w:ascii="Times New Roman" w:hAnsi="Times New Roman"/>
          <w:sz w:val="24"/>
        </w:rPr>
        <w:t>patient’s</w:t>
      </w:r>
      <w:r w:rsidRPr="00B7392D">
        <w:rPr>
          <w:rFonts w:ascii="Times New Roman" w:hAnsi="Times New Roman" w:hint="eastAsia"/>
          <w:sz w:val="24"/>
        </w:rPr>
        <w:t xml:space="preserve"> visit may involve many different data uses, such as electronic medical record entry, AI-assisted diagnosis, clinical research contribution, hospital management analysis, etc</w:t>
      </w:r>
      <w:r w:rsidR="003A460A">
        <w:rPr>
          <w:rFonts w:ascii="Times New Roman" w:hAnsi="Times New Roman"/>
          <w:sz w:val="24"/>
        </w:rPr>
        <w:t xml:space="preserve"> </w:t>
      </w:r>
      <w:r w:rsidRPr="00B7392D">
        <w:rPr>
          <w:rFonts w:ascii="Times New Roman" w:hAnsi="Times New Roman" w:hint="eastAsia"/>
          <w:sz w:val="24"/>
          <w:vertAlign w:val="superscript"/>
        </w:rPr>
        <w:t>[9]</w:t>
      </w:r>
      <w:r w:rsidRPr="00B7392D">
        <w:rPr>
          <w:rFonts w:ascii="Times New Roman" w:hAnsi="Times New Roman" w:hint="eastAsia"/>
          <w:sz w:val="24"/>
        </w:rPr>
        <w:t xml:space="preserve">. The current practice often adopts </w:t>
      </w:r>
      <w:r w:rsidR="00BB09EA">
        <w:rPr>
          <w:rFonts w:ascii="Times New Roman" w:hAnsi="Times New Roman"/>
          <w:sz w:val="24"/>
        </w:rPr>
        <w:t>‘packaged authorization</w:t>
      </w:r>
      <w:r w:rsidR="003A460A">
        <w:rPr>
          <w:rFonts w:ascii="Times New Roman" w:hAnsi="Times New Roman"/>
          <w:sz w:val="24"/>
        </w:rPr>
        <w:t>’</w:t>
      </w:r>
      <w:r w:rsidRPr="00B7392D">
        <w:rPr>
          <w:rFonts w:ascii="Times New Roman" w:hAnsi="Times New Roman" w:hint="eastAsia"/>
          <w:sz w:val="24"/>
        </w:rPr>
        <w:t xml:space="preserve">, and all multiple scenarios are included in a formatted consent form. Patients face lengthy terms, either signing in exchange for services, or giving up - this </w:t>
      </w:r>
      <w:r w:rsidR="00BB09EA">
        <w:rPr>
          <w:rFonts w:ascii="Times New Roman" w:hAnsi="Times New Roman"/>
          <w:sz w:val="24"/>
        </w:rPr>
        <w:t>‘</w:t>
      </w:r>
      <w:r w:rsidRPr="00B7392D">
        <w:rPr>
          <w:rFonts w:ascii="Times New Roman" w:hAnsi="Times New Roman" w:hint="eastAsia"/>
          <w:sz w:val="24"/>
        </w:rPr>
        <w:t>do not accept that exit</w:t>
      </w:r>
      <w:r w:rsidR="003A460A">
        <w:rPr>
          <w:rFonts w:ascii="Times New Roman" w:hAnsi="Times New Roman"/>
          <w:sz w:val="24"/>
        </w:rPr>
        <w:t>’</w:t>
      </w:r>
      <w:r w:rsidRPr="00B7392D">
        <w:rPr>
          <w:rFonts w:ascii="Times New Roman" w:hAnsi="Times New Roman" w:hint="eastAsia"/>
          <w:sz w:val="24"/>
        </w:rPr>
        <w:t xml:space="preserve"> structure</w:t>
      </w:r>
      <w:r w:rsidR="003A460A" w:rsidRPr="00B7392D">
        <w:rPr>
          <w:rFonts w:ascii="Times New Roman" w:hAnsi="Times New Roman" w:hint="eastAsia"/>
          <w:sz w:val="24"/>
        </w:rPr>
        <w:t xml:space="preserve"> </w:t>
      </w:r>
      <w:r w:rsidR="003A460A">
        <w:rPr>
          <w:rFonts w:ascii="Times New Roman" w:hAnsi="Times New Roman"/>
          <w:sz w:val="24"/>
        </w:rPr>
        <w:t>makes it difficult for consent to be regarded as a real voluntary choice, and ultimately reduces it</w:t>
      </w:r>
      <w:r w:rsidRPr="00B7392D">
        <w:rPr>
          <w:rFonts w:ascii="Times New Roman" w:hAnsi="Times New Roman" w:hint="eastAsia"/>
          <w:sz w:val="24"/>
        </w:rPr>
        <w:t xml:space="preserve"> to a poll-based form of authorization</w:t>
      </w:r>
      <w:r w:rsidR="003A460A">
        <w:rPr>
          <w:rFonts w:ascii="Times New Roman" w:hAnsi="Times New Roman"/>
          <w:sz w:val="24"/>
        </w:rPr>
        <w:t xml:space="preserve"> </w:t>
      </w:r>
      <w:r w:rsidRPr="00B7392D">
        <w:rPr>
          <w:rFonts w:ascii="Times New Roman" w:hAnsi="Times New Roman" w:hint="eastAsia"/>
          <w:sz w:val="24"/>
          <w:vertAlign w:val="superscript"/>
        </w:rPr>
        <w:t>[10]</w:t>
      </w:r>
      <w:r w:rsidRPr="00B7392D">
        <w:rPr>
          <w:rFonts w:ascii="Times New Roman" w:hAnsi="Times New Roman" w:hint="eastAsia"/>
          <w:sz w:val="24"/>
        </w:rPr>
        <w:t>.</w:t>
      </w:r>
    </w:p>
    <w:p w14:paraId="4085D174" w14:textId="17467B0E"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 xml:space="preserve">In the face of this dilemma, </w:t>
      </w:r>
      <w:r w:rsidR="00BB09EA">
        <w:rPr>
          <w:rFonts w:ascii="Times New Roman" w:hAnsi="Times New Roman"/>
          <w:sz w:val="24"/>
        </w:rPr>
        <w:t>‘</w:t>
      </w:r>
      <w:r w:rsidRPr="00B7392D">
        <w:rPr>
          <w:rFonts w:ascii="Times New Roman" w:hAnsi="Times New Roman" w:hint="eastAsia"/>
          <w:sz w:val="24"/>
        </w:rPr>
        <w:t>dynamic informed consent</w:t>
      </w:r>
      <w:r w:rsidR="003A460A">
        <w:rPr>
          <w:rFonts w:ascii="Times New Roman" w:hAnsi="Times New Roman"/>
          <w:sz w:val="24"/>
        </w:rPr>
        <w:t>’</w:t>
      </w:r>
      <w:r w:rsidRPr="00B7392D">
        <w:rPr>
          <w:rFonts w:ascii="Times New Roman" w:hAnsi="Times New Roman" w:hint="eastAsia"/>
          <w:sz w:val="24"/>
        </w:rPr>
        <w:t xml:space="preserve"> has been proposed as an alternative. It allows patients to continuously adjust the scope of authorization according to different scenarios, purposes</w:t>
      </w:r>
      <w:r w:rsidR="00BB09EA" w:rsidRPr="00B7392D">
        <w:rPr>
          <w:rFonts w:ascii="Times New Roman" w:hAnsi="Times New Roman"/>
          <w:sz w:val="24"/>
        </w:rPr>
        <w:t>,</w:t>
      </w:r>
      <w:r w:rsidRPr="00B7392D">
        <w:rPr>
          <w:rFonts w:ascii="Times New Roman" w:hAnsi="Times New Roman" w:hint="eastAsia"/>
          <w:sz w:val="24"/>
        </w:rPr>
        <w:t xml:space="preserve"> and stages of data use, and can withdraw consent at any time. For example, a patient may be willing to use his de-identified data for drug development of a specific cancer, but will refuse to authorize it to a commercial insurance agency for risk assessment. The </w:t>
      </w:r>
      <w:r w:rsidR="00BB09EA">
        <w:rPr>
          <w:rFonts w:ascii="Times New Roman" w:hAnsi="Times New Roman"/>
          <w:sz w:val="24"/>
        </w:rPr>
        <w:t>“</w:t>
      </w:r>
      <w:r w:rsidRPr="00B7392D">
        <w:rPr>
          <w:rFonts w:ascii="Times New Roman" w:hAnsi="Times New Roman" w:hint="eastAsia"/>
          <w:sz w:val="24"/>
        </w:rPr>
        <w:t>Expert Consensus on the Application and Governance of Artificial Intelligence in Medical Institutions</w:t>
      </w:r>
      <w:r w:rsidR="003A460A">
        <w:rPr>
          <w:rFonts w:ascii="Times New Roman" w:hAnsi="Times New Roman"/>
          <w:sz w:val="24"/>
        </w:rPr>
        <w:t>”</w:t>
      </w:r>
      <w:r w:rsidRPr="00B7392D">
        <w:rPr>
          <w:rFonts w:ascii="Times New Roman" w:hAnsi="Times New Roman" w:hint="eastAsia"/>
          <w:sz w:val="24"/>
        </w:rPr>
        <w:t xml:space="preserve"> issued in 2026 has clearly stated that </w:t>
      </w:r>
      <w:r w:rsidR="00BB09EA">
        <w:rPr>
          <w:rFonts w:ascii="Times New Roman" w:hAnsi="Times New Roman"/>
          <w:sz w:val="24"/>
        </w:rPr>
        <w:t>“</w:t>
      </w:r>
      <w:r w:rsidRPr="00B7392D">
        <w:rPr>
          <w:rFonts w:ascii="Times New Roman" w:hAnsi="Times New Roman" w:hint="eastAsia"/>
          <w:sz w:val="24"/>
        </w:rPr>
        <w:t>hierarchical informed consent</w:t>
      </w:r>
      <w:r w:rsidR="003A460A">
        <w:rPr>
          <w:rFonts w:ascii="Times New Roman" w:hAnsi="Times New Roman"/>
          <w:sz w:val="24"/>
        </w:rPr>
        <w:t>”</w:t>
      </w:r>
      <w:r w:rsidRPr="00B7392D">
        <w:rPr>
          <w:rFonts w:ascii="Times New Roman" w:hAnsi="Times New Roman" w:hint="eastAsia"/>
          <w:sz w:val="24"/>
        </w:rPr>
        <w:t xml:space="preserve"> should be implemented according to the risk level of AI applications</w:t>
      </w:r>
      <w:r w:rsidR="003A460A">
        <w:rPr>
          <w:rFonts w:ascii="Times New Roman" w:hAnsi="Times New Roman"/>
          <w:sz w:val="24"/>
        </w:rPr>
        <w:t>–</w:t>
      </w:r>
      <w:r w:rsidRPr="00B7392D">
        <w:rPr>
          <w:rFonts w:ascii="Times New Roman" w:hAnsi="Times New Roman" w:hint="eastAsia"/>
          <w:sz w:val="24"/>
        </w:rPr>
        <w:t>low-risk applications can adopt informed consent, and high-risk applications need to obtain special written consent. To make dynamic consent truly landed, it is inseparable from technical support. Blockchain, self-sovereign identity, de-identified tokens</w:t>
      </w:r>
      <w:r w:rsidR="00BB09EA" w:rsidRPr="00B7392D">
        <w:rPr>
          <w:rFonts w:ascii="Times New Roman" w:hAnsi="Times New Roman"/>
          <w:sz w:val="24"/>
        </w:rPr>
        <w:t>,</w:t>
      </w:r>
      <w:r w:rsidRPr="00B7392D">
        <w:rPr>
          <w:rFonts w:ascii="Times New Roman" w:hAnsi="Times New Roman" w:hint="eastAsia"/>
          <w:sz w:val="24"/>
        </w:rPr>
        <w:t xml:space="preserve"> and other technologies are being explored to build an auditable and traceable consent management system.</w:t>
      </w:r>
    </w:p>
    <w:p w14:paraId="68C13737" w14:textId="6DFE48F3" w:rsidR="00A46A91" w:rsidRDefault="00000000" w:rsidP="00BB09EA">
      <w:pPr>
        <w:snapToGrid w:val="0"/>
        <w:ind w:firstLineChars="200" w:firstLine="480"/>
        <w:rPr>
          <w:rFonts w:ascii="Times New Roman" w:hAnsi="Times New Roman"/>
          <w:sz w:val="24"/>
        </w:rPr>
      </w:pPr>
      <w:r w:rsidRPr="00B7392D">
        <w:rPr>
          <w:rFonts w:ascii="Times New Roman" w:hAnsi="Times New Roman" w:hint="eastAsia"/>
          <w:sz w:val="24"/>
        </w:rPr>
        <w:lastRenderedPageBreak/>
        <w:t>However, it must be recognized that informed consent itself does not solve all problems: on the one hand, the law allows exemptions from informed consent in scenarios such as public health emergencies; on the other hand, when the data is fully anonymized, the use does not require separate authorization</w:t>
      </w:r>
      <w:r w:rsidR="003A460A">
        <w:rPr>
          <w:rFonts w:ascii="Times New Roman" w:hAnsi="Times New Roman"/>
          <w:sz w:val="24"/>
        </w:rPr>
        <w:t xml:space="preserve">, </w:t>
      </w:r>
      <w:r w:rsidRPr="00B7392D">
        <w:rPr>
          <w:rFonts w:ascii="Times New Roman" w:hAnsi="Times New Roman" w:hint="eastAsia"/>
          <w:sz w:val="24"/>
        </w:rPr>
        <w:t xml:space="preserve">however, whether the </w:t>
      </w:r>
      <w:r w:rsidR="00BB09EA">
        <w:rPr>
          <w:rFonts w:ascii="Times New Roman" w:hAnsi="Times New Roman"/>
          <w:sz w:val="24"/>
        </w:rPr>
        <w:t>‘</w:t>
      </w:r>
      <w:r w:rsidRPr="00B7392D">
        <w:rPr>
          <w:rFonts w:ascii="Times New Roman" w:hAnsi="Times New Roman" w:hint="eastAsia"/>
          <w:sz w:val="24"/>
        </w:rPr>
        <w:t>anonymized</w:t>
      </w:r>
      <w:r w:rsidR="003A460A">
        <w:rPr>
          <w:rFonts w:ascii="Times New Roman" w:hAnsi="Times New Roman"/>
          <w:sz w:val="24"/>
        </w:rPr>
        <w:t>’</w:t>
      </w:r>
      <w:r w:rsidRPr="00B7392D">
        <w:rPr>
          <w:rFonts w:ascii="Times New Roman" w:hAnsi="Times New Roman" w:hint="eastAsia"/>
          <w:sz w:val="24"/>
        </w:rPr>
        <w:t xml:space="preserve"> technical standards are reliable and whether they can withstand the challenges of reverse identification of future technologies is always an open question.</w:t>
      </w:r>
      <w:r w:rsidR="003A460A">
        <w:rPr>
          <w:rFonts w:ascii="Times New Roman" w:hAnsi="Times New Roman"/>
          <w:sz w:val="24"/>
        </w:rPr>
        <w:t xml:space="preserve"> See </w:t>
      </w:r>
      <w:r w:rsidR="003A460A" w:rsidRPr="00B7392D">
        <w:rPr>
          <w:rFonts w:ascii="Times New Roman" w:hAnsi="Times New Roman"/>
          <w:b/>
          <w:bCs/>
          <w:sz w:val="24"/>
        </w:rPr>
        <w:t>Figure 1</w:t>
      </w:r>
      <w:r w:rsidR="003A460A">
        <w:rPr>
          <w:rFonts w:ascii="Times New Roman" w:hAnsi="Times New Roman"/>
          <w:sz w:val="24"/>
        </w:rPr>
        <w:t>.</w:t>
      </w:r>
    </w:p>
    <w:p w14:paraId="2F01A07E" w14:textId="77777777" w:rsidR="003A460A" w:rsidRPr="00B7392D" w:rsidRDefault="003A460A" w:rsidP="00B7392D">
      <w:pPr>
        <w:snapToGrid w:val="0"/>
        <w:ind w:firstLineChars="200" w:firstLine="480"/>
        <w:rPr>
          <w:rFonts w:ascii="Times New Roman" w:hAnsi="Times New Roman"/>
          <w:sz w:val="24"/>
        </w:rPr>
      </w:pPr>
    </w:p>
    <w:p w14:paraId="57701E48" w14:textId="77777777" w:rsidR="00A46A91" w:rsidRPr="00B7392D" w:rsidRDefault="00000000" w:rsidP="00B7392D">
      <w:pPr>
        <w:snapToGrid w:val="0"/>
        <w:ind w:firstLineChars="200" w:firstLine="480"/>
        <w:jc w:val="center"/>
        <w:rPr>
          <w:rFonts w:ascii="Times New Roman" w:hAnsi="Times New Roman"/>
          <w:sz w:val="24"/>
        </w:rPr>
      </w:pPr>
      <w:r w:rsidRPr="00B7392D">
        <w:rPr>
          <w:noProof/>
          <w:sz w:val="24"/>
        </w:rPr>
        <w:drawing>
          <wp:inline distT="0" distB="0" distL="114300" distR="114300" wp14:anchorId="6B301F7E" wp14:editId="30351970">
            <wp:extent cx="2795270" cy="2152015"/>
            <wp:effectExtent l="0" t="0" r="508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795270" cy="2152015"/>
                    </a:xfrm>
                    <a:prstGeom prst="rect">
                      <a:avLst/>
                    </a:prstGeom>
                    <a:noFill/>
                    <a:ln>
                      <a:noFill/>
                    </a:ln>
                  </pic:spPr>
                </pic:pic>
              </a:graphicData>
            </a:graphic>
          </wp:inline>
        </w:drawing>
      </w:r>
    </w:p>
    <w:p w14:paraId="0346A02E" w14:textId="4F4192B4" w:rsidR="00A46A91" w:rsidRPr="00B7392D" w:rsidRDefault="00000000" w:rsidP="00B7392D">
      <w:pPr>
        <w:snapToGrid w:val="0"/>
        <w:jc w:val="center"/>
        <w:rPr>
          <w:rFonts w:ascii="Times New Roman" w:hAnsi="Times New Roman"/>
          <w:sz w:val="20"/>
          <w:szCs w:val="20"/>
        </w:rPr>
      </w:pPr>
      <w:r w:rsidRPr="00B7392D">
        <w:rPr>
          <w:rFonts w:ascii="Times New Roman" w:hAnsi="Times New Roman" w:hint="eastAsia"/>
          <w:b/>
          <w:bCs/>
          <w:sz w:val="20"/>
          <w:szCs w:val="20"/>
        </w:rPr>
        <w:t>Figure 1</w:t>
      </w:r>
      <w:r w:rsidR="003A460A" w:rsidRPr="00B7392D">
        <w:rPr>
          <w:rFonts w:ascii="Times New Roman" w:hAnsi="Times New Roman"/>
          <w:b/>
          <w:bCs/>
          <w:sz w:val="20"/>
          <w:szCs w:val="20"/>
        </w:rPr>
        <w:t>.</w:t>
      </w:r>
      <w:r w:rsidR="003A460A" w:rsidRPr="00B7392D">
        <w:rPr>
          <w:rFonts w:ascii="Times New Roman" w:hAnsi="Times New Roman"/>
          <w:sz w:val="20"/>
          <w:szCs w:val="20"/>
        </w:rPr>
        <w:t xml:space="preserve"> </w:t>
      </w:r>
      <w:r w:rsidRPr="00B7392D">
        <w:rPr>
          <w:rFonts w:ascii="Times New Roman" w:hAnsi="Times New Roman" w:hint="eastAsia"/>
          <w:sz w:val="20"/>
          <w:szCs w:val="20"/>
        </w:rPr>
        <w:t>Comparison of traditional consent and modified consent. Dynamic informed consent</w:t>
      </w:r>
      <w:r w:rsidR="003A460A" w:rsidRPr="00B7392D">
        <w:rPr>
          <w:rFonts w:ascii="Times New Roman" w:hAnsi="Times New Roman"/>
          <w:sz w:val="20"/>
          <w:szCs w:val="20"/>
        </w:rPr>
        <w:t>.</w:t>
      </w:r>
    </w:p>
    <w:p w14:paraId="0436E99F" w14:textId="77777777" w:rsidR="003A460A" w:rsidRPr="00B7392D" w:rsidRDefault="003A460A" w:rsidP="00B7392D">
      <w:pPr>
        <w:snapToGrid w:val="0"/>
        <w:rPr>
          <w:rFonts w:ascii="Times New Roman" w:hAnsi="Times New Roman"/>
          <w:sz w:val="24"/>
        </w:rPr>
      </w:pPr>
    </w:p>
    <w:p w14:paraId="477BA707" w14:textId="21A5EA1F" w:rsidR="00A46A91" w:rsidRPr="00B7392D" w:rsidRDefault="003A460A" w:rsidP="00B7392D">
      <w:pPr>
        <w:snapToGrid w:val="0"/>
        <w:rPr>
          <w:rFonts w:ascii="Times New Roman" w:hAnsi="Times New Roman"/>
          <w:b/>
          <w:bCs/>
          <w:sz w:val="24"/>
        </w:rPr>
      </w:pPr>
      <w:r w:rsidRPr="00B7392D">
        <w:rPr>
          <w:rFonts w:ascii="Times New Roman" w:hAnsi="Times New Roman"/>
          <w:b/>
          <w:bCs/>
          <w:sz w:val="24"/>
        </w:rPr>
        <w:t>3</w:t>
      </w:r>
      <w:r w:rsidR="00000000" w:rsidRPr="00B7392D">
        <w:rPr>
          <w:rFonts w:ascii="Times New Roman" w:hAnsi="Times New Roman" w:hint="eastAsia"/>
          <w:b/>
          <w:bCs/>
          <w:sz w:val="24"/>
        </w:rPr>
        <w:t>.2</w:t>
      </w:r>
      <w:r w:rsidRPr="00B7392D">
        <w:rPr>
          <w:rFonts w:ascii="Times New Roman" w:hAnsi="Times New Roman"/>
          <w:b/>
          <w:bCs/>
          <w:sz w:val="24"/>
        </w:rPr>
        <w:t>.</w:t>
      </w:r>
      <w:r w:rsidR="00000000" w:rsidRPr="00B7392D">
        <w:rPr>
          <w:rFonts w:ascii="Times New Roman" w:hAnsi="Times New Roman" w:hint="eastAsia"/>
          <w:b/>
          <w:bCs/>
          <w:sz w:val="24"/>
        </w:rPr>
        <w:t xml:space="preserve"> Blurred areas of data ownership </w:t>
      </w:r>
    </w:p>
    <w:p w14:paraId="6DC398BA" w14:textId="20ED366A" w:rsidR="00A46A91" w:rsidRPr="00B7392D" w:rsidRDefault="00000000" w:rsidP="00B7392D">
      <w:pPr>
        <w:snapToGrid w:val="0"/>
        <w:rPr>
          <w:rFonts w:ascii="Times New Roman" w:hAnsi="Times New Roman"/>
          <w:sz w:val="24"/>
        </w:rPr>
      </w:pPr>
      <w:r w:rsidRPr="00B7392D">
        <w:rPr>
          <w:rFonts w:ascii="Times New Roman" w:hAnsi="Times New Roman" w:hint="eastAsia"/>
          <w:sz w:val="24"/>
        </w:rPr>
        <w:t xml:space="preserve">Patients often subconsciously believe that their health data should be </w:t>
      </w:r>
      <w:r w:rsidR="00BB09EA">
        <w:rPr>
          <w:rFonts w:ascii="Times New Roman" w:hAnsi="Times New Roman"/>
          <w:sz w:val="24"/>
        </w:rPr>
        <w:t>‘</w:t>
      </w:r>
      <w:r w:rsidRPr="00B7392D">
        <w:rPr>
          <w:rFonts w:ascii="Times New Roman" w:hAnsi="Times New Roman" w:hint="eastAsia"/>
          <w:sz w:val="24"/>
        </w:rPr>
        <w:t xml:space="preserve">their </w:t>
      </w:r>
      <w:r w:rsidR="00BB09EA">
        <w:rPr>
          <w:rFonts w:ascii="Times New Roman" w:hAnsi="Times New Roman"/>
          <w:sz w:val="24"/>
        </w:rPr>
        <w:t>own</w:t>
      </w:r>
      <w:r w:rsidR="003A460A">
        <w:rPr>
          <w:rFonts w:ascii="Times New Roman" w:hAnsi="Times New Roman"/>
          <w:sz w:val="24"/>
        </w:rPr>
        <w:t>’</w:t>
      </w:r>
      <w:r w:rsidRPr="00B7392D">
        <w:rPr>
          <w:rFonts w:ascii="Times New Roman" w:hAnsi="Times New Roman" w:hint="eastAsia"/>
          <w:sz w:val="24"/>
        </w:rPr>
        <w:t xml:space="preserve">, but the situation in legal practice is far from so simple. The current framework is the </w:t>
      </w:r>
      <w:r w:rsidR="00BB09EA">
        <w:rPr>
          <w:rFonts w:ascii="Times New Roman" w:hAnsi="Times New Roman"/>
          <w:sz w:val="24"/>
        </w:rPr>
        <w:t>‘</w:t>
      </w:r>
      <w:r w:rsidRPr="00B7392D">
        <w:rPr>
          <w:rFonts w:ascii="Times New Roman" w:hAnsi="Times New Roman" w:hint="eastAsia"/>
          <w:sz w:val="24"/>
        </w:rPr>
        <w:t>separation of three rights</w:t>
      </w:r>
      <w:r w:rsidR="003A460A">
        <w:rPr>
          <w:rFonts w:ascii="Times New Roman" w:hAnsi="Times New Roman"/>
          <w:sz w:val="24"/>
        </w:rPr>
        <w:t>’</w:t>
      </w:r>
      <w:r w:rsidRPr="00B7392D">
        <w:rPr>
          <w:rFonts w:ascii="Times New Roman" w:hAnsi="Times New Roman" w:hint="eastAsia"/>
          <w:sz w:val="24"/>
        </w:rPr>
        <w:t xml:space="preserve">, which is divided into three levels: First, patients have personal rights and interests in personal information (including informed, corrected, deleted, etc.); secondly, the medical data formed by medical institutions based on diagnosis and treatment services enjoy the </w:t>
      </w:r>
      <w:r w:rsidR="00BB09EA">
        <w:rPr>
          <w:rFonts w:ascii="Times New Roman" w:hAnsi="Times New Roman"/>
          <w:sz w:val="24"/>
        </w:rPr>
        <w:t>‘</w:t>
      </w:r>
      <w:r w:rsidRPr="00B7392D">
        <w:rPr>
          <w:rFonts w:ascii="Times New Roman" w:hAnsi="Times New Roman" w:hint="eastAsia"/>
          <w:sz w:val="24"/>
        </w:rPr>
        <w:t>data resource holding right</w:t>
      </w:r>
      <w:r w:rsidR="003A460A">
        <w:rPr>
          <w:rFonts w:ascii="Times New Roman" w:hAnsi="Times New Roman"/>
          <w:sz w:val="24"/>
        </w:rPr>
        <w:t>’</w:t>
      </w:r>
      <w:r w:rsidRPr="00B7392D">
        <w:rPr>
          <w:rFonts w:ascii="Times New Roman" w:hAnsi="Times New Roman" w:hint="eastAsia"/>
          <w:sz w:val="24"/>
        </w:rPr>
        <w:t xml:space="preserve"> and </w:t>
      </w:r>
      <w:r w:rsidR="00BB09EA">
        <w:rPr>
          <w:rFonts w:ascii="Times New Roman" w:hAnsi="Times New Roman"/>
          <w:sz w:val="24"/>
        </w:rPr>
        <w:t>‘</w:t>
      </w:r>
      <w:r w:rsidRPr="00B7392D">
        <w:rPr>
          <w:rFonts w:ascii="Times New Roman" w:hAnsi="Times New Roman" w:hint="eastAsia"/>
          <w:sz w:val="24"/>
        </w:rPr>
        <w:t>processing and using right</w:t>
      </w:r>
      <w:r w:rsidR="003A460A">
        <w:rPr>
          <w:rFonts w:ascii="Times New Roman" w:hAnsi="Times New Roman"/>
          <w:sz w:val="24"/>
        </w:rPr>
        <w:t>’</w:t>
      </w:r>
      <w:r w:rsidRPr="00B7392D">
        <w:rPr>
          <w:rFonts w:ascii="Times New Roman" w:hAnsi="Times New Roman" w:hint="eastAsia"/>
          <w:sz w:val="24"/>
        </w:rPr>
        <w:t xml:space="preserve">. Third, third-party institutions are authorized to enjoy </w:t>
      </w:r>
      <w:r w:rsidR="00BB09EA">
        <w:rPr>
          <w:rFonts w:ascii="Times New Roman" w:hAnsi="Times New Roman"/>
          <w:sz w:val="24"/>
        </w:rPr>
        <w:t>‘</w:t>
      </w:r>
      <w:r w:rsidRPr="00B7392D">
        <w:rPr>
          <w:rFonts w:ascii="Times New Roman" w:hAnsi="Times New Roman" w:hint="eastAsia"/>
          <w:sz w:val="24"/>
        </w:rPr>
        <w:t xml:space="preserve">data product management </w:t>
      </w:r>
      <w:r w:rsidR="00BB09EA" w:rsidRPr="00B7392D">
        <w:rPr>
          <w:rFonts w:ascii="Times New Roman" w:hAnsi="Times New Roman"/>
          <w:sz w:val="24"/>
        </w:rPr>
        <w:t>rights</w:t>
      </w:r>
      <w:r w:rsidR="003A460A">
        <w:rPr>
          <w:rFonts w:ascii="Times New Roman" w:hAnsi="Times New Roman"/>
          <w:sz w:val="24"/>
        </w:rPr>
        <w:t>’</w:t>
      </w:r>
      <w:r w:rsidRPr="00B7392D">
        <w:rPr>
          <w:rFonts w:ascii="Times New Roman" w:hAnsi="Times New Roman" w:hint="eastAsia"/>
          <w:sz w:val="24"/>
        </w:rPr>
        <w:t xml:space="preserve">. Although this framework attempts to balance the interests of multiple parties, the differences in the legal nature of </w:t>
      </w:r>
      <w:r w:rsidR="00BB09EA">
        <w:rPr>
          <w:rFonts w:ascii="Times New Roman" w:hAnsi="Times New Roman"/>
          <w:sz w:val="24"/>
        </w:rPr>
        <w:t>‘</w:t>
      </w:r>
      <w:r w:rsidRPr="00B7392D">
        <w:rPr>
          <w:rFonts w:ascii="Times New Roman" w:hAnsi="Times New Roman" w:hint="eastAsia"/>
          <w:sz w:val="24"/>
        </w:rPr>
        <w:t>rights</w:t>
      </w:r>
      <w:r w:rsidR="003A460A">
        <w:rPr>
          <w:rFonts w:ascii="Times New Roman" w:hAnsi="Times New Roman"/>
          <w:sz w:val="24"/>
        </w:rPr>
        <w:t>’</w:t>
      </w:r>
      <w:r w:rsidRPr="00B7392D">
        <w:rPr>
          <w:rFonts w:ascii="Times New Roman" w:hAnsi="Times New Roman" w:hint="eastAsia"/>
          <w:sz w:val="24"/>
        </w:rPr>
        <w:t xml:space="preserve"> and </w:t>
      </w:r>
      <w:r w:rsidR="00BB09EA">
        <w:rPr>
          <w:rFonts w:ascii="Times New Roman" w:hAnsi="Times New Roman"/>
          <w:sz w:val="24"/>
        </w:rPr>
        <w:t>‘</w:t>
      </w:r>
      <w:r w:rsidRPr="00B7392D">
        <w:rPr>
          <w:rFonts w:ascii="Times New Roman" w:hAnsi="Times New Roman" w:hint="eastAsia"/>
          <w:sz w:val="24"/>
        </w:rPr>
        <w:t>rights</w:t>
      </w:r>
      <w:r w:rsidR="003A460A">
        <w:rPr>
          <w:rFonts w:ascii="Times New Roman" w:hAnsi="Times New Roman"/>
          <w:sz w:val="24"/>
        </w:rPr>
        <w:t>’</w:t>
      </w:r>
      <w:r w:rsidRPr="00B7392D">
        <w:rPr>
          <w:rFonts w:ascii="Times New Roman" w:hAnsi="Times New Roman" w:hint="eastAsia"/>
          <w:sz w:val="24"/>
        </w:rPr>
        <w:t>, the boundaries and conflicts of rights of all parties still need to be further clarified through judicial practice.</w:t>
      </w:r>
    </w:p>
    <w:p w14:paraId="03C6F89B" w14:textId="2401C018" w:rsidR="00A46A91" w:rsidRDefault="00000000" w:rsidP="00BB09EA">
      <w:pPr>
        <w:snapToGrid w:val="0"/>
        <w:ind w:firstLineChars="200" w:firstLine="480"/>
        <w:rPr>
          <w:rFonts w:ascii="Times New Roman" w:hAnsi="Times New Roman"/>
          <w:sz w:val="24"/>
        </w:rPr>
      </w:pPr>
      <w:r w:rsidRPr="00B7392D">
        <w:rPr>
          <w:rFonts w:ascii="Times New Roman" w:hAnsi="Times New Roman" w:hint="eastAsia"/>
          <w:sz w:val="24"/>
        </w:rPr>
        <w:t xml:space="preserve">Associated with the problem of ownership, there are also problems in the distribution of benefits. Health data is becoming an asset with great economic value. The </w:t>
      </w:r>
      <w:r w:rsidR="00BB09EA">
        <w:rPr>
          <w:rFonts w:ascii="Times New Roman" w:hAnsi="Times New Roman"/>
          <w:sz w:val="24"/>
        </w:rPr>
        <w:t>‘</w:t>
      </w:r>
      <w:r w:rsidRPr="00B7392D">
        <w:rPr>
          <w:rFonts w:ascii="Times New Roman" w:hAnsi="Times New Roman" w:hint="eastAsia"/>
          <w:sz w:val="24"/>
        </w:rPr>
        <w:t>Xihe No.1 Medical Model</w:t>
      </w:r>
      <w:r w:rsidR="003A460A">
        <w:rPr>
          <w:rFonts w:ascii="Times New Roman" w:hAnsi="Times New Roman"/>
          <w:sz w:val="24"/>
        </w:rPr>
        <w:t>’</w:t>
      </w:r>
      <w:r w:rsidRPr="00B7392D">
        <w:rPr>
          <w:rFonts w:ascii="Times New Roman" w:hAnsi="Times New Roman" w:hint="eastAsia"/>
          <w:sz w:val="24"/>
        </w:rPr>
        <w:t xml:space="preserve"> released in 2025 is based on the training of 1 million real medical records of 18 institutions. When these data are used for commercial purposes (such as pharmaceutical research and development, AI model training), should patients benefit from them? At present, it has been proposed to establish a </w:t>
      </w:r>
      <w:r w:rsidR="00BB09EA">
        <w:rPr>
          <w:rFonts w:ascii="Times New Roman" w:hAnsi="Times New Roman"/>
          <w:sz w:val="24"/>
        </w:rPr>
        <w:t>‘</w:t>
      </w:r>
      <w:r w:rsidRPr="00B7392D">
        <w:rPr>
          <w:rFonts w:ascii="Times New Roman" w:hAnsi="Times New Roman" w:hint="eastAsia"/>
          <w:sz w:val="24"/>
        </w:rPr>
        <w:t xml:space="preserve">patient equity </w:t>
      </w:r>
      <w:r w:rsidR="00BB09EA">
        <w:rPr>
          <w:rFonts w:ascii="Times New Roman" w:hAnsi="Times New Roman"/>
          <w:sz w:val="24"/>
        </w:rPr>
        <w:t>fund</w:t>
      </w:r>
      <w:r w:rsidR="003A460A">
        <w:rPr>
          <w:rFonts w:ascii="Times New Roman" w:hAnsi="Times New Roman"/>
          <w:sz w:val="24"/>
        </w:rPr>
        <w:t>’</w:t>
      </w:r>
      <w:r w:rsidR="00BB09EA" w:rsidRPr="00B7392D">
        <w:rPr>
          <w:rFonts w:ascii="Times New Roman" w:hAnsi="Times New Roman"/>
          <w:sz w:val="24"/>
        </w:rPr>
        <w:t>, with no less than 5% of the proceeds from data transactions</w:t>
      </w:r>
      <w:r w:rsidRPr="00B7392D">
        <w:rPr>
          <w:rFonts w:ascii="Times New Roman" w:hAnsi="Times New Roman" w:hint="eastAsia"/>
          <w:sz w:val="24"/>
        </w:rPr>
        <w:t xml:space="preserve"> dedicated to patient subsidies and privacy protection research and development. Although this mechanism is still in the exploratory stage, this direction is worthy of recognition - the value creators of data cannot be excluded from the value distribution.</w:t>
      </w:r>
      <w:r w:rsidR="003A460A">
        <w:rPr>
          <w:rFonts w:ascii="Times New Roman" w:hAnsi="Times New Roman"/>
          <w:sz w:val="24"/>
        </w:rPr>
        <w:t xml:space="preserve"> See </w:t>
      </w:r>
      <w:r w:rsidR="003A460A" w:rsidRPr="00B7392D">
        <w:rPr>
          <w:rFonts w:ascii="Times New Roman" w:hAnsi="Times New Roman"/>
          <w:b/>
          <w:bCs/>
          <w:sz w:val="24"/>
        </w:rPr>
        <w:t>Figure 2</w:t>
      </w:r>
      <w:r w:rsidR="003A460A">
        <w:rPr>
          <w:rFonts w:ascii="Times New Roman" w:hAnsi="Times New Roman"/>
          <w:sz w:val="24"/>
        </w:rPr>
        <w:t>.</w:t>
      </w:r>
    </w:p>
    <w:p w14:paraId="6C71E94C" w14:textId="77777777" w:rsidR="003A460A" w:rsidRPr="00B7392D" w:rsidRDefault="003A460A" w:rsidP="00B7392D">
      <w:pPr>
        <w:snapToGrid w:val="0"/>
        <w:ind w:firstLineChars="200" w:firstLine="480"/>
        <w:rPr>
          <w:rFonts w:ascii="Times New Roman" w:hAnsi="Times New Roman"/>
          <w:sz w:val="24"/>
        </w:rPr>
      </w:pPr>
    </w:p>
    <w:p w14:paraId="033C0E7B" w14:textId="77777777" w:rsidR="00A46A91" w:rsidRPr="00B7392D" w:rsidRDefault="00000000" w:rsidP="00B7392D">
      <w:pPr>
        <w:snapToGrid w:val="0"/>
        <w:ind w:firstLineChars="200" w:firstLine="480"/>
        <w:jc w:val="center"/>
        <w:rPr>
          <w:rFonts w:ascii="Times New Roman" w:hAnsi="Times New Roman"/>
          <w:sz w:val="24"/>
        </w:rPr>
      </w:pPr>
      <w:r w:rsidRPr="00B7392D">
        <w:rPr>
          <w:noProof/>
          <w:sz w:val="24"/>
        </w:rPr>
        <w:lastRenderedPageBreak/>
        <w:drawing>
          <wp:inline distT="0" distB="0" distL="114300" distR="114300" wp14:anchorId="001DB07D" wp14:editId="0E0853E0">
            <wp:extent cx="3528695" cy="3582035"/>
            <wp:effectExtent l="0" t="0" r="14605" b="184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3528695" cy="3582035"/>
                    </a:xfrm>
                    <a:prstGeom prst="rect">
                      <a:avLst/>
                    </a:prstGeom>
                    <a:noFill/>
                    <a:ln>
                      <a:noFill/>
                    </a:ln>
                  </pic:spPr>
                </pic:pic>
              </a:graphicData>
            </a:graphic>
          </wp:inline>
        </w:drawing>
      </w:r>
    </w:p>
    <w:p w14:paraId="320432B1" w14:textId="3C458A23" w:rsidR="00A46A91" w:rsidRPr="00B7392D" w:rsidRDefault="00000000" w:rsidP="00B7392D">
      <w:pPr>
        <w:snapToGrid w:val="0"/>
        <w:jc w:val="center"/>
        <w:rPr>
          <w:rFonts w:ascii="Times New Roman" w:hAnsi="Times New Roman"/>
          <w:sz w:val="20"/>
          <w:szCs w:val="20"/>
        </w:rPr>
      </w:pPr>
      <w:r w:rsidRPr="00B7392D">
        <w:rPr>
          <w:rFonts w:ascii="Times New Roman" w:hAnsi="Times New Roman" w:hint="eastAsia"/>
          <w:b/>
          <w:bCs/>
          <w:sz w:val="20"/>
          <w:szCs w:val="20"/>
        </w:rPr>
        <w:t>Figure 2</w:t>
      </w:r>
      <w:r w:rsidR="003A460A" w:rsidRPr="00B7392D">
        <w:rPr>
          <w:rFonts w:ascii="Times New Roman" w:hAnsi="Times New Roman"/>
          <w:b/>
          <w:bCs/>
          <w:sz w:val="20"/>
          <w:szCs w:val="20"/>
        </w:rPr>
        <w:t>.</w:t>
      </w:r>
      <w:r w:rsidRPr="00B7392D">
        <w:rPr>
          <w:rFonts w:ascii="Times New Roman" w:hAnsi="Times New Roman" w:hint="eastAsia"/>
          <w:sz w:val="20"/>
          <w:szCs w:val="20"/>
        </w:rPr>
        <w:t xml:space="preserve"> Tripartite rights framework and benefit distribution mechanism</w:t>
      </w:r>
      <w:r w:rsidR="003A460A" w:rsidRPr="00B7392D">
        <w:rPr>
          <w:rFonts w:ascii="Times New Roman" w:hAnsi="Times New Roman"/>
          <w:sz w:val="20"/>
          <w:szCs w:val="20"/>
        </w:rPr>
        <w:t>.</w:t>
      </w:r>
    </w:p>
    <w:p w14:paraId="4B543A70" w14:textId="77777777" w:rsidR="003A460A" w:rsidRDefault="003A460A" w:rsidP="00BB09EA">
      <w:pPr>
        <w:snapToGrid w:val="0"/>
        <w:ind w:firstLineChars="200" w:firstLine="480"/>
        <w:rPr>
          <w:rFonts w:ascii="Times New Roman" w:hAnsi="Times New Roman"/>
          <w:sz w:val="24"/>
        </w:rPr>
      </w:pPr>
    </w:p>
    <w:p w14:paraId="66197802" w14:textId="723321FF" w:rsidR="00A46A91" w:rsidRPr="00B7392D" w:rsidRDefault="003A460A" w:rsidP="00B7392D">
      <w:pPr>
        <w:snapToGrid w:val="0"/>
        <w:rPr>
          <w:rFonts w:ascii="Times New Roman" w:hAnsi="Times New Roman"/>
          <w:b/>
          <w:bCs/>
          <w:sz w:val="24"/>
        </w:rPr>
      </w:pPr>
      <w:r w:rsidRPr="00B7392D">
        <w:rPr>
          <w:rFonts w:ascii="Times New Roman" w:hAnsi="Times New Roman"/>
          <w:b/>
          <w:bCs/>
          <w:sz w:val="24"/>
        </w:rPr>
        <w:t>3</w:t>
      </w:r>
      <w:r w:rsidR="00000000" w:rsidRPr="00B7392D">
        <w:rPr>
          <w:rFonts w:ascii="Times New Roman" w:hAnsi="Times New Roman" w:hint="eastAsia"/>
          <w:b/>
          <w:bCs/>
          <w:sz w:val="24"/>
        </w:rPr>
        <w:t>.3</w:t>
      </w:r>
      <w:r w:rsidRPr="00B7392D">
        <w:rPr>
          <w:rFonts w:ascii="Times New Roman" w:hAnsi="Times New Roman"/>
          <w:b/>
          <w:bCs/>
          <w:sz w:val="24"/>
        </w:rPr>
        <w:t>.</w:t>
      </w:r>
      <w:r w:rsidR="00000000" w:rsidRPr="00B7392D">
        <w:rPr>
          <w:rFonts w:ascii="Times New Roman" w:hAnsi="Times New Roman" w:hint="eastAsia"/>
          <w:b/>
          <w:bCs/>
          <w:sz w:val="24"/>
        </w:rPr>
        <w:t xml:space="preserve"> The duality of technical governance </w:t>
      </w:r>
    </w:p>
    <w:p w14:paraId="7A1DCF0C" w14:textId="77777777" w:rsidR="00A46A91" w:rsidRPr="00B7392D" w:rsidRDefault="00000000" w:rsidP="00B7392D">
      <w:pPr>
        <w:snapToGrid w:val="0"/>
        <w:rPr>
          <w:rFonts w:ascii="Times New Roman" w:hAnsi="Times New Roman"/>
          <w:sz w:val="24"/>
        </w:rPr>
      </w:pPr>
      <w:r w:rsidRPr="00B7392D">
        <w:rPr>
          <w:rFonts w:ascii="Times New Roman" w:hAnsi="Times New Roman" w:hint="eastAsia"/>
          <w:sz w:val="24"/>
        </w:rPr>
        <w:t xml:space="preserve">In the process of data governance in smart hospitals, the application of technology shows the dual characteristics of protection and risk. </w:t>
      </w:r>
    </w:p>
    <w:p w14:paraId="649CF5E5" w14:textId="1A25DFB1" w:rsidR="00A46A91" w:rsidRDefault="00000000" w:rsidP="00BB09EA">
      <w:pPr>
        <w:snapToGrid w:val="0"/>
        <w:ind w:firstLineChars="200" w:firstLine="480"/>
        <w:rPr>
          <w:rFonts w:ascii="Times New Roman" w:hAnsi="Times New Roman"/>
          <w:sz w:val="24"/>
        </w:rPr>
      </w:pPr>
      <w:r w:rsidRPr="00B7392D">
        <w:rPr>
          <w:rFonts w:ascii="Times New Roman" w:hAnsi="Times New Roman" w:hint="eastAsia"/>
          <w:sz w:val="24"/>
        </w:rPr>
        <w:t>From the perspective of privacy risk, the rapid promotion of environmental clinical AI (i.e.</w:t>
      </w:r>
      <w:r w:rsidR="00BB09EA" w:rsidRPr="00B7392D">
        <w:rPr>
          <w:rFonts w:ascii="Times New Roman" w:hAnsi="Times New Roman"/>
          <w:sz w:val="24"/>
        </w:rPr>
        <w:t xml:space="preserve">, </w:t>
      </w:r>
      <w:r w:rsidR="00BB09EA">
        <w:rPr>
          <w:rFonts w:ascii="Times New Roman" w:hAnsi="Times New Roman"/>
          <w:sz w:val="24"/>
        </w:rPr>
        <w:t>‘</w:t>
      </w:r>
      <w:r w:rsidR="00BB09EA" w:rsidRPr="00B7392D">
        <w:rPr>
          <w:rFonts w:ascii="Times New Roman" w:hAnsi="Times New Roman"/>
          <w:sz w:val="24"/>
        </w:rPr>
        <w:t xml:space="preserve">listening </w:t>
      </w:r>
      <w:r w:rsidR="00BB09EA">
        <w:rPr>
          <w:rFonts w:ascii="Times New Roman" w:hAnsi="Times New Roman"/>
          <w:sz w:val="24"/>
        </w:rPr>
        <w:t>AI</w:t>
      </w:r>
      <w:r w:rsidR="003A460A">
        <w:rPr>
          <w:rFonts w:ascii="Times New Roman" w:hAnsi="Times New Roman"/>
          <w:sz w:val="24"/>
        </w:rPr>
        <w:t>’</w:t>
      </w:r>
      <w:r w:rsidRPr="00B7392D">
        <w:rPr>
          <w:rFonts w:ascii="Times New Roman" w:hAnsi="Times New Roman" w:hint="eastAsia"/>
          <w:sz w:val="24"/>
        </w:rPr>
        <w:t xml:space="preserve">) has aroused widespread concern. Such systems record doctor-patient conversations and generate medical records in real time through an always-on microphone. Although it has a significant effect on reducing the burden of </w:t>
      </w:r>
      <w:r w:rsidR="00BB09EA">
        <w:rPr>
          <w:rFonts w:ascii="Times New Roman" w:hAnsi="Times New Roman"/>
          <w:sz w:val="24"/>
        </w:rPr>
        <w:t>doctors’</w:t>
      </w:r>
      <w:r w:rsidRPr="00B7392D">
        <w:rPr>
          <w:rFonts w:ascii="Times New Roman" w:hAnsi="Times New Roman" w:hint="eastAsia"/>
          <w:sz w:val="24"/>
        </w:rPr>
        <w:t xml:space="preserve"> paperwork (some studies have shown that it can reduce document time by </w:t>
      </w:r>
      <w:r w:rsidR="00BB09EA" w:rsidRPr="00B7392D">
        <w:rPr>
          <w:rFonts w:ascii="Times New Roman" w:hAnsi="Times New Roman"/>
          <w:sz w:val="24"/>
        </w:rPr>
        <w:t>20</w:t>
      </w:r>
      <w:r w:rsidR="003A460A">
        <w:rPr>
          <w:rFonts w:ascii="Times New Roman" w:hAnsi="Times New Roman"/>
          <w:sz w:val="24"/>
        </w:rPr>
        <w:t>–</w:t>
      </w:r>
      <w:r w:rsidR="00BB09EA" w:rsidRPr="00B7392D">
        <w:rPr>
          <w:rFonts w:ascii="Times New Roman" w:hAnsi="Times New Roman"/>
          <w:sz w:val="24"/>
        </w:rPr>
        <w:t>30%</w:t>
      </w:r>
      <w:r w:rsidRPr="00B7392D">
        <w:rPr>
          <w:rFonts w:ascii="Times New Roman" w:hAnsi="Times New Roman" w:hint="eastAsia"/>
          <w:sz w:val="24"/>
        </w:rPr>
        <w:t xml:space="preserve">), patients are likely to be recorded </w:t>
      </w:r>
      <w:r w:rsidR="00BB09EA">
        <w:rPr>
          <w:rFonts w:ascii="Times New Roman" w:hAnsi="Times New Roman"/>
          <w:sz w:val="24"/>
        </w:rPr>
        <w:t>‘</w:t>
      </w:r>
      <w:r w:rsidR="00BB09EA" w:rsidRPr="00B7392D">
        <w:rPr>
          <w:rFonts w:ascii="Times New Roman" w:hAnsi="Times New Roman"/>
          <w:sz w:val="24"/>
        </w:rPr>
        <w:t>unintentionally</w:t>
      </w:r>
      <w:r w:rsidR="003A460A">
        <w:rPr>
          <w:rFonts w:ascii="Times New Roman" w:hAnsi="Times New Roman"/>
          <w:sz w:val="24"/>
        </w:rPr>
        <w:t>’</w:t>
      </w:r>
      <w:r w:rsidRPr="00B7392D">
        <w:rPr>
          <w:rFonts w:ascii="Times New Roman" w:hAnsi="Times New Roman" w:hint="eastAsia"/>
          <w:sz w:val="24"/>
        </w:rPr>
        <w:t xml:space="preserve"> because of their continuous voice collection; studies have shown that many patients are unaware of the existence of these systems and even less aware of where the data is going.</w:t>
      </w:r>
      <w:r w:rsidR="003A460A">
        <w:rPr>
          <w:rFonts w:ascii="Times New Roman" w:hAnsi="Times New Roman"/>
          <w:sz w:val="24"/>
        </w:rPr>
        <w:t xml:space="preserve"> See </w:t>
      </w:r>
      <w:r w:rsidR="003A460A" w:rsidRPr="00B7392D">
        <w:rPr>
          <w:rFonts w:ascii="Times New Roman" w:hAnsi="Times New Roman"/>
          <w:b/>
          <w:bCs/>
          <w:sz w:val="24"/>
        </w:rPr>
        <w:t>Table 1</w:t>
      </w:r>
      <w:r w:rsidR="003A460A">
        <w:rPr>
          <w:rFonts w:ascii="Times New Roman" w:hAnsi="Times New Roman"/>
          <w:sz w:val="24"/>
        </w:rPr>
        <w:t>.</w:t>
      </w:r>
    </w:p>
    <w:p w14:paraId="221961AC" w14:textId="77777777" w:rsidR="003A460A" w:rsidRPr="00B7392D" w:rsidRDefault="003A460A" w:rsidP="00B7392D">
      <w:pPr>
        <w:snapToGrid w:val="0"/>
        <w:ind w:firstLineChars="200" w:firstLine="480"/>
        <w:rPr>
          <w:rFonts w:ascii="Times New Roman" w:hAnsi="Times New Roman"/>
          <w:sz w:val="24"/>
        </w:rPr>
      </w:pPr>
    </w:p>
    <w:p w14:paraId="749239D0" w14:textId="34BED42C" w:rsidR="00A46A91" w:rsidRDefault="00000000" w:rsidP="00BB09EA">
      <w:pPr>
        <w:snapToGrid w:val="0"/>
        <w:rPr>
          <w:rFonts w:ascii="Times New Roman" w:eastAsia="SimSun" w:hAnsi="Times New Roman"/>
          <w:sz w:val="24"/>
        </w:rPr>
      </w:pPr>
      <w:r w:rsidRPr="00B7392D">
        <w:rPr>
          <w:rFonts w:ascii="Times New Roman" w:eastAsia="SimSun" w:hAnsi="Times New Roman" w:hint="eastAsia"/>
          <w:b/>
          <w:bCs/>
          <w:sz w:val="24"/>
        </w:rPr>
        <w:t>Table 1</w:t>
      </w:r>
      <w:r w:rsidR="003A460A" w:rsidRPr="00B7392D">
        <w:rPr>
          <w:rFonts w:ascii="Times New Roman" w:eastAsia="SimSun" w:hAnsi="Times New Roman"/>
          <w:b/>
          <w:bCs/>
          <w:sz w:val="24"/>
        </w:rPr>
        <w:t>.</w:t>
      </w:r>
      <w:r w:rsidRPr="00B7392D">
        <w:rPr>
          <w:rFonts w:ascii="Times New Roman" w:eastAsia="SimSun" w:hAnsi="Times New Roman" w:hint="eastAsia"/>
          <w:sz w:val="24"/>
        </w:rPr>
        <w:t xml:space="preserve"> Ambient </w:t>
      </w:r>
      <w:r w:rsidR="003A460A">
        <w:rPr>
          <w:rFonts w:ascii="Times New Roman" w:eastAsia="SimSun" w:hAnsi="Times New Roman"/>
          <w:sz w:val="24"/>
        </w:rPr>
        <w:t>c</w:t>
      </w:r>
      <w:r w:rsidR="003A460A" w:rsidRPr="00B7392D">
        <w:rPr>
          <w:rFonts w:ascii="Times New Roman" w:eastAsia="SimSun" w:hAnsi="Times New Roman" w:hint="eastAsia"/>
          <w:sz w:val="24"/>
        </w:rPr>
        <w:t xml:space="preserve">linical </w:t>
      </w:r>
      <w:r w:rsidRPr="00B7392D">
        <w:rPr>
          <w:rFonts w:ascii="Times New Roman" w:eastAsia="SimSun" w:hAnsi="Times New Roman" w:hint="eastAsia"/>
          <w:sz w:val="24"/>
        </w:rPr>
        <w:t>AI (</w:t>
      </w:r>
      <w:r w:rsidR="00BB09EA">
        <w:rPr>
          <w:rFonts w:ascii="Times New Roman" w:eastAsia="SimSun" w:hAnsi="Times New Roman"/>
          <w:sz w:val="24"/>
        </w:rPr>
        <w:t>“</w:t>
      </w:r>
      <w:r w:rsidRPr="00B7392D">
        <w:rPr>
          <w:rFonts w:ascii="Times New Roman" w:eastAsia="SimSun" w:hAnsi="Times New Roman" w:hint="eastAsia"/>
          <w:sz w:val="24"/>
        </w:rPr>
        <w:t>Listening AI</w:t>
      </w:r>
      <w:r w:rsidR="00BB09EA">
        <w:rPr>
          <w:rFonts w:ascii="Times New Roman" w:eastAsia="SimSun" w:hAnsi="Times New Roman"/>
          <w:sz w:val="24"/>
        </w:rPr>
        <w:t>”</w:t>
      </w:r>
      <w:r w:rsidRPr="00B7392D">
        <w:rPr>
          <w:rFonts w:ascii="Times New Roman" w:eastAsia="SimSun" w:hAnsi="Times New Roman" w:hint="eastAsia"/>
          <w:sz w:val="24"/>
        </w:rPr>
        <w:t xml:space="preserve">) </w:t>
      </w:r>
      <w:r w:rsidR="003A460A" w:rsidRPr="003A460A">
        <w:rPr>
          <w:rFonts w:ascii="Times New Roman" w:eastAsia="SimSun" w:hAnsi="Times New Roman"/>
          <w:sz w:val="24"/>
        </w:rPr>
        <w:t>privacy risk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4356"/>
        <w:gridCol w:w="3972"/>
      </w:tblGrid>
      <w:tr w:rsidR="003A460A" w14:paraId="5B471159" w14:textId="77777777" w:rsidTr="00B7392D">
        <w:tc>
          <w:tcPr>
            <w:tcW w:w="1310" w:type="dxa"/>
            <w:tcBorders>
              <w:top w:val="single" w:sz="4" w:space="0" w:color="auto"/>
              <w:bottom w:val="single" w:sz="4" w:space="0" w:color="auto"/>
            </w:tcBorders>
            <w:vAlign w:val="center"/>
          </w:tcPr>
          <w:p w14:paraId="00750E45" w14:textId="131AC931" w:rsidR="003A460A" w:rsidRPr="00B7392D" w:rsidRDefault="003A460A" w:rsidP="00B7392D">
            <w:pPr>
              <w:snapToGrid w:val="0"/>
              <w:jc w:val="left"/>
              <w:rPr>
                <w:rFonts w:ascii="Times New Roman" w:eastAsia="SimSun" w:hAnsi="Times New Roman"/>
                <w:b/>
                <w:bCs/>
                <w:sz w:val="24"/>
              </w:rPr>
            </w:pPr>
            <w:r w:rsidRPr="00B7392D">
              <w:rPr>
                <w:rFonts w:ascii="Times New Roman" w:eastAsia="SimSun" w:hAnsi="Times New Roman" w:cs="SimSun" w:hint="eastAsia"/>
                <w:b/>
                <w:bCs/>
                <w:color w:val="000000"/>
                <w:kern w:val="0"/>
                <w:sz w:val="24"/>
                <w:lang w:bidi="ar"/>
              </w:rPr>
              <w:t>Dimension</w:t>
            </w:r>
          </w:p>
        </w:tc>
        <w:tc>
          <w:tcPr>
            <w:tcW w:w="4468" w:type="dxa"/>
            <w:tcBorders>
              <w:top w:val="single" w:sz="4" w:space="0" w:color="auto"/>
              <w:bottom w:val="single" w:sz="4" w:space="0" w:color="auto"/>
            </w:tcBorders>
            <w:vAlign w:val="center"/>
          </w:tcPr>
          <w:p w14:paraId="25B11501" w14:textId="05A52449" w:rsidR="003A460A" w:rsidRPr="00B7392D" w:rsidRDefault="003A460A" w:rsidP="00B7392D">
            <w:pPr>
              <w:snapToGrid w:val="0"/>
              <w:jc w:val="center"/>
              <w:rPr>
                <w:rFonts w:ascii="Times New Roman" w:eastAsia="SimSun" w:hAnsi="Times New Roman"/>
                <w:b/>
                <w:bCs/>
                <w:sz w:val="24"/>
              </w:rPr>
            </w:pPr>
            <w:r w:rsidRPr="00B7392D">
              <w:rPr>
                <w:rFonts w:ascii="Times New Roman" w:eastAsia="SimSun" w:hAnsi="Times New Roman" w:cs="SimSun" w:hint="eastAsia"/>
                <w:b/>
                <w:bCs/>
                <w:color w:val="000000"/>
                <w:kern w:val="0"/>
                <w:sz w:val="24"/>
                <w:lang w:bidi="ar"/>
              </w:rPr>
              <w:t>Indicator</w:t>
            </w:r>
          </w:p>
        </w:tc>
        <w:tc>
          <w:tcPr>
            <w:tcW w:w="4076" w:type="dxa"/>
            <w:tcBorders>
              <w:top w:val="single" w:sz="4" w:space="0" w:color="auto"/>
              <w:bottom w:val="single" w:sz="4" w:space="0" w:color="auto"/>
            </w:tcBorders>
            <w:vAlign w:val="center"/>
          </w:tcPr>
          <w:p w14:paraId="157F9A17" w14:textId="2B6DC2F0" w:rsidR="003A460A" w:rsidRPr="00B7392D" w:rsidRDefault="003A460A" w:rsidP="00B7392D">
            <w:pPr>
              <w:snapToGrid w:val="0"/>
              <w:jc w:val="center"/>
              <w:rPr>
                <w:rFonts w:ascii="Times New Roman" w:eastAsia="SimSun" w:hAnsi="Times New Roman"/>
                <w:b/>
                <w:bCs/>
                <w:sz w:val="24"/>
              </w:rPr>
            </w:pPr>
            <w:r w:rsidRPr="00B7392D">
              <w:rPr>
                <w:rFonts w:ascii="Times New Roman" w:eastAsia="SimSun" w:hAnsi="Times New Roman" w:cs="SimSun" w:hint="eastAsia"/>
                <w:b/>
                <w:bCs/>
                <w:color w:val="000000"/>
                <w:kern w:val="0"/>
                <w:sz w:val="24"/>
                <w:lang w:bidi="ar"/>
              </w:rPr>
              <w:t>Data</w:t>
            </w:r>
          </w:p>
        </w:tc>
      </w:tr>
      <w:tr w:rsidR="003A460A" w14:paraId="28997C3B" w14:textId="77777777" w:rsidTr="00B7392D">
        <w:tc>
          <w:tcPr>
            <w:tcW w:w="1310" w:type="dxa"/>
            <w:vMerge w:val="restart"/>
            <w:tcBorders>
              <w:top w:val="single" w:sz="4" w:space="0" w:color="auto"/>
            </w:tcBorders>
            <w:vAlign w:val="center"/>
          </w:tcPr>
          <w:p w14:paraId="5071733D" w14:textId="42E798BA" w:rsidR="003A460A" w:rsidRDefault="003A460A" w:rsidP="00B7392D">
            <w:pPr>
              <w:snapToGrid w:val="0"/>
              <w:jc w:val="left"/>
              <w:rPr>
                <w:rFonts w:ascii="Times New Roman" w:eastAsia="SimSun" w:hAnsi="Times New Roman"/>
                <w:sz w:val="24"/>
              </w:rPr>
            </w:pPr>
            <w:r w:rsidRPr="005E10BF">
              <w:rPr>
                <w:rFonts w:ascii="Times New Roman" w:eastAsia="SimSun" w:hAnsi="Times New Roman" w:cs="SimSun" w:hint="eastAsia"/>
                <w:color w:val="000000"/>
                <w:kern w:val="0"/>
                <w:sz w:val="24"/>
                <w:lang w:bidi="ar"/>
              </w:rPr>
              <w:t xml:space="preserve">Clinical </w:t>
            </w:r>
            <w:r>
              <w:rPr>
                <w:rFonts w:ascii="Times New Roman" w:eastAsia="SimSun" w:hAnsi="Times New Roman" w:cs="SimSun"/>
                <w:color w:val="000000"/>
                <w:kern w:val="0"/>
                <w:sz w:val="24"/>
                <w:lang w:bidi="ar"/>
              </w:rPr>
              <w:t>b</w:t>
            </w:r>
            <w:r w:rsidRPr="005E10BF">
              <w:rPr>
                <w:rFonts w:ascii="Times New Roman" w:eastAsia="SimSun" w:hAnsi="Times New Roman" w:cs="SimSun" w:hint="eastAsia"/>
                <w:color w:val="000000"/>
                <w:kern w:val="0"/>
                <w:sz w:val="24"/>
                <w:lang w:bidi="ar"/>
              </w:rPr>
              <w:t>enefit</w:t>
            </w:r>
          </w:p>
        </w:tc>
        <w:tc>
          <w:tcPr>
            <w:tcW w:w="4468" w:type="dxa"/>
            <w:tcBorders>
              <w:top w:val="single" w:sz="4" w:space="0" w:color="auto"/>
            </w:tcBorders>
            <w:vAlign w:val="center"/>
          </w:tcPr>
          <w:p w14:paraId="2B5EBC89" w14:textId="163AAB21"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Reduction in physician documentation time</w:t>
            </w:r>
          </w:p>
        </w:tc>
        <w:tc>
          <w:tcPr>
            <w:tcW w:w="4076" w:type="dxa"/>
            <w:tcBorders>
              <w:top w:val="single" w:sz="4" w:space="0" w:color="auto"/>
            </w:tcBorders>
            <w:vAlign w:val="center"/>
          </w:tcPr>
          <w:p w14:paraId="6C739149" w14:textId="61BABADF"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20</w:t>
            </w:r>
            <w:r w:rsidRPr="00B7392D">
              <w:rPr>
                <w:rFonts w:ascii="Times New Roman" w:eastAsia="SimSun" w:hAnsi="Times New Roman" w:cs="Times New Roman"/>
                <w:color w:val="000000"/>
                <w:kern w:val="0"/>
                <w:sz w:val="24"/>
                <w:lang w:bidi="ar"/>
              </w:rPr>
              <w:t>–</w:t>
            </w:r>
            <w:r w:rsidRPr="005E10BF">
              <w:rPr>
                <w:rFonts w:ascii="Times New Roman" w:eastAsia="SimSun" w:hAnsi="Times New Roman" w:cs="SimSun" w:hint="eastAsia"/>
                <w:color w:val="000000"/>
                <w:kern w:val="0"/>
                <w:sz w:val="24"/>
                <w:lang w:bidi="ar"/>
              </w:rPr>
              <w:t>30%</w:t>
            </w:r>
          </w:p>
        </w:tc>
      </w:tr>
      <w:tr w:rsidR="003A460A" w14:paraId="6CFB73CA" w14:textId="77777777" w:rsidTr="00B7392D">
        <w:tc>
          <w:tcPr>
            <w:tcW w:w="1310" w:type="dxa"/>
            <w:vMerge/>
            <w:vAlign w:val="center"/>
          </w:tcPr>
          <w:p w14:paraId="233FADB1" w14:textId="77777777" w:rsidR="003A460A" w:rsidRDefault="003A460A" w:rsidP="00B7392D">
            <w:pPr>
              <w:snapToGrid w:val="0"/>
              <w:jc w:val="left"/>
              <w:rPr>
                <w:rFonts w:ascii="Times New Roman" w:eastAsia="SimSun" w:hAnsi="Times New Roman"/>
                <w:sz w:val="24"/>
              </w:rPr>
            </w:pPr>
          </w:p>
        </w:tc>
        <w:tc>
          <w:tcPr>
            <w:tcW w:w="4468" w:type="dxa"/>
            <w:vAlign w:val="center"/>
          </w:tcPr>
          <w:p w14:paraId="5CF71300" w14:textId="6909F2C1"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Usage in large health system (14 months)</w:t>
            </w:r>
          </w:p>
        </w:tc>
        <w:tc>
          <w:tcPr>
            <w:tcW w:w="4076" w:type="dxa"/>
            <w:vAlign w:val="center"/>
          </w:tcPr>
          <w:p w14:paraId="0DA0CD95" w14:textId="3DB2B86B"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7,000+ clinicians, 2.5M+ patient encounters</w:t>
            </w:r>
          </w:p>
        </w:tc>
      </w:tr>
      <w:tr w:rsidR="003A460A" w14:paraId="341D3809" w14:textId="77777777" w:rsidTr="00B7392D">
        <w:tc>
          <w:tcPr>
            <w:tcW w:w="1310" w:type="dxa"/>
            <w:vMerge/>
            <w:vAlign w:val="center"/>
          </w:tcPr>
          <w:p w14:paraId="05960219" w14:textId="77777777" w:rsidR="003A460A" w:rsidRDefault="003A460A" w:rsidP="00B7392D">
            <w:pPr>
              <w:snapToGrid w:val="0"/>
              <w:jc w:val="left"/>
              <w:rPr>
                <w:rFonts w:ascii="Times New Roman" w:eastAsia="SimSun" w:hAnsi="Times New Roman"/>
                <w:sz w:val="24"/>
              </w:rPr>
            </w:pPr>
          </w:p>
        </w:tc>
        <w:tc>
          <w:tcPr>
            <w:tcW w:w="4468" w:type="dxa"/>
            <w:vAlign w:val="center"/>
          </w:tcPr>
          <w:p w14:paraId="66DB3A58" w14:textId="0C59C6B4"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Adoption rate at academic medical center (2 years)</w:t>
            </w:r>
          </w:p>
        </w:tc>
        <w:tc>
          <w:tcPr>
            <w:tcW w:w="4076" w:type="dxa"/>
            <w:vAlign w:val="center"/>
          </w:tcPr>
          <w:p w14:paraId="035A23D4" w14:textId="6B289518"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44.6% (1,565 outpatient physicians)</w:t>
            </w:r>
          </w:p>
        </w:tc>
      </w:tr>
      <w:tr w:rsidR="003A460A" w14:paraId="5CA3AEA1" w14:textId="77777777" w:rsidTr="00B7392D">
        <w:tc>
          <w:tcPr>
            <w:tcW w:w="1310" w:type="dxa"/>
            <w:vMerge w:val="restart"/>
            <w:vAlign w:val="center"/>
          </w:tcPr>
          <w:p w14:paraId="5FFB77B3" w14:textId="135766AF" w:rsidR="003A460A" w:rsidRDefault="003A460A" w:rsidP="00B7392D">
            <w:pPr>
              <w:snapToGrid w:val="0"/>
              <w:jc w:val="left"/>
              <w:rPr>
                <w:rFonts w:ascii="Times New Roman" w:eastAsia="SimSun" w:hAnsi="Times New Roman"/>
                <w:sz w:val="24"/>
              </w:rPr>
            </w:pPr>
            <w:r w:rsidRPr="005E10BF">
              <w:rPr>
                <w:rFonts w:ascii="Times New Roman" w:eastAsia="SimSun" w:hAnsi="Times New Roman" w:cs="SimSun" w:hint="eastAsia"/>
                <w:color w:val="000000"/>
                <w:kern w:val="0"/>
                <w:sz w:val="24"/>
                <w:lang w:bidi="ar"/>
              </w:rPr>
              <w:t xml:space="preserve">Patient </w:t>
            </w:r>
            <w:r>
              <w:rPr>
                <w:rFonts w:ascii="Times New Roman" w:eastAsia="SimSun" w:hAnsi="Times New Roman" w:cs="SimSun"/>
                <w:color w:val="000000"/>
                <w:kern w:val="0"/>
                <w:sz w:val="24"/>
                <w:lang w:bidi="ar"/>
              </w:rPr>
              <w:t>a</w:t>
            </w:r>
            <w:r w:rsidRPr="005E10BF">
              <w:rPr>
                <w:rFonts w:ascii="Times New Roman" w:eastAsia="SimSun" w:hAnsi="Times New Roman" w:cs="SimSun" w:hint="eastAsia"/>
                <w:color w:val="000000"/>
                <w:kern w:val="0"/>
                <w:sz w:val="24"/>
                <w:lang w:bidi="ar"/>
              </w:rPr>
              <w:t>wareness</w:t>
            </w:r>
          </w:p>
        </w:tc>
        <w:tc>
          <w:tcPr>
            <w:tcW w:w="4468" w:type="dxa"/>
            <w:vAlign w:val="center"/>
          </w:tcPr>
          <w:p w14:paraId="4D2C0457" w14:textId="298031AD"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Patients unfamiliar with ambient AI</w:t>
            </w:r>
          </w:p>
        </w:tc>
        <w:tc>
          <w:tcPr>
            <w:tcW w:w="4076" w:type="dxa"/>
            <w:vAlign w:val="center"/>
          </w:tcPr>
          <w:p w14:paraId="2CAF502E" w14:textId="31A49CF6"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77.9% (n</w:t>
            </w:r>
            <w:r>
              <w:rPr>
                <w:rFonts w:ascii="Times New Roman" w:eastAsia="SimSun" w:hAnsi="Times New Roman" w:cs="SimSun"/>
                <w:color w:val="000000"/>
                <w:kern w:val="0"/>
                <w:sz w:val="24"/>
                <w:lang w:bidi="ar"/>
              </w:rPr>
              <w:t xml:space="preserve"> </w:t>
            </w:r>
            <w:r w:rsidRPr="005E10BF">
              <w:rPr>
                <w:rFonts w:ascii="Times New Roman" w:eastAsia="SimSun" w:hAnsi="Times New Roman" w:cs="SimSun" w:hint="eastAsia"/>
                <w:color w:val="000000"/>
                <w:kern w:val="0"/>
                <w:sz w:val="24"/>
                <w:lang w:bidi="ar"/>
              </w:rPr>
              <w:t>=</w:t>
            </w:r>
            <w:r>
              <w:rPr>
                <w:rFonts w:ascii="Times New Roman" w:eastAsia="SimSun" w:hAnsi="Times New Roman" w:cs="SimSun"/>
                <w:color w:val="000000"/>
                <w:kern w:val="0"/>
                <w:sz w:val="24"/>
                <w:lang w:bidi="ar"/>
              </w:rPr>
              <w:t xml:space="preserve"> </w:t>
            </w:r>
            <w:r w:rsidRPr="005E10BF">
              <w:rPr>
                <w:rFonts w:ascii="Times New Roman" w:eastAsia="SimSun" w:hAnsi="Times New Roman" w:cs="SimSun" w:hint="eastAsia"/>
                <w:color w:val="000000"/>
                <w:kern w:val="0"/>
                <w:sz w:val="24"/>
                <w:lang w:bidi="ar"/>
              </w:rPr>
              <w:t>462 patient survey)</w:t>
            </w:r>
          </w:p>
        </w:tc>
      </w:tr>
      <w:tr w:rsidR="003A460A" w14:paraId="72A4479E" w14:textId="77777777" w:rsidTr="00B7392D">
        <w:tc>
          <w:tcPr>
            <w:tcW w:w="1310" w:type="dxa"/>
            <w:vMerge/>
            <w:vAlign w:val="center"/>
          </w:tcPr>
          <w:p w14:paraId="0E6F3FFE" w14:textId="77777777" w:rsidR="003A460A" w:rsidRDefault="003A460A" w:rsidP="00B7392D">
            <w:pPr>
              <w:snapToGrid w:val="0"/>
              <w:jc w:val="left"/>
              <w:rPr>
                <w:rFonts w:ascii="Times New Roman" w:eastAsia="SimSun" w:hAnsi="Times New Roman"/>
                <w:sz w:val="24"/>
              </w:rPr>
            </w:pPr>
          </w:p>
        </w:tc>
        <w:tc>
          <w:tcPr>
            <w:tcW w:w="4468" w:type="dxa"/>
            <w:vAlign w:val="center"/>
          </w:tcPr>
          <w:p w14:paraId="5CF69D28" w14:textId="7D6FB26A"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Aware patients who felt uncomfortable</w:t>
            </w:r>
          </w:p>
        </w:tc>
        <w:tc>
          <w:tcPr>
            <w:tcW w:w="4076" w:type="dxa"/>
            <w:vAlign w:val="center"/>
          </w:tcPr>
          <w:p w14:paraId="7BF7F5F9" w14:textId="411C8CEF"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0.394</w:t>
            </w:r>
          </w:p>
        </w:tc>
      </w:tr>
      <w:tr w:rsidR="003A460A" w14:paraId="3057F752" w14:textId="77777777" w:rsidTr="00B7392D">
        <w:tc>
          <w:tcPr>
            <w:tcW w:w="1310" w:type="dxa"/>
            <w:vMerge/>
            <w:vAlign w:val="center"/>
          </w:tcPr>
          <w:p w14:paraId="235C6379" w14:textId="77777777" w:rsidR="003A460A" w:rsidRDefault="003A460A" w:rsidP="00B7392D">
            <w:pPr>
              <w:snapToGrid w:val="0"/>
              <w:jc w:val="left"/>
              <w:rPr>
                <w:rFonts w:ascii="Times New Roman" w:eastAsia="SimSun" w:hAnsi="Times New Roman"/>
                <w:sz w:val="24"/>
              </w:rPr>
            </w:pPr>
          </w:p>
        </w:tc>
        <w:tc>
          <w:tcPr>
            <w:tcW w:w="4468" w:type="dxa"/>
            <w:vAlign w:val="center"/>
          </w:tcPr>
          <w:p w14:paraId="2A60E22A" w14:textId="7F57938C"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Patients believing AI improved visit quality</w:t>
            </w:r>
          </w:p>
        </w:tc>
        <w:tc>
          <w:tcPr>
            <w:tcW w:w="4076" w:type="dxa"/>
            <w:vAlign w:val="center"/>
          </w:tcPr>
          <w:p w14:paraId="61D12A7D" w14:textId="05056146"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56</w:t>
            </w:r>
            <w:r w:rsidRPr="00B7392D">
              <w:rPr>
                <w:rFonts w:ascii="Times New Roman" w:eastAsia="SimSun" w:hAnsi="Times New Roman" w:cs="Times New Roman"/>
                <w:color w:val="000000"/>
                <w:kern w:val="0"/>
                <w:sz w:val="24"/>
                <w:lang w:bidi="ar"/>
              </w:rPr>
              <w:t>–</w:t>
            </w:r>
            <w:r w:rsidRPr="005E10BF">
              <w:rPr>
                <w:rFonts w:ascii="Times New Roman" w:eastAsia="SimSun" w:hAnsi="Times New Roman" w:cs="SimSun" w:hint="eastAsia"/>
                <w:color w:val="000000"/>
                <w:kern w:val="0"/>
                <w:sz w:val="24"/>
                <w:lang w:bidi="ar"/>
              </w:rPr>
              <w:t>84%</w:t>
            </w:r>
          </w:p>
        </w:tc>
      </w:tr>
      <w:tr w:rsidR="003A460A" w14:paraId="0C8DDBE2" w14:textId="77777777" w:rsidTr="00B7392D">
        <w:tc>
          <w:tcPr>
            <w:tcW w:w="1310" w:type="dxa"/>
            <w:vAlign w:val="center"/>
          </w:tcPr>
          <w:p w14:paraId="39B7CC92" w14:textId="0B949233" w:rsidR="003A460A" w:rsidRDefault="003A460A" w:rsidP="00B7392D">
            <w:pPr>
              <w:snapToGrid w:val="0"/>
              <w:jc w:val="left"/>
              <w:rPr>
                <w:rFonts w:ascii="Times New Roman" w:eastAsia="SimSun" w:hAnsi="Times New Roman"/>
                <w:sz w:val="24"/>
              </w:rPr>
            </w:pPr>
            <w:r w:rsidRPr="005E10BF">
              <w:rPr>
                <w:rFonts w:ascii="Times New Roman" w:eastAsia="SimSun" w:hAnsi="Times New Roman" w:cs="SimSun" w:hint="eastAsia"/>
                <w:color w:val="000000"/>
                <w:kern w:val="0"/>
                <w:sz w:val="24"/>
                <w:lang w:bidi="ar"/>
              </w:rPr>
              <w:t xml:space="preserve">Informed </w:t>
            </w:r>
            <w:r>
              <w:rPr>
                <w:rFonts w:ascii="Times New Roman" w:eastAsia="SimSun" w:hAnsi="Times New Roman" w:cs="SimSun"/>
                <w:color w:val="000000"/>
                <w:kern w:val="0"/>
                <w:sz w:val="24"/>
                <w:lang w:bidi="ar"/>
              </w:rPr>
              <w:t>c</w:t>
            </w:r>
            <w:r w:rsidRPr="005E10BF">
              <w:rPr>
                <w:rFonts w:ascii="Times New Roman" w:eastAsia="SimSun" w:hAnsi="Times New Roman" w:cs="SimSun" w:hint="eastAsia"/>
                <w:color w:val="000000"/>
                <w:kern w:val="0"/>
                <w:sz w:val="24"/>
                <w:lang w:bidi="ar"/>
              </w:rPr>
              <w:t>onsent</w:t>
            </w:r>
          </w:p>
        </w:tc>
        <w:tc>
          <w:tcPr>
            <w:tcW w:w="4468" w:type="dxa"/>
            <w:vAlign w:val="center"/>
          </w:tcPr>
          <w:p w14:paraId="5B2FD754" w14:textId="61814F89"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Physician explanation associated with greater comfort</w:t>
            </w:r>
          </w:p>
        </w:tc>
        <w:tc>
          <w:tcPr>
            <w:tcW w:w="4076" w:type="dxa"/>
            <w:vAlign w:val="center"/>
          </w:tcPr>
          <w:p w14:paraId="556486A2" w14:textId="0DF538B8"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OR</w:t>
            </w:r>
            <w:r>
              <w:rPr>
                <w:rFonts w:ascii="Times New Roman" w:eastAsia="SimSun" w:hAnsi="Times New Roman" w:cs="SimSun"/>
                <w:color w:val="000000"/>
                <w:kern w:val="0"/>
                <w:sz w:val="24"/>
                <w:lang w:bidi="ar"/>
              </w:rPr>
              <w:t xml:space="preserve"> </w:t>
            </w:r>
            <w:r w:rsidRPr="005E10BF">
              <w:rPr>
                <w:rFonts w:ascii="Times New Roman" w:eastAsia="SimSun" w:hAnsi="Times New Roman" w:cs="SimSun" w:hint="eastAsia"/>
                <w:color w:val="000000"/>
                <w:kern w:val="0"/>
                <w:sz w:val="24"/>
                <w:lang w:bidi="ar"/>
              </w:rPr>
              <w:t>=</w:t>
            </w:r>
            <w:r>
              <w:rPr>
                <w:rFonts w:ascii="Times New Roman" w:eastAsia="SimSun" w:hAnsi="Times New Roman" w:cs="SimSun"/>
                <w:color w:val="000000"/>
                <w:kern w:val="0"/>
                <w:sz w:val="24"/>
                <w:lang w:bidi="ar"/>
              </w:rPr>
              <w:t xml:space="preserve"> </w:t>
            </w:r>
            <w:r w:rsidRPr="005E10BF">
              <w:rPr>
                <w:rFonts w:ascii="Times New Roman" w:eastAsia="SimSun" w:hAnsi="Times New Roman" w:cs="SimSun" w:hint="eastAsia"/>
                <w:color w:val="000000"/>
                <w:kern w:val="0"/>
                <w:sz w:val="24"/>
                <w:lang w:bidi="ar"/>
              </w:rPr>
              <w:t>2.32 (95% CI 1.49</w:t>
            </w:r>
            <w:r w:rsidRPr="00B7392D">
              <w:rPr>
                <w:rFonts w:ascii="Times New Roman" w:eastAsia="SimSun" w:hAnsi="Times New Roman" w:cs="Times New Roman"/>
                <w:color w:val="000000"/>
                <w:kern w:val="0"/>
                <w:sz w:val="24"/>
                <w:lang w:bidi="ar"/>
              </w:rPr>
              <w:t>–</w:t>
            </w:r>
            <w:r w:rsidRPr="005E10BF">
              <w:rPr>
                <w:rFonts w:ascii="Times New Roman" w:eastAsia="SimSun" w:hAnsi="Times New Roman" w:cs="SimSun" w:hint="eastAsia"/>
                <w:color w:val="000000"/>
                <w:kern w:val="0"/>
                <w:sz w:val="24"/>
                <w:lang w:bidi="ar"/>
              </w:rPr>
              <w:t>3.61)</w:t>
            </w:r>
          </w:p>
        </w:tc>
      </w:tr>
      <w:tr w:rsidR="003A460A" w14:paraId="43775525" w14:textId="77777777" w:rsidTr="00B7392D">
        <w:tc>
          <w:tcPr>
            <w:tcW w:w="1310" w:type="dxa"/>
            <w:vMerge w:val="restart"/>
            <w:vAlign w:val="center"/>
          </w:tcPr>
          <w:p w14:paraId="39391736" w14:textId="1A6CA443" w:rsidR="003A460A" w:rsidRDefault="003A460A" w:rsidP="00B7392D">
            <w:pPr>
              <w:snapToGrid w:val="0"/>
              <w:jc w:val="left"/>
              <w:rPr>
                <w:rFonts w:ascii="Times New Roman" w:eastAsia="SimSun" w:hAnsi="Times New Roman"/>
                <w:sz w:val="24"/>
              </w:rPr>
            </w:pPr>
            <w:r w:rsidRPr="005E10BF">
              <w:rPr>
                <w:rFonts w:ascii="Times New Roman" w:eastAsia="SimSun" w:hAnsi="Times New Roman" w:cs="SimSun" w:hint="eastAsia"/>
                <w:color w:val="000000"/>
                <w:kern w:val="0"/>
                <w:sz w:val="24"/>
                <w:lang w:bidi="ar"/>
              </w:rPr>
              <w:t xml:space="preserve">Data </w:t>
            </w:r>
            <w:r>
              <w:rPr>
                <w:rFonts w:ascii="Times New Roman" w:eastAsia="SimSun" w:hAnsi="Times New Roman" w:cs="SimSun"/>
                <w:color w:val="000000"/>
                <w:kern w:val="0"/>
                <w:sz w:val="24"/>
                <w:lang w:bidi="ar"/>
              </w:rPr>
              <w:t>s</w:t>
            </w:r>
            <w:r w:rsidRPr="005E10BF">
              <w:rPr>
                <w:rFonts w:ascii="Times New Roman" w:eastAsia="SimSun" w:hAnsi="Times New Roman" w:cs="SimSun" w:hint="eastAsia"/>
                <w:color w:val="000000"/>
                <w:kern w:val="0"/>
                <w:sz w:val="24"/>
                <w:lang w:bidi="ar"/>
              </w:rPr>
              <w:t>ecurity</w:t>
            </w:r>
          </w:p>
        </w:tc>
        <w:tc>
          <w:tcPr>
            <w:tcW w:w="4468" w:type="dxa"/>
            <w:vAlign w:val="center"/>
          </w:tcPr>
          <w:p w14:paraId="5E3C4F9A" w14:textId="664E1826"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Institutions ranking data security as top concern</w:t>
            </w:r>
          </w:p>
        </w:tc>
        <w:tc>
          <w:tcPr>
            <w:tcW w:w="4076" w:type="dxa"/>
            <w:vAlign w:val="center"/>
          </w:tcPr>
          <w:p w14:paraId="4AC6B0BE" w14:textId="5D0163F0"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53% (survey of 36 research sites)</w:t>
            </w:r>
          </w:p>
        </w:tc>
      </w:tr>
      <w:tr w:rsidR="003A460A" w14:paraId="0406162A" w14:textId="77777777" w:rsidTr="00B7392D">
        <w:tc>
          <w:tcPr>
            <w:tcW w:w="1310" w:type="dxa"/>
            <w:vMerge/>
            <w:vAlign w:val="center"/>
          </w:tcPr>
          <w:p w14:paraId="540A4A67" w14:textId="77777777" w:rsidR="003A460A" w:rsidRDefault="003A460A" w:rsidP="00B7392D">
            <w:pPr>
              <w:snapToGrid w:val="0"/>
              <w:jc w:val="left"/>
              <w:rPr>
                <w:rFonts w:ascii="Times New Roman" w:eastAsia="SimSun" w:hAnsi="Times New Roman"/>
                <w:sz w:val="24"/>
              </w:rPr>
            </w:pPr>
          </w:p>
        </w:tc>
        <w:tc>
          <w:tcPr>
            <w:tcW w:w="4468" w:type="dxa"/>
            <w:vAlign w:val="center"/>
          </w:tcPr>
          <w:p w14:paraId="29D522B8" w14:textId="1963CAE0"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Patient privacy ranked as top AI ethics priority</w:t>
            </w:r>
          </w:p>
        </w:tc>
        <w:tc>
          <w:tcPr>
            <w:tcW w:w="4076" w:type="dxa"/>
            <w:vAlign w:val="center"/>
          </w:tcPr>
          <w:p w14:paraId="70A1A364" w14:textId="246AC14D"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 xml:space="preserve">Tied with </w:t>
            </w:r>
            <w:r>
              <w:rPr>
                <w:rFonts w:ascii="Times New Roman" w:eastAsia="SimSun" w:hAnsi="Times New Roman" w:cs="SimSun"/>
                <w:color w:val="000000"/>
                <w:kern w:val="0"/>
                <w:sz w:val="24"/>
                <w:lang w:bidi="ar"/>
              </w:rPr>
              <w:t>“</w:t>
            </w:r>
            <w:r w:rsidRPr="005E10BF">
              <w:rPr>
                <w:rFonts w:ascii="Times New Roman" w:eastAsia="SimSun" w:hAnsi="Times New Roman" w:cs="SimSun" w:hint="eastAsia"/>
                <w:color w:val="000000"/>
                <w:kern w:val="0"/>
                <w:sz w:val="24"/>
                <w:lang w:bidi="ar"/>
              </w:rPr>
              <w:t>algorithmic fairness</w:t>
            </w:r>
            <w:r>
              <w:rPr>
                <w:rFonts w:ascii="Times New Roman" w:eastAsia="SimSun" w:hAnsi="Times New Roman" w:cs="SimSun"/>
                <w:color w:val="000000"/>
                <w:kern w:val="0"/>
                <w:sz w:val="24"/>
                <w:lang w:bidi="ar"/>
              </w:rPr>
              <w:t>”</w:t>
            </w:r>
            <w:r w:rsidRPr="005E10BF">
              <w:rPr>
                <w:rFonts w:ascii="Times New Roman" w:eastAsia="SimSun" w:hAnsi="Times New Roman" w:cs="SimSun" w:hint="eastAsia"/>
                <w:color w:val="000000"/>
                <w:kern w:val="0"/>
                <w:sz w:val="24"/>
                <w:lang w:bidi="ar"/>
              </w:rPr>
              <w:t xml:space="preserve"> as highest</w:t>
            </w:r>
          </w:p>
        </w:tc>
      </w:tr>
      <w:tr w:rsidR="003A460A" w14:paraId="3A286007" w14:textId="77777777" w:rsidTr="00B7392D">
        <w:tc>
          <w:tcPr>
            <w:tcW w:w="1310" w:type="dxa"/>
            <w:vMerge w:val="restart"/>
            <w:vAlign w:val="center"/>
          </w:tcPr>
          <w:p w14:paraId="788CECD8" w14:textId="0557B067" w:rsidR="003A460A" w:rsidRDefault="003A460A" w:rsidP="00B7392D">
            <w:pPr>
              <w:snapToGrid w:val="0"/>
              <w:jc w:val="left"/>
              <w:rPr>
                <w:rFonts w:ascii="Times New Roman" w:eastAsia="SimSun" w:hAnsi="Times New Roman"/>
                <w:sz w:val="24"/>
              </w:rPr>
            </w:pPr>
            <w:r w:rsidRPr="005E10BF">
              <w:rPr>
                <w:rFonts w:ascii="Times New Roman" w:eastAsia="SimSun" w:hAnsi="Times New Roman" w:cs="SimSun" w:hint="eastAsia"/>
                <w:color w:val="000000"/>
                <w:kern w:val="0"/>
                <w:sz w:val="24"/>
                <w:lang w:bidi="ar"/>
              </w:rPr>
              <w:t xml:space="preserve">Data </w:t>
            </w:r>
            <w:r>
              <w:rPr>
                <w:rFonts w:ascii="Times New Roman" w:eastAsia="SimSun" w:hAnsi="Times New Roman" w:cs="SimSun"/>
                <w:color w:val="000000"/>
                <w:kern w:val="0"/>
                <w:sz w:val="24"/>
                <w:lang w:bidi="ar"/>
              </w:rPr>
              <w:t>f</w:t>
            </w:r>
            <w:r w:rsidRPr="005E10BF">
              <w:rPr>
                <w:rFonts w:ascii="Times New Roman" w:eastAsia="SimSun" w:hAnsi="Times New Roman" w:cs="SimSun" w:hint="eastAsia"/>
                <w:color w:val="000000"/>
                <w:kern w:val="0"/>
                <w:sz w:val="24"/>
                <w:lang w:bidi="ar"/>
              </w:rPr>
              <w:t>low</w:t>
            </w:r>
          </w:p>
        </w:tc>
        <w:tc>
          <w:tcPr>
            <w:tcW w:w="4468" w:type="dxa"/>
            <w:vAlign w:val="center"/>
          </w:tcPr>
          <w:p w14:paraId="51672563" w14:textId="787E8370"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 xml:space="preserve">Voice data involving third-party cloud </w:t>
            </w:r>
            <w:r w:rsidRPr="005E10BF">
              <w:rPr>
                <w:rFonts w:ascii="Times New Roman" w:eastAsia="SimSun" w:hAnsi="Times New Roman" w:cs="SimSun" w:hint="eastAsia"/>
                <w:color w:val="000000"/>
                <w:kern w:val="0"/>
                <w:sz w:val="24"/>
                <w:lang w:bidi="ar"/>
              </w:rPr>
              <w:lastRenderedPageBreak/>
              <w:t>storage</w:t>
            </w:r>
          </w:p>
        </w:tc>
        <w:tc>
          <w:tcPr>
            <w:tcW w:w="4076" w:type="dxa"/>
            <w:vAlign w:val="center"/>
          </w:tcPr>
          <w:p w14:paraId="7D1217CF" w14:textId="28856570"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lastRenderedPageBreak/>
              <w:t xml:space="preserve">Mainstream products rely on cloud </w:t>
            </w:r>
            <w:r w:rsidRPr="005E10BF">
              <w:rPr>
                <w:rFonts w:ascii="Times New Roman" w:eastAsia="SimSun" w:hAnsi="Times New Roman" w:cs="SimSun" w:hint="eastAsia"/>
                <w:color w:val="000000"/>
                <w:kern w:val="0"/>
                <w:sz w:val="24"/>
                <w:lang w:bidi="ar"/>
              </w:rPr>
              <w:lastRenderedPageBreak/>
              <w:t>processing</w:t>
            </w:r>
          </w:p>
        </w:tc>
      </w:tr>
      <w:tr w:rsidR="003A460A" w14:paraId="27E8DF5A" w14:textId="77777777" w:rsidTr="00B7392D">
        <w:tc>
          <w:tcPr>
            <w:tcW w:w="1310" w:type="dxa"/>
            <w:vMerge/>
            <w:tcBorders>
              <w:bottom w:val="single" w:sz="4" w:space="0" w:color="auto"/>
            </w:tcBorders>
            <w:vAlign w:val="center"/>
          </w:tcPr>
          <w:p w14:paraId="39F8C1E3" w14:textId="77777777" w:rsidR="003A460A" w:rsidRDefault="003A460A" w:rsidP="00B7392D">
            <w:pPr>
              <w:snapToGrid w:val="0"/>
              <w:jc w:val="left"/>
              <w:rPr>
                <w:rFonts w:ascii="Times New Roman" w:eastAsia="SimSun" w:hAnsi="Times New Roman"/>
                <w:sz w:val="24"/>
              </w:rPr>
            </w:pPr>
          </w:p>
        </w:tc>
        <w:tc>
          <w:tcPr>
            <w:tcW w:w="4468" w:type="dxa"/>
            <w:tcBorders>
              <w:bottom w:val="single" w:sz="4" w:space="0" w:color="auto"/>
            </w:tcBorders>
            <w:vAlign w:val="center"/>
          </w:tcPr>
          <w:p w14:paraId="1732F709" w14:textId="20913602"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Patient unawareness of data destination</w:t>
            </w:r>
          </w:p>
        </w:tc>
        <w:tc>
          <w:tcPr>
            <w:tcW w:w="4076" w:type="dxa"/>
            <w:tcBorders>
              <w:bottom w:val="single" w:sz="4" w:space="0" w:color="auto"/>
            </w:tcBorders>
            <w:vAlign w:val="center"/>
          </w:tcPr>
          <w:p w14:paraId="193BD862" w14:textId="7DD1A6AA" w:rsidR="003A460A" w:rsidRDefault="003A460A" w:rsidP="00B7392D">
            <w:pPr>
              <w:snapToGrid w:val="0"/>
              <w:jc w:val="center"/>
              <w:rPr>
                <w:rFonts w:ascii="Times New Roman" w:eastAsia="SimSun" w:hAnsi="Times New Roman"/>
                <w:sz w:val="24"/>
              </w:rPr>
            </w:pPr>
            <w:r w:rsidRPr="005E10BF">
              <w:rPr>
                <w:rFonts w:ascii="Times New Roman" w:eastAsia="SimSun" w:hAnsi="Times New Roman" w:cs="SimSun" w:hint="eastAsia"/>
                <w:color w:val="000000"/>
                <w:kern w:val="0"/>
                <w:sz w:val="24"/>
                <w:lang w:bidi="ar"/>
              </w:rPr>
              <w:t>Widespread lack of transparency</w:t>
            </w:r>
          </w:p>
        </w:tc>
      </w:tr>
    </w:tbl>
    <w:p w14:paraId="45AC8781" w14:textId="77777777" w:rsidR="003A460A" w:rsidRPr="00B7392D" w:rsidRDefault="003A460A" w:rsidP="00B7392D">
      <w:pPr>
        <w:snapToGrid w:val="0"/>
        <w:rPr>
          <w:rFonts w:ascii="Times New Roman" w:eastAsia="SimSun" w:hAnsi="Times New Roman"/>
          <w:sz w:val="24"/>
        </w:rPr>
      </w:pPr>
    </w:p>
    <w:p w14:paraId="29E0EC09" w14:textId="17DE65F1"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Data Sources:</w:t>
      </w:r>
      <w:r w:rsidR="00BB09EA" w:rsidRPr="00B7392D">
        <w:rPr>
          <w:rFonts w:ascii="Times New Roman" w:hAnsi="Times New Roman"/>
          <w:sz w:val="24"/>
        </w:rPr>
        <w:t xml:space="preserve"> </w:t>
      </w:r>
      <w:r w:rsidRPr="00B7392D">
        <w:rPr>
          <w:rFonts w:ascii="Times New Roman" w:hAnsi="Times New Roman" w:hint="eastAsia"/>
          <w:sz w:val="24"/>
        </w:rPr>
        <w:t>Patient awareness data (77.9% unfamiliar, 39.4% discomfort): Cross-sectional survey of 462 patients reported at AMIA 2026 Annual Symposium</w:t>
      </w:r>
      <w:r w:rsidR="00BB09EA" w:rsidRPr="00B7392D">
        <w:rPr>
          <w:rFonts w:ascii="Times New Roman" w:hAnsi="Times New Roman"/>
          <w:sz w:val="24"/>
        </w:rPr>
        <w:t xml:space="preserve">; </w:t>
      </w:r>
      <w:r w:rsidRPr="00B7392D">
        <w:rPr>
          <w:rFonts w:ascii="Times New Roman" w:hAnsi="Times New Roman" w:hint="eastAsia"/>
          <w:sz w:val="24"/>
        </w:rPr>
        <w:t>Clinical benefit (20</w:t>
      </w:r>
      <w:r w:rsidR="003A460A" w:rsidRPr="00B7392D">
        <w:rPr>
          <w:rFonts w:ascii="Times New Roman" w:hAnsi="Times New Roman" w:cs="Times New Roman"/>
          <w:sz w:val="24"/>
        </w:rPr>
        <w:t>–</w:t>
      </w:r>
      <w:r w:rsidRPr="00B7392D">
        <w:rPr>
          <w:rFonts w:ascii="Times New Roman" w:hAnsi="Times New Roman" w:hint="eastAsia"/>
          <w:sz w:val="24"/>
        </w:rPr>
        <w:t>30% time reduction): Nature npj Digital Medicine review; JMIR Systematic Review reports 22%</w:t>
      </w:r>
      <w:r w:rsidR="00BB09EA" w:rsidRPr="00B7392D">
        <w:rPr>
          <w:rFonts w:ascii="Times New Roman" w:hAnsi="Times New Roman"/>
          <w:sz w:val="24"/>
        </w:rPr>
        <w:t xml:space="preserve">; </w:t>
      </w:r>
      <w:r w:rsidRPr="00B7392D">
        <w:rPr>
          <w:rFonts w:ascii="Times New Roman" w:hAnsi="Times New Roman" w:hint="eastAsia"/>
          <w:sz w:val="24"/>
        </w:rPr>
        <w:t>Institutional concern (53% data security): NIH-funded environmental scan across 36 research sites</w:t>
      </w:r>
    </w:p>
    <w:p w14:paraId="34CBE25F" w14:textId="247B3D9E" w:rsidR="00A46A91" w:rsidRPr="00B7392D" w:rsidRDefault="00000000" w:rsidP="00B7392D">
      <w:pPr>
        <w:snapToGrid w:val="0"/>
        <w:ind w:firstLineChars="200" w:firstLine="480"/>
        <w:rPr>
          <w:rFonts w:ascii="Times New Roman" w:hAnsi="Times New Roman"/>
          <w:sz w:val="24"/>
        </w:rPr>
      </w:pPr>
      <w:r w:rsidRPr="00B7392D">
        <w:rPr>
          <w:rFonts w:ascii="Times New Roman" w:hAnsi="Times New Roman" w:hint="eastAsia"/>
          <w:sz w:val="24"/>
        </w:rPr>
        <w:t xml:space="preserve">In the dimension of privacy protection, blockchain technology provides technical possibilities for data authentication and authorization traceability; federated learning enables AI models to achieve training without centralized collection of raw data, so that </w:t>
      </w:r>
      <w:r w:rsidR="00BB09EA">
        <w:rPr>
          <w:rFonts w:ascii="Times New Roman" w:hAnsi="Times New Roman"/>
          <w:sz w:val="24"/>
        </w:rPr>
        <w:t>‘</w:t>
      </w:r>
      <w:r w:rsidRPr="00B7392D">
        <w:rPr>
          <w:rFonts w:ascii="Times New Roman" w:hAnsi="Times New Roman" w:hint="eastAsia"/>
          <w:sz w:val="24"/>
        </w:rPr>
        <w:t xml:space="preserve">data is not </w:t>
      </w:r>
      <w:r w:rsidR="00BB09EA">
        <w:rPr>
          <w:rFonts w:ascii="Times New Roman" w:hAnsi="Times New Roman"/>
          <w:sz w:val="24"/>
        </w:rPr>
        <w:t>visible</w:t>
      </w:r>
      <w:r w:rsidR="005C716C">
        <w:rPr>
          <w:rFonts w:ascii="Times New Roman" w:hAnsi="Times New Roman"/>
          <w:sz w:val="24"/>
        </w:rPr>
        <w:t>’</w:t>
      </w:r>
      <w:r w:rsidRPr="00B7392D">
        <w:rPr>
          <w:rFonts w:ascii="Times New Roman" w:hAnsi="Times New Roman" w:hint="eastAsia"/>
          <w:sz w:val="24"/>
        </w:rPr>
        <w:t xml:space="preserve">; trusted data space and privacy computing technologies are also being gradually introduced into the scenario of medical data sharing. The deep challenge of technical governance is that the development of solutions often gives priority to functional efficiency, and privacy protection functions are easily regarded as add-ons without becoming the core elements of system design. The 2026 expert consensus clearly stated the requirement of </w:t>
      </w:r>
      <w:r w:rsidR="00BB09EA">
        <w:rPr>
          <w:rFonts w:ascii="Times New Roman" w:hAnsi="Times New Roman"/>
          <w:sz w:val="24"/>
        </w:rPr>
        <w:t>‘</w:t>
      </w:r>
      <w:r w:rsidRPr="00B7392D">
        <w:rPr>
          <w:rFonts w:ascii="Times New Roman" w:hAnsi="Times New Roman" w:hint="eastAsia"/>
          <w:sz w:val="24"/>
        </w:rPr>
        <w:t xml:space="preserve">algorithmic </w:t>
      </w:r>
      <w:r w:rsidR="003A460A">
        <w:rPr>
          <w:rFonts w:ascii="Times New Roman" w:hAnsi="Times New Roman"/>
          <w:sz w:val="24"/>
        </w:rPr>
        <w:t>interpretability’, when patients have objections to the results of AI-assisted diagnosis, medical institutions have an obligation to provide visual evidence and explain it, which is an attempt to truly embed patient rights into the technical system</w:t>
      </w:r>
      <w:r w:rsidRPr="00B7392D">
        <w:rPr>
          <w:rFonts w:ascii="Times New Roman" w:hAnsi="Times New Roman" w:hint="eastAsia"/>
          <w:sz w:val="24"/>
        </w:rPr>
        <w:t>.</w:t>
      </w:r>
    </w:p>
    <w:p w14:paraId="0CB82CD5" w14:textId="77777777" w:rsidR="00A46A91" w:rsidRPr="00B7392D" w:rsidRDefault="00A46A91" w:rsidP="00B7392D">
      <w:pPr>
        <w:snapToGrid w:val="0"/>
        <w:rPr>
          <w:rFonts w:ascii="Times New Roman" w:hAnsi="Times New Roman"/>
          <w:sz w:val="24"/>
          <w:highlight w:val="yellow"/>
        </w:rPr>
      </w:pPr>
    </w:p>
    <w:p w14:paraId="109CA473" w14:textId="26F7A8AC" w:rsidR="00A46A91" w:rsidRPr="00B7392D" w:rsidRDefault="003A460A" w:rsidP="00B7392D">
      <w:pPr>
        <w:snapToGrid w:val="0"/>
        <w:rPr>
          <w:rFonts w:ascii="Times New Roman" w:hAnsi="Times New Roman"/>
          <w:b/>
          <w:bCs/>
          <w:sz w:val="24"/>
        </w:rPr>
      </w:pPr>
      <w:r>
        <w:rPr>
          <w:rFonts w:ascii="Times New Roman" w:hAnsi="Times New Roman"/>
          <w:b/>
          <w:bCs/>
          <w:sz w:val="24"/>
        </w:rPr>
        <w:t>4.</w:t>
      </w:r>
      <w:r w:rsidR="00000000" w:rsidRPr="00B7392D">
        <w:rPr>
          <w:rFonts w:ascii="Times New Roman" w:hAnsi="Times New Roman" w:hint="eastAsia"/>
          <w:b/>
          <w:bCs/>
          <w:sz w:val="24"/>
        </w:rPr>
        <w:t xml:space="preserve"> Conclusion</w:t>
      </w:r>
    </w:p>
    <w:p w14:paraId="645D84AD" w14:textId="591EC34E" w:rsidR="00A46A91" w:rsidRDefault="00000000" w:rsidP="003A460A">
      <w:pPr>
        <w:snapToGrid w:val="0"/>
        <w:rPr>
          <w:rFonts w:ascii="Times New Roman" w:hAnsi="Times New Roman"/>
          <w:sz w:val="24"/>
        </w:rPr>
      </w:pPr>
      <w:r w:rsidRPr="00B7392D">
        <w:rPr>
          <w:rFonts w:ascii="Times New Roman" w:hAnsi="Times New Roman" w:hint="eastAsia"/>
          <w:sz w:val="24"/>
        </w:rPr>
        <w:t xml:space="preserve">In the past decade, while making medical services more intelligent and efficient, smart hospitals have also shaped data privacy and informed consent of patients into an unavoidable governance problem. Technology has the ability to assist in diagnosis and optimize processes, but it cannot replace respect for patient autonomy. As medical digitization moves into the next decade, what is needed is not only smarter algorithms, but also more robust systems, more transparent governance, and the kind of ethical consciousness that truly puts patients at the center of data governance. Only in this way can smart hospitals be worthy of the word </w:t>
      </w:r>
      <w:r w:rsidR="00BB09EA">
        <w:rPr>
          <w:rFonts w:ascii="Times New Roman" w:hAnsi="Times New Roman"/>
          <w:sz w:val="24"/>
        </w:rPr>
        <w:t>“</w:t>
      </w:r>
      <w:r w:rsidRPr="00B7392D">
        <w:rPr>
          <w:rFonts w:ascii="Times New Roman" w:hAnsi="Times New Roman" w:hint="eastAsia"/>
          <w:sz w:val="24"/>
        </w:rPr>
        <w:t>wisdom</w:t>
      </w:r>
      <w:r w:rsidR="003A460A">
        <w:rPr>
          <w:rFonts w:ascii="Times New Roman" w:hAnsi="Times New Roman"/>
          <w:sz w:val="24"/>
        </w:rPr>
        <w:t>”</w:t>
      </w:r>
      <w:r w:rsidRPr="00B7392D">
        <w:rPr>
          <w:rFonts w:ascii="Times New Roman" w:hAnsi="Times New Roman" w:hint="eastAsia"/>
          <w:sz w:val="24"/>
        </w:rPr>
        <w:t xml:space="preserve"> - its wisdom is not only in the wisdom of technology, but also in the wisdom of the system and the wisdom of the people.</w:t>
      </w:r>
      <w:r w:rsidRPr="00B7392D">
        <w:rPr>
          <w:rFonts w:ascii="Times New Roman" w:hAnsi="Times New Roman" w:hint="eastAsia"/>
          <w:sz w:val="24"/>
          <w:highlight w:val="yellow"/>
        </w:rPr>
        <w:br/>
      </w:r>
    </w:p>
    <w:p w14:paraId="02028A39" w14:textId="77777777" w:rsidR="003A460A" w:rsidRPr="003A460A" w:rsidRDefault="003A460A" w:rsidP="003A460A">
      <w:pPr>
        <w:snapToGrid w:val="0"/>
        <w:rPr>
          <w:rFonts w:ascii="Times New Roman" w:hAnsi="Times New Roman"/>
          <w:b/>
          <w:bCs/>
          <w:sz w:val="24"/>
        </w:rPr>
      </w:pPr>
      <w:bookmarkStart w:id="0" w:name="_Hlk181689731"/>
      <w:r w:rsidRPr="003A460A">
        <w:rPr>
          <w:rFonts w:ascii="Times New Roman" w:hAnsi="Times New Roman"/>
          <w:b/>
          <w:bCs/>
          <w:sz w:val="24"/>
        </w:rPr>
        <w:t>Disclosure statement</w:t>
      </w:r>
    </w:p>
    <w:p w14:paraId="367D5911" w14:textId="77777777" w:rsidR="003A460A" w:rsidRPr="003A460A" w:rsidRDefault="003A460A" w:rsidP="003A460A">
      <w:pPr>
        <w:snapToGrid w:val="0"/>
        <w:rPr>
          <w:rFonts w:ascii="Times New Roman" w:hAnsi="Times New Roman"/>
          <w:sz w:val="24"/>
        </w:rPr>
      </w:pPr>
      <w:r w:rsidRPr="003A460A">
        <w:rPr>
          <w:rFonts w:ascii="Times New Roman" w:hAnsi="Times New Roman"/>
          <w:sz w:val="24"/>
        </w:rPr>
        <w:t xml:space="preserve">The authors declare no conflict of interest. </w:t>
      </w:r>
      <w:bookmarkEnd w:id="0"/>
    </w:p>
    <w:p w14:paraId="21951B96" w14:textId="77777777" w:rsidR="003A460A" w:rsidRPr="00B7392D" w:rsidRDefault="003A460A" w:rsidP="00B7392D">
      <w:pPr>
        <w:snapToGrid w:val="0"/>
        <w:rPr>
          <w:rFonts w:ascii="Times New Roman" w:hAnsi="Times New Roman"/>
          <w:sz w:val="24"/>
        </w:rPr>
      </w:pPr>
    </w:p>
    <w:p w14:paraId="72B7C3D3" w14:textId="0C3763E0" w:rsidR="00A46A91" w:rsidRPr="00B7392D" w:rsidRDefault="00000000" w:rsidP="00B7392D">
      <w:pPr>
        <w:snapToGrid w:val="0"/>
        <w:rPr>
          <w:rFonts w:ascii="Times New Roman" w:hAnsi="Times New Roman"/>
          <w:b/>
          <w:bCs/>
          <w:sz w:val="24"/>
        </w:rPr>
      </w:pPr>
      <w:r w:rsidRPr="00B7392D">
        <w:rPr>
          <w:rFonts w:ascii="Times New Roman" w:hAnsi="Times New Roman"/>
          <w:b/>
          <w:bCs/>
          <w:sz w:val="24"/>
        </w:rPr>
        <w:t>References</w:t>
      </w:r>
    </w:p>
    <w:p w14:paraId="13F6E206" w14:textId="6F1D7C1E"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[1] </w:t>
      </w:r>
      <w:r>
        <w:rPr>
          <w:rFonts w:ascii="Times New Roman" w:hAnsi="Times New Roman"/>
          <w:sz w:val="24"/>
          <w:lang w:val="en-MY"/>
        </w:rPr>
        <w:tab/>
      </w:r>
      <w:r w:rsidRPr="005C716C">
        <w:rPr>
          <w:rFonts w:ascii="Times New Roman" w:hAnsi="Times New Roman"/>
          <w:sz w:val="24"/>
          <w:lang w:val="en-MY"/>
        </w:rPr>
        <w:t>Lenz E, Naamanka J, Trabert W, et al., 2026, Benchmarking Large Language Models Against Practicing Clinicians on Psychopathological Assessment. npj Digital Medicine, 9(1): 1–12.</w:t>
      </w:r>
    </w:p>
    <w:p w14:paraId="03C3CB2E"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[2] </w:t>
      </w:r>
      <w:r>
        <w:rPr>
          <w:rFonts w:ascii="Times New Roman" w:hAnsi="Times New Roman"/>
          <w:sz w:val="24"/>
          <w:lang w:val="en-MY"/>
        </w:rPr>
        <w:tab/>
      </w:r>
      <w:r w:rsidRPr="005C716C">
        <w:rPr>
          <w:rFonts w:ascii="Times New Roman" w:hAnsi="Times New Roman"/>
          <w:sz w:val="24"/>
          <w:lang w:val="en-MY"/>
        </w:rPr>
        <w:t>O</w:t>
      </w:r>
      <w:r>
        <w:rPr>
          <w:rFonts w:ascii="Times New Roman" w:hAnsi="Times New Roman"/>
          <w:sz w:val="24"/>
          <w:lang w:val="en-MY"/>
        </w:rPr>
        <w:t>’</w:t>
      </w:r>
      <w:r w:rsidRPr="005C716C">
        <w:rPr>
          <w:rFonts w:ascii="Times New Roman" w:hAnsi="Times New Roman"/>
          <w:sz w:val="24"/>
          <w:lang w:val="en-MY"/>
        </w:rPr>
        <w:t>Neill S, DesRoches C, 2025, How Should We Think About Ambient Listening and Transcription Technologies</w:t>
      </w:r>
      <w:r>
        <w:rPr>
          <w:rFonts w:ascii="Times New Roman" w:hAnsi="Times New Roman"/>
          <w:sz w:val="24"/>
          <w:lang w:val="en-MY"/>
        </w:rPr>
        <w:t>’</w:t>
      </w:r>
      <w:r w:rsidRPr="005C716C">
        <w:rPr>
          <w:rFonts w:ascii="Times New Roman" w:hAnsi="Times New Roman"/>
          <w:sz w:val="24"/>
          <w:lang w:val="en-MY"/>
        </w:rPr>
        <w:t xml:space="preserve"> Influences on EHR Documentation and Patient-Clinician Conversations? AMA Journal of Ethics, 27(11): E780–E786.</w:t>
      </w:r>
    </w:p>
    <w:p w14:paraId="07CD8488"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[3] </w:t>
      </w:r>
      <w:r>
        <w:rPr>
          <w:rFonts w:ascii="Times New Roman" w:hAnsi="Times New Roman"/>
          <w:sz w:val="24"/>
          <w:lang w:val="en-MY"/>
        </w:rPr>
        <w:tab/>
      </w:r>
      <w:r w:rsidRPr="005C716C">
        <w:rPr>
          <w:rFonts w:ascii="Times New Roman" w:hAnsi="Times New Roman"/>
          <w:sz w:val="24"/>
          <w:lang w:val="en-MY"/>
        </w:rPr>
        <w:t>Khan I, Smith L, 2025, What Are Ethical Merits and Drawbacks of a Patient</w:t>
      </w:r>
      <w:r>
        <w:rPr>
          <w:rFonts w:ascii="Times New Roman" w:hAnsi="Times New Roman"/>
          <w:sz w:val="24"/>
          <w:lang w:val="en-MY"/>
        </w:rPr>
        <w:t>’</w:t>
      </w:r>
      <w:r w:rsidRPr="005C716C">
        <w:rPr>
          <w:rFonts w:ascii="Times New Roman" w:hAnsi="Times New Roman"/>
          <w:sz w:val="24"/>
          <w:lang w:val="en-MY"/>
        </w:rPr>
        <w:t>s Open and Direct Access to Clinical Information in Their EHRs During a Hospital Stay? AMA Journal of Ethics, 27(11): E774–E779.</w:t>
      </w:r>
    </w:p>
    <w:p w14:paraId="0B6E3E4D"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[4] </w:t>
      </w:r>
      <w:r>
        <w:rPr>
          <w:rFonts w:ascii="Times New Roman" w:hAnsi="Times New Roman"/>
          <w:sz w:val="24"/>
          <w:lang w:val="en-MY"/>
        </w:rPr>
        <w:tab/>
      </w:r>
      <w:r w:rsidRPr="005C716C">
        <w:rPr>
          <w:rFonts w:ascii="Times New Roman" w:hAnsi="Times New Roman"/>
          <w:sz w:val="24"/>
          <w:lang w:val="en-MY"/>
        </w:rPr>
        <w:t>Roberts J, 2025, How Could Legal Standards Promote Equitable Access to EHRs? AMA Journal of Ethics, 27(11): E815–E820.</w:t>
      </w:r>
    </w:p>
    <w:p w14:paraId="72F0CA7A"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[5] </w:t>
      </w:r>
      <w:r>
        <w:rPr>
          <w:rFonts w:ascii="Times New Roman" w:hAnsi="Times New Roman"/>
          <w:sz w:val="24"/>
          <w:lang w:val="en-MY"/>
        </w:rPr>
        <w:tab/>
      </w:r>
      <w:r w:rsidRPr="005C716C">
        <w:rPr>
          <w:rFonts w:ascii="Times New Roman" w:hAnsi="Times New Roman"/>
          <w:sz w:val="24"/>
        </w:rPr>
        <w:t>Bendjeddou A, Zeinalipour K, Bardou D</w:t>
      </w:r>
      <w:r>
        <w:rPr>
          <w:rFonts w:ascii="Times New Roman" w:hAnsi="Times New Roman"/>
          <w:sz w:val="24"/>
        </w:rPr>
        <w:t xml:space="preserve">, </w:t>
      </w:r>
      <w:r w:rsidRPr="005C716C">
        <w:rPr>
          <w:rFonts w:ascii="Times New Roman" w:hAnsi="Times New Roman"/>
          <w:sz w:val="24"/>
          <w:lang w:val="en-MY"/>
        </w:rPr>
        <w:t>et al., 2026, PharMistral: Drug Generation for Novel Protein Targets by Mistral Large Language Model. Computer Methods and Programs in Biomedicine Update, 10: 100257.</w:t>
      </w:r>
    </w:p>
    <w:p w14:paraId="07BC0821"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[6] </w:t>
      </w:r>
      <w:r>
        <w:rPr>
          <w:rFonts w:ascii="Times New Roman" w:hAnsi="Times New Roman"/>
          <w:sz w:val="24"/>
          <w:lang w:val="en-MY"/>
        </w:rPr>
        <w:tab/>
      </w:r>
      <w:r w:rsidRPr="005C716C">
        <w:rPr>
          <w:rFonts w:ascii="Times New Roman" w:hAnsi="Times New Roman"/>
          <w:sz w:val="24"/>
          <w:lang w:val="en-MY"/>
        </w:rPr>
        <w:t>Al-Dolat W, Alhatamleh S, Malkawi M, et al., 2026, DenseWave-OCT: A Hybrid Deep Learning and Wavelet Scattering Framework for Multi-Class Retinal Disease Classification in Optical Coherence Tomography Images. Computer Methods and Programs in Biomedicine Update, 10: 100260.</w:t>
      </w:r>
    </w:p>
    <w:p w14:paraId="4DB8B955"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[7] </w:t>
      </w:r>
      <w:r>
        <w:rPr>
          <w:rFonts w:ascii="Times New Roman" w:hAnsi="Times New Roman"/>
          <w:sz w:val="24"/>
          <w:lang w:val="en-MY"/>
        </w:rPr>
        <w:tab/>
      </w:r>
      <w:r w:rsidRPr="005C716C">
        <w:rPr>
          <w:rFonts w:ascii="Times New Roman" w:hAnsi="Times New Roman"/>
          <w:sz w:val="24"/>
          <w:lang w:val="en-MY"/>
        </w:rPr>
        <w:t>Iqbal M, Alyatimi A, Chung V, et al., 2026, Advances in AI-Driven Image Analysis for Sarcoma Diagnosis: A Comprehensive Scoping Review. Computer Methods and Programs in Biomedicine Update, 10: 100259.</w:t>
      </w:r>
    </w:p>
    <w:p w14:paraId="4C1B6838"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lastRenderedPageBreak/>
        <w:t xml:space="preserve">[8] </w:t>
      </w:r>
      <w:r>
        <w:rPr>
          <w:rFonts w:ascii="Times New Roman" w:hAnsi="Times New Roman"/>
          <w:sz w:val="24"/>
          <w:lang w:val="en-MY"/>
        </w:rPr>
        <w:tab/>
      </w:r>
      <w:r w:rsidRPr="005C716C">
        <w:rPr>
          <w:rFonts w:ascii="Times New Roman" w:hAnsi="Times New Roman"/>
          <w:sz w:val="24"/>
          <w:lang w:val="en-MY"/>
        </w:rPr>
        <w:t>Gu J, Uthamacumaran A, Zenil H, 2026, A Review of Point-of-Care Devices for Blood-Testing Towards AI-Driven Remote Digital Care, Precision Healthcare and Predictive Medicine. Computer Methods and Programs in Biomedicine Update, 10: 100258.</w:t>
      </w:r>
    </w:p>
    <w:p w14:paraId="58A2033A" w14:textId="77777777" w:rsidR="005C716C" w:rsidRDefault="005C716C" w:rsidP="005C716C">
      <w:pPr>
        <w:snapToGrid w:val="0"/>
        <w:ind w:left="709" w:hanging="709"/>
        <w:rPr>
          <w:rFonts w:ascii="Times New Roman" w:hAnsi="Times New Roman"/>
          <w:sz w:val="24"/>
          <w:lang w:val="en-MY"/>
        </w:rPr>
      </w:pPr>
      <w:r w:rsidRPr="005C716C">
        <w:rPr>
          <w:rFonts w:ascii="Times New Roman" w:hAnsi="Times New Roman"/>
          <w:sz w:val="24"/>
          <w:lang w:val="en-MY"/>
        </w:rPr>
        <w:t xml:space="preserve">[9] </w:t>
      </w:r>
      <w:r>
        <w:rPr>
          <w:rFonts w:ascii="Times New Roman" w:hAnsi="Times New Roman"/>
          <w:sz w:val="24"/>
          <w:lang w:val="en-MY"/>
        </w:rPr>
        <w:tab/>
      </w:r>
      <w:r w:rsidRPr="005C716C">
        <w:rPr>
          <w:rFonts w:ascii="Times New Roman" w:hAnsi="Times New Roman"/>
          <w:sz w:val="24"/>
        </w:rPr>
        <w:t>Gebreab S, Musamih A, Salah K</w:t>
      </w:r>
      <w:r>
        <w:rPr>
          <w:rFonts w:ascii="Times New Roman" w:hAnsi="Times New Roman"/>
          <w:sz w:val="24"/>
        </w:rPr>
        <w:t xml:space="preserve">, </w:t>
      </w:r>
      <w:r w:rsidRPr="005C716C">
        <w:rPr>
          <w:rFonts w:ascii="Times New Roman" w:hAnsi="Times New Roman"/>
          <w:sz w:val="24"/>
          <w:lang w:val="en-MY"/>
        </w:rPr>
        <w:t>2026, An LLM-Based Multi-Agent System for Patient Discharge Assessment. Computer Methods and Programs in Biomedicine Update, 10: 100261.</w:t>
      </w:r>
    </w:p>
    <w:p w14:paraId="51EF2277" w14:textId="4AD9A5EC" w:rsidR="005C716C" w:rsidRPr="005C716C" w:rsidRDefault="005C716C" w:rsidP="00B7392D">
      <w:pPr>
        <w:snapToGrid w:val="0"/>
        <w:ind w:left="709" w:hanging="709"/>
        <w:rPr>
          <w:rFonts w:ascii="Times New Roman" w:hAnsi="Times New Roman"/>
          <w:sz w:val="24"/>
          <w:lang w:val="en-MY"/>
        </w:rPr>
      </w:pPr>
      <w:r w:rsidRPr="005C716C">
        <w:rPr>
          <w:rFonts w:ascii="Times New Roman" w:hAnsi="Times New Roman"/>
          <w:sz w:val="24"/>
          <w:lang w:val="en-MY"/>
        </w:rPr>
        <w:t xml:space="preserve">[10] </w:t>
      </w:r>
      <w:r>
        <w:rPr>
          <w:rFonts w:ascii="Times New Roman" w:hAnsi="Times New Roman"/>
          <w:sz w:val="24"/>
          <w:lang w:val="en-MY"/>
        </w:rPr>
        <w:tab/>
      </w:r>
      <w:r w:rsidRPr="005C716C">
        <w:rPr>
          <w:rFonts w:ascii="Times New Roman" w:hAnsi="Times New Roman"/>
          <w:sz w:val="24"/>
          <w:lang w:val="en-MY"/>
        </w:rPr>
        <w:t>Rinaldi E, Kush R, Dalmiani S, 2026, Editorial: Unlocking the Potential of Health Data: Interoperability, Security, and Emerging Challenges in AI, LLM, Precision Medicine, and Their Impact on Healthcare and Research. Frontiers in Digital Health, 8: 1783831.</w:t>
      </w:r>
    </w:p>
    <w:p w14:paraId="5EDE97CE" w14:textId="77777777" w:rsidR="003A460A" w:rsidRDefault="003A460A" w:rsidP="003A460A">
      <w:pPr>
        <w:snapToGrid w:val="0"/>
        <w:rPr>
          <w:rFonts w:ascii="Times New Roman" w:hAnsi="Times New Roman"/>
          <w:sz w:val="24"/>
        </w:rPr>
      </w:pPr>
    </w:p>
    <w:p w14:paraId="2EF9EDFF" w14:textId="77777777" w:rsidR="003A460A" w:rsidRPr="00B7392D" w:rsidRDefault="003A460A" w:rsidP="003A460A">
      <w:pPr>
        <w:snapToGrid w:val="0"/>
        <w:rPr>
          <w:rFonts w:ascii="Times New Roman" w:hAnsi="Times New Roman"/>
          <w:b/>
          <w:bCs/>
          <w:sz w:val="20"/>
          <w:szCs w:val="20"/>
        </w:rPr>
      </w:pPr>
      <w:r w:rsidRPr="00B7392D">
        <w:rPr>
          <w:rFonts w:ascii="Times New Roman" w:hAnsi="Times New Roman"/>
          <w:b/>
          <w:bCs/>
          <w:sz w:val="20"/>
          <w:szCs w:val="20"/>
        </w:rPr>
        <w:t>Publisher’s note</w:t>
      </w:r>
    </w:p>
    <w:p w14:paraId="452C176B" w14:textId="77777777" w:rsidR="003A460A" w:rsidRPr="003A460A" w:rsidRDefault="003A460A" w:rsidP="003A460A">
      <w:pPr>
        <w:snapToGrid w:val="0"/>
        <w:rPr>
          <w:rFonts w:ascii="Times New Roman" w:hAnsi="Times New Roman"/>
          <w:bCs/>
          <w:sz w:val="24"/>
        </w:rPr>
      </w:pPr>
      <w:r w:rsidRPr="00B7392D">
        <w:rPr>
          <w:rFonts w:ascii="Times New Roman" w:hAnsi="Times New Roman"/>
          <w:bCs/>
          <w:sz w:val="20"/>
          <w:szCs w:val="20"/>
        </w:rPr>
        <w:t>Bio-Byword Scientific Publishing remains neutral with regard to jurisdictional claims in published maps and institutional affiliations</w:t>
      </w:r>
      <w:r w:rsidRPr="003A460A">
        <w:rPr>
          <w:rFonts w:ascii="Times New Roman" w:hAnsi="Times New Roman"/>
          <w:bCs/>
          <w:sz w:val="24"/>
        </w:rPr>
        <w:t xml:space="preserve">. </w:t>
      </w:r>
    </w:p>
    <w:p w14:paraId="772FD09F" w14:textId="77777777" w:rsidR="003A460A" w:rsidRPr="00B7392D" w:rsidRDefault="003A460A" w:rsidP="00B7392D">
      <w:pPr>
        <w:snapToGrid w:val="0"/>
        <w:rPr>
          <w:rFonts w:ascii="Times New Roman" w:hAnsi="Times New Roman"/>
          <w:sz w:val="24"/>
        </w:rPr>
      </w:pPr>
    </w:p>
    <w:sectPr w:rsidR="003A460A" w:rsidRPr="00B7392D" w:rsidSect="00B7392D">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3100440"/>
    <w:rsid w:val="00076791"/>
    <w:rsid w:val="003A460A"/>
    <w:rsid w:val="005C716C"/>
    <w:rsid w:val="00647CE9"/>
    <w:rsid w:val="00A46A91"/>
    <w:rsid w:val="00B7392D"/>
    <w:rsid w:val="00BB09EA"/>
    <w:rsid w:val="05C869C2"/>
    <w:rsid w:val="06D05B2E"/>
    <w:rsid w:val="07CF3E75"/>
    <w:rsid w:val="0B8A1792"/>
    <w:rsid w:val="0BF71DAF"/>
    <w:rsid w:val="0D163575"/>
    <w:rsid w:val="11847C41"/>
    <w:rsid w:val="162503E3"/>
    <w:rsid w:val="1641005C"/>
    <w:rsid w:val="1814164D"/>
    <w:rsid w:val="1C325FE3"/>
    <w:rsid w:val="23905AC7"/>
    <w:rsid w:val="248D2E59"/>
    <w:rsid w:val="268A6E36"/>
    <w:rsid w:val="28E0583E"/>
    <w:rsid w:val="29E51041"/>
    <w:rsid w:val="2B0E2699"/>
    <w:rsid w:val="2E9A689E"/>
    <w:rsid w:val="34C53F49"/>
    <w:rsid w:val="37AF2682"/>
    <w:rsid w:val="37E45160"/>
    <w:rsid w:val="38761738"/>
    <w:rsid w:val="3CAE3557"/>
    <w:rsid w:val="3D6B4250"/>
    <w:rsid w:val="3F8748B1"/>
    <w:rsid w:val="41C757A4"/>
    <w:rsid w:val="431C38CE"/>
    <w:rsid w:val="44134CD1"/>
    <w:rsid w:val="456A6B72"/>
    <w:rsid w:val="4968161B"/>
    <w:rsid w:val="4A4213E6"/>
    <w:rsid w:val="4B651EF3"/>
    <w:rsid w:val="4E265601"/>
    <w:rsid w:val="54C6369A"/>
    <w:rsid w:val="576F0018"/>
    <w:rsid w:val="5B9655EC"/>
    <w:rsid w:val="60A32AE1"/>
    <w:rsid w:val="61227EAA"/>
    <w:rsid w:val="63100440"/>
    <w:rsid w:val="63846BFA"/>
    <w:rsid w:val="679715D7"/>
    <w:rsid w:val="694577A9"/>
    <w:rsid w:val="6BAF2C82"/>
    <w:rsid w:val="71C01745"/>
    <w:rsid w:val="72A055A3"/>
    <w:rsid w:val="784B5AE0"/>
    <w:rsid w:val="78D07973"/>
    <w:rsid w:val="7B226920"/>
    <w:rsid w:val="7BFD3595"/>
    <w:rsid w:val="7C6F014A"/>
    <w:rsid w:val="7EFE403D"/>
    <w:rsid w:val="7F823FC2"/>
    <w:rsid w:val="F7EF6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CD83A"/>
  <w15:docId w15:val="{40D88F1A-DBC0-4B2B-AEEA-FF67AD1D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Revision">
    <w:name w:val="Revision"/>
    <w:hidden/>
    <w:uiPriority w:val="99"/>
    <w:unhideWhenUsed/>
    <w:rsid w:val="00BB09EA"/>
    <w:rPr>
      <w:rFonts w:asciiTheme="minorHAnsi" w:eastAsiaTheme="minorEastAsia" w:hAnsiTheme="minorHAnsi" w:cstheme="minorBidi"/>
      <w:kern w:val="2"/>
      <w:sz w:val="21"/>
      <w:szCs w:val="24"/>
      <w:lang w:val="en-US"/>
    </w:rPr>
  </w:style>
  <w:style w:type="table" w:styleId="TableGrid">
    <w:name w:val="Table Grid"/>
    <w:basedOn w:val="TableNormal"/>
    <w:rsid w:val="003A4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3331</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 NB1</cp:lastModifiedBy>
  <cp:revision>2</cp:revision>
  <dcterms:created xsi:type="dcterms:W3CDTF">2026-07-29T04:29:00Z</dcterms:created>
  <dcterms:modified xsi:type="dcterms:W3CDTF">2026-07-29T04:29:00Z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BEAFBB7839F71E081D24676A675B65E0_43</vt:lpwstr>
  </property>
  <property fmtid="{D5CDD505-2E9C-101B-9397-08002B2CF9AE}" pid="4" name="KSOTemplateDocerSaveRecord">
    <vt:lpwstr>eyJoZGlkIjoiYmI2MTI4YjVhNzYzODk4YWFmZWVhMGNhODM0MmNlNDAiLCJ1c2VySWQiOiIxMzAwNzY0MDMwIn0=</vt:lpwstr>
  </property>
  <property fmtid="{D5CDD505-2E9C-101B-9397-08002B2CF9AE}" pid="5" name="GrammarlyDocumentId">
    <vt:lpwstr>a3d22f84-a77d-40f2-a5b5-ea706c7f2a1d</vt:lpwstr>
  </property>
</Properties>
</file>