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D1AB91">
      <w:pPr>
        <w:spacing w:line="240" w:lineRule="auto"/>
        <w:rPr>
          <w:rFonts w:ascii="Times New Roman" w:hAnsi="Times New Roman" w:eastAsia="等线" w:cs="Times New Roman"/>
          <w:sz w:val="24"/>
          <w:szCs w:val="24"/>
        </w:rPr>
      </w:pPr>
      <w:r>
        <w:rPr>
          <w:rFonts w:hint="eastAsia" w:ascii="Times New Roman" w:hAnsi="Times New Roman" w:eastAsia="等线" w:cs="Times New Roman"/>
          <w:sz w:val="24"/>
          <w:szCs w:val="24"/>
          <w:lang w:val="en-US" w:eastAsia="zh-CN"/>
        </w:rPr>
        <w:t>Table 1.</w:t>
      </w:r>
      <w:r>
        <w:rPr>
          <w:rFonts w:hint="default" w:ascii="Times New Roman" w:hAnsi="Times New Roman" w:eastAsia="等线" w:cs="Times New Roman"/>
          <w:sz w:val="24"/>
          <w:szCs w:val="24"/>
          <w:lang w:val="en-US" w:eastAsia="zh-CN"/>
        </w:rPr>
        <w:t>Characteristics of the included studies</w:t>
      </w:r>
    </w:p>
    <w:tbl>
      <w:tblPr>
        <w:tblStyle w:val="3"/>
        <w:tblW w:w="5805" w:type="pct"/>
        <w:jc w:val="center"/>
        <w:tblBorders>
          <w:top w:val="none" w:color="auto" w:sz="4" w:space="0"/>
          <w:left w:val="none" w:color="auto" w:sz="4" w:space="0"/>
          <w:bottom w:val="none" w:color="auto" w:sz="4" w:space="0"/>
          <w:right w:val="none" w:color="auto" w:sz="4" w:space="0"/>
          <w:insideH w:val="none" w:color="auto" w:sz="4" w:space="0"/>
          <w:insideV w:val="non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9"/>
        <w:gridCol w:w="2441"/>
        <w:gridCol w:w="1852"/>
        <w:gridCol w:w="1628"/>
        <w:gridCol w:w="3316"/>
        <w:gridCol w:w="2838"/>
        <w:gridCol w:w="2513"/>
      </w:tblGrid>
      <w:tr w14:paraId="101AEEF1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567" w:type="pct"/>
            <w:tcBorders>
              <w:top w:val="single" w:color="auto" w:sz="12" w:space="0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8EA788A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Cambria" w:eastAsia="宋体" w:cs="Times New Roman"/>
                <w:b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b/>
                <w:kern w:val="0"/>
                <w:sz w:val="24"/>
                <w:szCs w:val="24"/>
                <w:lang w:eastAsia="en-US"/>
              </w:rPr>
              <w:t>Study (Country, Year)</w:t>
            </w:r>
          </w:p>
        </w:tc>
        <w:tc>
          <w:tcPr>
            <w:tcW w:w="741" w:type="pct"/>
            <w:tcBorders>
              <w:top w:val="single" w:color="auto" w:sz="12" w:space="0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8B8355C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Cambria" w:eastAsia="宋体" w:cs="Times New Roman"/>
                <w:b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b/>
                <w:kern w:val="0"/>
                <w:sz w:val="24"/>
                <w:szCs w:val="24"/>
                <w:lang w:eastAsia="en-US"/>
              </w:rPr>
              <w:t>Decision Context</w:t>
            </w:r>
          </w:p>
        </w:tc>
        <w:tc>
          <w:tcPr>
            <w:tcW w:w="562" w:type="pct"/>
            <w:tcBorders>
              <w:top w:val="single" w:color="auto" w:sz="12" w:space="0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E334CAE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Cambria" w:eastAsia="宋体" w:cs="Times New Roman"/>
                <w:b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b/>
                <w:kern w:val="0"/>
                <w:sz w:val="24"/>
                <w:szCs w:val="24"/>
                <w:lang w:eastAsia="en-US"/>
              </w:rPr>
              <w:t>Study Design</w:t>
            </w:r>
          </w:p>
        </w:tc>
        <w:tc>
          <w:tcPr>
            <w:tcW w:w="494" w:type="pct"/>
            <w:tcBorders>
              <w:top w:val="single" w:color="auto" w:sz="12" w:space="0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AAC4237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Cambria" w:eastAsia="宋体" w:cs="Times New Roman"/>
                <w:b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b/>
                <w:kern w:val="0"/>
                <w:sz w:val="24"/>
                <w:szCs w:val="24"/>
                <w:lang w:eastAsia="en-US"/>
              </w:rPr>
              <w:t>Sample Size</w:t>
            </w:r>
          </w:p>
        </w:tc>
        <w:tc>
          <w:tcPr>
            <w:tcW w:w="1007" w:type="pct"/>
            <w:tcBorders>
              <w:top w:val="single" w:color="auto" w:sz="12" w:space="0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D12A05E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Cambria" w:eastAsia="宋体" w:cs="Times New Roman"/>
                <w:b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b/>
                <w:kern w:val="0"/>
                <w:sz w:val="24"/>
                <w:szCs w:val="24"/>
                <w:lang w:eastAsia="en-US"/>
              </w:rPr>
              <w:t>Intervention/Exposure</w:t>
            </w:r>
          </w:p>
        </w:tc>
        <w:tc>
          <w:tcPr>
            <w:tcW w:w="862" w:type="pct"/>
            <w:tcBorders>
              <w:top w:val="single" w:color="auto" w:sz="12" w:space="0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187C829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Cambria" w:eastAsia="宋体" w:cs="Times New Roman"/>
                <w:b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b/>
                <w:kern w:val="0"/>
                <w:sz w:val="24"/>
                <w:szCs w:val="24"/>
                <w:lang w:eastAsia="en-US"/>
              </w:rPr>
              <w:t>Outcomes</w:t>
            </w:r>
          </w:p>
        </w:tc>
        <w:tc>
          <w:tcPr>
            <w:tcW w:w="763" w:type="pct"/>
            <w:tcBorders>
              <w:top w:val="single" w:color="auto" w:sz="12" w:space="0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AE5385D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Cambria" w:eastAsia="宋体" w:cs="Times New Roman"/>
                <w:b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b/>
                <w:kern w:val="0"/>
                <w:sz w:val="24"/>
                <w:szCs w:val="24"/>
                <w:lang w:eastAsia="en-US"/>
              </w:rPr>
              <w:t>Main Findings</w:t>
            </w:r>
          </w:p>
        </w:tc>
      </w:tr>
      <w:tr w14:paraId="3F7B207E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67" w:type="pct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2905B65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Cambria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de Mik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vertAlign w:val="superscript"/>
                <w:lang w:val="en-US" w:eastAsia="zh-CN"/>
              </w:rPr>
              <w:t>[14]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 xml:space="preserve"> (Netherlands, 2020)</w:t>
            </w:r>
          </w:p>
        </w:tc>
        <w:tc>
          <w:tcPr>
            <w:tcW w:w="741" w:type="pct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AEB63E5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Cambria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Choice of surgical treatment</w:t>
            </w:r>
          </w:p>
        </w:tc>
        <w:tc>
          <w:tcPr>
            <w:tcW w:w="562" w:type="pct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CB8C8E8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Cambria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RCT</w:t>
            </w:r>
          </w:p>
        </w:tc>
        <w:tc>
          <w:tcPr>
            <w:tcW w:w="494" w:type="pct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B140B7D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Cambria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113 (56/56)</w:t>
            </w:r>
          </w:p>
        </w:tc>
        <w:tc>
          <w:tcPr>
            <w:tcW w:w="1007" w:type="pct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08F6F94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Cambria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DSTs including web-based PDA, consultation cards, decision cards, and clinician training vs usual information</w:t>
            </w:r>
          </w:p>
        </w:tc>
        <w:tc>
          <w:tcPr>
            <w:tcW w:w="862" w:type="pct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AA5076E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Cambria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SDM quality, knowledge, decisional conflict, QoL</w:t>
            </w:r>
          </w:p>
        </w:tc>
        <w:tc>
          <w:tcPr>
            <w:tcW w:w="763" w:type="pct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62F5A80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Cambria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DSTs increased patient involvement and SDM quality.</w:t>
            </w:r>
          </w:p>
        </w:tc>
      </w:tr>
      <w:tr w14:paraId="43D386CA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A6797AA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Cambria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Stubenrouch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vertAlign w:val="superscript"/>
                <w:lang w:val="en-US" w:eastAsia="zh-CN"/>
              </w:rPr>
              <w:t>[15]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 xml:space="preserve"> (Netherlands, 2022)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DCD7604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Cambria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Treatment choice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5C06DF2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Cambria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Cluster RCT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E54BFE8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Cambria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342 (191/151)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8253FB3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Cambria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Online PDA for patients plus SDM training and decision cards for clinicians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E06743C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Cambria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OPTION-5 score, knowledge, decisional conflict, QoL, treatment choice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F88719A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Cambria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Improved SDM quality and patient knowledge; increased preference for conservative management.</w:t>
            </w:r>
          </w:p>
        </w:tc>
      </w:tr>
      <w:tr w14:paraId="40D2BA0B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91BB791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Cambria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Chen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vertAlign w:val="superscript"/>
                <w:lang w:val="en-US" w:eastAsia="zh-CN"/>
              </w:rPr>
              <w:t>[16]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 xml:space="preserve"> (China, 2022)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0A612B6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Cambria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Nursing intervention and health education decisions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DB6F5A0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Cambria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RCT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5DD60B2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Cambria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132 (66/66)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BB72666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Cambria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SDM-based health education with individualized booklet and nurse follow-up vs routine care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2705C9F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Cambria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Function, self-management, anxiety/depression, complications, QoL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5079C93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Cambria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Improved self-management, psychological status, QoL, and satisfaction.</w:t>
            </w:r>
          </w:p>
        </w:tc>
      </w:tr>
      <w:tr w14:paraId="06E1DFEA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03EC5BC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Cambria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Ma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vertAlign w:val="superscript"/>
                <w:lang w:val="en-US" w:eastAsia="zh-CN"/>
              </w:rPr>
              <w:t>[17]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 xml:space="preserve"> (China, 2024)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7771520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Cambria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Perioperative nursing plan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F0974B2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Cambria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RCT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3EB4C1B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Cambria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86 (43/43)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5BF378B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Cambria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SDM nursing based on information asymmetry theory vs routine nursing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5B16E4C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Cambria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Adherence, negative emotions, burden, satisfaction, complications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5963B38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Cambria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Improved adherence and satisfaction; reduced psychological burden and complications.</w:t>
            </w:r>
          </w:p>
        </w:tc>
      </w:tr>
      <w:tr w14:paraId="415033D2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B864789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Cambria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Marcellis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vertAlign w:val="superscript"/>
                <w:lang w:val="en-US" w:eastAsia="zh-CN"/>
              </w:rPr>
              <w:t>[18]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 xml:space="preserve"> (Netherlands, 2025)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5AFAA88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Cambria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Individualized supervised exercise therapy for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 xml:space="preserve"> IC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DF0E885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Cambria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RCT/implementation study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796CE0D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Cambria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428 patients; 325 therapists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71E6335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Cambria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Decision tool supported discussion of exercise options and lifestyle changes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FF30EC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Cambria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Adoption rate, coverage, implementation barriers/facilitators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4E8DC01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Cambria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Tool adoption was moderate; usability and flexibility facilitated use.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.</w:t>
            </w:r>
          </w:p>
        </w:tc>
      </w:tr>
      <w:tr w14:paraId="52CD53A1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4EDAD96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Cambria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Jayasooriya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vertAlign w:val="superscript"/>
                <w:lang w:val="en-US" w:eastAsia="zh-CN"/>
              </w:rPr>
              <w:t>[19]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 xml:space="preserve"> (UK, 2011)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9EB43F6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Cambria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Treatment choice for asymptomatic carotid stenosis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9897480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Cambria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Cross-sectional study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8E2F994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Cambria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102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117541F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Cambria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IPDAS-based patient information booklet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10332D3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Cambria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Treatment preference, decision needs, risk acceptance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5892139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Cambria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Patients preferred medication more often and required decision support.</w:t>
            </w:r>
          </w:p>
        </w:tc>
      </w:tr>
      <w:tr w14:paraId="54A51642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2922B1D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Cambria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Corriere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vertAlign w:val="superscript"/>
                <w:lang w:val="en-US" w:eastAsia="zh-CN"/>
              </w:rPr>
              <w:t>[20]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 xml:space="preserve"> (USA, 2015)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D11C76E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Cambria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PAD treatment decisions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1721CC7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Cambria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Cross-sectional study</w:t>
            </w:r>
            <w:bookmarkStart w:id="0" w:name="_GoBack"/>
            <w:bookmarkEnd w:id="0"/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747645F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Cambria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81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8CB6EF6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Cambria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Routine consultation and postoperative questionnaire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EDAF577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Cambria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Decision participation, satisfaction, information source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FE29873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Cambria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Patients desired shared decisions but reported insufficient involvement and information.</w:t>
            </w:r>
          </w:p>
        </w:tc>
      </w:tr>
      <w:tr w14:paraId="28ADCB31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19A614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Cambria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Peters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vertAlign w:val="superscript"/>
                <w:lang w:val="en-US" w:eastAsia="en-US"/>
              </w:rPr>
              <w:t>[2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vertAlign w:val="superscript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vertAlign w:val="superscript"/>
                <w:lang w:val="en-US" w:eastAsia="en-US"/>
              </w:rPr>
              <w:t>]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 xml:space="preserve"> (Netherlands, 2022)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4617B67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Cambria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Treatment selection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ED9FA0F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Cambria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Cross-sectional cohort study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A0B7304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Cambria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342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6338EF7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Cambria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Assessment of SDM with decision support tools during consultations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9C4FE6F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Cambria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OPTION-5 score and influencing factors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02BA78B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Cambria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SDM level was low; decision aids and longer consultations improved SDM.</w:t>
            </w:r>
          </w:p>
        </w:tc>
      </w:tr>
      <w:tr w14:paraId="5FC25F8A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371044D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Cambria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Norvell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vertAlign w:val="superscript"/>
                <w:lang w:val="en-US" w:eastAsia="en-US"/>
              </w:rPr>
              <w:t>[2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vertAlign w:val="superscript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vertAlign w:val="superscript"/>
                <w:lang w:val="en-US" w:eastAsia="en-US"/>
              </w:rPr>
              <w:t>]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 xml:space="preserve"> (USA, 2021)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7F8E170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Cambria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Amputation level selection in CLTI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8825239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Cambria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Mixed-methods study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DFCB947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Cambria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10 clinicians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3F35C5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Cambria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AMPREDICT decision support tool usability testing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66E1EC2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Cambria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Usability, functionality, implementation challenges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E4F1442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Cambria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Tool was acceptable and supported amputation-related decisions.</w:t>
            </w:r>
          </w:p>
        </w:tc>
      </w:tr>
      <w:tr w14:paraId="76874405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2C09B8D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Cambria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Smolderen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vertAlign w:val="superscript"/>
                <w:lang w:val="en-US" w:eastAsia="en-US"/>
              </w:rPr>
              <w:t>[2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vertAlign w:val="superscript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vertAlign w:val="superscript"/>
                <w:lang w:val="en-US" w:eastAsia="en-US"/>
              </w:rPr>
              <w:t>]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 xml:space="preserve"> (USA, 2021)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4CE0F27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Cambria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Treatment choice for PAD-related claudication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15BC5DE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Cambria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Mixed-methods study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DBE9C71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Cambria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20 patients; 23 clinicians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05B18B2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Cambria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SHOW-ME PAD PDA (brochure, cards, website, videos)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14C092E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Cambria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Acceptability, usability, knowledge, decisional conflict, decision quality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2341FA9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Cambria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PDA was considered useful, balanced, and understandable.</w:t>
            </w:r>
          </w:p>
        </w:tc>
      </w:tr>
      <w:tr w14:paraId="68F43E4D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ABA6F15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Cambria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Corriere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vertAlign w:val="superscript"/>
                <w:lang w:val="en-US" w:eastAsia="en-US"/>
              </w:rPr>
              <w:t>[2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vertAlign w:val="superscript"/>
                <w:lang w:val="en-US" w:eastAsia="zh-CN"/>
              </w:rPr>
              <w:t>4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vertAlign w:val="superscript"/>
                <w:lang w:val="en-US" w:eastAsia="en-US"/>
              </w:rPr>
              <w:t>]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 xml:space="preserve"> (USA, 2022)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B2AC130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Cambria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Treatment decision experience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D084650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Cambria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Qualitative study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6A98D60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Cambria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51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FABC321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Cambria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Interviews on treatment preferences and care experience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BF3131F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Cambria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Preference-related factors and decision experience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4A092E9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Cambria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Patients valued outcomes and risks but perceived insufficient participation.</w:t>
            </w:r>
          </w:p>
        </w:tc>
      </w:tr>
      <w:tr w14:paraId="33F05643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CFC55BB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Cambria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Monaro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vertAlign w:val="superscript"/>
                <w:lang w:val="en-US" w:eastAsia="en-US"/>
              </w:rPr>
              <w:t>[2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vertAlign w:val="superscript"/>
                <w:lang w:val="en-US" w:eastAsia="zh-CN"/>
              </w:rPr>
              <w:t>5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vertAlign w:val="superscript"/>
                <w:lang w:val="en-US" w:eastAsia="en-US"/>
              </w:rPr>
              <w:t>]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(Australia, 2024)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C2D8A10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Cambria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Conservative care vs major amputation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F2E5A3F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Cambria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Qualitative study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B489366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Cambria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14 patients; 13 family members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3442B03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Cambria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Interviews after amputation decision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53E652B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Cambria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Decision process and perceived outcomes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7831285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Cambria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Decision involved uncertainty, adaptation, and individual preference balancing.</w:t>
            </w:r>
          </w:p>
        </w:tc>
      </w:tr>
      <w:tr w14:paraId="492A6106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9537C04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Cambria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Czerniecki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vertAlign w:val="superscript"/>
                <w:lang w:val="en-US" w:eastAsia="en-US"/>
              </w:rPr>
              <w:t>[2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vertAlign w:val="superscript"/>
                <w:lang w:val="en-US" w:eastAsia="zh-CN"/>
              </w:rPr>
              <w:t>6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vertAlign w:val="superscript"/>
                <w:lang w:val="en-US" w:eastAsia="en-US"/>
              </w:rPr>
              <w:t>]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(USA, 2024)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DC41A89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Cambria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Amputation level decision in CLTI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26C1DD3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Cambria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Qualitative study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CEA8216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Cambria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Patients 22; clinicians 21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782BC42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Cambria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AMPDECIDE PDA (paper and online versions)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404F06E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Cambria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Acceptability, clarity, values, SDM feedback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489A6C1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Cambria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Tool improved risk understanding and supported SDM.</w:t>
            </w:r>
          </w:p>
        </w:tc>
      </w:tr>
      <w:tr w14:paraId="3AC19B7D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5823836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Cambria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Højen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vertAlign w:val="superscript"/>
                <w:lang w:val="en-US" w:eastAsia="en-US"/>
              </w:rPr>
              <w:t>[2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vertAlign w:val="superscript"/>
                <w:lang w:val="en-US" w:eastAsia="zh-CN"/>
              </w:rPr>
              <w:t>7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vertAlign w:val="superscript"/>
                <w:lang w:val="en-US" w:eastAsia="en-US"/>
              </w:rPr>
              <w:t>]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(Denmark, 2025)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E5DB04D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Cambria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PAD communication and SDM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0860518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Cambria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Qualitative study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3B56583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Cambria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A5E30BB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Cambria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Exploration of patient-clinician communication barriers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BADEAAB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Cambria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Communication experiences and needs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332BE6C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Cambria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Patients needed clearer explanations, empathy, and adequate consultation time.</w:t>
            </w:r>
          </w:p>
        </w:tc>
      </w:tr>
      <w:tr w14:paraId="7554F588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67" w:type="pct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3C5779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Cambria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Sjödin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vertAlign w:val="superscript"/>
                <w:lang w:val="en-US" w:eastAsia="en-US"/>
              </w:rPr>
              <w:t>[2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vertAlign w:val="superscript"/>
                <w:lang w:val="en-US" w:eastAsia="zh-CN"/>
              </w:rPr>
              <w:t>8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vertAlign w:val="superscript"/>
                <w:lang w:val="en-US" w:eastAsia="en-US"/>
              </w:rPr>
              <w:t>]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 xml:space="preserve"> (Sweden, 2025)</w:t>
            </w:r>
          </w:p>
        </w:tc>
        <w:tc>
          <w:tcPr>
            <w:tcW w:w="741" w:type="pct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4A2933D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Cambria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Amputation care and rehabilitation decisions</w:t>
            </w:r>
          </w:p>
        </w:tc>
        <w:tc>
          <w:tcPr>
            <w:tcW w:w="562" w:type="pct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EFC6E4F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Cambria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Qualitative study</w:t>
            </w:r>
          </w:p>
        </w:tc>
        <w:tc>
          <w:tcPr>
            <w:tcW w:w="494" w:type="pct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1892F2A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Cambria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1007" w:type="pct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B6892C7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Cambria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Standardized amputation care pathway with educational materials and MDT follow-up</w:t>
            </w:r>
          </w:p>
        </w:tc>
        <w:tc>
          <w:tcPr>
            <w:tcW w:w="862" w:type="pct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347B7D5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Cambria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Patient experience, communication, SDM participation</w:t>
            </w:r>
          </w:p>
        </w:tc>
        <w:tc>
          <w:tcPr>
            <w:tcW w:w="763" w:type="pct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09E8DCF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Cambria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Patients wanted active involvement and continuous information support.</w:t>
            </w:r>
          </w:p>
        </w:tc>
      </w:tr>
    </w:tbl>
    <w:p w14:paraId="4BED95CA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07616EF"/>
    <w:rsid w:val="50761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2026-07-12T13:23:00Z</dcterms:created>
  <dc:creator>WPS_1603033623</dc:creator>
  <cp:lastModifiedBy>WPS_1603033623</cp:lastModifiedBy>
  <dcterms:modified xsi:type="dcterms:W3CDTF">2026-07-12T13:24:34Z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18689F947D3F4886A52A8B351D368BDB_11</vt:lpwstr>
  </property>
  <property fmtid="{D5CDD505-2E9C-101B-9397-08002B2CF9AE}" pid="4" name="KSOTemplateDocerSaveRecord">
    <vt:lpwstr>eyJoZGlkIjoiNTgyNGFkYzljNWMyNDQ5ZDEwMGMwYzI0ODZmYzk3YzIiLCJ1c2VySWQiOiIxMTMzNjM0NjkwIn0=</vt:lpwstr>
  </property>
</Properties>
</file>