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9013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Bold" w:hAnsi="Times New Roman Bold" w:cs="Times New Roman Bold"/>
          <w:b/>
          <w:bCs/>
          <w:color w:val="auto"/>
          <w:sz w:val="32"/>
          <w:szCs w:val="32"/>
          <w:lang w:val="en-US" w:eastAsia="zh-CN"/>
        </w:rPr>
      </w:pPr>
      <w:r>
        <w:rPr>
          <w:rFonts w:hint="default" w:ascii="Times New Roman Bold" w:hAnsi="Times New Roman Bold" w:cs="Times New Roman Bold"/>
          <w:b/>
          <w:bCs/>
          <w:color w:val="auto"/>
          <w:sz w:val="32"/>
          <w:szCs w:val="32"/>
          <w:lang w:val="en-US" w:eastAsia="zh-CN"/>
        </w:rPr>
        <w:t>Research Hotspots and Development Trends of Reablement</w:t>
      </w:r>
      <w:r>
        <w:rPr>
          <w:rFonts w:hint="eastAsia" w:ascii="Times New Roman Bold" w:hAnsi="Times New Roman Bold" w:cs="Times New Roman Bold"/>
          <w:b/>
          <w:bCs/>
          <w:color w:val="auto"/>
          <w:sz w:val="32"/>
          <w:szCs w:val="32"/>
          <w:lang w:val="en-US" w:eastAsia="zh-CN"/>
        </w:rPr>
        <w:t xml:space="preserve"> </w:t>
      </w:r>
      <w:r>
        <w:rPr>
          <w:rFonts w:hint="default" w:ascii="Times New Roman Bold" w:hAnsi="Times New Roman Bold" w:cs="Times New Roman Bold"/>
          <w:b/>
          <w:bCs/>
          <w:color w:val="auto"/>
          <w:sz w:val="32"/>
          <w:szCs w:val="32"/>
          <w:lang w:val="en-US" w:eastAsia="zh-CN"/>
        </w:rPr>
        <w:t>From 1999 to 2025: A bibliometric analysis</w:t>
      </w:r>
    </w:p>
    <w:p w14:paraId="780D904B">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9"/>
        <w:rPr>
          <w:rFonts w:hint="default" w:ascii="Times New Roman Bold" w:hAnsi="Times New Roman Bold" w:cs="Times New Roman Bold"/>
          <w:b/>
          <w:bCs/>
          <w:color w:val="auto"/>
          <w:sz w:val="30"/>
          <w:szCs w:val="30"/>
          <w:lang w:val="en-US" w:eastAsia="zh-CN"/>
        </w:rPr>
      </w:pPr>
      <w:r>
        <w:rPr>
          <w:rFonts w:hint="default" w:ascii="Times New Roman Bold" w:hAnsi="Times New Roman Bold" w:eastAsia="宋体" w:cs="Times New Roman Bold"/>
          <w:b/>
          <w:bCs/>
          <w:kern w:val="0"/>
          <w:sz w:val="30"/>
          <w:szCs w:val="30"/>
          <w:lang w:val="en-US" w:eastAsia="zh-CN" w:bidi="ar"/>
        </w:rPr>
        <w:t>Abstract</w:t>
      </w:r>
      <w:r>
        <w:rPr>
          <w:rFonts w:hint="default" w:ascii="Times New Roman Bold" w:hAnsi="Times New Roman Bold" w:cs="Times New Roman Bold"/>
          <w:b/>
          <w:bCs/>
          <w:color w:val="auto"/>
          <w:sz w:val="30"/>
          <w:szCs w:val="30"/>
          <w:lang w:val="en-US" w:eastAsia="zh-CN"/>
        </w:rPr>
        <w:t xml:space="preserve"> </w:t>
      </w:r>
    </w:p>
    <w:p w14:paraId="43A575C9">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9"/>
        <w:rPr>
          <w:rFonts w:hint="default" w:ascii="Times New Roman Regular" w:hAnsi="Times New Roman Regular" w:cs="Times New Roman Regular"/>
          <w:b/>
          <w:bCs/>
          <w:color w:val="auto"/>
          <w:kern w:val="0"/>
          <w:sz w:val="24"/>
          <w:szCs w:val="24"/>
          <w:lang w:val="en-US" w:eastAsia="zh-CN" w:bidi="ar"/>
        </w:rPr>
      </w:pPr>
      <w:r>
        <w:rPr>
          <w:rFonts w:hint="default" w:ascii="Times New Roman Regular" w:hAnsi="Times New Roman Regular" w:cs="Times New Roman Regular"/>
          <w:b/>
          <w:bCs/>
          <w:color w:val="auto"/>
          <w:kern w:val="0"/>
          <w:sz w:val="24"/>
          <w:szCs w:val="24"/>
          <w:lang w:val="en-US" w:eastAsia="zh-CN" w:bidi="ar"/>
        </w:rPr>
        <w:t>Aims</w:t>
      </w:r>
    </w:p>
    <w:p w14:paraId="1A8D6B78">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9"/>
        <w:rPr>
          <w:rFonts w:hint="default" w:ascii="Times New Roman Regular" w:hAnsi="Times New Roman Regular" w:cs="Times New Roman Regular"/>
          <w:b w:val="0"/>
          <w:bCs w:val="0"/>
          <w:color w:val="auto"/>
          <w:sz w:val="24"/>
          <w:szCs w:val="24"/>
          <w:lang w:val="en-US" w:eastAsia="zh-CN"/>
        </w:rPr>
      </w:pPr>
      <w:r>
        <w:rPr>
          <w:rFonts w:hint="default" w:ascii="Times New Roman Regular" w:hAnsi="Times New Roman Regular" w:cs="Times New Roman Regular"/>
          <w:b w:val="0"/>
          <w:bCs w:val="0"/>
          <w:color w:val="auto"/>
          <w:sz w:val="24"/>
          <w:szCs w:val="24"/>
          <w:lang w:val="en-US" w:eastAsia="zh-CN"/>
        </w:rPr>
        <w:t>This study aims</w:t>
      </w:r>
      <w:r>
        <w:rPr>
          <w:rFonts w:hint="eastAsia" w:ascii="Times New Roman Regular" w:hAnsi="Times New Roman Regular" w:cs="Times New Roman Regular"/>
          <w:b w:val="0"/>
          <w:bCs w:val="0"/>
          <w:color w:val="auto"/>
          <w:sz w:val="24"/>
          <w:szCs w:val="24"/>
          <w:lang w:val="en-US" w:eastAsia="zh-CN"/>
        </w:rPr>
        <w:t xml:space="preserve"> </w:t>
      </w:r>
      <w:r>
        <w:rPr>
          <w:rFonts w:hint="default" w:ascii="Times New Roman Regular" w:hAnsi="Times New Roman Regular" w:cs="Times New Roman Regular"/>
          <w:b w:val="0"/>
          <w:bCs w:val="0"/>
          <w:color w:val="auto"/>
          <w:sz w:val="24"/>
          <w:szCs w:val="24"/>
          <w:lang w:val="en-US" w:eastAsia="zh-CN"/>
        </w:rPr>
        <w:t xml:space="preserve">to explore the current research status, hotspots, and </w:t>
      </w:r>
      <w:r>
        <w:rPr>
          <w:rFonts w:hint="eastAsia" w:ascii="Times New Roman Regular" w:hAnsi="Times New Roman Regular" w:cs="Times New Roman Regular"/>
          <w:b w:val="0"/>
          <w:bCs w:val="0"/>
          <w:color w:val="auto"/>
          <w:sz w:val="24"/>
          <w:szCs w:val="24"/>
          <w:lang w:val="en-US" w:eastAsia="zh-CN"/>
        </w:rPr>
        <w:t>emerging</w:t>
      </w:r>
      <w:r>
        <w:rPr>
          <w:rFonts w:hint="default" w:ascii="Times New Roman Regular" w:hAnsi="Times New Roman Regular" w:cs="Times New Roman Regular"/>
          <w:b w:val="0"/>
          <w:bCs w:val="0"/>
          <w:color w:val="auto"/>
          <w:sz w:val="24"/>
          <w:szCs w:val="24"/>
          <w:lang w:val="en-US" w:eastAsia="zh-CN"/>
        </w:rPr>
        <w:t xml:space="preserve"> trends of reablement</w:t>
      </w:r>
      <w:r>
        <w:rPr>
          <w:rFonts w:hint="eastAsia" w:ascii="Times New Roman Regular" w:hAnsi="Times New Roman Regular" w:cs="Times New Roman Regular"/>
          <w:b w:val="0"/>
          <w:bCs w:val="0"/>
          <w:color w:val="auto"/>
          <w:sz w:val="24"/>
          <w:szCs w:val="24"/>
          <w:lang w:val="en-US" w:eastAsia="zh-CN"/>
        </w:rPr>
        <w:t xml:space="preserve"> and provide references for further research in this field</w:t>
      </w:r>
      <w:r>
        <w:rPr>
          <w:rFonts w:hint="default" w:ascii="Times New Roman Regular" w:hAnsi="Times New Roman Regular" w:cs="Times New Roman Regular"/>
          <w:b w:val="0"/>
          <w:bCs w:val="0"/>
          <w:color w:val="auto"/>
          <w:sz w:val="24"/>
          <w:szCs w:val="24"/>
          <w:lang w:val="en-US" w:eastAsia="zh-CN"/>
        </w:rPr>
        <w:t>.</w:t>
      </w:r>
    </w:p>
    <w:p w14:paraId="760877D1">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Regular" w:hAnsi="Times New Roman Regular" w:cs="Times New Roman Regular"/>
          <w:b/>
          <w:bCs/>
          <w:color w:val="auto"/>
          <w:sz w:val="24"/>
          <w:szCs w:val="24"/>
        </w:rPr>
      </w:pPr>
      <w:r>
        <w:rPr>
          <w:rFonts w:hint="default" w:ascii="Times New Roman Regular" w:hAnsi="Times New Roman Regular" w:cs="Times New Roman Regular"/>
          <w:b/>
          <w:bCs/>
          <w:kern w:val="0"/>
          <w:sz w:val="24"/>
          <w:szCs w:val="24"/>
          <w:lang w:bidi="ar"/>
        </w:rPr>
        <w:t>Methods</w:t>
      </w:r>
    </w:p>
    <w:p w14:paraId="40067879">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Regular" w:hAnsi="Times New Roman Regular" w:cs="Times New Roman Regular"/>
          <w:b w:val="0"/>
          <w:bCs w:val="0"/>
          <w:color w:val="auto"/>
          <w:sz w:val="24"/>
          <w:szCs w:val="24"/>
        </w:rPr>
      </w:pPr>
      <w:r>
        <w:rPr>
          <w:rFonts w:hint="default" w:ascii="Times New Roman Regular" w:hAnsi="Times New Roman Regular" w:cs="Times New Roman Regular"/>
          <w:b w:val="0"/>
          <w:bCs w:val="0"/>
          <w:color w:val="auto"/>
          <w:sz w:val="24"/>
          <w:szCs w:val="24"/>
          <w:highlight w:val="none"/>
        </w:rPr>
        <w:t xml:space="preserve">English-language </w:t>
      </w:r>
      <w:r>
        <w:rPr>
          <w:rFonts w:hint="default" w:ascii="Times New Roman Regular" w:hAnsi="Times New Roman Regular" w:cs="Times New Roman Regular"/>
          <w:b w:val="0"/>
          <w:bCs w:val="0"/>
          <w:color w:val="auto"/>
          <w:sz w:val="24"/>
          <w:szCs w:val="24"/>
        </w:rPr>
        <w:t>literature related to reablement was retrieved from the Web of Science Core Collection</w:t>
      </w:r>
      <w:r>
        <w:rPr>
          <w:rFonts w:hint="eastAsia" w:ascii="Times New Roman Regular" w:hAnsi="Times New Roman Regular" w:cs="Times New Roman Regular"/>
          <w:b w:val="0"/>
          <w:bCs w:val="0"/>
          <w:color w:val="auto"/>
          <w:sz w:val="24"/>
          <w:szCs w:val="24"/>
          <w:lang w:val="en-US" w:eastAsia="zh-CN"/>
        </w:rPr>
        <w:t xml:space="preserve"> database</w:t>
      </w:r>
      <w:r>
        <w:rPr>
          <w:rFonts w:hint="default" w:ascii="Times New Roman Regular" w:hAnsi="Times New Roman Regular" w:cs="Times New Roman Regular"/>
          <w:b w:val="0"/>
          <w:bCs w:val="0"/>
          <w:color w:val="auto"/>
          <w:sz w:val="24"/>
          <w:szCs w:val="24"/>
        </w:rPr>
        <w:t xml:space="preserve">, covering the period from January 1, 1999 to October 20, 2025. </w:t>
      </w:r>
      <w:r>
        <w:rPr>
          <w:rFonts w:hint="default" w:ascii="Times New Roman Regular" w:hAnsi="Times New Roman Regular" w:cs="Times New Roman Regular"/>
          <w:b w:val="0"/>
          <w:bCs w:val="0"/>
          <w:color w:val="auto"/>
          <w:sz w:val="24"/>
          <w:szCs w:val="24"/>
          <w:lang w:val="en-US"/>
        </w:rPr>
        <w:t xml:space="preserve">The </w:t>
      </w:r>
      <w:r>
        <w:rPr>
          <w:rFonts w:hint="default" w:ascii="Times New Roman Regular" w:hAnsi="Times New Roman Regular" w:cs="Times New Roman Regular"/>
          <w:b w:val="0"/>
          <w:bCs w:val="0"/>
          <w:color w:val="auto"/>
          <w:sz w:val="24"/>
          <w:szCs w:val="24"/>
          <w:lang w:val="en-US" w:eastAsia="zh-CN"/>
        </w:rPr>
        <w:t>s</w:t>
      </w:r>
      <w:r>
        <w:rPr>
          <w:rFonts w:hint="eastAsia" w:ascii="Times New Roman Regular" w:hAnsi="Times New Roman Regular" w:cs="Times New Roman Regular"/>
          <w:b w:val="0"/>
          <w:bCs w:val="0"/>
          <w:color w:val="auto"/>
          <w:sz w:val="24"/>
          <w:szCs w:val="24"/>
          <w:lang w:val="en-US" w:eastAsia="zh-CN"/>
        </w:rPr>
        <w:t xml:space="preserve">oftware </w:t>
      </w:r>
      <w:r>
        <w:rPr>
          <w:rFonts w:hint="default" w:ascii="Times New Roman Regular" w:hAnsi="Times New Roman Regular" w:cs="Times New Roman Regular"/>
          <w:b w:val="0"/>
          <w:bCs w:val="0"/>
          <w:color w:val="auto"/>
          <w:sz w:val="24"/>
          <w:szCs w:val="24"/>
        </w:rPr>
        <w:t>CiteSpace and VOSviewer were used to conduct visual bibliometric analyses of eligible publications, including annual publication output, countr</w:t>
      </w:r>
      <w:r>
        <w:rPr>
          <w:rFonts w:hint="default" w:ascii="Times New Roman Regular" w:hAnsi="Times New Roman Regular" w:cs="Times New Roman Regular"/>
          <w:b w:val="0"/>
          <w:bCs w:val="0"/>
          <w:color w:val="auto"/>
          <w:sz w:val="24"/>
          <w:szCs w:val="24"/>
          <w:lang w:val="en-US"/>
        </w:rPr>
        <w:t>ies</w:t>
      </w:r>
      <w:r>
        <w:rPr>
          <w:rFonts w:hint="default" w:ascii="Times New Roman Regular" w:hAnsi="Times New Roman Regular" w:cs="Times New Roman Regular"/>
          <w:b w:val="0"/>
          <w:bCs w:val="0"/>
          <w:color w:val="auto"/>
          <w:sz w:val="24"/>
          <w:szCs w:val="24"/>
        </w:rPr>
        <w:t>, authors, institutions, cited references, and keywords.</w:t>
      </w:r>
    </w:p>
    <w:p w14:paraId="34490F40">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Regular" w:hAnsi="Times New Roman Regular" w:cs="Times New Roman Regular"/>
          <w:b/>
          <w:bCs/>
          <w:color w:val="auto"/>
          <w:sz w:val="24"/>
          <w:szCs w:val="24"/>
        </w:rPr>
      </w:pPr>
      <w:r>
        <w:rPr>
          <w:rFonts w:hint="default" w:ascii="Times New Roman Regular" w:hAnsi="Times New Roman Regular" w:cs="Times New Roman Regular"/>
          <w:b/>
          <w:bCs/>
          <w:kern w:val="0"/>
          <w:sz w:val="24"/>
          <w:szCs w:val="24"/>
          <w:lang w:bidi="ar"/>
        </w:rPr>
        <w:t>Results</w:t>
      </w:r>
    </w:p>
    <w:p w14:paraId="16B374AA">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Regular" w:hAnsi="Times New Roman Regular" w:eastAsia="宋体" w:cs="Times New Roman Regular"/>
          <w:b w:val="0"/>
          <w:bCs w:val="0"/>
          <w:color w:val="auto"/>
          <w:sz w:val="24"/>
          <w:szCs w:val="24"/>
          <w:lang w:val="en-US" w:eastAsia="zh-CN"/>
        </w:rPr>
      </w:pPr>
      <w:r>
        <w:rPr>
          <w:rFonts w:hint="default" w:ascii="Times New Roman Regular" w:hAnsi="Times New Roman Regular" w:cs="Times New Roman Regular"/>
          <w:b w:val="0"/>
          <w:bCs w:val="0"/>
          <w:color w:val="auto"/>
          <w:sz w:val="24"/>
          <w:szCs w:val="24"/>
        </w:rPr>
        <w:t xml:space="preserve">A total of 276 publications were included. Overall, the number of publications showed an increasing trend over time. The United States contributed the largest number of publications, </w:t>
      </w:r>
      <w:r>
        <w:rPr>
          <w:rFonts w:hint="eastAsia" w:ascii="Times New Roman Regular" w:hAnsi="Times New Roman Regular" w:cs="Times New Roman Regular"/>
          <w:b w:val="0"/>
          <w:bCs w:val="0"/>
          <w:color w:val="auto"/>
          <w:sz w:val="24"/>
          <w:szCs w:val="24"/>
          <w:lang w:val="en-US" w:eastAsia="zh-CN"/>
        </w:rPr>
        <w:t xml:space="preserve">followed by </w:t>
      </w:r>
      <w:r>
        <w:rPr>
          <w:rFonts w:hint="default" w:ascii="Times New Roman Regular" w:hAnsi="Times New Roman Regular" w:cs="Times New Roman Regular"/>
          <w:sz w:val="24"/>
        </w:rPr>
        <w:t>Australia</w:t>
      </w:r>
      <w:r>
        <w:rPr>
          <w:rFonts w:hint="default" w:ascii="Times New Roman Regular" w:hAnsi="Times New Roman Regular" w:cs="Times New Roman Regular"/>
          <w:color w:val="auto"/>
          <w:sz w:val="24"/>
          <w:lang w:val="en-US"/>
        </w:rPr>
        <w:t xml:space="preserve"> and </w:t>
      </w:r>
      <w:r>
        <w:rPr>
          <w:rFonts w:hint="default" w:ascii="Times New Roman Regular" w:hAnsi="Times New Roman Regular" w:cs="Times New Roman Regular"/>
          <w:color w:val="auto"/>
          <w:sz w:val="24"/>
        </w:rPr>
        <w:t>Norway</w:t>
      </w:r>
      <w:r>
        <w:rPr>
          <w:rFonts w:hint="default" w:ascii="Times New Roman Regular" w:hAnsi="Times New Roman Regular" w:cs="Times New Roman Regular"/>
          <w:color w:val="auto"/>
          <w:sz w:val="24"/>
          <w:lang w:val="en-US"/>
        </w:rPr>
        <w:t xml:space="preserve">, </w:t>
      </w:r>
      <w:r>
        <w:rPr>
          <w:rFonts w:hint="default" w:ascii="Times New Roman Regular" w:hAnsi="Times New Roman Regular" w:cs="Times New Roman Regular"/>
          <w:b w:val="0"/>
          <w:bCs w:val="0"/>
          <w:color w:val="auto"/>
          <w:sz w:val="24"/>
          <w:szCs w:val="24"/>
        </w:rPr>
        <w:t xml:space="preserve">and Resnick was the most productive author. The top five keywords by frequency were </w:t>
      </w:r>
      <w:r>
        <w:rPr>
          <w:rFonts w:hint="default" w:ascii="Times New Roman Regular" w:hAnsi="Times New Roman Regular" w:cs="Times New Roman Regular"/>
          <w:b w:val="0"/>
          <w:bCs w:val="0"/>
          <w:color w:val="auto"/>
          <w:sz w:val="24"/>
          <w:szCs w:val="24"/>
          <w:lang w:val="en-US"/>
        </w:rPr>
        <w:t>“</w:t>
      </w:r>
      <w:r>
        <w:rPr>
          <w:rFonts w:hint="default" w:ascii="Times New Roman Regular" w:hAnsi="Times New Roman Regular" w:cs="Times New Roman Regular"/>
          <w:b w:val="0"/>
          <w:bCs w:val="0"/>
          <w:color w:val="auto"/>
          <w:sz w:val="24"/>
          <w:szCs w:val="24"/>
        </w:rPr>
        <w:t>older adults</w:t>
      </w:r>
      <w:r>
        <w:rPr>
          <w:rFonts w:hint="default" w:ascii="Times New Roman Regular" w:hAnsi="Times New Roman Regular" w:cs="Times New Roman Regular"/>
          <w:b w:val="0"/>
          <w:bCs w:val="0"/>
          <w:color w:val="auto"/>
          <w:sz w:val="24"/>
          <w:szCs w:val="24"/>
          <w:lang w:val="en-US"/>
        </w:rPr>
        <w:t>”</w:t>
      </w:r>
      <w:r>
        <w:rPr>
          <w:rFonts w:hint="default" w:ascii="Times New Roman Regular" w:hAnsi="Times New Roman Regular" w:cs="Times New Roman Regular"/>
          <w:b w:val="0"/>
          <w:bCs w:val="0"/>
          <w:color w:val="auto"/>
          <w:sz w:val="24"/>
          <w:szCs w:val="24"/>
        </w:rPr>
        <w:t xml:space="preserve">, </w:t>
      </w:r>
      <w:r>
        <w:rPr>
          <w:rFonts w:hint="default" w:ascii="Times New Roman Regular" w:hAnsi="Times New Roman Regular" w:cs="Times New Roman Regular"/>
          <w:b w:val="0"/>
          <w:bCs w:val="0"/>
          <w:color w:val="auto"/>
          <w:sz w:val="24"/>
          <w:szCs w:val="24"/>
          <w:lang w:val="en-US"/>
        </w:rPr>
        <w:t>“</w:t>
      </w:r>
      <w:r>
        <w:rPr>
          <w:rFonts w:hint="default" w:ascii="Times New Roman Regular" w:hAnsi="Times New Roman Regular" w:cs="Times New Roman Regular"/>
          <w:b w:val="0"/>
          <w:bCs w:val="0"/>
          <w:color w:val="auto"/>
          <w:sz w:val="24"/>
          <w:szCs w:val="24"/>
        </w:rPr>
        <w:t>reablement</w:t>
      </w:r>
      <w:r>
        <w:rPr>
          <w:rFonts w:hint="default" w:ascii="Times New Roman Regular" w:hAnsi="Times New Roman Regular" w:cs="Times New Roman Regular"/>
          <w:b w:val="0"/>
          <w:bCs w:val="0"/>
          <w:color w:val="auto"/>
          <w:sz w:val="24"/>
          <w:szCs w:val="24"/>
          <w:lang w:val="en-US"/>
        </w:rPr>
        <w:t>”</w:t>
      </w:r>
      <w:r>
        <w:rPr>
          <w:rFonts w:hint="default" w:ascii="Times New Roman Regular" w:hAnsi="Times New Roman Regular" w:cs="Times New Roman Regular"/>
          <w:b w:val="0"/>
          <w:bCs w:val="0"/>
          <w:color w:val="auto"/>
          <w:sz w:val="24"/>
          <w:szCs w:val="24"/>
        </w:rPr>
        <w:t xml:space="preserve">, </w:t>
      </w:r>
      <w:r>
        <w:rPr>
          <w:rFonts w:hint="default" w:ascii="Times New Roman Regular" w:hAnsi="Times New Roman Regular" w:cs="Times New Roman Regular"/>
          <w:b w:val="0"/>
          <w:bCs w:val="0"/>
          <w:color w:val="auto"/>
          <w:sz w:val="24"/>
          <w:szCs w:val="24"/>
          <w:lang w:val="en-US"/>
        </w:rPr>
        <w:t>“</w:t>
      </w:r>
      <w:r>
        <w:rPr>
          <w:rFonts w:hint="default" w:ascii="Times New Roman Regular" w:hAnsi="Times New Roman Regular" w:cs="Times New Roman Regular"/>
          <w:b w:val="0"/>
          <w:bCs w:val="0"/>
          <w:color w:val="auto"/>
          <w:sz w:val="24"/>
          <w:szCs w:val="24"/>
        </w:rPr>
        <w:t>intervention</w:t>
      </w:r>
      <w:r>
        <w:rPr>
          <w:rFonts w:hint="default" w:ascii="Times New Roman Regular" w:hAnsi="Times New Roman Regular" w:cs="Times New Roman Regular"/>
          <w:b w:val="0"/>
          <w:bCs w:val="0"/>
          <w:color w:val="auto"/>
          <w:sz w:val="24"/>
          <w:szCs w:val="24"/>
          <w:lang w:val="en-US"/>
        </w:rPr>
        <w:t>”</w:t>
      </w:r>
      <w:r>
        <w:rPr>
          <w:rFonts w:hint="default" w:ascii="Times New Roman Regular" w:hAnsi="Times New Roman Regular" w:cs="Times New Roman Regular"/>
          <w:b w:val="0"/>
          <w:bCs w:val="0"/>
          <w:color w:val="auto"/>
          <w:sz w:val="24"/>
          <w:szCs w:val="24"/>
        </w:rPr>
        <w:t xml:space="preserve">, </w:t>
      </w:r>
      <w:r>
        <w:rPr>
          <w:rFonts w:hint="default" w:ascii="Times New Roman Regular" w:hAnsi="Times New Roman Regular" w:cs="Times New Roman Regular"/>
          <w:b w:val="0"/>
          <w:bCs w:val="0"/>
          <w:color w:val="auto"/>
          <w:sz w:val="24"/>
          <w:szCs w:val="24"/>
          <w:lang w:val="en-US"/>
        </w:rPr>
        <w:t>“</w:t>
      </w:r>
      <w:r>
        <w:rPr>
          <w:rFonts w:hint="default" w:ascii="Times New Roman Regular" w:hAnsi="Times New Roman Regular" w:cs="Times New Roman Regular"/>
          <w:b w:val="0"/>
          <w:bCs w:val="0"/>
          <w:color w:val="auto"/>
          <w:sz w:val="24"/>
          <w:szCs w:val="24"/>
          <w:highlight w:val="none"/>
        </w:rPr>
        <w:t>people</w:t>
      </w:r>
      <w:r>
        <w:rPr>
          <w:rFonts w:hint="default" w:ascii="Times New Roman Regular" w:hAnsi="Times New Roman Regular" w:cs="Times New Roman Regular"/>
          <w:b w:val="0"/>
          <w:bCs w:val="0"/>
          <w:color w:val="auto"/>
          <w:sz w:val="24"/>
          <w:szCs w:val="24"/>
          <w:lang w:val="en-US"/>
        </w:rPr>
        <w:t>”</w:t>
      </w:r>
      <w:r>
        <w:rPr>
          <w:rFonts w:hint="default" w:ascii="Times New Roman Regular" w:hAnsi="Times New Roman Regular" w:cs="Times New Roman Regular"/>
          <w:b w:val="0"/>
          <w:bCs w:val="0"/>
          <w:color w:val="auto"/>
          <w:sz w:val="24"/>
          <w:szCs w:val="24"/>
        </w:rPr>
        <w:t xml:space="preserve">, and </w:t>
      </w:r>
      <w:r>
        <w:rPr>
          <w:rFonts w:hint="default" w:ascii="Times New Roman Regular" w:hAnsi="Times New Roman Regular" w:cs="Times New Roman Regular"/>
          <w:b w:val="0"/>
          <w:bCs w:val="0"/>
          <w:color w:val="auto"/>
          <w:sz w:val="24"/>
          <w:szCs w:val="24"/>
          <w:lang w:val="en-US"/>
        </w:rPr>
        <w:t>“</w:t>
      </w:r>
      <w:r>
        <w:rPr>
          <w:rFonts w:hint="default" w:ascii="Times New Roman Regular" w:hAnsi="Times New Roman Regular" w:cs="Times New Roman Regular"/>
          <w:b w:val="0"/>
          <w:bCs w:val="0"/>
          <w:color w:val="auto"/>
          <w:sz w:val="24"/>
          <w:szCs w:val="24"/>
        </w:rPr>
        <w:t>physical activity</w:t>
      </w:r>
      <w:r>
        <w:rPr>
          <w:rFonts w:hint="default" w:ascii="Times New Roman Regular" w:hAnsi="Times New Roman Regular" w:cs="Times New Roman Regular"/>
          <w:b w:val="0"/>
          <w:bCs w:val="0"/>
          <w:color w:val="auto"/>
          <w:sz w:val="24"/>
          <w:szCs w:val="24"/>
          <w:lang w:val="en-US"/>
        </w:rPr>
        <w:t>”</w:t>
      </w:r>
      <w:r>
        <w:rPr>
          <w:rFonts w:hint="default" w:ascii="Times New Roman Regular" w:hAnsi="Times New Roman Regular" w:cs="Times New Roman Regular"/>
          <w:b w:val="0"/>
          <w:bCs w:val="0"/>
          <w:color w:val="auto"/>
          <w:sz w:val="24"/>
          <w:szCs w:val="24"/>
        </w:rPr>
        <w:t>. Intervention studies and qualitative studies were the main research types, with application-focused research hotspots primarily concentrated on improving physical activity among service recipients.</w:t>
      </w:r>
    </w:p>
    <w:p w14:paraId="7902DCAF">
      <w:pPr>
        <w:keepNext w:val="0"/>
        <w:keepLines w:val="0"/>
        <w:pageBreakBefore w:val="0"/>
        <w:widowControl/>
        <w:suppressLineNumbers w:val="0"/>
        <w:kinsoku/>
        <w:overflowPunct/>
        <w:topLinePunct w:val="0"/>
        <w:autoSpaceDE/>
        <w:autoSpaceDN/>
        <w:bidi w:val="0"/>
        <w:adjustRightInd/>
        <w:snapToGrid/>
        <w:spacing w:line="240" w:lineRule="auto"/>
        <w:jc w:val="left"/>
        <w:textAlignment w:val="auto"/>
        <w:rPr>
          <w:rFonts w:hint="default" w:ascii="Times New Roman Regular" w:hAnsi="Times New Roman Regular" w:cs="Times New Roman Regular"/>
          <w:sz w:val="24"/>
          <w:szCs w:val="24"/>
        </w:rPr>
      </w:pPr>
      <w:r>
        <w:rPr>
          <w:rFonts w:hint="default" w:ascii="Times New Roman Regular" w:hAnsi="Times New Roman Regular" w:eastAsia="宋体" w:cs="Times New Roman Regular"/>
          <w:b/>
          <w:bCs/>
          <w:kern w:val="0"/>
          <w:sz w:val="24"/>
          <w:szCs w:val="24"/>
          <w:lang w:val="en-US" w:eastAsia="zh-CN" w:bidi="ar"/>
        </w:rPr>
        <w:t>Conclusion</w:t>
      </w:r>
      <w:r>
        <w:rPr>
          <w:rFonts w:hint="default" w:ascii="Times New Roman Regular" w:hAnsi="Times New Roman Regular" w:cs="Times New Roman Regular"/>
          <w:b/>
          <w:bCs/>
          <w:kern w:val="0"/>
          <w:sz w:val="24"/>
          <w:szCs w:val="24"/>
          <w:lang w:val="en-US" w:eastAsia="zh-CN" w:bidi="ar"/>
        </w:rPr>
        <w:t>s</w:t>
      </w:r>
      <w:r>
        <w:rPr>
          <w:rFonts w:hint="default" w:ascii="Times New Roman Regular" w:hAnsi="Times New Roman Regular" w:eastAsia="宋体" w:cs="Times New Roman Regular"/>
          <w:kern w:val="0"/>
          <w:sz w:val="24"/>
          <w:szCs w:val="24"/>
          <w:lang w:val="en-US" w:eastAsia="zh-CN" w:bidi="ar"/>
        </w:rPr>
        <w:br w:type="textWrapping"/>
      </w:r>
      <w:r>
        <w:rPr>
          <w:rFonts w:hint="default" w:ascii="Times New Roman Regular" w:hAnsi="Times New Roman Regular" w:eastAsia="宋体" w:cs="Times New Roman Regular"/>
          <w:kern w:val="0"/>
          <w:sz w:val="24"/>
          <w:szCs w:val="24"/>
          <w:lang w:val="en-US" w:eastAsia="zh-CN" w:bidi="ar"/>
        </w:rPr>
        <w:t xml:space="preserve">Research on reablement has attracted increasing attention. Future studies should focus on conducting high-quality empirical research to identify optimal intervention strategies, as well as sensitive assessment tools and outcome indicators. In addition, researchers are encouraged to draw on existing experiences to actively promote </w:t>
      </w:r>
      <w:r>
        <w:rPr>
          <w:rFonts w:hint="default" w:ascii="Times New Roman Regular" w:hAnsi="Times New Roman Regular" w:eastAsia="宋体" w:cs="Times New Roman Regular"/>
          <w:kern w:val="0"/>
          <w:sz w:val="24"/>
          <w:szCs w:val="24"/>
          <w:highlight w:val="none"/>
          <w:lang w:val="en-US" w:eastAsia="zh-CN" w:bidi="ar"/>
        </w:rPr>
        <w:t>home-based reablement</w:t>
      </w:r>
      <w:r>
        <w:rPr>
          <w:rFonts w:hint="default" w:ascii="Times New Roman Regular" w:hAnsi="Times New Roman Regular" w:eastAsia="宋体" w:cs="Times New Roman Regular"/>
          <w:kern w:val="0"/>
          <w:sz w:val="24"/>
          <w:szCs w:val="24"/>
          <w:lang w:val="en-US" w:eastAsia="zh-CN" w:bidi="ar"/>
        </w:rPr>
        <w:t xml:space="preserve"> services and explore the development of reablement models tailored to national contexts.</w:t>
      </w:r>
    </w:p>
    <w:p w14:paraId="6BC62343">
      <w:pPr>
        <w:keepNext w:val="0"/>
        <w:keepLines w:val="0"/>
        <w:pageBreakBefore w:val="0"/>
        <w:widowControl/>
        <w:suppressLineNumbers w:val="0"/>
        <w:kinsoku/>
        <w:overflowPunct/>
        <w:topLinePunct w:val="0"/>
        <w:autoSpaceDE/>
        <w:autoSpaceDN/>
        <w:bidi w:val="0"/>
        <w:adjustRightInd/>
        <w:snapToGrid/>
        <w:spacing w:line="240" w:lineRule="auto"/>
        <w:jc w:val="left"/>
        <w:textAlignment w:val="auto"/>
        <w:rPr>
          <w:rFonts w:hint="default" w:ascii="Times New Roman Bold" w:hAnsi="Times New Roman Bold" w:eastAsia="宋体" w:cs="Times New Roman Bold"/>
          <w:b/>
          <w:bCs/>
          <w:color w:val="auto"/>
          <w:kern w:val="0"/>
          <w:sz w:val="24"/>
          <w:szCs w:val="24"/>
          <w:lang w:val="en-US" w:eastAsia="zh-CN" w:bidi="ar"/>
        </w:rPr>
      </w:pPr>
      <w:r>
        <w:rPr>
          <w:rFonts w:hint="default" w:ascii="Times New Roman Bold" w:hAnsi="Times New Roman Bold" w:eastAsia="宋体" w:cs="Times New Roman Bold"/>
          <w:b/>
          <w:bCs/>
          <w:color w:val="auto"/>
          <w:kern w:val="0"/>
          <w:sz w:val="24"/>
          <w:szCs w:val="24"/>
          <w:lang w:val="en-US" w:eastAsia="zh-CN" w:bidi="ar"/>
        </w:rPr>
        <w:t>Keywords</w:t>
      </w:r>
    </w:p>
    <w:p w14:paraId="54976CC4">
      <w:pPr>
        <w:keepNext w:val="0"/>
        <w:keepLines w:val="0"/>
        <w:pageBreakBefore w:val="0"/>
        <w:widowControl/>
        <w:suppressLineNumbers w:val="0"/>
        <w:kinsoku/>
        <w:overflowPunct/>
        <w:topLinePunct w:val="0"/>
        <w:autoSpaceDE/>
        <w:autoSpaceDN/>
        <w:bidi w:val="0"/>
        <w:adjustRightInd/>
        <w:snapToGrid/>
        <w:spacing w:line="240" w:lineRule="auto"/>
        <w:jc w:val="left"/>
        <w:textAlignment w:val="auto"/>
        <w:rPr>
          <w:rFonts w:hint="default" w:ascii="Times New Roman Regular" w:hAnsi="Times New Roman Regular" w:cs="Times New Roman Regular"/>
          <w:color w:val="auto"/>
          <w:sz w:val="24"/>
          <w:szCs w:val="24"/>
          <w:lang w:val="en-US" w:eastAsia="zh-CN"/>
        </w:rPr>
      </w:pPr>
      <w:r>
        <w:rPr>
          <w:rFonts w:hint="eastAsia" w:ascii="Times New Roman Regular" w:hAnsi="Times New Roman Regular" w:eastAsia="宋体" w:cs="Times New Roman Regular"/>
          <w:color w:val="auto"/>
          <w:kern w:val="2"/>
          <w:sz w:val="24"/>
          <w:szCs w:val="24"/>
          <w:lang w:val="en-US" w:eastAsia="zh-CN" w:bidi="ar"/>
        </w:rPr>
        <w:t>Reablement</w:t>
      </w:r>
      <w:r>
        <w:rPr>
          <w:rFonts w:hint="eastAsia" w:ascii="Times New Roman Regular" w:hAnsi="Times New Roman Regular" w:eastAsia="宋体"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lang w:val="en-US" w:eastAsia="zh-CN"/>
        </w:rPr>
        <w:t xml:space="preserve">Older adults; Bibliometric analysis; </w:t>
      </w:r>
      <w:r>
        <w:rPr>
          <w:rFonts w:hint="eastAsia" w:ascii="Times New Roman Regular" w:hAnsi="Times New Roman Regular" w:eastAsia="宋体" w:cs="Times New Roman Regular"/>
          <w:color w:val="auto"/>
          <w:sz w:val="24"/>
          <w:szCs w:val="24"/>
          <w:lang w:val="en-US"/>
        </w:rPr>
        <w:t>F</w:t>
      </w:r>
      <w:r>
        <w:rPr>
          <w:rFonts w:hint="eastAsia" w:ascii="Times New Roman Regular" w:hAnsi="Times New Roman Regular" w:eastAsia="宋体" w:cs="Times New Roman Regular"/>
          <w:color w:val="auto"/>
          <w:sz w:val="24"/>
          <w:szCs w:val="24"/>
        </w:rPr>
        <w:t>unction-focused care</w:t>
      </w:r>
      <w:r>
        <w:rPr>
          <w:rFonts w:hint="eastAsia" w:ascii="Times New Roman Regular" w:hAnsi="Times New Roman Regular" w:eastAsia="宋体" w:cs="Times New Roman Regular"/>
          <w:color w:val="auto"/>
          <w:sz w:val="24"/>
          <w:szCs w:val="24"/>
          <w:lang w:val="en-US"/>
        </w:rPr>
        <w:t>; R</w:t>
      </w:r>
      <w:r>
        <w:rPr>
          <w:rFonts w:hint="eastAsia" w:ascii="Times New Roman Regular" w:hAnsi="Times New Roman Regular" w:eastAsia="宋体" w:cs="Times New Roman Regular"/>
          <w:color w:val="auto"/>
          <w:sz w:val="24"/>
          <w:szCs w:val="24"/>
        </w:rPr>
        <w:t>estorative care</w:t>
      </w:r>
      <w:r>
        <w:rPr>
          <w:rFonts w:hint="eastAsia" w:ascii="Times New Roman Regular" w:hAnsi="Times New Roman Regular" w:eastAsia="宋体" w:cs="Times New Roman Regular"/>
          <w:color w:val="auto"/>
          <w:sz w:val="24"/>
          <w:szCs w:val="24"/>
          <w:lang w:val="en-US"/>
        </w:rPr>
        <w:t xml:space="preserve">; </w:t>
      </w:r>
      <w:r>
        <w:rPr>
          <w:rFonts w:hint="eastAsia" w:ascii="Times New Roman Regular" w:hAnsi="Times New Roman Regular" w:eastAsia="宋体" w:cs="Times New Roman Regular"/>
          <w:color w:val="auto"/>
          <w:sz w:val="24"/>
          <w:szCs w:val="24"/>
        </w:rPr>
        <w:t>self-supporting care</w:t>
      </w:r>
    </w:p>
    <w:p w14:paraId="4E555EC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hint="default" w:ascii="Times New Roman Bold" w:hAnsi="Times New Roman Bold" w:cs="Times New Roman Bold"/>
          <w:b/>
          <w:bCs/>
          <w:color w:val="auto"/>
          <w:sz w:val="24"/>
          <w:szCs w:val="24"/>
          <w:lang w:val="en-US" w:eastAsia="zh-CN"/>
        </w:rPr>
      </w:pPr>
      <w:r>
        <w:rPr>
          <w:rFonts w:hint="default" w:ascii="Times New Roman Bold" w:hAnsi="Times New Roman Bold" w:cs="Times New Roman Bold"/>
          <w:b/>
          <w:bCs/>
          <w:color w:val="auto"/>
          <w:sz w:val="24"/>
          <w:szCs w:val="24"/>
          <w:lang w:val="en-US" w:eastAsia="zh-CN"/>
        </w:rPr>
        <w:t>I</w:t>
      </w:r>
      <w:r>
        <w:rPr>
          <w:rFonts w:hint="eastAsia" w:ascii="Times New Roman Bold" w:hAnsi="Times New Roman Bold" w:cs="Times New Roman Bold"/>
          <w:b/>
          <w:bCs/>
          <w:color w:val="auto"/>
          <w:sz w:val="24"/>
          <w:szCs w:val="24"/>
          <w:lang w:val="en-US" w:eastAsia="zh-CN"/>
        </w:rPr>
        <w:t>introduction</w:t>
      </w:r>
    </w:p>
    <w:p w14:paraId="228A3537">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textAlignment w:val="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According to the World Health Organization, the proportion of the global older population is continuously increasing and is expected to reach 1.4 billion by 2030, accounting for one sixth of the world’s total population. By 2050, the number of older adults is projected to double to 2.1 billion </w:t>
      </w:r>
      <w:r>
        <w:rPr>
          <w:rFonts w:hint="default" w:ascii="Times New Roman Regular" w:hAnsi="Times New Roman Regular" w:cs="Times New Roman Regular"/>
          <w:sz w:val="24"/>
          <w:szCs w:val="24"/>
          <w:vertAlign w:val="superscript"/>
        </w:rPr>
        <w:t>[1]</w:t>
      </w:r>
      <w:r>
        <w:rPr>
          <w:rFonts w:hint="default" w:ascii="Times New Roman Regular" w:hAnsi="Times New Roman Regular" w:cs="Times New Roman Regular"/>
          <w:sz w:val="24"/>
          <w:szCs w:val="24"/>
        </w:rPr>
        <w:t xml:space="preserve">. The rapid population aging trend has made health-related issues among older adults increasingly prominent. Maintaining physical function in older adults and reducing the </w:t>
      </w:r>
      <w:r>
        <w:rPr>
          <w:rFonts w:hint="eastAsia" w:ascii="Times New Roman Regular" w:hAnsi="Times New Roman Regular" w:cs="Times New Roman Regular"/>
          <w:sz w:val="24"/>
          <w:szCs w:val="24"/>
          <w:lang w:eastAsia="zh-CN"/>
        </w:rPr>
        <w:t>care-giving</w:t>
      </w:r>
      <w:r>
        <w:rPr>
          <w:rFonts w:hint="default" w:ascii="Times New Roman Regular" w:hAnsi="Times New Roman Regular" w:cs="Times New Roman Regular"/>
          <w:sz w:val="24"/>
          <w:szCs w:val="24"/>
        </w:rPr>
        <w:t xml:space="preserve"> burden on families and society have become key research priorities in the field of healthy aging </w:t>
      </w:r>
      <w:r>
        <w:rPr>
          <w:rFonts w:hint="default" w:ascii="Times New Roman Regular" w:hAnsi="Times New Roman Regular" w:cs="Times New Roman Regular"/>
          <w:sz w:val="24"/>
          <w:szCs w:val="24"/>
          <w:vertAlign w:val="superscript"/>
        </w:rPr>
        <w:t>[2]</w:t>
      </w:r>
      <w:r>
        <w:rPr>
          <w:rFonts w:hint="default" w:ascii="Times New Roman Regular" w:hAnsi="Times New Roman Regular" w:cs="Times New Roman Regular"/>
          <w:sz w:val="24"/>
          <w:szCs w:val="24"/>
        </w:rPr>
        <w:t>.</w:t>
      </w:r>
    </w:p>
    <w:p w14:paraId="2C45CA85">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Reablement is a person-centred and holistic care approach that aims to enhance individuals’ physical and psychological functioning, maintain or improve independence in activities of daily living (ADL), and reduce the need for long-term care </w:t>
      </w:r>
      <w:r>
        <w:rPr>
          <w:rFonts w:hint="default" w:ascii="Times New Roman Regular" w:hAnsi="Times New Roman Regular" w:cs="Times New Roman Regular"/>
          <w:sz w:val="24"/>
          <w:szCs w:val="24"/>
          <w:vertAlign w:val="superscript"/>
        </w:rPr>
        <w:t>[3]</w:t>
      </w:r>
      <w:r>
        <w:rPr>
          <w:rFonts w:hint="default" w:ascii="Times New Roman Regular" w:hAnsi="Times New Roman Regular" w:cs="Times New Roman Regular"/>
          <w:sz w:val="24"/>
          <w:szCs w:val="24"/>
        </w:rPr>
        <w:t>. In different countries, reablement is also referred to as function-focused care (FFC), restorative care, and self-supporting care. Although the terminology varies, these approaches share similar core principles, focusing on identifying individuals’ potential abilities, encouraging self-care practices, and improving independence in daily living. Therefore, in this study, these care approaches are collectively referred to as reablement.</w:t>
      </w:r>
    </w:p>
    <w:p w14:paraId="75815CC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left"/>
        <w:textAlignment w:val="auto"/>
        <w:rPr>
          <w:rFonts w:hint="default" w:ascii="Times New Roman Regular" w:hAnsi="Times New Roman Regular" w:eastAsia="宋体" w:cs="Times New Roman Regular"/>
          <w:kern w:val="0"/>
          <w:sz w:val="24"/>
          <w:szCs w:val="24"/>
          <w:lang w:val="en-US" w:eastAsia="zh-CN" w:bidi="ar"/>
        </w:rPr>
      </w:pPr>
      <w:r>
        <w:rPr>
          <w:rFonts w:hint="default" w:ascii="Times New Roman Regular" w:hAnsi="Times New Roman Regular" w:eastAsia="宋体" w:cs="Times New Roman Regular"/>
          <w:kern w:val="0"/>
          <w:sz w:val="24"/>
          <w:szCs w:val="24"/>
          <w:lang w:val="en-US" w:eastAsia="zh-CN" w:bidi="ar"/>
        </w:rPr>
        <w:t>At present, reablement has been widely implemented in countries such as the United States</w:t>
      </w:r>
      <w:r>
        <w:rPr>
          <w:rFonts w:hint="eastAsia" w:ascii="Times New Roman Regular" w:hAnsi="Times New Roman Regular" w:eastAsia="宋体" w:cs="Times New Roman Regular"/>
          <w:kern w:val="0"/>
          <w:sz w:val="24"/>
          <w:szCs w:val="24"/>
          <w:lang w:val="en-US" w:eastAsia="zh-CN" w:bidi="ar"/>
        </w:rPr>
        <w:t xml:space="preserve"> </w:t>
      </w:r>
      <w:r>
        <w:rPr>
          <w:rFonts w:hint="default" w:ascii="Times New Roman Regular" w:hAnsi="Times New Roman Regular" w:eastAsia="宋体" w:cs="Times New Roman Regular"/>
          <w:kern w:val="0"/>
          <w:sz w:val="24"/>
          <w:szCs w:val="24"/>
          <w:vertAlign w:val="superscript"/>
          <w:lang w:val="en-US" w:eastAsia="zh-CN" w:bidi="ar"/>
        </w:rPr>
        <w:t>[4]</w:t>
      </w:r>
      <w:r>
        <w:rPr>
          <w:rFonts w:hint="default" w:ascii="Times New Roman Regular" w:hAnsi="Times New Roman Regular" w:eastAsia="宋体" w:cs="Times New Roman Regular"/>
          <w:kern w:val="0"/>
          <w:sz w:val="24"/>
          <w:szCs w:val="24"/>
          <w:lang w:val="en-US" w:eastAsia="zh-CN" w:bidi="ar"/>
        </w:rPr>
        <w:t>, the United Kingdom</w:t>
      </w:r>
      <w:r>
        <w:rPr>
          <w:rFonts w:hint="eastAsia" w:ascii="Times New Roman Regular" w:hAnsi="Times New Roman Regular" w:eastAsia="宋体" w:cs="Times New Roman Regular"/>
          <w:kern w:val="0"/>
          <w:sz w:val="24"/>
          <w:szCs w:val="24"/>
          <w:lang w:val="en-US" w:eastAsia="zh-CN" w:bidi="ar"/>
        </w:rPr>
        <w:t xml:space="preserve"> </w:t>
      </w:r>
      <w:r>
        <w:rPr>
          <w:rFonts w:hint="default" w:ascii="Times New Roman Regular" w:hAnsi="Times New Roman Regular" w:eastAsia="宋体" w:cs="Times New Roman Regular"/>
          <w:kern w:val="0"/>
          <w:sz w:val="24"/>
          <w:szCs w:val="24"/>
          <w:vertAlign w:val="superscript"/>
          <w:lang w:val="en-US" w:eastAsia="zh-CN" w:bidi="ar"/>
        </w:rPr>
        <w:t>[5]</w:t>
      </w:r>
      <w:r>
        <w:rPr>
          <w:rFonts w:hint="default" w:ascii="Times New Roman Regular" w:hAnsi="Times New Roman Regular" w:eastAsia="宋体" w:cs="Times New Roman Regular"/>
          <w:kern w:val="0"/>
          <w:sz w:val="24"/>
          <w:szCs w:val="24"/>
          <w:lang w:val="en-US" w:eastAsia="zh-CN" w:bidi="ar"/>
        </w:rPr>
        <w:t>, Japan</w:t>
      </w:r>
      <w:r>
        <w:rPr>
          <w:rFonts w:hint="eastAsia" w:ascii="Times New Roman Regular" w:hAnsi="Times New Roman Regular" w:eastAsia="宋体" w:cs="Times New Roman Regular"/>
          <w:kern w:val="0"/>
          <w:sz w:val="24"/>
          <w:szCs w:val="24"/>
          <w:lang w:val="en-US" w:eastAsia="zh-CN" w:bidi="ar"/>
        </w:rPr>
        <w:t xml:space="preserve"> </w:t>
      </w:r>
      <w:r>
        <w:rPr>
          <w:rFonts w:hint="default" w:ascii="Times New Roman Regular" w:hAnsi="Times New Roman Regular" w:eastAsia="宋体" w:cs="Times New Roman Regular"/>
          <w:kern w:val="0"/>
          <w:sz w:val="24"/>
          <w:szCs w:val="24"/>
          <w:vertAlign w:val="superscript"/>
          <w:lang w:val="en-US" w:eastAsia="zh-CN" w:bidi="ar"/>
        </w:rPr>
        <w:t>[6]</w:t>
      </w:r>
      <w:r>
        <w:rPr>
          <w:rFonts w:hint="default" w:ascii="Times New Roman Regular" w:hAnsi="Times New Roman Regular" w:eastAsia="宋体" w:cs="Times New Roman Regular"/>
          <w:kern w:val="0"/>
          <w:sz w:val="24"/>
          <w:szCs w:val="24"/>
          <w:lang w:val="en-US" w:eastAsia="zh-CN" w:bidi="ar"/>
        </w:rPr>
        <w:t>, South Korea</w:t>
      </w:r>
      <w:r>
        <w:rPr>
          <w:rFonts w:hint="eastAsia" w:ascii="Times New Roman Regular" w:hAnsi="Times New Roman Regular" w:eastAsia="宋体" w:cs="Times New Roman Regular"/>
          <w:kern w:val="0"/>
          <w:sz w:val="24"/>
          <w:szCs w:val="24"/>
          <w:lang w:val="en-US" w:eastAsia="zh-CN" w:bidi="ar"/>
        </w:rPr>
        <w:t xml:space="preserve"> </w:t>
      </w:r>
      <w:r>
        <w:rPr>
          <w:rFonts w:hint="default" w:ascii="Times New Roman Regular" w:hAnsi="Times New Roman Regular" w:eastAsia="宋体" w:cs="Times New Roman Regular"/>
          <w:kern w:val="0"/>
          <w:sz w:val="24"/>
          <w:szCs w:val="24"/>
          <w:vertAlign w:val="superscript"/>
          <w:lang w:val="en-US" w:eastAsia="zh-CN" w:bidi="ar"/>
        </w:rPr>
        <w:t>[7]</w:t>
      </w:r>
      <w:r>
        <w:rPr>
          <w:rFonts w:hint="default" w:ascii="Times New Roman Regular" w:hAnsi="Times New Roman Regular" w:eastAsia="宋体" w:cs="Times New Roman Regular"/>
          <w:kern w:val="0"/>
          <w:sz w:val="24"/>
          <w:szCs w:val="24"/>
          <w:lang w:val="en-US" w:eastAsia="zh-CN" w:bidi="ar"/>
        </w:rPr>
        <w:t>, the Netherlands</w:t>
      </w:r>
      <w:r>
        <w:rPr>
          <w:rFonts w:hint="eastAsia" w:ascii="Times New Roman Regular" w:hAnsi="Times New Roman Regular" w:eastAsia="宋体" w:cs="Times New Roman Regular"/>
          <w:kern w:val="0"/>
          <w:sz w:val="24"/>
          <w:szCs w:val="24"/>
          <w:lang w:val="en-US" w:eastAsia="zh-CN" w:bidi="ar"/>
        </w:rPr>
        <w:t xml:space="preserve"> </w:t>
      </w:r>
      <w:r>
        <w:rPr>
          <w:rFonts w:hint="default" w:ascii="Times New Roman Regular" w:hAnsi="Times New Roman Regular" w:eastAsia="宋体" w:cs="Times New Roman Regular"/>
          <w:kern w:val="0"/>
          <w:sz w:val="24"/>
          <w:szCs w:val="24"/>
          <w:vertAlign w:val="superscript"/>
          <w:lang w:val="en-US" w:eastAsia="zh-CN" w:bidi="ar"/>
        </w:rPr>
        <w:t>[8]</w:t>
      </w:r>
      <w:r>
        <w:rPr>
          <w:rFonts w:hint="default" w:ascii="Times New Roman Regular" w:hAnsi="Times New Roman Regular" w:eastAsia="宋体" w:cs="Times New Roman Regular"/>
          <w:kern w:val="0"/>
          <w:sz w:val="24"/>
          <w:szCs w:val="24"/>
          <w:lang w:val="en-US" w:eastAsia="zh-CN" w:bidi="ar"/>
        </w:rPr>
        <w:t>, and Australia</w:t>
      </w:r>
      <w:r>
        <w:rPr>
          <w:rFonts w:hint="eastAsia" w:ascii="Times New Roman Regular" w:hAnsi="Times New Roman Regular" w:eastAsia="宋体" w:cs="Times New Roman Regular"/>
          <w:kern w:val="0"/>
          <w:sz w:val="24"/>
          <w:szCs w:val="24"/>
          <w:lang w:val="en-US" w:eastAsia="zh-CN" w:bidi="ar"/>
        </w:rPr>
        <w:t xml:space="preserve"> </w:t>
      </w:r>
      <w:r>
        <w:rPr>
          <w:rFonts w:hint="default" w:ascii="Times New Roman Regular" w:hAnsi="Times New Roman Regular" w:eastAsia="宋体" w:cs="Times New Roman Regular"/>
          <w:kern w:val="0"/>
          <w:sz w:val="24"/>
          <w:szCs w:val="24"/>
          <w:vertAlign w:val="superscript"/>
          <w:lang w:val="en-US" w:eastAsia="zh-CN" w:bidi="ar"/>
        </w:rPr>
        <w:t>[9]</w:t>
      </w:r>
      <w:r>
        <w:rPr>
          <w:rFonts w:hint="default" w:ascii="Times New Roman Regular" w:hAnsi="Times New Roman Regular" w:eastAsia="宋体" w:cs="Times New Roman Regular"/>
          <w:kern w:val="0"/>
          <w:sz w:val="24"/>
          <w:szCs w:val="24"/>
          <w:lang w:val="en-US" w:eastAsia="zh-CN" w:bidi="ar"/>
        </w:rPr>
        <w:t>. Evidence suggests that reablement can effectively improve depression, cognitive function, social participation, grip strength, ADL performance, and quality of life among service recipients</w:t>
      </w:r>
      <w:r>
        <w:rPr>
          <w:rFonts w:hint="eastAsia" w:ascii="Times New Roman Regular" w:hAnsi="Times New Roman Regular" w:cs="Times New Roman Regular"/>
          <w:kern w:val="0"/>
          <w:sz w:val="24"/>
          <w:szCs w:val="24"/>
          <w:lang w:val="en-US" w:eastAsia="zh-CN" w:bidi="ar"/>
        </w:rPr>
        <w:t xml:space="preserve"> </w:t>
      </w:r>
      <w:r>
        <w:rPr>
          <w:rFonts w:hint="default" w:ascii="Times New Roman Regular" w:hAnsi="Times New Roman Regular" w:eastAsia="宋体" w:cs="Times New Roman Regular"/>
          <w:kern w:val="0"/>
          <w:sz w:val="24"/>
          <w:szCs w:val="24"/>
          <w:vertAlign w:val="superscript"/>
          <w:lang w:val="en-US" w:eastAsia="zh-CN" w:bidi="ar"/>
        </w:rPr>
        <w:t>[10–12]</w:t>
      </w:r>
      <w:r>
        <w:rPr>
          <w:rFonts w:hint="default" w:ascii="Times New Roman Regular" w:hAnsi="Times New Roman Regular" w:eastAsia="宋体" w:cs="Times New Roman Regular"/>
          <w:kern w:val="0"/>
          <w:sz w:val="24"/>
          <w:szCs w:val="24"/>
          <w:lang w:val="en-US" w:eastAsia="zh-CN" w:bidi="ar"/>
        </w:rPr>
        <w:t xml:space="preserve">. These benefits not only enhance individuals’ independence in daily living but also alleviate caregiving burdens on families and society. </w:t>
      </w:r>
    </w:p>
    <w:p w14:paraId="3DE632E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left"/>
        <w:textAlignment w:val="auto"/>
        <w:rPr>
          <w:rFonts w:hint="default" w:ascii="Times New Roman Regular" w:hAnsi="Times New Roman Regular" w:cs="Times New Roman Regular"/>
          <w:sz w:val="24"/>
          <w:szCs w:val="24"/>
        </w:rPr>
      </w:pPr>
      <w:r>
        <w:rPr>
          <w:rFonts w:hint="default" w:ascii="Times New Roman Regular" w:hAnsi="Times New Roman Regular" w:eastAsia="宋体" w:cs="Times New Roman Regular"/>
          <w:kern w:val="0"/>
          <w:sz w:val="24"/>
          <w:szCs w:val="24"/>
          <w:lang w:val="en-US" w:eastAsia="zh-CN" w:bidi="ar"/>
        </w:rPr>
        <w:t>Bibliometric analysis is a commonly used method for evaluating the quantity and quality of academic literature and can help rapidly identify research hotspots and development trends within a field. Although reablement research has attracted increasing attention from scholars, no bibliometric analysis has yet systematically examined the literature in this field. Therefore, this study adopts bibliometric methods to retrieve, organize, and visually analyze English-language literature related to reablement, with the aim of exploring the current research status, hotspots, and development trends of reablement and providing references for future research in this area.</w:t>
      </w:r>
    </w:p>
    <w:p w14:paraId="2935108F">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Bold" w:hAnsi="Times New Roman Bold" w:cs="Times New Roman Bold"/>
          <w:b/>
          <w:bCs w:val="0"/>
          <w:color w:val="auto"/>
          <w:sz w:val="30"/>
          <w:szCs w:val="30"/>
          <w:lang w:val="en-US" w:eastAsia="zh-CN"/>
        </w:rPr>
      </w:pPr>
      <w:r>
        <w:rPr>
          <w:rFonts w:hint="default" w:ascii="Times New Roman Bold" w:hAnsi="Times New Roman Bold" w:cs="Times New Roman Bold"/>
          <w:b/>
          <w:bCs w:val="0"/>
          <w:color w:val="auto"/>
          <w:sz w:val="30"/>
          <w:szCs w:val="30"/>
          <w:lang w:val="en-US" w:eastAsia="zh-CN"/>
        </w:rPr>
        <w:t>Method</w:t>
      </w:r>
      <w:r>
        <w:rPr>
          <w:rFonts w:hint="eastAsia" w:ascii="Times New Roman Bold" w:hAnsi="Times New Roman Bold" w:cs="Times New Roman Bold"/>
          <w:b/>
          <w:bCs w:val="0"/>
          <w:color w:val="auto"/>
          <w:sz w:val="30"/>
          <w:szCs w:val="30"/>
          <w:lang w:val="en-US" w:eastAsia="zh-CN"/>
        </w:rPr>
        <w:t>s</w:t>
      </w:r>
    </w:p>
    <w:p w14:paraId="2750C36D">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Bold" w:hAnsi="Times New Roman Bold" w:cs="Times New Roman Bold"/>
          <w:b/>
          <w:bCs/>
          <w:i/>
          <w:iCs/>
          <w:color w:val="auto"/>
          <w:sz w:val="24"/>
          <w:szCs w:val="24"/>
          <w:lang w:val="en-US" w:eastAsia="zh-CN" w:bidi="ar"/>
        </w:rPr>
      </w:pPr>
      <w:r>
        <w:rPr>
          <w:rFonts w:hint="default" w:ascii="Times New Roman Bold" w:hAnsi="Times New Roman Bold" w:cs="Times New Roman Bold"/>
          <w:b/>
          <w:bCs/>
          <w:i/>
          <w:iCs/>
          <w:color w:val="auto"/>
          <w:sz w:val="24"/>
          <w:szCs w:val="24"/>
          <w:lang w:val="en-US" w:eastAsia="zh-CN" w:bidi="ar"/>
        </w:rPr>
        <w:t>Data collection</w:t>
      </w:r>
    </w:p>
    <w:p w14:paraId="50AF8C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Regular" w:hAnsi="Times New Roman Regular" w:cs="Times New Roman Regular"/>
          <w:color w:val="auto"/>
          <w:kern w:val="0"/>
          <w:sz w:val="24"/>
          <w:szCs w:val="24"/>
          <w:highlight w:val="none"/>
          <w:lang w:val="en-US" w:eastAsia="zh-CN" w:bidi="ar"/>
        </w:rPr>
      </w:pPr>
      <w:r>
        <w:rPr>
          <w:rFonts w:hint="default" w:ascii="Times New Roman Regular" w:hAnsi="Times New Roman Regular" w:cs="Times New Roman Regular"/>
          <w:color w:val="auto"/>
          <w:kern w:val="0"/>
          <w:sz w:val="24"/>
          <w:szCs w:val="24"/>
          <w:highlight w:val="none"/>
          <w:lang w:val="en-US" w:eastAsia="zh-CN" w:bidi="ar"/>
        </w:rPr>
        <w:t xml:space="preserve">The Web of Science Core Collection (WoSCC) was used as the data source in this study. </w:t>
      </w:r>
      <w:r>
        <w:rPr>
          <w:rFonts w:hint="default" w:ascii="Times New Roman Regular" w:hAnsi="Times New Roman Regular" w:eastAsia="宋体" w:cs="Times New Roman Regular"/>
          <w:color w:val="auto"/>
          <w:kern w:val="2"/>
          <w:sz w:val="24"/>
          <w:szCs w:val="24"/>
          <w:highlight w:val="none"/>
          <w:lang w:val="en-US" w:eastAsia="zh-CN" w:bidi="ar"/>
        </w:rPr>
        <w:t>WoSCC is the oldest, most widely used and authoritative database in the world, providing professional raw data to bibliometric partners.</w:t>
      </w:r>
      <w:r>
        <w:rPr>
          <w:rFonts w:hint="eastAsia" w:ascii="Times New Roman Regular" w:hAnsi="Times New Roman Regular" w:cs="Times New Roman Regular"/>
          <w:color w:val="auto"/>
          <w:kern w:val="0"/>
          <w:sz w:val="24"/>
          <w:szCs w:val="24"/>
          <w:highlight w:val="none"/>
          <w:lang w:val="en-US" w:eastAsia="zh-CN" w:bidi="ar"/>
        </w:rPr>
        <w:t xml:space="preserve"> </w:t>
      </w:r>
      <w:r>
        <w:rPr>
          <w:rFonts w:hint="default" w:ascii="Times New Roman Regular" w:hAnsi="Times New Roman Regular" w:cs="Times New Roman Regular"/>
          <w:color w:val="auto"/>
          <w:kern w:val="0"/>
          <w:sz w:val="24"/>
          <w:szCs w:val="24"/>
          <w:highlight w:val="none"/>
          <w:lang w:val="en-US" w:eastAsia="zh-CN" w:bidi="ar"/>
        </w:rPr>
        <w:t>A topic search strategy was applied as follows:</w:t>
      </w:r>
      <w:r>
        <w:rPr>
          <w:rFonts w:hint="eastAsia" w:ascii="Times New Roman Regular" w:hAnsi="Times New Roman Regular" w:cs="Times New Roman Regular"/>
          <w:color w:val="auto"/>
          <w:kern w:val="0"/>
          <w:sz w:val="24"/>
          <w:szCs w:val="24"/>
          <w:highlight w:val="none"/>
          <w:lang w:val="en-US" w:eastAsia="zh-CN" w:bidi="ar"/>
        </w:rPr>
        <w:t xml:space="preserve"> </w:t>
      </w:r>
      <w:r>
        <w:rPr>
          <w:rFonts w:hint="default" w:ascii="Times New Roman Regular" w:hAnsi="Times New Roman Regular" w:cs="Times New Roman Regular"/>
          <w:color w:val="auto"/>
          <w:kern w:val="0"/>
          <w:sz w:val="24"/>
          <w:szCs w:val="24"/>
          <w:highlight w:val="none"/>
          <w:lang w:val="en-US" w:eastAsia="zh-CN" w:bidi="ar"/>
        </w:rPr>
        <w:t>TS (reablement) OR TS (re-ablement) OR TS (“restorative care”) OR TS (“restorative home care”) OR TS (“function-focus*”) OR TS (“reactivation care”) OR TS (“self-support*”). As the first publication related to reablement was published in 1999</w:t>
      </w:r>
      <w:r>
        <w:rPr>
          <w:rFonts w:hint="eastAsia" w:ascii="Times New Roman Regular" w:hAnsi="Times New Roman Regular" w:cs="Times New Roman Regular"/>
          <w:color w:val="auto"/>
          <w:kern w:val="0"/>
          <w:sz w:val="24"/>
          <w:szCs w:val="24"/>
          <w:highlight w:val="none"/>
          <w:lang w:val="en-US" w:eastAsia="zh-CN" w:bidi="ar"/>
        </w:rPr>
        <w:t xml:space="preserve"> </w:t>
      </w:r>
      <w:r>
        <w:rPr>
          <w:rFonts w:hint="default" w:ascii="Times New Roman Regular" w:hAnsi="Times New Roman Regular" w:cs="Times New Roman Regular"/>
          <w:color w:val="auto"/>
          <w:kern w:val="0"/>
          <w:sz w:val="24"/>
          <w:szCs w:val="24"/>
          <w:highlight w:val="none"/>
          <w:vertAlign w:val="superscript"/>
          <w:lang w:val="en-US" w:eastAsia="zh-CN" w:bidi="ar"/>
        </w:rPr>
        <w:t>[13]</w:t>
      </w:r>
      <w:r>
        <w:rPr>
          <w:rFonts w:hint="default" w:ascii="Times New Roman Regular" w:hAnsi="Times New Roman Regular" w:cs="Times New Roman Regular"/>
          <w:color w:val="auto"/>
          <w:kern w:val="0"/>
          <w:sz w:val="24"/>
          <w:szCs w:val="24"/>
          <w:highlight w:val="none"/>
          <w:lang w:val="en-US" w:eastAsia="zh-CN" w:bidi="ar"/>
        </w:rPr>
        <w:t>, the search period was set from January 1, 1999 to October 24, 2025. “TS” indicates topic search, which includes the title, abstract, and keywords of publications.</w:t>
      </w:r>
    </w:p>
    <w:p w14:paraId="4500798F">
      <w:pPr>
        <w:keepNext w:val="0"/>
        <w:keepLines w:val="0"/>
        <w:pageBreakBefore w:val="0"/>
        <w:widowControl w:val="0"/>
        <w:suppressLineNumbers w:val="0"/>
        <w:kinsoku/>
        <w:wordWrap/>
        <w:overflowPunct/>
        <w:topLinePunct w:val="0"/>
        <w:autoSpaceDE/>
        <w:autoSpaceDN/>
        <w:bidi w:val="0"/>
        <w:adjustRightInd/>
        <w:snapToGrid/>
        <w:spacing w:line="240" w:lineRule="auto"/>
        <w:ind w:firstLine="0" w:firstLineChars="0"/>
        <w:jc w:val="left"/>
        <w:textAlignment w:val="auto"/>
        <w:outlineLvl w:val="9"/>
        <w:rPr>
          <w:rFonts w:hint="default" w:ascii="Times New Roman Bold" w:hAnsi="Times New Roman Bold" w:cs="Times New Roman Bold"/>
          <w:b/>
          <w:bCs/>
          <w:i/>
          <w:iCs/>
          <w:color w:val="auto"/>
          <w:kern w:val="2"/>
          <w:sz w:val="24"/>
          <w:szCs w:val="24"/>
          <w:highlight w:val="none"/>
          <w:lang w:val="en-US" w:eastAsia="zh-CN" w:bidi="ar"/>
        </w:rPr>
      </w:pPr>
      <w:r>
        <w:rPr>
          <w:rFonts w:hint="default" w:ascii="Times New Roman Bold" w:hAnsi="Times New Roman Bold" w:cs="Times New Roman Bold"/>
          <w:b/>
          <w:bCs/>
          <w:i/>
          <w:iCs/>
          <w:color w:val="auto"/>
          <w:kern w:val="2"/>
          <w:sz w:val="24"/>
          <w:szCs w:val="24"/>
          <w:highlight w:val="none"/>
          <w:lang w:val="en-US" w:eastAsia="zh-CN" w:bidi="ar"/>
        </w:rPr>
        <w:t>Literature screening</w:t>
      </w:r>
    </w:p>
    <w:p w14:paraId="6850F2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The inclusion criteria </w:t>
      </w:r>
      <w:r>
        <w:rPr>
          <w:rFonts w:hint="eastAsia" w:ascii="Times New Roman Regular" w:hAnsi="Times New Roman Regular" w:cs="Times New Roman Regular"/>
          <w:sz w:val="24"/>
          <w:szCs w:val="24"/>
          <w:lang w:val="en-US" w:eastAsia="zh-CN"/>
        </w:rPr>
        <w:t xml:space="preserve">for this study </w:t>
      </w:r>
      <w:r>
        <w:rPr>
          <w:rFonts w:hint="default" w:ascii="Times New Roman Regular" w:hAnsi="Times New Roman Regular" w:cs="Times New Roman Regular"/>
          <w:sz w:val="24"/>
          <w:szCs w:val="24"/>
        </w:rPr>
        <w:t>were as follows</w:t>
      </w:r>
      <w:r>
        <w:rPr>
          <w:rFonts w:hint="default" w:ascii="Times New Roman Regular" w:hAnsi="Times New Roman Regular" w:cs="Times New Roman Regular"/>
          <w:sz w:val="24"/>
          <w:szCs w:val="24"/>
          <w:lang w:val="en-US"/>
        </w:rPr>
        <w:t>:</w:t>
      </w:r>
      <w:r>
        <w:rPr>
          <w:rFonts w:hint="default" w:ascii="Times New Roman Regular" w:hAnsi="Times New Roman Regular" w:cs="Times New Roman Regular"/>
          <w:sz w:val="24"/>
          <w:szCs w:val="24"/>
        </w:rPr>
        <w:t xml:space="preserve"> (1) research topic focused on reablement</w:t>
      </w:r>
      <w:r>
        <w:rPr>
          <w:rFonts w:hint="default" w:ascii="Times New Roman Regular" w:hAnsi="Times New Roman Regular" w:cs="Times New Roman Regular"/>
          <w:sz w:val="24"/>
          <w:szCs w:val="24"/>
          <w:lang w:val="en-US"/>
        </w:rPr>
        <w:t>;</w:t>
      </w:r>
      <w:r>
        <w:rPr>
          <w:rFonts w:hint="eastAsia" w:ascii="Times New Roman Regular" w:hAnsi="Times New Roman Regular" w:cs="Times New Roman Regular"/>
          <w:sz w:val="24"/>
          <w:szCs w:val="24"/>
          <w:lang w:val="en-US" w:eastAsia="zh-CN"/>
        </w:rPr>
        <w:t xml:space="preserve"> </w:t>
      </w:r>
      <w:r>
        <w:rPr>
          <w:rFonts w:hint="default" w:ascii="Times New Roman Regular" w:hAnsi="Times New Roman Regular" w:cs="Times New Roman Regular"/>
          <w:sz w:val="24"/>
          <w:szCs w:val="24"/>
        </w:rPr>
        <w:t>(2) publication types included original research articles and reviews.</w:t>
      </w:r>
      <w:r>
        <w:rPr>
          <w:rFonts w:hint="eastAsia" w:ascii="Times New Roman Regular" w:hAnsi="Times New Roman Regular" w:cs="Times New Roman Regular"/>
          <w:sz w:val="24"/>
          <w:szCs w:val="24"/>
          <w:lang w:val="en-US" w:eastAsia="zh-CN"/>
        </w:rPr>
        <w:t xml:space="preserve"> </w:t>
      </w:r>
      <w:r>
        <w:rPr>
          <w:rFonts w:hint="default" w:ascii="Times New Roman Regular" w:hAnsi="Times New Roman Regular" w:cs="Times New Roman Regular"/>
          <w:sz w:val="24"/>
          <w:szCs w:val="24"/>
        </w:rPr>
        <w:t>The exclusion criteria were</w:t>
      </w:r>
      <w:r>
        <w:rPr>
          <w:rFonts w:hint="default" w:ascii="Times New Roman Regular" w:hAnsi="Times New Roman Regular" w:cs="Times New Roman Regular"/>
          <w:sz w:val="24"/>
          <w:szCs w:val="24"/>
          <w:lang w:val="en-US"/>
        </w:rPr>
        <w:t>:</w:t>
      </w:r>
      <w:r>
        <w:rPr>
          <w:rFonts w:hint="default" w:ascii="Times New Roman Regular" w:hAnsi="Times New Roman Regular" w:cs="Times New Roman Regular"/>
          <w:sz w:val="24"/>
          <w:szCs w:val="24"/>
        </w:rPr>
        <w:t xml:space="preserve"> (1) conference abstracts, commentaries, and</w:t>
      </w:r>
      <w:r>
        <w:rPr>
          <w:rFonts w:hint="eastAsia" w:ascii="Times New Roman Regular" w:hAnsi="Times New Roman Regular" w:cs="Times New Roman Regular"/>
          <w:sz w:val="24"/>
          <w:szCs w:val="24"/>
          <w:lang w:val="en-US" w:eastAsia="zh-CN"/>
        </w:rPr>
        <w:t xml:space="preserve"> </w:t>
      </w:r>
      <w:r>
        <w:rPr>
          <w:rFonts w:hint="default" w:ascii="Times New Roman Regular" w:hAnsi="Times New Roman Regular" w:cs="Times New Roman Regular"/>
          <w:sz w:val="24"/>
          <w:szCs w:val="24"/>
        </w:rPr>
        <w:t>news reports</w:t>
      </w:r>
      <w:r>
        <w:rPr>
          <w:rFonts w:hint="default" w:ascii="Times New Roman Regular" w:hAnsi="Times New Roman Regular" w:cs="Times New Roman Regular"/>
          <w:sz w:val="24"/>
          <w:szCs w:val="24"/>
          <w:lang w:val="en-US"/>
        </w:rPr>
        <w:t>;</w:t>
      </w:r>
      <w:r>
        <w:rPr>
          <w:rFonts w:hint="default" w:ascii="Times New Roman Regular" w:hAnsi="Times New Roman Regular" w:cs="Times New Roman Regular"/>
          <w:sz w:val="24"/>
          <w:szCs w:val="24"/>
        </w:rPr>
        <w:t xml:space="preserve"> (2) non-English publications</w:t>
      </w:r>
      <w:r>
        <w:rPr>
          <w:rFonts w:hint="default" w:ascii="Times New Roman Regular" w:hAnsi="Times New Roman Regular" w:cs="Times New Roman Regular"/>
          <w:sz w:val="24"/>
          <w:szCs w:val="24"/>
          <w:lang w:val="en-US"/>
        </w:rPr>
        <w:t>;</w:t>
      </w:r>
      <w:r>
        <w:rPr>
          <w:rFonts w:hint="default" w:ascii="Times New Roman Regular" w:hAnsi="Times New Roman Regular" w:cs="Times New Roman Regular"/>
          <w:sz w:val="24"/>
          <w:szCs w:val="24"/>
        </w:rPr>
        <w:t xml:space="preserve"> (3) articles with unavailable full texts.</w:t>
      </w:r>
      <w:r>
        <w:rPr>
          <w:rFonts w:hint="eastAsia" w:ascii="Times New Roman Regular" w:hAnsi="Times New Roman Regular" w:cs="Times New Roman Regular"/>
          <w:sz w:val="24"/>
          <w:szCs w:val="24"/>
          <w:lang w:val="en-US" w:eastAsia="zh-CN"/>
        </w:rPr>
        <w:t xml:space="preserve"> </w:t>
      </w:r>
      <w:r>
        <w:rPr>
          <w:rFonts w:hint="default" w:ascii="Times New Roman Regular" w:hAnsi="Times New Roman Regular" w:cs="Times New Roman Regular"/>
          <w:sz w:val="24"/>
          <w:szCs w:val="24"/>
        </w:rPr>
        <w:t>The processes of literature inclusion and exclusion were independently conducted by two researchers through reading titles and abstracts. Any disagreements were resolved through discussion with a third researcher. A total of 10,872 English-language publications were initially retrieved</w:t>
      </w:r>
      <w:r>
        <w:rPr>
          <w:rFonts w:hint="default" w:ascii="Times New Roman Regular" w:hAnsi="Times New Roman Regular" w:cs="Times New Roman Regular"/>
          <w:sz w:val="24"/>
          <w:szCs w:val="24"/>
          <w:lang w:val="en-US"/>
        </w:rPr>
        <w:t>.</w:t>
      </w:r>
      <w:r>
        <w:rPr>
          <w:rFonts w:hint="default" w:ascii="Times New Roman Regular" w:hAnsi="Times New Roman Regular" w:cs="Times New Roman Regular"/>
          <w:sz w:val="24"/>
          <w:szCs w:val="24"/>
        </w:rPr>
        <w:t xml:space="preserve"> After screening according to the inclusion and exclusion criteria, 276 publications were finally included. Fig</w:t>
      </w:r>
      <w:r>
        <w:rPr>
          <w:rFonts w:hint="eastAsia" w:ascii="Times New Roman Regular" w:hAnsi="Times New Roman Regular" w:cs="Times New Roman Regular"/>
          <w:sz w:val="24"/>
          <w:szCs w:val="24"/>
          <w:lang w:val="en-US" w:eastAsia="zh-CN"/>
        </w:rPr>
        <w:t>.</w:t>
      </w:r>
      <w:r>
        <w:rPr>
          <w:rFonts w:hint="default" w:ascii="Times New Roman Regular" w:hAnsi="Times New Roman Regular" w:cs="Times New Roman Regular"/>
          <w:sz w:val="24"/>
          <w:szCs w:val="24"/>
        </w:rPr>
        <w:t xml:space="preserve"> 1</w:t>
      </w:r>
      <w:r>
        <w:rPr>
          <w:rFonts w:hint="eastAsia" w:ascii="Times New Roman Regular" w:hAnsi="Times New Roman Regular" w:cs="Times New Roman Regular"/>
          <w:sz w:val="24"/>
          <w:szCs w:val="24"/>
          <w:lang w:val="en-US" w:eastAsia="zh-CN"/>
        </w:rPr>
        <w:t xml:space="preserve"> shows the flowchart of the research selection for reablement</w:t>
      </w:r>
      <w:r>
        <w:rPr>
          <w:rFonts w:hint="default" w:ascii="Times New Roman Regular" w:hAnsi="Times New Roman Regular" w:cs="Times New Roman Regular"/>
          <w:sz w:val="24"/>
          <w:szCs w:val="24"/>
        </w:rPr>
        <w:t>.</w:t>
      </w:r>
    </w:p>
    <w:p w14:paraId="53AEA584">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center"/>
        <w:textAlignment w:val="auto"/>
        <w:rPr>
          <w:rFonts w:hint="default" w:ascii="Times New Roman Regular" w:hAnsi="Times New Roman Regular" w:cs="Times New Roman Regular"/>
          <w:color w:val="auto"/>
          <w:kern w:val="0"/>
          <w:sz w:val="24"/>
          <w:szCs w:val="24"/>
          <w:highlight w:val="none"/>
          <w:lang w:val="en-US" w:eastAsia="zh-CN" w:bidi="ar"/>
        </w:rPr>
      </w:pPr>
      <w:r>
        <w:rPr>
          <w:rFonts w:hint="default" w:ascii="Times New Roman Regular" w:hAnsi="Times New Roman Regular" w:cs="Times New Roman Regular"/>
          <w:color w:val="auto"/>
          <w:kern w:val="0"/>
          <w:sz w:val="24"/>
          <w:szCs w:val="24"/>
          <w:highlight w:val="none"/>
          <w:lang w:val="en-US" w:eastAsia="zh-CN" w:bidi="ar"/>
        </w:rPr>
        <w:drawing>
          <wp:inline distT="0" distB="0" distL="114300" distR="114300">
            <wp:extent cx="4878070" cy="4653280"/>
            <wp:effectExtent l="0" t="0" r="24130" b="20320"/>
            <wp:docPr id="1" name="图片 35" descr="复能照护-文献筛选流程图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复能照护-文献筛选流程图_01(1)"/>
                    <pic:cNvPicPr>
                      <a:picLocks noChangeAspect="1"/>
                    </pic:cNvPicPr>
                  </pic:nvPicPr>
                  <pic:blipFill>
                    <a:blip r:embed="rId6"/>
                    <a:srcRect l="4909" t="7001" r="9518" b="6696"/>
                    <a:stretch>
                      <a:fillRect/>
                    </a:stretch>
                  </pic:blipFill>
                  <pic:spPr>
                    <a:xfrm>
                      <a:off x="0" y="0"/>
                      <a:ext cx="4878070" cy="4653280"/>
                    </a:xfrm>
                    <a:prstGeom prst="rect">
                      <a:avLst/>
                    </a:prstGeom>
                    <a:noFill/>
                    <a:ln>
                      <a:noFill/>
                    </a:ln>
                  </pic:spPr>
                </pic:pic>
              </a:graphicData>
            </a:graphic>
          </wp:inline>
        </w:drawing>
      </w:r>
    </w:p>
    <w:p w14:paraId="3F7DA6D1">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sz w:val="24"/>
          <w:szCs w:val="24"/>
        </w:rPr>
        <w:t>Fig</w:t>
      </w:r>
      <w:r>
        <w:rPr>
          <w:rFonts w:hint="eastAsia" w:ascii="Times New Roman Regular" w:hAnsi="Times New Roman Regular" w:cs="Times New Roman Regular"/>
          <w:sz w:val="24"/>
          <w:szCs w:val="24"/>
          <w:lang w:val="en-US" w:eastAsia="zh-CN"/>
        </w:rPr>
        <w:t>.</w:t>
      </w:r>
      <w:r>
        <w:rPr>
          <w:rFonts w:hint="default" w:ascii="Times New Roman Regular" w:hAnsi="Times New Roman Regular" w:cs="Times New Roman Regular"/>
          <w:sz w:val="24"/>
          <w:szCs w:val="24"/>
        </w:rPr>
        <w:t xml:space="preserve"> </w:t>
      </w:r>
      <w:r>
        <w:rPr>
          <w:rFonts w:hint="default" w:ascii="Times New Roman Bold" w:hAnsi="Times New Roman Bold" w:cs="Times New Roman Bold"/>
          <w:b/>
          <w:bCs/>
          <w:sz w:val="24"/>
          <w:szCs w:val="24"/>
        </w:rPr>
        <w:t>1</w:t>
      </w:r>
      <w:r>
        <w:rPr>
          <w:rFonts w:hint="eastAsia" w:ascii="Times New Roman Bold" w:hAnsi="Times New Roman Bold" w:cs="Times New Roman Bold"/>
          <w:b/>
          <w:bCs/>
          <w:sz w:val="24"/>
          <w:szCs w:val="24"/>
          <w:lang w:val="en-US" w:eastAsia="zh-CN"/>
        </w:rPr>
        <w:t>.</w:t>
      </w:r>
      <w:r>
        <w:rPr>
          <w:rFonts w:hint="default" w:ascii="Times New Roman Regular" w:hAnsi="Times New Roman Regular" w:cs="Times New Roman Regular"/>
          <w:color w:val="0000FF"/>
          <w:sz w:val="24"/>
          <w:szCs w:val="24"/>
          <w:lang w:val="en-US" w:eastAsia="zh-CN"/>
        </w:rPr>
        <w:t xml:space="preserve"> </w:t>
      </w:r>
      <w:r>
        <w:rPr>
          <w:rFonts w:hint="default" w:ascii="Times New Roman Regular" w:hAnsi="Times New Roman Regular" w:cs="Times New Roman Regular"/>
          <w:color w:val="auto"/>
          <w:sz w:val="24"/>
          <w:szCs w:val="24"/>
          <w:lang w:val="en-US" w:eastAsia="zh-CN"/>
        </w:rPr>
        <w:t>Flow diagram of study selection.</w:t>
      </w:r>
    </w:p>
    <w:p w14:paraId="4DBDAE7B">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Bold" w:hAnsi="Times New Roman Bold" w:cs="Times New Roman Bold"/>
          <w:b/>
          <w:bCs/>
          <w:i/>
          <w:iCs/>
          <w:color w:val="auto"/>
          <w:sz w:val="24"/>
          <w:szCs w:val="24"/>
          <w:lang w:val="en-US" w:eastAsia="zh-CN"/>
        </w:rPr>
      </w:pPr>
      <w:r>
        <w:rPr>
          <w:rFonts w:hint="default" w:ascii="Times New Roman Bold" w:hAnsi="Times New Roman Bold" w:cs="Times New Roman Bold"/>
          <w:b/>
          <w:bCs/>
          <w:i/>
          <w:iCs/>
          <w:color w:val="auto"/>
          <w:sz w:val="24"/>
          <w:szCs w:val="24"/>
          <w:lang w:val="en-US" w:eastAsia="zh-CN"/>
        </w:rPr>
        <w:t>Data analysis</w:t>
      </w:r>
    </w:p>
    <w:p w14:paraId="25B0658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hint="default" w:ascii="Times New Roman Regular" w:hAnsi="Times New Roman Regular" w:eastAsia="宋体" w:cs="Times New Roman Regular"/>
          <w:i w:val="0"/>
          <w:sz w:val="24"/>
          <w:szCs w:val="24"/>
          <w:lang w:val="en-US" w:eastAsia="zh-CN"/>
        </w:rPr>
      </w:pPr>
      <w:r>
        <w:rPr>
          <w:rFonts w:hint="eastAsia" w:ascii="Times New Roman Regular" w:hAnsi="Times New Roman Regular" w:cs="Times New Roman Regular"/>
          <w:i w:val="0"/>
          <w:sz w:val="24"/>
          <w:szCs w:val="24"/>
          <w:lang w:val="en-US" w:eastAsia="zh-CN"/>
        </w:rPr>
        <w:t xml:space="preserve">Software </w:t>
      </w:r>
      <w:r>
        <w:rPr>
          <w:rFonts w:hint="default" w:ascii="Times New Roman Regular" w:hAnsi="Times New Roman Regular" w:cs="Times New Roman Regular"/>
          <w:i w:val="0"/>
          <w:sz w:val="24"/>
          <w:szCs w:val="24"/>
        </w:rPr>
        <w:t>CiteSpace v6.4.1 and VOSviewer v1.6.20 were used for data analysis and visualization of countries, institutions, authors</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and keywords. CiteSpace was mainly applied for keyword clustering, burst detection, and time-zone evolution analysis, while VOSviewer was used for co-occurrence analysis of countries, institutions, authors</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and keywords.</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The parameter settings for CiteSpace were as follows</w:t>
      </w:r>
      <w:r>
        <w:rPr>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the time span was set from January 1999 to October 2025, with a time slice of one year</w:t>
      </w:r>
      <w:r>
        <w:rPr>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the threshold was set to Top 50; the g-index was set to 25; the pruning methods included “pathfinder” and “pruning sliced networks”</w:t>
      </w:r>
      <w:r>
        <w:rPr>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Node types included authors, countries, institutions, and keywords, with other parameters set to default</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values.</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Extracted keywords were cleaned and standardized. Specifically, “re-ablement”</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“function-focused care”</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“function focused care”</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 xml:space="preserve">“restorative care” and “self-supporting care” were unified as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reablement</w:t>
      </w:r>
      <w:r>
        <w:rPr>
          <w:rStyle w:val="15"/>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“RCT” was standardized as “randomized controlled trial”</w:t>
      </w:r>
      <w:r>
        <w:rPr>
          <w:rFonts w:hint="eastAsia" w:ascii="Times New Roman Regular" w:hAnsi="Times New Roman Regular" w:cs="Times New Roman Regular"/>
          <w:i w:val="0"/>
          <w:sz w:val="24"/>
          <w:szCs w:val="24"/>
          <w:lang w:val="en-US" w:eastAsia="zh-CN"/>
        </w:rPr>
        <w:t>;</w:t>
      </w:r>
      <w:r>
        <w:rPr>
          <w:rFonts w:hint="default" w:ascii="Times New Roman Regular" w:hAnsi="Times New Roman Regular" w:cs="Times New Roman Regular"/>
          <w:i w:val="0"/>
          <w:sz w:val="24"/>
          <w:szCs w:val="24"/>
        </w:rPr>
        <w:t xml:space="preserve"> “older people” was unified as “older adults”</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Words with no substantive meaning (“study”,</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“research”) were removed.</w:t>
      </w:r>
    </w:p>
    <w:p w14:paraId="1FA3B14E">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Bold" w:hAnsi="Times New Roman Bold" w:cs="Times New Roman Bold"/>
          <w:b/>
          <w:bCs/>
          <w:color w:val="auto"/>
          <w:sz w:val="30"/>
          <w:szCs w:val="30"/>
          <w:lang w:val="en-US" w:eastAsia="zh-CN"/>
        </w:rPr>
      </w:pPr>
      <w:r>
        <w:rPr>
          <w:rFonts w:hint="default" w:ascii="Times New Roman Bold" w:hAnsi="Times New Roman Bold" w:cs="Times New Roman Bold"/>
          <w:b/>
          <w:bCs/>
          <w:color w:val="auto"/>
          <w:sz w:val="30"/>
          <w:szCs w:val="30"/>
          <w:lang w:val="en-US" w:eastAsia="zh-CN"/>
        </w:rPr>
        <w:t>Results</w:t>
      </w:r>
    </w:p>
    <w:p w14:paraId="13CCB980">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Bold" w:hAnsi="Times New Roman Bold" w:cs="Times New Roman Bold"/>
          <w:b/>
          <w:bCs/>
          <w:i/>
          <w:iCs/>
          <w:color w:val="auto"/>
          <w:sz w:val="24"/>
          <w:szCs w:val="24"/>
          <w:lang w:val="en-US" w:eastAsia="zh-CN"/>
        </w:rPr>
      </w:pPr>
      <w:r>
        <w:rPr>
          <w:rFonts w:hint="default" w:ascii="Times New Roman Bold" w:hAnsi="Times New Roman Bold" w:cs="Times New Roman Bold"/>
          <w:b/>
          <w:bCs/>
          <w:i/>
          <w:iCs/>
          <w:color w:val="auto"/>
          <w:sz w:val="24"/>
          <w:szCs w:val="24"/>
          <w:lang w:val="en-US" w:eastAsia="zh-CN"/>
        </w:rPr>
        <w:t>Publication output</w:t>
      </w:r>
      <w:r>
        <w:rPr>
          <w:rFonts w:hint="eastAsia" w:ascii="Times New Roman Bold" w:hAnsi="Times New Roman Bold" w:cs="Times New Roman Bold"/>
          <w:b/>
          <w:bCs/>
          <w:i/>
          <w:iCs/>
          <w:color w:val="auto"/>
          <w:sz w:val="24"/>
          <w:szCs w:val="24"/>
          <w:lang w:val="en-US" w:eastAsia="zh-CN"/>
        </w:rPr>
        <w:t>s</w:t>
      </w:r>
      <w:r>
        <w:rPr>
          <w:rFonts w:hint="default" w:ascii="Times New Roman Bold" w:hAnsi="Times New Roman Bold" w:cs="Times New Roman Bold"/>
          <w:b/>
          <w:bCs/>
          <w:i/>
          <w:iCs/>
          <w:color w:val="auto"/>
          <w:sz w:val="24"/>
          <w:szCs w:val="24"/>
          <w:lang w:val="en-US" w:eastAsia="zh-CN"/>
        </w:rPr>
        <w:t xml:space="preserve"> and trend</w:t>
      </w:r>
    </w:p>
    <w:p w14:paraId="3BE78458">
      <w:pPr>
        <w:keepNext w:val="0"/>
        <w:keepLines w:val="0"/>
        <w:pageBreakBefore w:val="0"/>
        <w:widowControl/>
        <w:suppressLineNumbers w:val="0"/>
        <w:kinsoku/>
        <w:overflowPunct/>
        <w:topLinePunct w:val="0"/>
        <w:autoSpaceDE/>
        <w:autoSpaceDN/>
        <w:bidi w:val="0"/>
        <w:adjustRightInd/>
        <w:snapToGrid/>
        <w:spacing w:line="240" w:lineRule="auto"/>
        <w:ind w:firstLine="0" w:firstLineChars="0"/>
        <w:jc w:val="left"/>
        <w:textAlignment w:val="auto"/>
        <w:rPr>
          <w:rFonts w:hint="default" w:ascii="Times New Roman Regular" w:hAnsi="Times New Roman Regular" w:cs="Times New Roman Regular"/>
          <w:sz w:val="24"/>
          <w:szCs w:val="24"/>
        </w:rPr>
      </w:pPr>
      <w:r>
        <w:rPr>
          <w:rFonts w:hint="default" w:ascii="Times New Roman Regular" w:hAnsi="Times New Roman Regular" w:eastAsia="宋体" w:cs="Times New Roman Regular"/>
          <w:kern w:val="0"/>
          <w:sz w:val="24"/>
          <w:szCs w:val="24"/>
          <w:lang w:val="en-US" w:eastAsia="zh-CN" w:bidi="ar"/>
        </w:rPr>
        <w:t>Overall, the number of publications related to reablement showed an upward trend. From 1999 to 2018, the annual publication output increased slowly, followed by a marked rise between 2019 and 2022. The number of publications peaked in 2021, with 29 articles. After a slight decline in 2023, the publication output continued to increase. Detailed trends are shown in Figure 2.</w:t>
      </w:r>
    </w:p>
    <w:p w14:paraId="1F169AB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drawing>
          <wp:inline distT="0" distB="0" distL="114300" distR="114300">
            <wp:extent cx="5117465" cy="2776855"/>
            <wp:effectExtent l="0" t="0" r="13335" b="17145"/>
            <wp:docPr id="2" name="图片 41" descr="年发文量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1" descr="年发文量图1"/>
                    <pic:cNvPicPr>
                      <a:picLocks noChangeAspect="1"/>
                    </pic:cNvPicPr>
                  </pic:nvPicPr>
                  <pic:blipFill>
                    <a:blip r:embed="rId7"/>
                    <a:stretch>
                      <a:fillRect/>
                    </a:stretch>
                  </pic:blipFill>
                  <pic:spPr>
                    <a:xfrm>
                      <a:off x="0" y="0"/>
                      <a:ext cx="5117465" cy="2776855"/>
                    </a:xfrm>
                    <a:prstGeom prst="rect">
                      <a:avLst/>
                    </a:prstGeom>
                    <a:noFill/>
                    <a:ln>
                      <a:noFill/>
                    </a:ln>
                  </pic:spPr>
                </pic:pic>
              </a:graphicData>
            </a:graphic>
          </wp:inline>
        </w:drawing>
      </w:r>
    </w:p>
    <w:p w14:paraId="491CADBF">
      <w:pPr>
        <w:keepNext w:val="0"/>
        <w:keepLines w:val="0"/>
        <w:widowControl/>
        <w:suppressLineNumbers w:val="0"/>
        <w:spacing w:line="240" w:lineRule="auto"/>
        <w:jc w:val="left"/>
        <w:rPr>
          <w:rFonts w:hint="default" w:ascii="Times New Roman Regular" w:hAnsi="Times New Roman Regular" w:cs="Times New Roman Regular"/>
          <w:color w:val="0000FF"/>
          <w:sz w:val="24"/>
          <w:szCs w:val="24"/>
          <w:lang w:val="en-US" w:eastAsia="zh-CN"/>
        </w:rPr>
      </w:pPr>
      <w:r>
        <w:rPr>
          <w:rFonts w:hint="default" w:ascii="Times New Roman Regular" w:hAnsi="Times New Roman Regular" w:eastAsia="宋体" w:cs="Times New Roman Regular"/>
          <w:kern w:val="0"/>
          <w:sz w:val="24"/>
          <w:szCs w:val="24"/>
          <w:lang w:val="en-US" w:eastAsia="zh-CN" w:bidi="ar"/>
        </w:rPr>
        <w:t>Fig</w:t>
      </w:r>
      <w:r>
        <w:rPr>
          <w:rFonts w:hint="eastAsia" w:ascii="Times New Roman Regular" w:hAnsi="Times New Roman Regular" w:cs="Times New Roman Regular"/>
          <w:kern w:val="0"/>
          <w:sz w:val="24"/>
          <w:szCs w:val="24"/>
          <w:lang w:val="en-US" w:eastAsia="zh-CN" w:bidi="ar"/>
        </w:rPr>
        <w:t>.</w:t>
      </w:r>
      <w:r>
        <w:rPr>
          <w:rFonts w:hint="default" w:ascii="Times New Roman Bold" w:hAnsi="Times New Roman Bold" w:eastAsia="宋体" w:cs="Times New Roman Bold"/>
          <w:b/>
          <w:bCs/>
          <w:kern w:val="0"/>
          <w:sz w:val="24"/>
          <w:szCs w:val="24"/>
          <w:lang w:val="en-US" w:eastAsia="zh-CN" w:bidi="ar"/>
        </w:rPr>
        <w:t xml:space="preserve"> 2</w:t>
      </w:r>
      <w:bookmarkStart w:id="1" w:name="_GoBack"/>
      <w:bookmarkEnd w:id="1"/>
      <w:r>
        <w:rPr>
          <w:rFonts w:hint="eastAsia" w:ascii="Times New Roman Bold" w:hAnsi="Times New Roman Bold" w:cs="Times New Roman Bold"/>
          <w:b/>
          <w:bCs/>
          <w:kern w:val="0"/>
          <w:sz w:val="24"/>
          <w:szCs w:val="24"/>
          <w:lang w:val="en-US" w:eastAsia="zh-CN" w:bidi="ar"/>
        </w:rPr>
        <w:t>.</w:t>
      </w:r>
      <w:r>
        <w:rPr>
          <w:rFonts w:hint="default" w:ascii="Times New Roman Regular" w:hAnsi="Times New Roman Regular" w:cs="Times New Roman Regular"/>
          <w:color w:val="auto"/>
          <w:sz w:val="24"/>
          <w:szCs w:val="24"/>
          <w:lang w:val="en-US" w:eastAsia="zh-CN"/>
        </w:rPr>
        <w:t xml:space="preserve"> The number and trend in</w:t>
      </w:r>
      <w:r>
        <w:rPr>
          <w:rFonts w:hint="eastAsia"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lang w:val="en-US" w:eastAsia="zh-CN"/>
        </w:rPr>
        <w:t>a</w:t>
      </w:r>
      <w:r>
        <w:rPr>
          <w:rFonts w:hint="default" w:ascii="Times New Roman Regular" w:hAnsi="Times New Roman Regular" w:eastAsia="宋体" w:cs="Times New Roman Regular"/>
          <w:kern w:val="0"/>
          <w:sz w:val="24"/>
          <w:szCs w:val="24"/>
          <w:lang w:val="en-US" w:eastAsia="zh-CN" w:bidi="ar"/>
        </w:rPr>
        <w:t>nnual publications on reablement research from 1999 to 2025.</w:t>
      </w:r>
    </w:p>
    <w:p w14:paraId="7479AB3F">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Bold" w:hAnsi="Times New Roman Bold" w:cs="Times New Roman Bold"/>
          <w:b/>
          <w:bCs/>
          <w:i/>
          <w:iCs/>
          <w:color w:val="auto"/>
          <w:sz w:val="24"/>
          <w:szCs w:val="24"/>
          <w:lang w:val="en-US" w:eastAsia="zh-CN"/>
        </w:rPr>
      </w:pPr>
      <w:r>
        <w:rPr>
          <w:rFonts w:hint="default" w:ascii="Times New Roman Bold" w:hAnsi="Times New Roman Bold" w:cs="Times New Roman Bold"/>
          <w:b/>
          <w:bCs/>
          <w:i/>
          <w:iCs/>
          <w:color w:val="auto"/>
          <w:sz w:val="24"/>
          <w:szCs w:val="24"/>
          <w:lang w:val="en-US" w:eastAsia="zh-CN"/>
        </w:rPr>
        <w:t>Author analysis</w:t>
      </w:r>
    </w:p>
    <w:p w14:paraId="11410A3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eastAsia="宋体" w:cs="Times New Roman Regular"/>
          <w:kern w:val="0"/>
          <w:sz w:val="24"/>
          <w:szCs w:val="24"/>
          <w:lang w:val="en-US" w:eastAsia="zh-CN" w:bidi="ar"/>
        </w:rPr>
        <w:t>A total of 771 authors and 5,267 co-cited authors were identified in this research field. Table 1 presents the top 10 authors ranked by publication output and co-citation frequency. Resnick was the most productive author, with 57 publications, followed by Galik (n=42) and Boltz (n=33). In terms of co-citation frequency, Resnick ranked first with 1,368 citations, followed by Galik (n=933) and Boltz (n=577). Notably, Resnick, Galik, and Boltz were not only highly productive authors but also among the most frequently cited authors in the field.</w:t>
      </w:r>
    </w:p>
    <w:p w14:paraId="2DABD917">
      <w:pPr>
        <w:keepNext w:val="0"/>
        <w:keepLines w:val="0"/>
        <w:widowControl/>
        <w:suppressLineNumbers w:val="0"/>
        <w:spacing w:line="240" w:lineRule="auto"/>
        <w:jc w:val="left"/>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eastAsia="PingFang SC" w:cs="Times New Roman Regular"/>
          <w:i w:val="0"/>
          <w:iCs w:val="0"/>
          <w:caps w:val="0"/>
          <w:color w:val="000000"/>
          <w:spacing w:val="0"/>
          <w:kern w:val="0"/>
          <w:sz w:val="24"/>
          <w:szCs w:val="24"/>
          <w:lang w:val="en-US" w:eastAsia="zh-CN" w:bidi="ar"/>
        </w:rPr>
        <w:t xml:space="preserve">Table </w:t>
      </w:r>
      <w:r>
        <w:rPr>
          <w:rFonts w:hint="default" w:ascii="Times New Roman Bold" w:hAnsi="Times New Roman Bold" w:eastAsia="PingFang SC" w:cs="Times New Roman Bold"/>
          <w:b/>
          <w:bCs/>
          <w:i w:val="0"/>
          <w:iCs w:val="0"/>
          <w:caps w:val="0"/>
          <w:color w:val="000000"/>
          <w:spacing w:val="0"/>
          <w:kern w:val="0"/>
          <w:sz w:val="24"/>
          <w:szCs w:val="24"/>
          <w:lang w:val="en-US" w:eastAsia="zh-CN" w:bidi="ar"/>
        </w:rPr>
        <w:t>1.</w:t>
      </w:r>
      <w:r>
        <w:rPr>
          <w:rFonts w:hint="default" w:ascii="Times New Roman Regular" w:hAnsi="Times New Roman Regular" w:eastAsia="PingFang SC" w:cs="Times New Roman Regular"/>
          <w:i w:val="0"/>
          <w:iCs w:val="0"/>
          <w:caps w:val="0"/>
          <w:color w:val="000000"/>
          <w:spacing w:val="0"/>
          <w:kern w:val="0"/>
          <w:sz w:val="24"/>
          <w:szCs w:val="24"/>
          <w:lang w:val="en-US" w:eastAsia="zh-CN" w:bidi="ar"/>
        </w:rPr>
        <w:t xml:space="preserve"> </w:t>
      </w:r>
      <w:r>
        <w:rPr>
          <w:rFonts w:hint="default" w:ascii="Times New Roman Regular" w:hAnsi="Times New Roman Regular" w:eastAsia="宋体" w:cs="Times New Roman Regular"/>
          <w:kern w:val="0"/>
          <w:sz w:val="24"/>
          <w:szCs w:val="24"/>
          <w:lang w:val="en-US" w:eastAsia="zh-CN" w:bidi="ar"/>
        </w:rPr>
        <w:t>Top 10 authors ranked by publication output and co-citation frequency.</w:t>
      </w:r>
    </w:p>
    <w:tbl>
      <w:tblPr>
        <w:tblStyle w:val="11"/>
        <w:tblpPr w:leftFromText="180" w:rightFromText="180" w:vertAnchor="text" w:horzAnchor="page" w:tblpX="851" w:tblpY="82"/>
        <w:tblOverlap w:val="never"/>
        <w:tblW w:w="10233"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3"/>
        <w:gridCol w:w="1985"/>
        <w:gridCol w:w="1400"/>
        <w:gridCol w:w="1375"/>
        <w:gridCol w:w="2157"/>
        <w:gridCol w:w="1430"/>
        <w:gridCol w:w="1143"/>
      </w:tblGrid>
      <w:tr w14:paraId="4B166392">
        <w:trPr>
          <w:trHeight w:val="500" w:hRule="atLeast"/>
        </w:trPr>
        <w:tc>
          <w:tcPr>
            <w:tcW w:w="743" w:type="dxa"/>
            <w:tcBorders>
              <w:bottom w:val="single" w:color="auto" w:sz="4" w:space="0"/>
            </w:tcBorders>
            <w:noWrap w:val="0"/>
            <w:vAlign w:val="center"/>
          </w:tcPr>
          <w:p w14:paraId="1D8D4EA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Bold" w:hAnsi="Times New Roman Bold" w:eastAsia="宋体" w:cs="Times New Roman Bold"/>
                <w:b/>
                <w:bCs/>
                <w:color w:val="auto"/>
                <w:sz w:val="21"/>
                <w:szCs w:val="21"/>
                <w:lang w:val="en-US" w:eastAsia="zh-CN"/>
              </w:rPr>
            </w:pPr>
            <w:r>
              <w:rPr>
                <w:rFonts w:hint="default" w:ascii="Times New Roman Bold" w:hAnsi="Times New Roman Bold" w:cs="Times New Roman Bold"/>
                <w:b/>
                <w:bCs/>
                <w:color w:val="auto"/>
                <w:sz w:val="21"/>
                <w:szCs w:val="21"/>
                <w:lang w:val="en-US" w:eastAsia="zh-CN"/>
              </w:rPr>
              <w:t>Rank</w:t>
            </w:r>
          </w:p>
        </w:tc>
        <w:tc>
          <w:tcPr>
            <w:tcW w:w="1985" w:type="dxa"/>
            <w:tcBorders>
              <w:bottom w:val="single" w:color="auto" w:sz="4" w:space="0"/>
            </w:tcBorders>
            <w:noWrap w:val="0"/>
            <w:vAlign w:val="center"/>
          </w:tcPr>
          <w:p w14:paraId="1E2C72A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Bold" w:hAnsi="Times New Roman Bold" w:eastAsia="宋体" w:cs="Times New Roman Bold"/>
                <w:b/>
                <w:bCs/>
                <w:color w:val="auto"/>
                <w:sz w:val="21"/>
                <w:szCs w:val="21"/>
                <w:lang w:val="en-US" w:eastAsia="zh-CN"/>
              </w:rPr>
            </w:pPr>
            <w:r>
              <w:rPr>
                <w:rFonts w:hint="default" w:ascii="Times New Roman Bold" w:hAnsi="Times New Roman Bold" w:cs="Times New Roman Bold"/>
                <w:b/>
                <w:bCs/>
                <w:color w:val="auto"/>
                <w:sz w:val="21"/>
                <w:szCs w:val="21"/>
                <w:lang w:val="en-US" w:eastAsia="zh-CN"/>
              </w:rPr>
              <w:t>First Author</w:t>
            </w:r>
          </w:p>
        </w:tc>
        <w:tc>
          <w:tcPr>
            <w:tcW w:w="1400" w:type="dxa"/>
            <w:tcBorders>
              <w:bottom w:val="single" w:color="auto" w:sz="4" w:space="0"/>
            </w:tcBorders>
            <w:noWrap w:val="0"/>
            <w:vAlign w:val="center"/>
          </w:tcPr>
          <w:p w14:paraId="26AE0A9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Bold" w:hAnsi="Times New Roman Bold" w:eastAsia="宋体" w:cs="Times New Roman Bold"/>
                <w:b/>
                <w:bCs/>
                <w:color w:val="auto"/>
                <w:sz w:val="21"/>
                <w:szCs w:val="21"/>
                <w:lang w:val="en-US" w:eastAsia="zh-CN"/>
              </w:rPr>
            </w:pPr>
            <w:r>
              <w:rPr>
                <w:rFonts w:hint="default" w:ascii="Times New Roman Bold" w:hAnsi="Times New Roman Bold" w:eastAsia="宋体" w:cs="Times New Roman Bold"/>
                <w:b/>
                <w:bCs/>
                <w:color w:val="auto"/>
                <w:sz w:val="21"/>
                <w:szCs w:val="21"/>
                <w:lang w:val="en-US" w:eastAsia="zh-CN"/>
              </w:rPr>
              <w:t>Country</w:t>
            </w:r>
          </w:p>
        </w:tc>
        <w:tc>
          <w:tcPr>
            <w:tcW w:w="1375" w:type="dxa"/>
            <w:tcBorders>
              <w:bottom w:val="single" w:color="auto" w:sz="4" w:space="0"/>
              <w:right w:val="single" w:color="auto" w:sz="4" w:space="0"/>
            </w:tcBorders>
            <w:noWrap w:val="0"/>
            <w:vAlign w:val="center"/>
          </w:tcPr>
          <w:p w14:paraId="6DB945A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Bold" w:hAnsi="Times New Roman Bold" w:eastAsia="宋体" w:cs="Times New Roman Bold"/>
                <w:b/>
                <w:bCs/>
                <w:color w:val="auto"/>
                <w:sz w:val="21"/>
                <w:szCs w:val="21"/>
                <w:lang w:val="en-US" w:eastAsia="zh-CN"/>
              </w:rPr>
            </w:pPr>
            <w:r>
              <w:rPr>
                <w:rFonts w:hint="default" w:ascii="Times New Roman Bold" w:hAnsi="Times New Roman Bold" w:cs="Times New Roman Bold"/>
                <w:b/>
                <w:bCs/>
                <w:color w:val="auto"/>
                <w:sz w:val="21"/>
                <w:szCs w:val="21"/>
                <w:lang w:val="en-US" w:eastAsia="zh-CN"/>
              </w:rPr>
              <w:t>Publications</w:t>
            </w:r>
          </w:p>
        </w:tc>
        <w:tc>
          <w:tcPr>
            <w:tcW w:w="2157" w:type="dxa"/>
            <w:tcBorders>
              <w:left w:val="single" w:color="auto" w:sz="4" w:space="0"/>
              <w:bottom w:val="single" w:color="auto" w:sz="4" w:space="0"/>
            </w:tcBorders>
            <w:noWrap w:val="0"/>
            <w:vAlign w:val="center"/>
          </w:tcPr>
          <w:p w14:paraId="1A17CB9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Bold" w:hAnsi="Times New Roman Bold" w:eastAsia="宋体" w:cs="Times New Roman Bold"/>
                <w:b/>
                <w:bCs/>
                <w:color w:val="auto"/>
                <w:sz w:val="21"/>
                <w:szCs w:val="21"/>
                <w:lang w:val="en-US" w:eastAsia="zh-CN"/>
              </w:rPr>
            </w:pPr>
            <w:r>
              <w:rPr>
                <w:rFonts w:hint="default" w:ascii="Times New Roman Bold" w:hAnsi="Times New Roman Bold" w:cs="Times New Roman Bold"/>
                <w:b/>
                <w:bCs/>
                <w:kern w:val="0"/>
                <w:sz w:val="21"/>
                <w:szCs w:val="21"/>
                <w:lang w:val="en-US" w:eastAsia="zh-CN" w:bidi="ar"/>
              </w:rPr>
              <w:t>C</w:t>
            </w:r>
            <w:r>
              <w:rPr>
                <w:rFonts w:hint="default" w:ascii="Times New Roman Bold" w:hAnsi="Times New Roman Bold" w:eastAsia="宋体" w:cs="Times New Roman Bold"/>
                <w:b/>
                <w:bCs/>
                <w:kern w:val="0"/>
                <w:sz w:val="21"/>
                <w:szCs w:val="21"/>
                <w:lang w:val="en-US" w:eastAsia="zh-CN" w:bidi="ar"/>
              </w:rPr>
              <w:t>o-cited author</w:t>
            </w:r>
          </w:p>
        </w:tc>
        <w:tc>
          <w:tcPr>
            <w:tcW w:w="1430" w:type="dxa"/>
            <w:tcBorders>
              <w:bottom w:val="single" w:color="auto" w:sz="4" w:space="0"/>
            </w:tcBorders>
            <w:noWrap w:val="0"/>
            <w:vAlign w:val="center"/>
          </w:tcPr>
          <w:p w14:paraId="4D7E90E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Bold" w:hAnsi="Times New Roman Bold" w:eastAsia="宋体" w:cs="Times New Roman Bold"/>
                <w:b/>
                <w:bCs/>
                <w:color w:val="auto"/>
                <w:sz w:val="21"/>
                <w:szCs w:val="21"/>
                <w:lang w:val="en-US" w:eastAsia="zh-CN"/>
              </w:rPr>
            </w:pPr>
            <w:r>
              <w:rPr>
                <w:rFonts w:hint="default" w:ascii="Times New Roman Bold" w:hAnsi="Times New Roman Bold" w:eastAsia="宋体" w:cs="Times New Roman Bold"/>
                <w:b/>
                <w:bCs/>
                <w:color w:val="auto"/>
                <w:sz w:val="21"/>
                <w:szCs w:val="21"/>
                <w:lang w:val="en-US" w:eastAsia="zh-CN"/>
              </w:rPr>
              <w:t>Country</w:t>
            </w:r>
          </w:p>
        </w:tc>
        <w:tc>
          <w:tcPr>
            <w:tcW w:w="1143" w:type="dxa"/>
            <w:tcBorders>
              <w:bottom w:val="single" w:color="auto" w:sz="4" w:space="0"/>
            </w:tcBorders>
            <w:noWrap w:val="0"/>
            <w:vAlign w:val="center"/>
          </w:tcPr>
          <w:p w14:paraId="25E4AE3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Bold" w:hAnsi="Times New Roman Bold" w:eastAsia="宋体" w:cs="Times New Roman Bold"/>
                <w:b/>
                <w:bCs/>
                <w:color w:val="auto"/>
                <w:sz w:val="21"/>
                <w:szCs w:val="21"/>
                <w:lang w:val="en-US" w:eastAsia="zh-CN"/>
              </w:rPr>
            </w:pPr>
            <w:r>
              <w:rPr>
                <w:rFonts w:hint="default" w:ascii="Times New Roman Bold" w:hAnsi="Times New Roman Bold" w:eastAsia="宋体" w:cs="Times New Roman Bold"/>
                <w:b/>
                <w:bCs/>
                <w:color w:val="auto"/>
                <w:sz w:val="21"/>
                <w:szCs w:val="21"/>
                <w:lang w:val="en-US" w:eastAsia="zh-CN"/>
              </w:rPr>
              <w:t>Citation frequency</w:t>
            </w:r>
          </w:p>
        </w:tc>
      </w:tr>
      <w:tr w14:paraId="3432372F">
        <w:trPr>
          <w:trHeight w:val="393" w:hRule="atLeast"/>
        </w:trPr>
        <w:tc>
          <w:tcPr>
            <w:tcW w:w="743" w:type="dxa"/>
            <w:tcBorders>
              <w:top w:val="single" w:color="auto" w:sz="4" w:space="0"/>
              <w:tl2br w:val="nil"/>
              <w:tr2bl w:val="nil"/>
            </w:tcBorders>
            <w:noWrap w:val="0"/>
            <w:vAlign w:val="top"/>
          </w:tcPr>
          <w:p w14:paraId="32AD094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lang w:val="en-US" w:eastAsia="zh-CN"/>
              </w:rPr>
              <w:t>1</w:t>
            </w:r>
          </w:p>
        </w:tc>
        <w:tc>
          <w:tcPr>
            <w:tcW w:w="1985" w:type="dxa"/>
            <w:tcBorders>
              <w:top w:val="single" w:color="auto" w:sz="4" w:space="0"/>
              <w:tl2br w:val="nil"/>
              <w:tr2bl w:val="nil"/>
            </w:tcBorders>
            <w:noWrap w:val="0"/>
            <w:vAlign w:val="top"/>
          </w:tcPr>
          <w:p w14:paraId="55513BF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rPr>
            </w:pPr>
            <w:r>
              <w:rPr>
                <w:rFonts w:hint="default" w:ascii="Times New Roman Regular" w:hAnsi="Times New Roman Regular" w:eastAsia="宋体" w:cs="Times New Roman Regular"/>
                <w:color w:val="auto"/>
                <w:sz w:val="21"/>
                <w:szCs w:val="21"/>
              </w:rPr>
              <w:t>Resnick, Barbara</w:t>
            </w:r>
          </w:p>
        </w:tc>
        <w:tc>
          <w:tcPr>
            <w:tcW w:w="1400" w:type="dxa"/>
            <w:tcBorders>
              <w:top w:val="single" w:color="auto" w:sz="4" w:space="0"/>
              <w:tl2br w:val="nil"/>
              <w:tr2bl w:val="nil"/>
            </w:tcBorders>
            <w:noWrap w:val="0"/>
            <w:vAlign w:val="center"/>
          </w:tcPr>
          <w:p w14:paraId="3DFE904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lang w:val="en-US" w:eastAsia="zh-CN"/>
              </w:rPr>
              <w:t>United States</w:t>
            </w:r>
          </w:p>
        </w:tc>
        <w:tc>
          <w:tcPr>
            <w:tcW w:w="1375" w:type="dxa"/>
            <w:tcBorders>
              <w:top w:val="single" w:color="auto" w:sz="4" w:space="0"/>
              <w:right w:val="single" w:color="auto" w:sz="4" w:space="0"/>
            </w:tcBorders>
            <w:noWrap w:val="0"/>
            <w:vAlign w:val="top"/>
          </w:tcPr>
          <w:p w14:paraId="539D4C4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57</w:t>
            </w:r>
          </w:p>
        </w:tc>
        <w:tc>
          <w:tcPr>
            <w:tcW w:w="2157" w:type="dxa"/>
            <w:tcBorders>
              <w:top w:val="single" w:color="auto" w:sz="4" w:space="0"/>
              <w:left w:val="single" w:color="auto" w:sz="4" w:space="0"/>
              <w:tl2br w:val="nil"/>
              <w:tr2bl w:val="nil"/>
            </w:tcBorders>
            <w:noWrap w:val="0"/>
            <w:vAlign w:val="top"/>
          </w:tcPr>
          <w:p w14:paraId="49048A0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rPr>
              <w:t>Resnick, Barbara</w:t>
            </w:r>
          </w:p>
        </w:tc>
        <w:tc>
          <w:tcPr>
            <w:tcW w:w="1430" w:type="dxa"/>
            <w:tcBorders>
              <w:top w:val="single" w:color="auto" w:sz="4" w:space="0"/>
              <w:tl2br w:val="nil"/>
              <w:tr2bl w:val="nil"/>
            </w:tcBorders>
            <w:noWrap w:val="0"/>
            <w:vAlign w:val="center"/>
          </w:tcPr>
          <w:p w14:paraId="047D49A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United States</w:t>
            </w:r>
          </w:p>
        </w:tc>
        <w:tc>
          <w:tcPr>
            <w:tcW w:w="1143" w:type="dxa"/>
            <w:tcBorders>
              <w:top w:val="single" w:color="auto" w:sz="4" w:space="0"/>
              <w:tl2br w:val="nil"/>
              <w:tr2bl w:val="nil"/>
            </w:tcBorders>
            <w:noWrap w:val="0"/>
            <w:vAlign w:val="top"/>
          </w:tcPr>
          <w:p w14:paraId="469B1C0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1368</w:t>
            </w:r>
          </w:p>
        </w:tc>
      </w:tr>
      <w:tr w14:paraId="49C4CF03">
        <w:trPr>
          <w:trHeight w:val="326" w:hRule="atLeast"/>
        </w:trPr>
        <w:tc>
          <w:tcPr>
            <w:tcW w:w="743" w:type="dxa"/>
            <w:tcBorders>
              <w:tl2br w:val="nil"/>
              <w:tr2bl w:val="nil"/>
            </w:tcBorders>
            <w:noWrap w:val="0"/>
            <w:vAlign w:val="top"/>
          </w:tcPr>
          <w:p w14:paraId="7E0B4C2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lang w:val="en-US" w:eastAsia="zh-CN"/>
              </w:rPr>
              <w:t>2</w:t>
            </w:r>
          </w:p>
        </w:tc>
        <w:tc>
          <w:tcPr>
            <w:tcW w:w="1985" w:type="dxa"/>
            <w:tcBorders>
              <w:tl2br w:val="nil"/>
              <w:tr2bl w:val="nil"/>
            </w:tcBorders>
            <w:noWrap w:val="0"/>
            <w:vAlign w:val="top"/>
          </w:tcPr>
          <w:p w14:paraId="3355BD6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kern w:val="2"/>
                <w:sz w:val="21"/>
                <w:szCs w:val="21"/>
                <w:lang w:val="en-US" w:eastAsia="zh-CN" w:bidi="ar-SA"/>
              </w:rPr>
            </w:pPr>
            <w:r>
              <w:rPr>
                <w:rFonts w:hint="default" w:ascii="Times New Roman Regular" w:hAnsi="Times New Roman Regular" w:eastAsia="宋体" w:cs="Times New Roman Regular"/>
                <w:color w:val="auto"/>
                <w:sz w:val="21"/>
                <w:szCs w:val="21"/>
              </w:rPr>
              <w:t>Galik, Elizabeth</w:t>
            </w:r>
          </w:p>
        </w:tc>
        <w:tc>
          <w:tcPr>
            <w:tcW w:w="1400" w:type="dxa"/>
            <w:tcBorders>
              <w:tl2br w:val="nil"/>
              <w:tr2bl w:val="nil"/>
            </w:tcBorders>
            <w:noWrap w:val="0"/>
            <w:vAlign w:val="center"/>
          </w:tcPr>
          <w:p w14:paraId="56BF912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kern w:val="2"/>
                <w:sz w:val="21"/>
                <w:szCs w:val="21"/>
                <w:lang w:val="en-US" w:eastAsia="zh-CN" w:bidi="ar-SA"/>
              </w:rPr>
            </w:pPr>
            <w:r>
              <w:rPr>
                <w:rFonts w:hint="default" w:ascii="Times New Roman Regular" w:hAnsi="Times New Roman Regular" w:eastAsia="宋体" w:cs="Times New Roman Regular"/>
                <w:color w:val="auto"/>
                <w:kern w:val="2"/>
                <w:sz w:val="21"/>
                <w:szCs w:val="21"/>
                <w:lang w:val="en-US" w:eastAsia="zh-CN" w:bidi="ar-SA"/>
              </w:rPr>
              <w:t>United States</w:t>
            </w:r>
          </w:p>
        </w:tc>
        <w:tc>
          <w:tcPr>
            <w:tcW w:w="1375" w:type="dxa"/>
            <w:tcBorders>
              <w:right w:val="single" w:color="auto" w:sz="4" w:space="0"/>
            </w:tcBorders>
            <w:noWrap w:val="0"/>
            <w:vAlign w:val="top"/>
          </w:tcPr>
          <w:p w14:paraId="39A7948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kern w:val="2"/>
                <w:sz w:val="21"/>
                <w:szCs w:val="21"/>
                <w:lang w:val="en-US" w:eastAsia="zh-CN" w:bidi="ar-SA"/>
              </w:rPr>
            </w:pPr>
            <w:r>
              <w:rPr>
                <w:rFonts w:hint="default" w:ascii="Times New Roman Regular" w:hAnsi="Times New Roman Regular" w:cs="Times New Roman Regular"/>
                <w:color w:val="auto"/>
                <w:sz w:val="21"/>
                <w:szCs w:val="21"/>
                <w:lang w:val="en-US" w:eastAsia="zh-CN"/>
              </w:rPr>
              <w:t>42</w:t>
            </w:r>
          </w:p>
        </w:tc>
        <w:tc>
          <w:tcPr>
            <w:tcW w:w="2157" w:type="dxa"/>
            <w:tcBorders>
              <w:left w:val="single" w:color="auto" w:sz="4" w:space="0"/>
              <w:tl2br w:val="nil"/>
              <w:tr2bl w:val="nil"/>
            </w:tcBorders>
            <w:noWrap w:val="0"/>
            <w:vAlign w:val="top"/>
          </w:tcPr>
          <w:p w14:paraId="227C435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rPr>
              <w:t>Galik, Elizabeth</w:t>
            </w:r>
          </w:p>
        </w:tc>
        <w:tc>
          <w:tcPr>
            <w:tcW w:w="1430" w:type="dxa"/>
            <w:tcBorders>
              <w:tl2br w:val="nil"/>
              <w:tr2bl w:val="nil"/>
            </w:tcBorders>
            <w:noWrap w:val="0"/>
            <w:vAlign w:val="center"/>
          </w:tcPr>
          <w:p w14:paraId="71FEF52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United States</w:t>
            </w:r>
          </w:p>
        </w:tc>
        <w:tc>
          <w:tcPr>
            <w:tcW w:w="1143" w:type="dxa"/>
            <w:tcBorders>
              <w:tl2br w:val="nil"/>
              <w:tr2bl w:val="nil"/>
            </w:tcBorders>
            <w:noWrap w:val="0"/>
            <w:vAlign w:val="top"/>
          </w:tcPr>
          <w:p w14:paraId="7EF15D7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933</w:t>
            </w:r>
          </w:p>
        </w:tc>
      </w:tr>
      <w:tr w14:paraId="206B0E32">
        <w:trPr>
          <w:trHeight w:val="452" w:hRule="atLeast"/>
        </w:trPr>
        <w:tc>
          <w:tcPr>
            <w:tcW w:w="743" w:type="dxa"/>
            <w:tcBorders>
              <w:tl2br w:val="nil"/>
              <w:tr2bl w:val="nil"/>
            </w:tcBorders>
            <w:noWrap w:val="0"/>
            <w:vAlign w:val="center"/>
          </w:tcPr>
          <w:p w14:paraId="3F1C2FE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lang w:val="en-US" w:eastAsia="zh-CN"/>
              </w:rPr>
              <w:t>3</w:t>
            </w:r>
          </w:p>
        </w:tc>
        <w:tc>
          <w:tcPr>
            <w:tcW w:w="1985" w:type="dxa"/>
            <w:tcBorders>
              <w:tl2br w:val="nil"/>
              <w:tr2bl w:val="nil"/>
            </w:tcBorders>
            <w:noWrap w:val="0"/>
            <w:vAlign w:val="center"/>
          </w:tcPr>
          <w:p w14:paraId="1681912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rPr>
            </w:pPr>
            <w:r>
              <w:rPr>
                <w:rFonts w:hint="default" w:ascii="Times New Roman Regular" w:hAnsi="Times New Roman Regular" w:cs="Times New Roman Regular"/>
                <w:color w:val="auto"/>
                <w:sz w:val="21"/>
                <w:szCs w:val="21"/>
                <w:lang w:val="en-US"/>
              </w:rPr>
              <w:t>Boltz,</w:t>
            </w:r>
            <w:r>
              <w:rPr>
                <w:rFonts w:hint="default" w:ascii="Times New Roman Regular" w:hAnsi="Times New Roman Regular" w:cs="Times New Roman Regular"/>
                <w:color w:val="auto"/>
                <w:sz w:val="21"/>
                <w:szCs w:val="21"/>
                <w:lang w:val="en-US" w:eastAsia="zh-CN"/>
              </w:rPr>
              <w:t xml:space="preserve"> </w:t>
            </w:r>
            <w:r>
              <w:rPr>
                <w:rFonts w:hint="default" w:ascii="Times New Roman Regular" w:hAnsi="Times New Roman Regular" w:cs="Times New Roman Regular"/>
                <w:color w:val="auto"/>
                <w:sz w:val="21"/>
                <w:szCs w:val="21"/>
                <w:lang w:val="en-US"/>
              </w:rPr>
              <w:t>Marie</w:t>
            </w:r>
          </w:p>
        </w:tc>
        <w:tc>
          <w:tcPr>
            <w:tcW w:w="1400" w:type="dxa"/>
            <w:tcBorders>
              <w:tl2br w:val="nil"/>
              <w:tr2bl w:val="nil"/>
            </w:tcBorders>
            <w:noWrap w:val="0"/>
            <w:vAlign w:val="center"/>
          </w:tcPr>
          <w:p w14:paraId="01AC24E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lang w:val="en-US" w:eastAsia="zh-CN"/>
              </w:rPr>
              <w:t>United States</w:t>
            </w:r>
          </w:p>
        </w:tc>
        <w:tc>
          <w:tcPr>
            <w:tcW w:w="1375" w:type="dxa"/>
            <w:tcBorders>
              <w:right w:val="single" w:color="auto" w:sz="4" w:space="0"/>
            </w:tcBorders>
            <w:noWrap w:val="0"/>
            <w:vAlign w:val="center"/>
          </w:tcPr>
          <w:p w14:paraId="143CACB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33</w:t>
            </w:r>
          </w:p>
        </w:tc>
        <w:tc>
          <w:tcPr>
            <w:tcW w:w="2157" w:type="dxa"/>
            <w:tcBorders>
              <w:left w:val="single" w:color="auto" w:sz="4" w:space="0"/>
              <w:tl2br w:val="nil"/>
              <w:tr2bl w:val="nil"/>
            </w:tcBorders>
            <w:noWrap w:val="0"/>
            <w:vAlign w:val="center"/>
          </w:tcPr>
          <w:p w14:paraId="31C4497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rPr>
              <w:t>Boltz,</w:t>
            </w:r>
            <w:r>
              <w:rPr>
                <w:rFonts w:hint="default" w:ascii="Times New Roman Regular" w:hAnsi="Times New Roman Regular" w:cs="Times New Roman Regular"/>
                <w:color w:val="auto"/>
                <w:sz w:val="21"/>
                <w:szCs w:val="21"/>
                <w:lang w:val="en-US" w:eastAsia="zh-CN"/>
              </w:rPr>
              <w:t xml:space="preserve"> </w:t>
            </w:r>
            <w:r>
              <w:rPr>
                <w:rFonts w:hint="default" w:ascii="Times New Roman Regular" w:hAnsi="Times New Roman Regular" w:cs="Times New Roman Regular"/>
                <w:color w:val="auto"/>
                <w:sz w:val="21"/>
                <w:szCs w:val="21"/>
                <w:lang w:val="en-US"/>
              </w:rPr>
              <w:t>Marie</w:t>
            </w:r>
          </w:p>
        </w:tc>
        <w:tc>
          <w:tcPr>
            <w:tcW w:w="1430" w:type="dxa"/>
            <w:tcBorders>
              <w:tl2br w:val="nil"/>
              <w:tr2bl w:val="nil"/>
            </w:tcBorders>
            <w:noWrap w:val="0"/>
            <w:vAlign w:val="center"/>
          </w:tcPr>
          <w:p w14:paraId="31F3F43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United States</w:t>
            </w:r>
          </w:p>
        </w:tc>
        <w:tc>
          <w:tcPr>
            <w:tcW w:w="1143" w:type="dxa"/>
            <w:tcBorders>
              <w:tl2br w:val="nil"/>
              <w:tr2bl w:val="nil"/>
            </w:tcBorders>
            <w:noWrap w:val="0"/>
            <w:vAlign w:val="center"/>
          </w:tcPr>
          <w:p w14:paraId="20B706C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577</w:t>
            </w:r>
          </w:p>
        </w:tc>
      </w:tr>
      <w:tr w14:paraId="729666AF">
        <w:trPr>
          <w:trHeight w:val="325" w:hRule="atLeast"/>
        </w:trPr>
        <w:tc>
          <w:tcPr>
            <w:tcW w:w="743" w:type="dxa"/>
            <w:tcBorders>
              <w:tl2br w:val="nil"/>
              <w:tr2bl w:val="nil"/>
            </w:tcBorders>
            <w:noWrap w:val="0"/>
            <w:vAlign w:val="top"/>
          </w:tcPr>
          <w:p w14:paraId="2418DD1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lang w:val="en-US" w:eastAsia="zh-CN"/>
              </w:rPr>
              <w:t>4</w:t>
            </w:r>
          </w:p>
        </w:tc>
        <w:tc>
          <w:tcPr>
            <w:tcW w:w="1985" w:type="dxa"/>
            <w:tcBorders>
              <w:tl2br w:val="nil"/>
              <w:tr2bl w:val="nil"/>
            </w:tcBorders>
            <w:noWrap w:val="0"/>
            <w:vAlign w:val="top"/>
          </w:tcPr>
          <w:p w14:paraId="0C4A27B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kern w:val="2"/>
                <w:sz w:val="21"/>
                <w:szCs w:val="21"/>
                <w:lang w:val="en-US" w:eastAsia="zh-CN" w:bidi="ar-SA"/>
              </w:rPr>
            </w:pPr>
            <w:r>
              <w:rPr>
                <w:rFonts w:hint="default" w:ascii="Times New Roman Regular" w:hAnsi="Times New Roman Regular" w:eastAsia="宋体" w:cs="Times New Roman Regular"/>
                <w:color w:val="auto"/>
                <w:sz w:val="21"/>
                <w:szCs w:val="21"/>
              </w:rPr>
              <w:t>Metzelthin, Silke F</w:t>
            </w:r>
          </w:p>
        </w:tc>
        <w:tc>
          <w:tcPr>
            <w:tcW w:w="1400" w:type="dxa"/>
            <w:tcBorders>
              <w:tl2br w:val="nil"/>
              <w:tr2bl w:val="nil"/>
            </w:tcBorders>
            <w:noWrap w:val="0"/>
            <w:vAlign w:val="center"/>
          </w:tcPr>
          <w:p w14:paraId="49C6DA1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kern w:val="2"/>
                <w:sz w:val="21"/>
                <w:szCs w:val="21"/>
                <w:lang w:val="en-US" w:eastAsia="zh-CN" w:bidi="ar-SA"/>
              </w:rPr>
            </w:pPr>
            <w:r>
              <w:rPr>
                <w:rFonts w:hint="default" w:ascii="Times New Roman Regular" w:hAnsi="Times New Roman Regular" w:eastAsia="宋体" w:cs="Times New Roman Regular"/>
                <w:color w:val="auto"/>
                <w:kern w:val="2"/>
                <w:sz w:val="21"/>
                <w:szCs w:val="21"/>
                <w:lang w:val="en-US" w:eastAsia="zh-CN" w:bidi="ar-SA"/>
              </w:rPr>
              <w:t>Netherlands</w:t>
            </w:r>
          </w:p>
        </w:tc>
        <w:tc>
          <w:tcPr>
            <w:tcW w:w="1375" w:type="dxa"/>
            <w:tcBorders>
              <w:right w:val="single" w:color="auto" w:sz="4" w:space="0"/>
            </w:tcBorders>
            <w:noWrap w:val="0"/>
            <w:vAlign w:val="top"/>
          </w:tcPr>
          <w:p w14:paraId="7B393BE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kern w:val="2"/>
                <w:sz w:val="21"/>
                <w:szCs w:val="21"/>
                <w:lang w:val="en-US" w:eastAsia="zh-CN" w:bidi="ar-SA"/>
              </w:rPr>
            </w:pPr>
            <w:r>
              <w:rPr>
                <w:rFonts w:hint="default" w:ascii="Times New Roman Regular" w:hAnsi="Times New Roman Regular" w:cs="Times New Roman Regular"/>
                <w:color w:val="auto"/>
                <w:sz w:val="21"/>
                <w:szCs w:val="21"/>
                <w:lang w:val="en-US" w:eastAsia="zh-CN"/>
              </w:rPr>
              <w:t>17</w:t>
            </w:r>
          </w:p>
        </w:tc>
        <w:tc>
          <w:tcPr>
            <w:tcW w:w="2157" w:type="dxa"/>
            <w:tcBorders>
              <w:left w:val="single" w:color="auto" w:sz="4" w:space="0"/>
              <w:tl2br w:val="nil"/>
              <w:tr2bl w:val="nil"/>
            </w:tcBorders>
            <w:noWrap w:val="0"/>
            <w:vAlign w:val="top"/>
          </w:tcPr>
          <w:p w14:paraId="41BD7EC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rPr>
              <w:t>Forland, Oddvar</w:t>
            </w:r>
          </w:p>
        </w:tc>
        <w:tc>
          <w:tcPr>
            <w:tcW w:w="1430" w:type="dxa"/>
            <w:tcBorders>
              <w:tl2br w:val="nil"/>
              <w:tr2bl w:val="nil"/>
            </w:tcBorders>
            <w:noWrap w:val="0"/>
            <w:vAlign w:val="center"/>
          </w:tcPr>
          <w:p w14:paraId="3C8AC0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eastAsia="宋体" w:cs="Times New Roman Regular"/>
                <w:kern w:val="0"/>
                <w:sz w:val="21"/>
                <w:szCs w:val="21"/>
                <w:lang w:val="en-US" w:eastAsia="zh-CN" w:bidi="ar"/>
              </w:rPr>
              <w:t>Norway</w:t>
            </w:r>
          </w:p>
        </w:tc>
        <w:tc>
          <w:tcPr>
            <w:tcW w:w="1143" w:type="dxa"/>
            <w:tcBorders>
              <w:tl2br w:val="nil"/>
              <w:tr2bl w:val="nil"/>
            </w:tcBorders>
            <w:noWrap w:val="0"/>
            <w:vAlign w:val="top"/>
          </w:tcPr>
          <w:p w14:paraId="6FD0290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412</w:t>
            </w:r>
          </w:p>
        </w:tc>
      </w:tr>
      <w:tr w14:paraId="19D3667D">
        <w:trPr>
          <w:trHeight w:val="363" w:hRule="atLeast"/>
        </w:trPr>
        <w:tc>
          <w:tcPr>
            <w:tcW w:w="743" w:type="dxa"/>
            <w:tcBorders>
              <w:tl2br w:val="nil"/>
              <w:tr2bl w:val="nil"/>
            </w:tcBorders>
            <w:noWrap w:val="0"/>
            <w:vAlign w:val="top"/>
          </w:tcPr>
          <w:p w14:paraId="57DCF02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lang w:val="en-US" w:eastAsia="zh-CN"/>
              </w:rPr>
              <w:t>5</w:t>
            </w:r>
          </w:p>
        </w:tc>
        <w:tc>
          <w:tcPr>
            <w:tcW w:w="1985" w:type="dxa"/>
            <w:tcBorders>
              <w:tl2br w:val="nil"/>
              <w:tr2bl w:val="nil"/>
            </w:tcBorders>
            <w:noWrap w:val="0"/>
            <w:vAlign w:val="top"/>
          </w:tcPr>
          <w:p w14:paraId="762A947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rPr>
            </w:pPr>
            <w:r>
              <w:rPr>
                <w:rFonts w:hint="default" w:ascii="Times New Roman Regular" w:hAnsi="Times New Roman Regular" w:cs="Times New Roman Regular"/>
                <w:color w:val="auto"/>
                <w:sz w:val="21"/>
                <w:szCs w:val="21"/>
                <w:lang w:val="en-US"/>
              </w:rPr>
              <w:t>Zhu,</w:t>
            </w:r>
            <w:r>
              <w:rPr>
                <w:rFonts w:hint="default" w:ascii="Times New Roman Regular" w:hAnsi="Times New Roman Regular" w:cs="Times New Roman Regular"/>
                <w:color w:val="auto"/>
                <w:sz w:val="21"/>
                <w:szCs w:val="21"/>
                <w:lang w:val="en-US" w:eastAsia="zh-CN"/>
              </w:rPr>
              <w:t xml:space="preserve"> </w:t>
            </w:r>
            <w:r>
              <w:rPr>
                <w:rFonts w:hint="default" w:ascii="Times New Roman Regular" w:hAnsi="Times New Roman Regular" w:cs="Times New Roman Regular"/>
                <w:color w:val="auto"/>
                <w:sz w:val="21"/>
                <w:szCs w:val="21"/>
                <w:lang w:val="en-US"/>
              </w:rPr>
              <w:t>shijun</w:t>
            </w:r>
          </w:p>
        </w:tc>
        <w:tc>
          <w:tcPr>
            <w:tcW w:w="1400" w:type="dxa"/>
            <w:tcBorders>
              <w:tl2br w:val="nil"/>
              <w:tr2bl w:val="nil"/>
            </w:tcBorders>
            <w:noWrap w:val="0"/>
            <w:vAlign w:val="center"/>
          </w:tcPr>
          <w:p w14:paraId="6DA0308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lang w:val="en-US" w:eastAsia="zh-CN"/>
              </w:rPr>
              <w:t>United States</w:t>
            </w:r>
          </w:p>
        </w:tc>
        <w:tc>
          <w:tcPr>
            <w:tcW w:w="1375" w:type="dxa"/>
            <w:tcBorders>
              <w:right w:val="single" w:color="auto" w:sz="4" w:space="0"/>
            </w:tcBorders>
            <w:noWrap w:val="0"/>
            <w:vAlign w:val="top"/>
          </w:tcPr>
          <w:p w14:paraId="1D05D51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15</w:t>
            </w:r>
          </w:p>
        </w:tc>
        <w:tc>
          <w:tcPr>
            <w:tcW w:w="2157" w:type="dxa"/>
            <w:tcBorders>
              <w:left w:val="single" w:color="auto" w:sz="4" w:space="0"/>
              <w:tl2br w:val="nil"/>
              <w:tr2bl w:val="nil"/>
            </w:tcBorders>
            <w:noWrap w:val="0"/>
            <w:vAlign w:val="top"/>
          </w:tcPr>
          <w:p w14:paraId="11B6685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rPr>
              <w:t>Zimmerman, Sheryl</w:t>
            </w:r>
          </w:p>
        </w:tc>
        <w:tc>
          <w:tcPr>
            <w:tcW w:w="1430" w:type="dxa"/>
            <w:tcBorders>
              <w:tl2br w:val="nil"/>
              <w:tr2bl w:val="nil"/>
            </w:tcBorders>
            <w:noWrap w:val="0"/>
            <w:vAlign w:val="center"/>
          </w:tcPr>
          <w:p w14:paraId="039B99F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United States</w:t>
            </w:r>
          </w:p>
        </w:tc>
        <w:tc>
          <w:tcPr>
            <w:tcW w:w="1143" w:type="dxa"/>
            <w:tcBorders>
              <w:tl2br w:val="nil"/>
              <w:tr2bl w:val="nil"/>
            </w:tcBorders>
            <w:noWrap w:val="0"/>
            <w:vAlign w:val="top"/>
          </w:tcPr>
          <w:p w14:paraId="4525342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375</w:t>
            </w:r>
          </w:p>
        </w:tc>
      </w:tr>
      <w:tr w14:paraId="7E6C1BEC">
        <w:trPr>
          <w:trHeight w:val="363" w:hRule="atLeast"/>
        </w:trPr>
        <w:tc>
          <w:tcPr>
            <w:tcW w:w="743" w:type="dxa"/>
            <w:tcBorders>
              <w:tl2br w:val="nil"/>
              <w:tr2bl w:val="nil"/>
            </w:tcBorders>
            <w:noWrap w:val="0"/>
            <w:vAlign w:val="top"/>
          </w:tcPr>
          <w:p w14:paraId="759EE39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6</w:t>
            </w:r>
          </w:p>
        </w:tc>
        <w:tc>
          <w:tcPr>
            <w:tcW w:w="1985" w:type="dxa"/>
            <w:tcBorders>
              <w:tl2br w:val="nil"/>
              <w:tr2bl w:val="nil"/>
            </w:tcBorders>
            <w:noWrap w:val="0"/>
            <w:vAlign w:val="top"/>
          </w:tcPr>
          <w:p w14:paraId="2E12353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rPr>
            </w:pPr>
            <w:r>
              <w:rPr>
                <w:rFonts w:hint="default" w:ascii="Times New Roman Regular" w:hAnsi="Times New Roman Regular" w:eastAsia="宋体" w:cs="Times New Roman Regular"/>
                <w:color w:val="auto"/>
                <w:sz w:val="21"/>
                <w:szCs w:val="21"/>
              </w:rPr>
              <w:t>Clemson, Lindy</w:t>
            </w:r>
          </w:p>
        </w:tc>
        <w:tc>
          <w:tcPr>
            <w:tcW w:w="1400" w:type="dxa"/>
            <w:tcBorders>
              <w:tl2br w:val="nil"/>
              <w:tr2bl w:val="nil"/>
            </w:tcBorders>
            <w:noWrap w:val="0"/>
            <w:vAlign w:val="center"/>
          </w:tcPr>
          <w:p w14:paraId="723576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eastAsia="宋体" w:cs="Times New Roman Regular"/>
                <w:kern w:val="0"/>
                <w:sz w:val="21"/>
                <w:szCs w:val="21"/>
                <w:lang w:val="en-US" w:eastAsia="zh-CN" w:bidi="ar"/>
              </w:rPr>
              <w:t>Australia</w:t>
            </w:r>
          </w:p>
        </w:tc>
        <w:tc>
          <w:tcPr>
            <w:tcW w:w="1375" w:type="dxa"/>
            <w:tcBorders>
              <w:right w:val="single" w:color="auto" w:sz="4" w:space="0"/>
            </w:tcBorders>
            <w:noWrap w:val="0"/>
            <w:vAlign w:val="top"/>
          </w:tcPr>
          <w:p w14:paraId="048D00E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14</w:t>
            </w:r>
          </w:p>
        </w:tc>
        <w:tc>
          <w:tcPr>
            <w:tcW w:w="2157" w:type="dxa"/>
            <w:tcBorders>
              <w:left w:val="single" w:color="auto" w:sz="4" w:space="0"/>
              <w:tl2br w:val="nil"/>
              <w:tr2bl w:val="nil"/>
            </w:tcBorders>
            <w:noWrap w:val="0"/>
            <w:vAlign w:val="top"/>
          </w:tcPr>
          <w:p w14:paraId="1F570B6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rPr>
              <w:t>Pretzer-aboff, Ingrid</w:t>
            </w:r>
          </w:p>
        </w:tc>
        <w:tc>
          <w:tcPr>
            <w:tcW w:w="1430" w:type="dxa"/>
            <w:tcBorders>
              <w:tl2br w:val="nil"/>
              <w:tr2bl w:val="nil"/>
            </w:tcBorders>
            <w:noWrap w:val="0"/>
            <w:vAlign w:val="center"/>
          </w:tcPr>
          <w:p w14:paraId="5708A42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United States</w:t>
            </w:r>
          </w:p>
        </w:tc>
        <w:tc>
          <w:tcPr>
            <w:tcW w:w="1143" w:type="dxa"/>
            <w:tcBorders>
              <w:tl2br w:val="nil"/>
              <w:tr2bl w:val="nil"/>
            </w:tcBorders>
            <w:noWrap w:val="0"/>
            <w:vAlign w:val="top"/>
          </w:tcPr>
          <w:p w14:paraId="4F5DE4E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327</w:t>
            </w:r>
          </w:p>
        </w:tc>
      </w:tr>
      <w:tr w14:paraId="6DBA10FB">
        <w:trPr>
          <w:trHeight w:val="337" w:hRule="atLeast"/>
        </w:trPr>
        <w:tc>
          <w:tcPr>
            <w:tcW w:w="743" w:type="dxa"/>
            <w:tcBorders>
              <w:tl2br w:val="nil"/>
              <w:tr2bl w:val="nil"/>
            </w:tcBorders>
            <w:noWrap w:val="0"/>
            <w:vAlign w:val="top"/>
          </w:tcPr>
          <w:p w14:paraId="148AA4C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7</w:t>
            </w:r>
          </w:p>
        </w:tc>
        <w:tc>
          <w:tcPr>
            <w:tcW w:w="1985" w:type="dxa"/>
            <w:tcBorders>
              <w:tl2br w:val="nil"/>
              <w:tr2bl w:val="nil"/>
            </w:tcBorders>
            <w:noWrap w:val="0"/>
            <w:vAlign w:val="top"/>
          </w:tcPr>
          <w:p w14:paraId="6A5F7A4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rPr>
            </w:pPr>
            <w:r>
              <w:rPr>
                <w:rFonts w:hint="default" w:ascii="Times New Roman Regular" w:hAnsi="Times New Roman Regular" w:eastAsia="宋体" w:cs="Times New Roman Regular"/>
                <w:color w:val="auto"/>
                <w:sz w:val="21"/>
                <w:szCs w:val="21"/>
              </w:rPr>
              <w:t>Forland, Oddvar</w:t>
            </w:r>
          </w:p>
        </w:tc>
        <w:tc>
          <w:tcPr>
            <w:tcW w:w="1400" w:type="dxa"/>
            <w:tcBorders>
              <w:tl2br w:val="nil"/>
              <w:tr2bl w:val="nil"/>
            </w:tcBorders>
            <w:noWrap w:val="0"/>
            <w:vAlign w:val="center"/>
          </w:tcPr>
          <w:p w14:paraId="1461F9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eastAsia="宋体" w:cs="Times New Roman Regular"/>
                <w:kern w:val="0"/>
                <w:sz w:val="21"/>
                <w:szCs w:val="21"/>
                <w:lang w:val="en-US" w:eastAsia="zh-CN" w:bidi="ar"/>
              </w:rPr>
              <w:t>Norway</w:t>
            </w:r>
          </w:p>
        </w:tc>
        <w:tc>
          <w:tcPr>
            <w:tcW w:w="1375" w:type="dxa"/>
            <w:tcBorders>
              <w:right w:val="single" w:color="auto" w:sz="4" w:space="0"/>
            </w:tcBorders>
            <w:noWrap w:val="0"/>
            <w:vAlign w:val="top"/>
          </w:tcPr>
          <w:p w14:paraId="29CD288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12</w:t>
            </w:r>
          </w:p>
        </w:tc>
        <w:tc>
          <w:tcPr>
            <w:tcW w:w="2157" w:type="dxa"/>
            <w:tcBorders>
              <w:left w:val="single" w:color="auto" w:sz="4" w:space="0"/>
              <w:tl2br w:val="nil"/>
              <w:tr2bl w:val="nil"/>
            </w:tcBorders>
            <w:noWrap w:val="0"/>
            <w:vAlign w:val="top"/>
          </w:tcPr>
          <w:p w14:paraId="68F843B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lang w:val="en-US" w:eastAsia="zh-CN"/>
              </w:rPr>
              <w:t>Tuntland, Hanne</w:t>
            </w:r>
          </w:p>
        </w:tc>
        <w:tc>
          <w:tcPr>
            <w:tcW w:w="1430" w:type="dxa"/>
            <w:tcBorders>
              <w:tl2br w:val="nil"/>
              <w:tr2bl w:val="nil"/>
            </w:tcBorders>
            <w:noWrap w:val="0"/>
            <w:vAlign w:val="center"/>
          </w:tcPr>
          <w:p w14:paraId="62372A4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Norway</w:t>
            </w:r>
          </w:p>
        </w:tc>
        <w:tc>
          <w:tcPr>
            <w:tcW w:w="1143" w:type="dxa"/>
            <w:tcBorders>
              <w:tl2br w:val="nil"/>
              <w:tr2bl w:val="nil"/>
            </w:tcBorders>
            <w:noWrap w:val="0"/>
            <w:vAlign w:val="top"/>
          </w:tcPr>
          <w:p w14:paraId="22DB901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306</w:t>
            </w:r>
          </w:p>
        </w:tc>
      </w:tr>
      <w:tr w14:paraId="4E10C413">
        <w:trPr>
          <w:trHeight w:val="374" w:hRule="atLeast"/>
        </w:trPr>
        <w:tc>
          <w:tcPr>
            <w:tcW w:w="743" w:type="dxa"/>
            <w:tcBorders>
              <w:tl2br w:val="nil"/>
              <w:tr2bl w:val="nil"/>
            </w:tcBorders>
            <w:noWrap w:val="0"/>
            <w:vAlign w:val="top"/>
          </w:tcPr>
          <w:p w14:paraId="5634B3C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8</w:t>
            </w:r>
          </w:p>
        </w:tc>
        <w:tc>
          <w:tcPr>
            <w:tcW w:w="1985" w:type="dxa"/>
            <w:tcBorders>
              <w:tl2br w:val="nil"/>
              <w:tr2bl w:val="nil"/>
            </w:tcBorders>
            <w:noWrap w:val="0"/>
            <w:vAlign w:val="top"/>
          </w:tcPr>
          <w:p w14:paraId="0A82C72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rPr>
            </w:pPr>
            <w:r>
              <w:rPr>
                <w:rFonts w:hint="default" w:ascii="Times New Roman Regular" w:hAnsi="Times New Roman Regular" w:eastAsia="宋体" w:cs="Times New Roman Regular"/>
                <w:color w:val="auto"/>
                <w:sz w:val="21"/>
                <w:szCs w:val="21"/>
                <w:lang w:val="en-US" w:eastAsia="zh-CN"/>
              </w:rPr>
              <w:t>Tuntland, Hanne</w:t>
            </w:r>
          </w:p>
        </w:tc>
        <w:tc>
          <w:tcPr>
            <w:tcW w:w="1400" w:type="dxa"/>
            <w:tcBorders>
              <w:tl2br w:val="nil"/>
              <w:tr2bl w:val="nil"/>
            </w:tcBorders>
            <w:noWrap w:val="0"/>
            <w:vAlign w:val="center"/>
          </w:tcPr>
          <w:p w14:paraId="29EE46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eastAsia="宋体" w:cs="Times New Roman Regular"/>
                <w:kern w:val="0"/>
                <w:sz w:val="21"/>
                <w:szCs w:val="21"/>
                <w:lang w:val="en-US" w:eastAsia="zh-CN" w:bidi="ar"/>
              </w:rPr>
              <w:t>Norway</w:t>
            </w:r>
          </w:p>
        </w:tc>
        <w:tc>
          <w:tcPr>
            <w:tcW w:w="1375" w:type="dxa"/>
            <w:tcBorders>
              <w:right w:val="single" w:color="auto" w:sz="4" w:space="0"/>
            </w:tcBorders>
            <w:noWrap w:val="0"/>
            <w:vAlign w:val="top"/>
          </w:tcPr>
          <w:p w14:paraId="160AFCF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12</w:t>
            </w:r>
          </w:p>
        </w:tc>
        <w:tc>
          <w:tcPr>
            <w:tcW w:w="2157" w:type="dxa"/>
            <w:tcBorders>
              <w:left w:val="single" w:color="auto" w:sz="4" w:space="0"/>
              <w:tl2br w:val="nil"/>
              <w:tr2bl w:val="nil"/>
            </w:tcBorders>
            <w:noWrap w:val="0"/>
            <w:vAlign w:val="top"/>
          </w:tcPr>
          <w:p w14:paraId="1C5D5D3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rPr>
              <w:t>Gruber-baldini, Ann L</w:t>
            </w:r>
          </w:p>
        </w:tc>
        <w:tc>
          <w:tcPr>
            <w:tcW w:w="1430" w:type="dxa"/>
            <w:tcBorders>
              <w:tl2br w:val="nil"/>
              <w:tr2bl w:val="nil"/>
            </w:tcBorders>
            <w:noWrap w:val="0"/>
            <w:vAlign w:val="center"/>
          </w:tcPr>
          <w:p w14:paraId="201289F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United States</w:t>
            </w:r>
          </w:p>
        </w:tc>
        <w:tc>
          <w:tcPr>
            <w:tcW w:w="1143" w:type="dxa"/>
            <w:tcBorders>
              <w:tl2br w:val="nil"/>
              <w:tr2bl w:val="nil"/>
            </w:tcBorders>
            <w:noWrap w:val="0"/>
            <w:vAlign w:val="top"/>
          </w:tcPr>
          <w:p w14:paraId="13AD79A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292</w:t>
            </w:r>
          </w:p>
        </w:tc>
      </w:tr>
      <w:tr w14:paraId="1377EB63">
        <w:trPr>
          <w:trHeight w:val="377" w:hRule="atLeast"/>
        </w:trPr>
        <w:tc>
          <w:tcPr>
            <w:tcW w:w="743" w:type="dxa"/>
            <w:tcBorders>
              <w:tl2br w:val="nil"/>
              <w:tr2bl w:val="nil"/>
            </w:tcBorders>
            <w:noWrap w:val="0"/>
            <w:vAlign w:val="top"/>
          </w:tcPr>
          <w:p w14:paraId="153C373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9</w:t>
            </w:r>
          </w:p>
        </w:tc>
        <w:tc>
          <w:tcPr>
            <w:tcW w:w="1985" w:type="dxa"/>
            <w:tcBorders>
              <w:tl2br w:val="nil"/>
              <w:tr2bl w:val="nil"/>
            </w:tcBorders>
            <w:noWrap w:val="0"/>
            <w:vAlign w:val="top"/>
          </w:tcPr>
          <w:p w14:paraId="5E63C51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rPr>
            </w:pPr>
            <w:r>
              <w:rPr>
                <w:rFonts w:hint="default" w:ascii="Times New Roman Regular" w:hAnsi="Times New Roman Regular" w:cs="Times New Roman Regular"/>
                <w:color w:val="auto"/>
                <w:sz w:val="21"/>
                <w:szCs w:val="21"/>
                <w:lang w:val="en-US"/>
              </w:rPr>
              <w:t>Kuzmik,</w:t>
            </w:r>
            <w:r>
              <w:rPr>
                <w:rFonts w:hint="default" w:ascii="Times New Roman Regular" w:hAnsi="Times New Roman Regular" w:cs="Times New Roman Regular"/>
                <w:color w:val="auto"/>
                <w:sz w:val="21"/>
                <w:szCs w:val="21"/>
                <w:lang w:val="en-US" w:eastAsia="zh-CN"/>
              </w:rPr>
              <w:t xml:space="preserve"> </w:t>
            </w:r>
            <w:r>
              <w:rPr>
                <w:rFonts w:hint="default" w:ascii="Times New Roman Regular" w:hAnsi="Times New Roman Regular" w:cs="Times New Roman Regular"/>
                <w:color w:val="auto"/>
                <w:sz w:val="21"/>
                <w:szCs w:val="21"/>
                <w:lang w:val="en-US"/>
              </w:rPr>
              <w:t>Ashley</w:t>
            </w:r>
          </w:p>
        </w:tc>
        <w:tc>
          <w:tcPr>
            <w:tcW w:w="1400" w:type="dxa"/>
            <w:tcBorders>
              <w:tl2br w:val="nil"/>
              <w:tr2bl w:val="nil"/>
            </w:tcBorders>
            <w:noWrap w:val="0"/>
            <w:vAlign w:val="center"/>
          </w:tcPr>
          <w:p w14:paraId="37A0796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lang w:val="en-US" w:eastAsia="zh-CN"/>
              </w:rPr>
              <w:t>United States</w:t>
            </w:r>
          </w:p>
        </w:tc>
        <w:tc>
          <w:tcPr>
            <w:tcW w:w="1375" w:type="dxa"/>
            <w:tcBorders>
              <w:right w:val="single" w:color="auto" w:sz="4" w:space="0"/>
            </w:tcBorders>
            <w:noWrap w:val="0"/>
            <w:vAlign w:val="top"/>
          </w:tcPr>
          <w:p w14:paraId="638F0FC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12</w:t>
            </w:r>
          </w:p>
        </w:tc>
        <w:tc>
          <w:tcPr>
            <w:tcW w:w="2157" w:type="dxa"/>
            <w:tcBorders>
              <w:left w:val="single" w:color="auto" w:sz="4" w:space="0"/>
              <w:tl2br w:val="nil"/>
              <w:tr2bl w:val="nil"/>
            </w:tcBorders>
            <w:noWrap w:val="0"/>
            <w:vAlign w:val="top"/>
          </w:tcPr>
          <w:p w14:paraId="2A65959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Lewin, Gill</w:t>
            </w:r>
          </w:p>
        </w:tc>
        <w:tc>
          <w:tcPr>
            <w:tcW w:w="1430" w:type="dxa"/>
            <w:tcBorders>
              <w:tl2br w:val="nil"/>
              <w:tr2bl w:val="nil"/>
            </w:tcBorders>
            <w:noWrap w:val="0"/>
            <w:vAlign w:val="center"/>
          </w:tcPr>
          <w:p w14:paraId="2676A3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eastAsia="宋体" w:cs="Times New Roman Regular"/>
                <w:kern w:val="0"/>
                <w:sz w:val="21"/>
                <w:szCs w:val="21"/>
                <w:lang w:val="en-US" w:eastAsia="zh-CN" w:bidi="ar"/>
              </w:rPr>
              <w:t>Australia</w:t>
            </w:r>
          </w:p>
        </w:tc>
        <w:tc>
          <w:tcPr>
            <w:tcW w:w="1143" w:type="dxa"/>
            <w:tcBorders>
              <w:tl2br w:val="nil"/>
              <w:tr2bl w:val="nil"/>
            </w:tcBorders>
            <w:noWrap w:val="0"/>
            <w:vAlign w:val="top"/>
          </w:tcPr>
          <w:p w14:paraId="7FA3727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208</w:t>
            </w:r>
          </w:p>
        </w:tc>
      </w:tr>
      <w:tr w14:paraId="687DF8C0">
        <w:trPr>
          <w:trHeight w:val="406" w:hRule="atLeast"/>
        </w:trPr>
        <w:tc>
          <w:tcPr>
            <w:tcW w:w="743" w:type="dxa"/>
            <w:tcBorders>
              <w:tl2br w:val="nil"/>
              <w:tr2bl w:val="nil"/>
            </w:tcBorders>
            <w:noWrap w:val="0"/>
            <w:vAlign w:val="top"/>
          </w:tcPr>
          <w:p w14:paraId="6378D13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lang w:val="en-US" w:eastAsia="zh-CN"/>
              </w:rPr>
              <w:t>10</w:t>
            </w:r>
          </w:p>
        </w:tc>
        <w:tc>
          <w:tcPr>
            <w:tcW w:w="1985" w:type="dxa"/>
            <w:tcBorders>
              <w:tl2br w:val="nil"/>
              <w:tr2bl w:val="nil"/>
            </w:tcBorders>
            <w:noWrap w:val="0"/>
            <w:vAlign w:val="top"/>
          </w:tcPr>
          <w:p w14:paraId="3DFF023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rPr>
            </w:pPr>
            <w:r>
              <w:rPr>
                <w:rFonts w:hint="default" w:ascii="Times New Roman Regular" w:hAnsi="Times New Roman Regular" w:eastAsia="宋体" w:cs="Times New Roman Regular"/>
                <w:color w:val="auto"/>
                <w:sz w:val="21"/>
                <w:szCs w:val="21"/>
              </w:rPr>
              <w:t>Zimmerman,Sheryl</w:t>
            </w:r>
          </w:p>
        </w:tc>
        <w:tc>
          <w:tcPr>
            <w:tcW w:w="1400" w:type="dxa"/>
            <w:tcBorders>
              <w:tl2br w:val="nil"/>
              <w:tr2bl w:val="nil"/>
            </w:tcBorders>
            <w:noWrap w:val="0"/>
            <w:vAlign w:val="center"/>
          </w:tcPr>
          <w:p w14:paraId="0E19EAC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lang w:val="en-US" w:eastAsia="zh-CN"/>
              </w:rPr>
              <w:t>United States</w:t>
            </w:r>
          </w:p>
        </w:tc>
        <w:tc>
          <w:tcPr>
            <w:tcW w:w="1375" w:type="dxa"/>
            <w:tcBorders>
              <w:right w:val="single" w:color="auto" w:sz="4" w:space="0"/>
            </w:tcBorders>
            <w:noWrap w:val="0"/>
            <w:vAlign w:val="top"/>
          </w:tcPr>
          <w:p w14:paraId="28444AE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eastAsia="宋体"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10</w:t>
            </w:r>
          </w:p>
        </w:tc>
        <w:tc>
          <w:tcPr>
            <w:tcW w:w="2157" w:type="dxa"/>
            <w:tcBorders>
              <w:left w:val="single" w:color="auto" w:sz="4" w:space="0"/>
              <w:tl2br w:val="nil"/>
              <w:tr2bl w:val="nil"/>
            </w:tcBorders>
            <w:noWrap w:val="0"/>
            <w:vAlign w:val="top"/>
          </w:tcPr>
          <w:p w14:paraId="0E94B05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eastAsia="宋体" w:cs="Times New Roman Regular"/>
                <w:color w:val="auto"/>
                <w:sz w:val="21"/>
                <w:szCs w:val="21"/>
              </w:rPr>
              <w:t>Clemson, Lindy</w:t>
            </w:r>
          </w:p>
        </w:tc>
        <w:tc>
          <w:tcPr>
            <w:tcW w:w="1430" w:type="dxa"/>
            <w:tcBorders>
              <w:tl2br w:val="nil"/>
              <w:tr2bl w:val="nil"/>
            </w:tcBorders>
            <w:noWrap w:val="0"/>
            <w:vAlign w:val="center"/>
          </w:tcPr>
          <w:p w14:paraId="2633D4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eastAsia="宋体" w:cs="Times New Roman Regular"/>
                <w:kern w:val="0"/>
                <w:sz w:val="21"/>
                <w:szCs w:val="21"/>
                <w:lang w:val="en-US" w:eastAsia="zh-CN" w:bidi="ar"/>
              </w:rPr>
              <w:t>Australia</w:t>
            </w:r>
          </w:p>
        </w:tc>
        <w:tc>
          <w:tcPr>
            <w:tcW w:w="1143" w:type="dxa"/>
            <w:tcBorders>
              <w:tl2br w:val="nil"/>
              <w:tr2bl w:val="nil"/>
            </w:tcBorders>
            <w:noWrap w:val="0"/>
            <w:vAlign w:val="top"/>
          </w:tcPr>
          <w:p w14:paraId="3584F33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color w:val="auto"/>
                <w:sz w:val="21"/>
                <w:szCs w:val="21"/>
                <w:lang w:val="en-US" w:eastAsia="zh-CN"/>
              </w:rPr>
            </w:pPr>
            <w:r>
              <w:rPr>
                <w:rFonts w:hint="default" w:ascii="Times New Roman Regular" w:hAnsi="Times New Roman Regular" w:cs="Times New Roman Regular"/>
                <w:color w:val="auto"/>
                <w:sz w:val="21"/>
                <w:szCs w:val="21"/>
                <w:lang w:val="en-US" w:eastAsia="zh-CN"/>
              </w:rPr>
              <w:t>206</w:t>
            </w:r>
          </w:p>
        </w:tc>
      </w:tr>
    </w:tbl>
    <w:p w14:paraId="469F8AB2">
      <w:pPr>
        <w:keepNext w:val="0"/>
        <w:keepLines w:val="0"/>
        <w:pageBreakBefore w:val="0"/>
        <w:widowControl w:val="0"/>
        <w:suppressLineNumbers w:val="0"/>
        <w:kinsoku/>
        <w:overflowPunct/>
        <w:topLinePunct w:val="0"/>
        <w:autoSpaceDE/>
        <w:autoSpaceDN/>
        <w:bidi w:val="0"/>
        <w:adjustRightInd/>
        <w:snapToGrid/>
        <w:spacing w:line="240" w:lineRule="auto"/>
        <w:jc w:val="left"/>
        <w:textAlignment w:val="auto"/>
        <w:outlineLvl w:val="9"/>
        <w:rPr>
          <w:rFonts w:hint="default" w:ascii="Times New Roman Bold" w:hAnsi="Times New Roman Bold" w:eastAsia="宋体" w:cs="Times New Roman Bold"/>
          <w:b/>
          <w:bCs/>
          <w:i/>
          <w:iCs/>
          <w:color w:val="auto"/>
          <w:kern w:val="2"/>
          <w:sz w:val="24"/>
          <w:szCs w:val="24"/>
          <w:lang w:val="en-US" w:eastAsia="zh-CN" w:bidi="ar"/>
        </w:rPr>
      </w:pPr>
      <w:r>
        <w:rPr>
          <w:rFonts w:hint="default" w:ascii="Times New Roman Bold" w:hAnsi="Times New Roman Bold" w:eastAsia="宋体" w:cs="Times New Roman Bold"/>
          <w:b/>
          <w:bCs/>
          <w:i/>
          <w:iCs/>
          <w:color w:val="auto"/>
          <w:kern w:val="2"/>
          <w:sz w:val="24"/>
          <w:szCs w:val="24"/>
          <w:lang w:val="en-US" w:eastAsia="zh-CN" w:bidi="ar"/>
        </w:rPr>
        <w:t>Country and institution analysis</w:t>
      </w:r>
    </w:p>
    <w:p w14:paraId="0EBD15BF">
      <w:pPr>
        <w:keepNext w:val="0"/>
        <w:keepLines w:val="0"/>
        <w:pageBreakBefore w:val="0"/>
        <w:widowControl/>
        <w:suppressLineNumbers w:val="0"/>
        <w:kinsoku/>
        <w:overflowPunct/>
        <w:topLinePunct w:val="0"/>
        <w:autoSpaceDE/>
        <w:autoSpaceDN/>
        <w:bidi w:val="0"/>
        <w:adjustRightInd/>
        <w:snapToGrid/>
        <w:spacing w:line="240" w:lineRule="auto"/>
        <w:ind w:firstLine="0" w:firstLineChars="0"/>
        <w:jc w:val="left"/>
        <w:textAlignment w:val="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included publications originated from 74 countries. The top five countries by publication output were the United States (</w:t>
      </w:r>
      <w:r>
        <w:rPr>
          <w:rFonts w:hint="default" w:ascii="Times New Roman Regular" w:hAnsi="Times New Roman Regular" w:cs="Times New Roman Regular"/>
          <w:sz w:val="24"/>
          <w:szCs w:val="24"/>
          <w:lang w:val="en-US"/>
        </w:rPr>
        <w:t>n=</w:t>
      </w:r>
      <w:r>
        <w:rPr>
          <w:rFonts w:hint="default" w:ascii="Times New Roman Regular" w:hAnsi="Times New Roman Regular" w:cs="Times New Roman Regular"/>
          <w:sz w:val="24"/>
          <w:szCs w:val="24"/>
        </w:rPr>
        <w:t>89), Australia (</w:t>
      </w:r>
      <w:r>
        <w:rPr>
          <w:rFonts w:hint="default" w:ascii="Times New Roman Regular" w:hAnsi="Times New Roman Regular" w:cs="Times New Roman Regular"/>
          <w:sz w:val="24"/>
          <w:szCs w:val="24"/>
          <w:lang w:val="en-US"/>
        </w:rPr>
        <w:t>n=</w:t>
      </w:r>
      <w:r>
        <w:rPr>
          <w:rFonts w:hint="default" w:ascii="Times New Roman Regular" w:hAnsi="Times New Roman Regular" w:cs="Times New Roman Regular"/>
          <w:sz w:val="24"/>
          <w:szCs w:val="24"/>
        </w:rPr>
        <w:t>52), Norway (</w:t>
      </w:r>
      <w:r>
        <w:rPr>
          <w:rFonts w:hint="default" w:ascii="Times New Roman Regular" w:hAnsi="Times New Roman Regular" w:cs="Times New Roman Regular"/>
          <w:sz w:val="24"/>
          <w:szCs w:val="24"/>
          <w:lang w:val="en-US"/>
        </w:rPr>
        <w:t>n=</w:t>
      </w:r>
      <w:r>
        <w:rPr>
          <w:rFonts w:hint="default" w:ascii="Times New Roman Regular" w:hAnsi="Times New Roman Regular" w:cs="Times New Roman Regular"/>
          <w:sz w:val="24"/>
          <w:szCs w:val="24"/>
        </w:rPr>
        <w:t>48 ), the Netherlands (</w:t>
      </w:r>
      <w:r>
        <w:rPr>
          <w:rFonts w:hint="default" w:ascii="Times New Roman Regular" w:hAnsi="Times New Roman Regular" w:cs="Times New Roman Regular"/>
          <w:sz w:val="24"/>
          <w:szCs w:val="24"/>
          <w:lang w:val="en-US"/>
        </w:rPr>
        <w:t>n=</w:t>
      </w:r>
      <w:r>
        <w:rPr>
          <w:rFonts w:hint="default" w:ascii="Times New Roman Regular" w:hAnsi="Times New Roman Regular" w:cs="Times New Roman Regular"/>
          <w:sz w:val="24"/>
          <w:szCs w:val="24"/>
        </w:rPr>
        <w:t>29), and the United Kingdom (</w:t>
      </w:r>
      <w:r>
        <w:rPr>
          <w:rFonts w:hint="default" w:ascii="Times New Roman Regular" w:hAnsi="Times New Roman Regular" w:cs="Times New Roman Regular"/>
          <w:sz w:val="24"/>
          <w:szCs w:val="24"/>
          <w:lang w:val="en-US"/>
        </w:rPr>
        <w:t>n=</w:t>
      </w:r>
      <w:r>
        <w:rPr>
          <w:rFonts w:hint="default" w:ascii="Times New Roman Regular" w:hAnsi="Times New Roman Regular" w:cs="Times New Roman Regular"/>
          <w:sz w:val="24"/>
          <w:szCs w:val="24"/>
        </w:rPr>
        <w:t>22).</w:t>
      </w:r>
      <w:r>
        <w:rPr>
          <w:rFonts w:hint="default" w:ascii="Times New Roman Regular" w:hAnsi="Times New Roman Regular" w:cs="Times New Roman Regular"/>
          <w:sz w:val="24"/>
          <w:szCs w:val="24"/>
          <w:lang w:val="en-US"/>
        </w:rPr>
        <w:t xml:space="preserve"> </w:t>
      </w:r>
      <w:r>
        <w:rPr>
          <w:rFonts w:hint="default" w:ascii="Times New Roman Regular" w:hAnsi="Times New Roman Regular" w:cs="Times New Roman Regular"/>
          <w:sz w:val="24"/>
          <w:szCs w:val="24"/>
        </w:rPr>
        <w:t>The top five institutions were the University of Maryland, United States (</w:t>
      </w:r>
      <w:r>
        <w:rPr>
          <w:rFonts w:hint="default" w:ascii="Times New Roman Regular" w:hAnsi="Times New Roman Regular" w:cs="Times New Roman Regular"/>
          <w:sz w:val="24"/>
          <w:szCs w:val="24"/>
          <w:lang w:val="en-US"/>
        </w:rPr>
        <w:t>n=</w:t>
      </w:r>
      <w:r>
        <w:rPr>
          <w:rFonts w:hint="default" w:ascii="Times New Roman Regular" w:hAnsi="Times New Roman Regular" w:cs="Times New Roman Regular"/>
          <w:sz w:val="24"/>
          <w:szCs w:val="24"/>
        </w:rPr>
        <w:t>63), Pennsylvania State University, United States (</w:t>
      </w:r>
      <w:r>
        <w:rPr>
          <w:rFonts w:hint="default" w:ascii="Times New Roman Regular" w:hAnsi="Times New Roman Regular" w:cs="Times New Roman Regular"/>
          <w:sz w:val="24"/>
          <w:szCs w:val="24"/>
          <w:lang w:val="en-US"/>
        </w:rPr>
        <w:t>n=</w:t>
      </w:r>
      <w:r>
        <w:rPr>
          <w:rFonts w:hint="default" w:ascii="Times New Roman Regular" w:hAnsi="Times New Roman Regular" w:cs="Times New Roman Regular"/>
          <w:sz w:val="24"/>
          <w:szCs w:val="24"/>
        </w:rPr>
        <w:t>25), Maastricht University, the Netherlands (</w:t>
      </w:r>
      <w:r>
        <w:rPr>
          <w:rFonts w:hint="default" w:ascii="Times New Roman Regular" w:hAnsi="Times New Roman Regular" w:cs="Times New Roman Regular"/>
          <w:sz w:val="24"/>
          <w:szCs w:val="24"/>
          <w:lang w:val="en-US"/>
        </w:rPr>
        <w:t>n=</w:t>
      </w:r>
      <w:r>
        <w:rPr>
          <w:rFonts w:hint="default" w:ascii="Times New Roman Regular" w:hAnsi="Times New Roman Regular" w:cs="Times New Roman Regular"/>
          <w:sz w:val="24"/>
          <w:szCs w:val="24"/>
        </w:rPr>
        <w:t>20), the University of Sydney, Australia (</w:t>
      </w:r>
      <w:r>
        <w:rPr>
          <w:rFonts w:hint="default" w:ascii="Times New Roman Regular" w:hAnsi="Times New Roman Regular" w:cs="Times New Roman Regular"/>
          <w:sz w:val="24"/>
          <w:szCs w:val="24"/>
          <w:lang w:val="en-US"/>
        </w:rPr>
        <w:t>n=</w:t>
      </w:r>
      <w:r>
        <w:rPr>
          <w:rFonts w:hint="default" w:ascii="Times New Roman Regular" w:hAnsi="Times New Roman Regular" w:cs="Times New Roman Regular"/>
          <w:sz w:val="24"/>
          <w:szCs w:val="24"/>
        </w:rPr>
        <w:t>17), and the University of North Carolina, United States (</w:t>
      </w:r>
      <w:r>
        <w:rPr>
          <w:rFonts w:hint="default" w:ascii="Times New Roman Regular" w:hAnsi="Times New Roman Regular" w:cs="Times New Roman Regular"/>
          <w:sz w:val="24"/>
          <w:szCs w:val="24"/>
          <w:lang w:val="en-US"/>
        </w:rPr>
        <w:t>n=</w:t>
      </w:r>
      <w:r>
        <w:rPr>
          <w:rFonts w:hint="default" w:ascii="Times New Roman Regular" w:hAnsi="Times New Roman Regular" w:cs="Times New Roman Regular"/>
          <w:sz w:val="24"/>
          <w:szCs w:val="24"/>
        </w:rPr>
        <w:t>13).</w:t>
      </w:r>
      <w:r>
        <w:rPr>
          <w:rFonts w:hint="default" w:ascii="Times New Roman Regular" w:hAnsi="Times New Roman Regular" w:cs="Times New Roman Regular"/>
          <w:sz w:val="24"/>
          <w:szCs w:val="24"/>
          <w:lang w:val="en-US"/>
        </w:rPr>
        <w:t xml:space="preserve"> </w:t>
      </w:r>
      <w:r>
        <w:rPr>
          <w:rFonts w:hint="default" w:ascii="Times New Roman Regular" w:hAnsi="Times New Roman Regular" w:cs="Times New Roman Regular"/>
          <w:sz w:val="24"/>
          <w:szCs w:val="24"/>
        </w:rPr>
        <w:t>Using VOSviewer, collaboration networks among countries and institutions were analyzed. The strength of collaboration was represented by total link strength (TLS). The top five countries by TLS were Australia, Norway, the Netherlands, the United States</w:t>
      </w:r>
      <w:r>
        <w:rPr>
          <w:rFonts w:hint="default" w:ascii="Times New Roman Regular" w:hAnsi="Times New Roman Regular" w:cs="Times New Roman Regular"/>
          <w:sz w:val="24"/>
          <w:szCs w:val="24"/>
          <w:lang w:val="en-US"/>
        </w:rPr>
        <w:t xml:space="preserve">, </w:t>
      </w:r>
      <w:r>
        <w:rPr>
          <w:rFonts w:hint="default" w:ascii="Times New Roman Regular" w:hAnsi="Times New Roman Regular" w:cs="Times New Roman Regular"/>
          <w:sz w:val="24"/>
          <w:szCs w:val="24"/>
        </w:rPr>
        <w:t>the United Kingdom and Canada (tied for fifth). The top five institutions by TLS were the University of Maryland, United States; the University of Sydney, Australia; Maastricht University, the Netherlands; Curtin University, Australia; and Pennsylvania State University, United States.</w:t>
      </w:r>
    </w:p>
    <w:p w14:paraId="16EF8329">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Bold" w:hAnsi="Times New Roman Bold" w:cs="Times New Roman Bold"/>
          <w:b/>
          <w:bCs/>
          <w:i/>
          <w:iCs/>
          <w:color w:val="auto"/>
          <w:sz w:val="24"/>
          <w:szCs w:val="24"/>
          <w:lang w:val="en-US" w:eastAsia="zh-CN"/>
        </w:rPr>
      </w:pPr>
      <w:r>
        <w:rPr>
          <w:rFonts w:hint="default" w:ascii="Times New Roman Bold" w:hAnsi="Times New Roman Bold" w:cs="Times New Roman Bold"/>
          <w:b/>
          <w:bCs/>
          <w:i/>
          <w:iCs/>
          <w:color w:val="auto"/>
          <w:sz w:val="24"/>
          <w:szCs w:val="24"/>
          <w:lang w:val="en-US" w:eastAsia="zh-CN"/>
        </w:rPr>
        <w:t>Keywords analysis</w:t>
      </w:r>
    </w:p>
    <w:p w14:paraId="39E03AED">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Italic" w:hAnsi="Times New Roman Italic" w:cs="Times New Roman Italic"/>
          <w:b w:val="0"/>
          <w:bCs w:val="0"/>
          <w:i/>
          <w:iCs/>
          <w:color w:val="auto"/>
          <w:sz w:val="24"/>
          <w:szCs w:val="24"/>
          <w:lang w:val="en-US" w:eastAsia="zh-CN"/>
        </w:rPr>
      </w:pPr>
      <w:r>
        <w:rPr>
          <w:rFonts w:hint="default" w:ascii="Times New Roman Italic" w:hAnsi="Times New Roman Italic" w:cs="Times New Roman Italic"/>
          <w:b w:val="0"/>
          <w:bCs w:val="0"/>
          <w:i/>
          <w:iCs/>
          <w:color w:val="auto"/>
          <w:sz w:val="24"/>
          <w:szCs w:val="24"/>
          <w:lang w:val="en-US" w:eastAsia="zh-CN"/>
        </w:rPr>
        <w:t>High-frequency keywords analysis</w:t>
      </w:r>
    </w:p>
    <w:p w14:paraId="794AA504">
      <w:pPr>
        <w:keepNext w:val="0"/>
        <w:keepLines w:val="0"/>
        <w:widowControl w:val="0"/>
        <w:suppressLineNumbers w:val="0"/>
        <w:spacing w:line="240" w:lineRule="auto"/>
        <w:ind w:firstLine="0" w:firstLineChars="0"/>
        <w:jc w:val="left"/>
        <w:rPr>
          <w:rFonts w:hint="default" w:ascii="Times New Roman Regular" w:hAnsi="Times New Roman Regular" w:cs="Times New Roman Regular"/>
          <w:i w:val="0"/>
          <w:sz w:val="24"/>
          <w:szCs w:val="24"/>
        </w:rPr>
      </w:pPr>
      <w:r>
        <w:rPr>
          <w:rFonts w:hint="default" w:ascii="Times New Roman Regular" w:hAnsi="Times New Roman Regular" w:cs="Times New Roman Regular"/>
          <w:i w:val="0"/>
          <w:sz w:val="24"/>
          <w:szCs w:val="24"/>
        </w:rPr>
        <w:t>Keyword frequency reflects the level of research attention, while centrality indicates a keyword’s influence or importance within the research network. Based on high-frequency keywords, current research hotspots in reablement can be categorized into five main aspects.</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 xml:space="preserve">First, in terms of research populations,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older adults</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had the highest frequency, indicating that this group is the primary focus of reablement research.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Dementia</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showed the highest centrality, suggesting its pivotal role within the research network.</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 xml:space="preserve">Second, regarding research content,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reablement</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had the highest frequency, followed by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physical activity</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and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rehabilitation</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 xml:space="preserve">Third, in terms of research types,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intervention</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appeared most frequently, followed by qualitative studies focusing on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experiences</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and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randomized controlled trials</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Intervention</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also demonstrated relatively high centrality.</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 xml:space="preserve">Fourth, concerning outcome measures,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reliability</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had the highest frequency, followed by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health</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validity</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and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quality of life</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Among these,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health</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showed relatively high centrality.</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 xml:space="preserve">Fifth, regarding research settings,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home care</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appeared with relatively high frequency. Detailed information is presented in Table 2.</w:t>
      </w:r>
    </w:p>
    <w:p w14:paraId="3A4321CD">
      <w:pPr>
        <w:keepNext w:val="0"/>
        <w:keepLines w:val="0"/>
        <w:widowControl/>
        <w:suppressLineNumbers w:val="0"/>
        <w:spacing w:line="240" w:lineRule="auto"/>
        <w:jc w:val="left"/>
        <w:rPr>
          <w:rFonts w:hint="default" w:ascii="Times New Roman Regular" w:hAnsi="Times New Roman Regular" w:cs="Times New Roman Regular"/>
          <w:color w:val="auto"/>
          <w:sz w:val="24"/>
          <w:szCs w:val="24"/>
          <w:vertAlign w:val="baseline"/>
          <w:lang w:val="en-US" w:eastAsia="zh-CN"/>
        </w:rPr>
      </w:pPr>
      <w:r>
        <w:rPr>
          <w:rFonts w:hint="default" w:ascii="Times New Roman Regular" w:hAnsi="Times New Roman Regular" w:cs="Times New Roman Regular"/>
          <w:i w:val="0"/>
          <w:sz w:val="24"/>
          <w:szCs w:val="24"/>
        </w:rPr>
        <w:t xml:space="preserve">Table </w:t>
      </w:r>
      <w:r>
        <w:rPr>
          <w:rFonts w:hint="default" w:ascii="Times New Roman Bold" w:hAnsi="Times New Roman Bold" w:cs="Times New Roman Bold"/>
          <w:b/>
          <w:bCs/>
          <w:i w:val="0"/>
          <w:sz w:val="24"/>
          <w:szCs w:val="24"/>
        </w:rPr>
        <w:t>2</w:t>
      </w:r>
      <w:r>
        <w:rPr>
          <w:rFonts w:hint="default" w:ascii="Times New Roman Bold" w:hAnsi="Times New Roman Bold" w:cs="Times New Roman Bold"/>
          <w:b/>
          <w:bCs/>
          <w:i w:val="0"/>
          <w:sz w:val="24"/>
          <w:szCs w:val="24"/>
          <w:lang w:val="en-US"/>
        </w:rPr>
        <w:t>.</w:t>
      </w:r>
      <w:r>
        <w:rPr>
          <w:rFonts w:hint="default" w:ascii="Times New Roman Regular" w:hAnsi="Times New Roman Regular" w:cs="Times New Roman Regular"/>
          <w:color w:val="auto"/>
          <w:sz w:val="24"/>
          <w:szCs w:val="24"/>
          <w:lang w:val="en-US" w:eastAsia="zh-CN"/>
        </w:rPr>
        <w:t xml:space="preserve"> </w:t>
      </w:r>
      <w:r>
        <w:rPr>
          <w:rFonts w:hint="default" w:ascii="Times New Roman Regular" w:hAnsi="Times New Roman Regular" w:eastAsia="Georgia" w:cs="Times New Roman Regular"/>
          <w:i w:val="0"/>
          <w:iCs w:val="0"/>
          <w:caps w:val="0"/>
          <w:color w:val="1F1F1F"/>
          <w:spacing w:val="0"/>
          <w:kern w:val="0"/>
          <w:sz w:val="24"/>
          <w:szCs w:val="24"/>
          <w:lang w:val="en-US" w:eastAsia="zh-CN" w:bidi="ar"/>
        </w:rPr>
        <w:t>Top 20 keywords by frequency in research on reablement.</w:t>
      </w:r>
    </w:p>
    <w:tbl>
      <w:tblPr>
        <w:tblStyle w:val="12"/>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617"/>
        <w:gridCol w:w="811"/>
        <w:gridCol w:w="1161"/>
        <w:gridCol w:w="728"/>
        <w:gridCol w:w="2342"/>
        <w:gridCol w:w="800"/>
        <w:gridCol w:w="1173"/>
      </w:tblGrid>
      <w:tr w14:paraId="2B7AC19D">
        <w:trPr>
          <w:jc w:val="center"/>
        </w:trPr>
        <w:tc>
          <w:tcPr>
            <w:tcW w:w="710" w:type="dxa"/>
            <w:tcBorders>
              <w:top w:val="single" w:color="auto" w:sz="12" w:space="0"/>
              <w:left w:val="nil"/>
              <w:bottom w:val="single" w:color="auto" w:sz="6" w:space="0"/>
              <w:right w:val="nil"/>
            </w:tcBorders>
            <w:noWrap w:val="0"/>
            <w:vAlign w:val="top"/>
          </w:tcPr>
          <w:p w14:paraId="56D08EF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Bold" w:hAnsi="Times New Roman Bold" w:cs="Times New Roman Bold"/>
                <w:b/>
                <w:bCs/>
                <w:color w:val="auto"/>
                <w:sz w:val="21"/>
                <w:szCs w:val="21"/>
                <w:vertAlign w:val="baseline"/>
                <w:lang w:val="en-US" w:eastAsia="zh-CN"/>
              </w:rPr>
            </w:pPr>
            <w:r>
              <w:rPr>
                <w:rFonts w:hint="default" w:ascii="Times New Roman Bold" w:hAnsi="Times New Roman Bold" w:cs="Times New Roman Bold"/>
                <w:b/>
                <w:bCs/>
                <w:color w:val="auto"/>
                <w:sz w:val="21"/>
                <w:szCs w:val="21"/>
                <w:vertAlign w:val="baseline"/>
                <w:lang w:val="en-US" w:eastAsia="zh-CN"/>
              </w:rPr>
              <w:t>Rank</w:t>
            </w:r>
          </w:p>
        </w:tc>
        <w:tc>
          <w:tcPr>
            <w:tcW w:w="1617" w:type="dxa"/>
            <w:tcBorders>
              <w:top w:val="single" w:color="auto" w:sz="12" w:space="0"/>
              <w:left w:val="nil"/>
              <w:bottom w:val="single" w:color="auto" w:sz="6" w:space="0"/>
              <w:right w:val="nil"/>
            </w:tcBorders>
            <w:noWrap w:val="0"/>
            <w:vAlign w:val="top"/>
          </w:tcPr>
          <w:p w14:paraId="1B50F88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Bold" w:hAnsi="Times New Roman Bold" w:cs="Times New Roman Bold"/>
                <w:b/>
                <w:bCs/>
                <w:color w:val="auto"/>
                <w:sz w:val="21"/>
                <w:szCs w:val="21"/>
                <w:vertAlign w:val="baseline"/>
                <w:lang w:val="en-US" w:eastAsia="zh-CN"/>
              </w:rPr>
            </w:pPr>
            <w:r>
              <w:rPr>
                <w:rFonts w:hint="default" w:ascii="Times New Roman Bold" w:hAnsi="Times New Roman Bold" w:cs="Times New Roman Bold"/>
                <w:b/>
                <w:bCs/>
                <w:color w:val="auto"/>
                <w:sz w:val="21"/>
                <w:szCs w:val="21"/>
                <w:vertAlign w:val="baseline"/>
                <w:lang w:val="en-US" w:eastAsia="zh-CN"/>
              </w:rPr>
              <w:t>Keywords</w:t>
            </w:r>
          </w:p>
        </w:tc>
        <w:tc>
          <w:tcPr>
            <w:tcW w:w="811" w:type="dxa"/>
            <w:tcBorders>
              <w:top w:val="single" w:color="auto" w:sz="12" w:space="0"/>
              <w:left w:val="nil"/>
              <w:bottom w:val="single" w:color="auto" w:sz="6" w:space="0"/>
              <w:right w:val="nil"/>
            </w:tcBorders>
            <w:noWrap w:val="0"/>
            <w:vAlign w:val="top"/>
          </w:tcPr>
          <w:p w14:paraId="425A953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Bold" w:hAnsi="Times New Roman Bold" w:cs="Times New Roman Bold"/>
                <w:b/>
                <w:bCs/>
                <w:color w:val="auto"/>
                <w:sz w:val="21"/>
                <w:szCs w:val="21"/>
                <w:vertAlign w:val="baseline"/>
                <w:lang w:val="en-US" w:eastAsia="zh-CN"/>
              </w:rPr>
            </w:pPr>
            <w:r>
              <w:rPr>
                <w:rFonts w:hint="default" w:ascii="Times New Roman Bold" w:hAnsi="Times New Roman Bold" w:cs="Times New Roman Bold"/>
                <w:b/>
                <w:bCs/>
                <w:color w:val="auto"/>
                <w:sz w:val="21"/>
                <w:szCs w:val="21"/>
                <w:vertAlign w:val="baseline"/>
                <w:lang w:val="en-US" w:eastAsia="zh-CN"/>
              </w:rPr>
              <w:t>Times</w:t>
            </w:r>
          </w:p>
        </w:tc>
        <w:tc>
          <w:tcPr>
            <w:tcW w:w="1161" w:type="dxa"/>
            <w:tcBorders>
              <w:top w:val="single" w:color="auto" w:sz="12" w:space="0"/>
              <w:left w:val="nil"/>
              <w:bottom w:val="single" w:color="auto" w:sz="6" w:space="0"/>
              <w:right w:val="single" w:color="auto" w:sz="6" w:space="0"/>
            </w:tcBorders>
            <w:noWrap w:val="0"/>
            <w:vAlign w:val="top"/>
          </w:tcPr>
          <w:p w14:paraId="7EE4451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Bold" w:hAnsi="Times New Roman Bold" w:cs="Times New Roman Bold"/>
                <w:b/>
                <w:bCs/>
                <w:color w:val="auto"/>
                <w:sz w:val="21"/>
                <w:szCs w:val="21"/>
                <w:vertAlign w:val="baseline"/>
                <w:lang w:val="en-US" w:eastAsia="zh-CN"/>
              </w:rPr>
            </w:pPr>
            <w:r>
              <w:rPr>
                <w:rFonts w:hint="default" w:ascii="Times New Roman Bold" w:hAnsi="Times New Roman Bold" w:cs="Times New Roman Bold"/>
                <w:b/>
                <w:bCs/>
                <w:color w:val="auto"/>
                <w:sz w:val="21"/>
                <w:szCs w:val="21"/>
                <w:vertAlign w:val="baseline"/>
                <w:lang w:val="en-US" w:eastAsia="zh-CN"/>
              </w:rPr>
              <w:t>Centrality</w:t>
            </w:r>
          </w:p>
        </w:tc>
        <w:tc>
          <w:tcPr>
            <w:tcW w:w="728" w:type="dxa"/>
            <w:tcBorders>
              <w:top w:val="single" w:color="auto" w:sz="12" w:space="0"/>
              <w:left w:val="single" w:color="auto" w:sz="6" w:space="0"/>
              <w:bottom w:val="single" w:color="auto" w:sz="6" w:space="0"/>
              <w:right w:val="nil"/>
            </w:tcBorders>
            <w:noWrap w:val="0"/>
            <w:vAlign w:val="top"/>
          </w:tcPr>
          <w:p w14:paraId="20CC8AC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Bold" w:hAnsi="Times New Roman Bold" w:cs="Times New Roman Bold"/>
                <w:b/>
                <w:bCs/>
                <w:color w:val="auto"/>
                <w:sz w:val="21"/>
                <w:szCs w:val="21"/>
                <w:vertAlign w:val="baseline"/>
                <w:lang w:val="en-US" w:eastAsia="zh-CN"/>
              </w:rPr>
            </w:pPr>
            <w:r>
              <w:rPr>
                <w:rFonts w:hint="default" w:ascii="Times New Roman Bold" w:hAnsi="Times New Roman Bold" w:cs="Times New Roman Bold"/>
                <w:b/>
                <w:bCs/>
                <w:color w:val="auto"/>
                <w:sz w:val="21"/>
                <w:szCs w:val="21"/>
                <w:vertAlign w:val="baseline"/>
                <w:lang w:val="en-US" w:eastAsia="zh-CN"/>
              </w:rPr>
              <w:t>Rank</w:t>
            </w:r>
          </w:p>
        </w:tc>
        <w:tc>
          <w:tcPr>
            <w:tcW w:w="2342" w:type="dxa"/>
            <w:tcBorders>
              <w:top w:val="single" w:color="auto" w:sz="12" w:space="0"/>
              <w:left w:val="nil"/>
              <w:bottom w:val="single" w:color="auto" w:sz="6" w:space="0"/>
              <w:right w:val="nil"/>
            </w:tcBorders>
            <w:noWrap w:val="0"/>
            <w:vAlign w:val="top"/>
          </w:tcPr>
          <w:p w14:paraId="1AD8105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Bold" w:hAnsi="Times New Roman Bold" w:cs="Times New Roman Bold"/>
                <w:b/>
                <w:bCs/>
                <w:color w:val="auto"/>
                <w:sz w:val="21"/>
                <w:szCs w:val="21"/>
                <w:vertAlign w:val="baseline"/>
                <w:lang w:val="en-US" w:eastAsia="zh-CN"/>
              </w:rPr>
            </w:pPr>
            <w:r>
              <w:rPr>
                <w:rFonts w:hint="default" w:ascii="Times New Roman Bold" w:hAnsi="Times New Roman Bold" w:cs="Times New Roman Bold"/>
                <w:b/>
                <w:bCs/>
                <w:color w:val="auto"/>
                <w:sz w:val="21"/>
                <w:szCs w:val="21"/>
                <w:vertAlign w:val="baseline"/>
                <w:lang w:val="en-US" w:eastAsia="zh-CN"/>
              </w:rPr>
              <w:t>Keywords</w:t>
            </w:r>
          </w:p>
        </w:tc>
        <w:tc>
          <w:tcPr>
            <w:tcW w:w="800" w:type="dxa"/>
            <w:tcBorders>
              <w:top w:val="single" w:color="auto" w:sz="12" w:space="0"/>
              <w:left w:val="nil"/>
              <w:bottom w:val="single" w:color="auto" w:sz="6" w:space="0"/>
              <w:right w:val="nil"/>
            </w:tcBorders>
            <w:noWrap w:val="0"/>
            <w:vAlign w:val="top"/>
          </w:tcPr>
          <w:p w14:paraId="382BF7E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Bold" w:hAnsi="Times New Roman Bold" w:cs="Times New Roman Bold"/>
                <w:b/>
                <w:bCs/>
                <w:color w:val="auto"/>
                <w:sz w:val="21"/>
                <w:szCs w:val="21"/>
                <w:vertAlign w:val="baseline"/>
                <w:lang w:val="en-US" w:eastAsia="zh-CN"/>
              </w:rPr>
            </w:pPr>
            <w:r>
              <w:rPr>
                <w:rFonts w:hint="default" w:ascii="Times New Roman Bold" w:hAnsi="Times New Roman Bold" w:cs="Times New Roman Bold"/>
                <w:b/>
                <w:bCs/>
                <w:color w:val="auto"/>
                <w:sz w:val="21"/>
                <w:szCs w:val="21"/>
                <w:vertAlign w:val="baseline"/>
                <w:lang w:val="en-US" w:eastAsia="zh-CN"/>
              </w:rPr>
              <w:t>Times</w:t>
            </w:r>
          </w:p>
        </w:tc>
        <w:tc>
          <w:tcPr>
            <w:tcW w:w="1173" w:type="dxa"/>
            <w:tcBorders>
              <w:top w:val="single" w:color="auto" w:sz="12" w:space="0"/>
              <w:left w:val="nil"/>
              <w:bottom w:val="single" w:color="auto" w:sz="6" w:space="0"/>
              <w:right w:val="nil"/>
            </w:tcBorders>
            <w:noWrap w:val="0"/>
            <w:vAlign w:val="top"/>
          </w:tcPr>
          <w:p w14:paraId="06665E5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Bold" w:hAnsi="Times New Roman Bold" w:cs="Times New Roman Bold"/>
                <w:b/>
                <w:bCs/>
                <w:color w:val="auto"/>
                <w:sz w:val="21"/>
                <w:szCs w:val="21"/>
                <w:vertAlign w:val="baseline"/>
                <w:lang w:val="en-US" w:eastAsia="zh-CN"/>
              </w:rPr>
            </w:pPr>
            <w:r>
              <w:rPr>
                <w:rFonts w:hint="default" w:ascii="Times New Roman Bold" w:hAnsi="Times New Roman Bold" w:cs="Times New Roman Bold"/>
                <w:b/>
                <w:bCs/>
                <w:color w:val="auto"/>
                <w:sz w:val="21"/>
                <w:szCs w:val="21"/>
                <w:vertAlign w:val="baseline"/>
                <w:lang w:val="en-US" w:eastAsia="zh-CN"/>
              </w:rPr>
              <w:t>Centrality</w:t>
            </w:r>
          </w:p>
        </w:tc>
      </w:tr>
      <w:tr w14:paraId="200A9CEA">
        <w:trPr>
          <w:jc w:val="center"/>
        </w:trPr>
        <w:tc>
          <w:tcPr>
            <w:tcW w:w="710" w:type="dxa"/>
            <w:tcBorders>
              <w:top w:val="single" w:color="auto" w:sz="6" w:space="0"/>
              <w:left w:val="nil"/>
              <w:bottom w:val="nil"/>
              <w:right w:val="nil"/>
            </w:tcBorders>
            <w:noWrap w:val="0"/>
            <w:vAlign w:val="top"/>
          </w:tcPr>
          <w:p w14:paraId="74574C0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sz w:val="21"/>
                <w:szCs w:val="21"/>
                <w:vertAlign w:val="baseline"/>
                <w:lang w:val="en-US" w:eastAsia="zh-CN"/>
              </w:rPr>
            </w:pPr>
            <w:r>
              <w:rPr>
                <w:rFonts w:hint="default" w:ascii="Times New Roman Regular" w:hAnsi="Times New Roman Regular" w:eastAsia="宋体" w:cs="Times New Roman Regular"/>
                <w:color w:val="auto"/>
                <w:sz w:val="21"/>
                <w:szCs w:val="21"/>
                <w:vertAlign w:val="baseline"/>
                <w:lang w:val="en-US" w:eastAsia="zh-CN"/>
              </w:rPr>
              <w:t>1</w:t>
            </w:r>
          </w:p>
        </w:tc>
        <w:tc>
          <w:tcPr>
            <w:tcW w:w="1617" w:type="dxa"/>
            <w:tcBorders>
              <w:top w:val="single" w:color="auto" w:sz="6" w:space="0"/>
              <w:left w:val="nil"/>
              <w:bottom w:val="nil"/>
              <w:right w:val="nil"/>
            </w:tcBorders>
            <w:noWrap w:val="0"/>
            <w:vAlign w:val="top"/>
          </w:tcPr>
          <w:p w14:paraId="11952AF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highlight w:val="none"/>
                <w:vertAlign w:val="baseline"/>
                <w:lang w:val="en-US" w:eastAsia="zh-CN"/>
              </w:rPr>
              <w:t>Older adults</w:t>
            </w:r>
          </w:p>
        </w:tc>
        <w:tc>
          <w:tcPr>
            <w:tcW w:w="811" w:type="dxa"/>
            <w:tcBorders>
              <w:top w:val="single" w:color="auto" w:sz="6" w:space="0"/>
              <w:left w:val="nil"/>
              <w:bottom w:val="nil"/>
              <w:right w:val="nil"/>
            </w:tcBorders>
            <w:noWrap w:val="0"/>
            <w:vAlign w:val="top"/>
          </w:tcPr>
          <w:p w14:paraId="00FBC17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105</w:t>
            </w:r>
          </w:p>
        </w:tc>
        <w:tc>
          <w:tcPr>
            <w:tcW w:w="1161" w:type="dxa"/>
            <w:tcBorders>
              <w:top w:val="single" w:color="auto" w:sz="6" w:space="0"/>
              <w:left w:val="nil"/>
              <w:bottom w:val="nil"/>
              <w:right w:val="single" w:color="auto" w:sz="6" w:space="0"/>
            </w:tcBorders>
            <w:noWrap w:val="0"/>
            <w:vAlign w:val="top"/>
          </w:tcPr>
          <w:p w14:paraId="32C99CE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0.</w:t>
            </w:r>
            <w:r>
              <w:rPr>
                <w:rFonts w:hint="default" w:ascii="Times New Roman Regular" w:hAnsi="Times New Roman Regular" w:cs="Times New Roman Regular"/>
                <w:color w:val="auto"/>
                <w:sz w:val="21"/>
                <w:szCs w:val="21"/>
                <w:vertAlign w:val="baseline"/>
                <w:lang w:val="en-US" w:eastAsia="zh-CN"/>
              </w:rPr>
              <w:t>07</w:t>
            </w:r>
          </w:p>
        </w:tc>
        <w:tc>
          <w:tcPr>
            <w:tcW w:w="728" w:type="dxa"/>
            <w:tcBorders>
              <w:top w:val="single" w:color="auto" w:sz="6" w:space="0"/>
              <w:left w:val="single" w:color="auto" w:sz="6" w:space="0"/>
              <w:bottom w:val="nil"/>
              <w:right w:val="nil"/>
            </w:tcBorders>
            <w:noWrap w:val="0"/>
            <w:vAlign w:val="top"/>
          </w:tcPr>
          <w:p w14:paraId="6323779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sz w:val="21"/>
                <w:szCs w:val="21"/>
                <w:vertAlign w:val="baseline"/>
                <w:lang w:val="en-US" w:eastAsia="zh-CN"/>
              </w:rPr>
            </w:pPr>
            <w:r>
              <w:rPr>
                <w:rFonts w:hint="default" w:ascii="Times New Roman Regular" w:hAnsi="Times New Roman Regular" w:eastAsia="宋体" w:cs="Times New Roman Regular"/>
                <w:color w:val="auto"/>
                <w:sz w:val="21"/>
                <w:szCs w:val="21"/>
                <w:vertAlign w:val="baseline"/>
                <w:lang w:val="en-US" w:eastAsia="zh-CN"/>
              </w:rPr>
              <w:t>11</w:t>
            </w:r>
          </w:p>
        </w:tc>
        <w:tc>
          <w:tcPr>
            <w:tcW w:w="2342" w:type="dxa"/>
            <w:tcBorders>
              <w:top w:val="single" w:color="auto" w:sz="6" w:space="0"/>
              <w:left w:val="nil"/>
              <w:bottom w:val="nil"/>
              <w:right w:val="nil"/>
            </w:tcBorders>
            <w:noWrap w:val="0"/>
            <w:vAlign w:val="top"/>
          </w:tcPr>
          <w:p w14:paraId="4B79490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Activities of daily living</w:t>
            </w:r>
          </w:p>
        </w:tc>
        <w:tc>
          <w:tcPr>
            <w:tcW w:w="800" w:type="dxa"/>
            <w:tcBorders>
              <w:top w:val="single" w:color="auto" w:sz="6" w:space="0"/>
              <w:left w:val="nil"/>
              <w:bottom w:val="nil"/>
              <w:right w:val="nil"/>
            </w:tcBorders>
            <w:noWrap w:val="0"/>
            <w:vAlign w:val="top"/>
          </w:tcPr>
          <w:p w14:paraId="0D54EDD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2</w:t>
            </w:r>
            <w:r>
              <w:rPr>
                <w:rFonts w:hint="default" w:ascii="Times New Roman Regular" w:hAnsi="Times New Roman Regular" w:cs="Times New Roman Regular"/>
                <w:color w:val="auto"/>
                <w:sz w:val="21"/>
                <w:szCs w:val="21"/>
                <w:vertAlign w:val="baseline"/>
                <w:lang w:val="en-US" w:eastAsia="zh-CN"/>
              </w:rPr>
              <w:t>7</w:t>
            </w:r>
          </w:p>
        </w:tc>
        <w:tc>
          <w:tcPr>
            <w:tcW w:w="1173" w:type="dxa"/>
            <w:tcBorders>
              <w:top w:val="single" w:color="auto" w:sz="6" w:space="0"/>
              <w:left w:val="nil"/>
              <w:bottom w:val="nil"/>
              <w:right w:val="nil"/>
            </w:tcBorders>
            <w:noWrap w:val="0"/>
            <w:vAlign w:val="top"/>
          </w:tcPr>
          <w:p w14:paraId="1BB89C0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0.12</w:t>
            </w:r>
          </w:p>
        </w:tc>
      </w:tr>
      <w:tr w14:paraId="00705C4B">
        <w:trPr>
          <w:jc w:val="center"/>
        </w:trPr>
        <w:tc>
          <w:tcPr>
            <w:tcW w:w="710" w:type="dxa"/>
            <w:tcBorders>
              <w:top w:val="nil"/>
              <w:left w:val="nil"/>
              <w:bottom w:val="nil"/>
              <w:right w:val="nil"/>
            </w:tcBorders>
            <w:noWrap w:val="0"/>
            <w:vAlign w:val="top"/>
          </w:tcPr>
          <w:p w14:paraId="4C9650B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2</w:t>
            </w:r>
          </w:p>
        </w:tc>
        <w:tc>
          <w:tcPr>
            <w:tcW w:w="1617" w:type="dxa"/>
            <w:tcBorders>
              <w:top w:val="nil"/>
              <w:left w:val="nil"/>
              <w:bottom w:val="nil"/>
              <w:right w:val="nil"/>
            </w:tcBorders>
            <w:noWrap w:val="0"/>
            <w:vAlign w:val="top"/>
          </w:tcPr>
          <w:p w14:paraId="77CA851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highlight w:val="yellow"/>
                <w:vertAlign w:val="baseline"/>
                <w:lang w:val="en-US" w:eastAsia="zh-CN" w:bidi="ar-SA"/>
              </w:rPr>
            </w:pPr>
            <w:r>
              <w:rPr>
                <w:rFonts w:hint="default" w:ascii="Times New Roman Regular" w:hAnsi="Times New Roman Regular" w:cs="Times New Roman Regular"/>
                <w:color w:val="auto"/>
                <w:sz w:val="21"/>
                <w:szCs w:val="21"/>
                <w:highlight w:val="none"/>
                <w:vertAlign w:val="baseline"/>
                <w:lang w:val="en-US" w:eastAsia="zh-CN"/>
              </w:rPr>
              <w:t>Reablement</w:t>
            </w:r>
          </w:p>
        </w:tc>
        <w:tc>
          <w:tcPr>
            <w:tcW w:w="811" w:type="dxa"/>
            <w:tcBorders>
              <w:top w:val="nil"/>
              <w:left w:val="nil"/>
              <w:bottom w:val="nil"/>
              <w:right w:val="nil"/>
            </w:tcBorders>
            <w:noWrap w:val="0"/>
            <w:vAlign w:val="top"/>
          </w:tcPr>
          <w:p w14:paraId="07B1997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86</w:t>
            </w:r>
          </w:p>
        </w:tc>
        <w:tc>
          <w:tcPr>
            <w:tcW w:w="1161" w:type="dxa"/>
            <w:tcBorders>
              <w:top w:val="nil"/>
              <w:left w:val="nil"/>
              <w:bottom w:val="nil"/>
              <w:right w:val="single" w:color="auto" w:sz="6" w:space="0"/>
            </w:tcBorders>
            <w:noWrap w:val="0"/>
            <w:vAlign w:val="top"/>
          </w:tcPr>
          <w:p w14:paraId="3A6FBB4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0.08</w:t>
            </w:r>
          </w:p>
        </w:tc>
        <w:tc>
          <w:tcPr>
            <w:tcW w:w="728" w:type="dxa"/>
            <w:tcBorders>
              <w:top w:val="nil"/>
              <w:left w:val="single" w:color="auto" w:sz="6" w:space="0"/>
              <w:bottom w:val="nil"/>
              <w:right w:val="nil"/>
            </w:tcBorders>
            <w:noWrap w:val="0"/>
            <w:vAlign w:val="top"/>
          </w:tcPr>
          <w:p w14:paraId="60A6B6F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12</w:t>
            </w:r>
          </w:p>
        </w:tc>
        <w:tc>
          <w:tcPr>
            <w:tcW w:w="2342" w:type="dxa"/>
            <w:tcBorders>
              <w:top w:val="nil"/>
              <w:left w:val="nil"/>
              <w:bottom w:val="nil"/>
              <w:right w:val="nil"/>
            </w:tcBorders>
            <w:noWrap w:val="0"/>
            <w:vAlign w:val="top"/>
          </w:tcPr>
          <w:p w14:paraId="49547D3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Dementia</w:t>
            </w:r>
          </w:p>
        </w:tc>
        <w:tc>
          <w:tcPr>
            <w:tcW w:w="800" w:type="dxa"/>
            <w:tcBorders>
              <w:top w:val="nil"/>
              <w:left w:val="nil"/>
              <w:bottom w:val="nil"/>
              <w:right w:val="nil"/>
            </w:tcBorders>
            <w:noWrap w:val="0"/>
            <w:vAlign w:val="top"/>
          </w:tcPr>
          <w:p w14:paraId="50EDE81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27</w:t>
            </w:r>
          </w:p>
        </w:tc>
        <w:tc>
          <w:tcPr>
            <w:tcW w:w="1173" w:type="dxa"/>
            <w:tcBorders>
              <w:top w:val="nil"/>
              <w:left w:val="nil"/>
              <w:bottom w:val="nil"/>
              <w:right w:val="nil"/>
            </w:tcBorders>
            <w:noWrap w:val="0"/>
            <w:vAlign w:val="top"/>
          </w:tcPr>
          <w:p w14:paraId="59CC601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0.</w:t>
            </w:r>
            <w:r>
              <w:rPr>
                <w:rFonts w:hint="default" w:ascii="Times New Roman Regular" w:hAnsi="Times New Roman Regular" w:cs="Times New Roman Regular"/>
                <w:color w:val="auto"/>
                <w:sz w:val="21"/>
                <w:szCs w:val="21"/>
                <w:vertAlign w:val="baseline"/>
                <w:lang w:val="en-US" w:eastAsia="zh-CN"/>
              </w:rPr>
              <w:t>18</w:t>
            </w:r>
          </w:p>
        </w:tc>
      </w:tr>
      <w:tr w14:paraId="22D9A181">
        <w:trPr>
          <w:jc w:val="center"/>
        </w:trPr>
        <w:tc>
          <w:tcPr>
            <w:tcW w:w="710" w:type="dxa"/>
            <w:tcBorders>
              <w:top w:val="nil"/>
              <w:left w:val="nil"/>
              <w:bottom w:val="nil"/>
              <w:right w:val="nil"/>
            </w:tcBorders>
            <w:noWrap w:val="0"/>
            <w:vAlign w:val="top"/>
          </w:tcPr>
          <w:p w14:paraId="1C27268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3</w:t>
            </w:r>
          </w:p>
        </w:tc>
        <w:tc>
          <w:tcPr>
            <w:tcW w:w="1617" w:type="dxa"/>
            <w:tcBorders>
              <w:top w:val="nil"/>
              <w:left w:val="nil"/>
              <w:bottom w:val="nil"/>
              <w:right w:val="nil"/>
            </w:tcBorders>
            <w:noWrap w:val="0"/>
            <w:vAlign w:val="top"/>
          </w:tcPr>
          <w:p w14:paraId="1C2865A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Intervention</w:t>
            </w:r>
          </w:p>
        </w:tc>
        <w:tc>
          <w:tcPr>
            <w:tcW w:w="811" w:type="dxa"/>
            <w:tcBorders>
              <w:top w:val="nil"/>
              <w:left w:val="nil"/>
              <w:bottom w:val="nil"/>
              <w:right w:val="nil"/>
            </w:tcBorders>
            <w:noWrap w:val="0"/>
            <w:vAlign w:val="top"/>
          </w:tcPr>
          <w:p w14:paraId="021C599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68</w:t>
            </w:r>
          </w:p>
        </w:tc>
        <w:tc>
          <w:tcPr>
            <w:tcW w:w="1161" w:type="dxa"/>
            <w:tcBorders>
              <w:top w:val="nil"/>
              <w:left w:val="nil"/>
              <w:bottom w:val="nil"/>
              <w:right w:val="single" w:color="auto" w:sz="6" w:space="0"/>
            </w:tcBorders>
            <w:noWrap w:val="0"/>
            <w:vAlign w:val="top"/>
          </w:tcPr>
          <w:p w14:paraId="1366C7D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0.</w:t>
            </w:r>
            <w:r>
              <w:rPr>
                <w:rFonts w:hint="default" w:ascii="Times New Roman Regular" w:hAnsi="Times New Roman Regular" w:cs="Times New Roman Regular"/>
                <w:color w:val="auto"/>
                <w:sz w:val="21"/>
                <w:szCs w:val="21"/>
                <w:vertAlign w:val="baseline"/>
                <w:lang w:val="en-US" w:eastAsia="zh-CN"/>
              </w:rPr>
              <w:t>16</w:t>
            </w:r>
          </w:p>
        </w:tc>
        <w:tc>
          <w:tcPr>
            <w:tcW w:w="728" w:type="dxa"/>
            <w:tcBorders>
              <w:top w:val="nil"/>
              <w:left w:val="single" w:color="auto" w:sz="6" w:space="0"/>
              <w:bottom w:val="nil"/>
              <w:right w:val="nil"/>
            </w:tcBorders>
            <w:noWrap w:val="0"/>
            <w:vAlign w:val="top"/>
          </w:tcPr>
          <w:p w14:paraId="1A81824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13</w:t>
            </w:r>
          </w:p>
        </w:tc>
        <w:tc>
          <w:tcPr>
            <w:tcW w:w="2342" w:type="dxa"/>
            <w:tcBorders>
              <w:top w:val="nil"/>
              <w:left w:val="nil"/>
              <w:bottom w:val="nil"/>
              <w:right w:val="nil"/>
            </w:tcBorders>
            <w:noWrap w:val="0"/>
            <w:vAlign w:val="top"/>
          </w:tcPr>
          <w:p w14:paraId="4653136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kern w:val="2"/>
                <w:sz w:val="21"/>
                <w:szCs w:val="21"/>
                <w:vertAlign w:val="baseline"/>
                <w:lang w:val="en-US" w:eastAsia="zh-CN" w:bidi="ar-SA"/>
              </w:rPr>
              <w:t>L</w:t>
            </w:r>
            <w:r>
              <w:rPr>
                <w:rFonts w:hint="default" w:ascii="Times New Roman Regular" w:hAnsi="Times New Roman Regular" w:eastAsia="宋体" w:cs="Times New Roman Regular"/>
                <w:color w:val="auto"/>
                <w:kern w:val="2"/>
                <w:sz w:val="21"/>
                <w:szCs w:val="21"/>
                <w:vertAlign w:val="baseline"/>
                <w:lang w:val="en-US" w:eastAsia="zh-CN" w:bidi="ar-SA"/>
              </w:rPr>
              <w:t>ong</w:t>
            </w:r>
            <w:r>
              <w:rPr>
                <w:rFonts w:hint="eastAsia" w:ascii="Times New Roman Regular" w:hAnsi="Times New Roman Regular" w:cs="Times New Roman Regular"/>
                <w:color w:val="auto"/>
                <w:kern w:val="2"/>
                <w:sz w:val="21"/>
                <w:szCs w:val="21"/>
                <w:vertAlign w:val="baseline"/>
                <w:lang w:val="en-US" w:eastAsia="zh-CN" w:bidi="ar-SA"/>
              </w:rPr>
              <w:t>-</w:t>
            </w:r>
            <w:r>
              <w:rPr>
                <w:rFonts w:hint="default" w:ascii="Times New Roman Regular" w:hAnsi="Times New Roman Regular" w:eastAsia="宋体" w:cs="Times New Roman Regular"/>
                <w:color w:val="auto"/>
                <w:kern w:val="2"/>
                <w:sz w:val="21"/>
                <w:szCs w:val="21"/>
                <w:vertAlign w:val="baseline"/>
                <w:lang w:val="en-US" w:eastAsia="zh-CN" w:bidi="ar-SA"/>
              </w:rPr>
              <w:t xml:space="preserve">term care </w:t>
            </w:r>
          </w:p>
        </w:tc>
        <w:tc>
          <w:tcPr>
            <w:tcW w:w="800" w:type="dxa"/>
            <w:tcBorders>
              <w:top w:val="nil"/>
              <w:left w:val="nil"/>
              <w:bottom w:val="nil"/>
              <w:right w:val="nil"/>
            </w:tcBorders>
            <w:noWrap w:val="0"/>
            <w:vAlign w:val="top"/>
          </w:tcPr>
          <w:p w14:paraId="169C81C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kern w:val="2"/>
                <w:sz w:val="21"/>
                <w:szCs w:val="21"/>
                <w:vertAlign w:val="baseline"/>
                <w:lang w:val="en-US" w:eastAsia="zh-CN" w:bidi="ar-SA"/>
              </w:rPr>
              <w:t>26</w:t>
            </w:r>
          </w:p>
        </w:tc>
        <w:tc>
          <w:tcPr>
            <w:tcW w:w="1173" w:type="dxa"/>
            <w:tcBorders>
              <w:top w:val="nil"/>
              <w:left w:val="nil"/>
              <w:bottom w:val="nil"/>
              <w:right w:val="nil"/>
            </w:tcBorders>
            <w:noWrap w:val="0"/>
            <w:vAlign w:val="top"/>
          </w:tcPr>
          <w:p w14:paraId="3CCFE75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kern w:val="2"/>
                <w:sz w:val="21"/>
                <w:szCs w:val="21"/>
                <w:vertAlign w:val="baseline"/>
                <w:lang w:val="en-US" w:eastAsia="zh-CN" w:bidi="ar-SA"/>
              </w:rPr>
              <w:t>0.10</w:t>
            </w:r>
          </w:p>
        </w:tc>
      </w:tr>
      <w:tr w14:paraId="20C6A720">
        <w:trPr>
          <w:jc w:val="center"/>
        </w:trPr>
        <w:tc>
          <w:tcPr>
            <w:tcW w:w="710" w:type="dxa"/>
            <w:tcBorders>
              <w:top w:val="nil"/>
              <w:left w:val="nil"/>
              <w:bottom w:val="nil"/>
              <w:right w:val="nil"/>
            </w:tcBorders>
            <w:noWrap w:val="0"/>
            <w:vAlign w:val="top"/>
          </w:tcPr>
          <w:p w14:paraId="1DDF974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4</w:t>
            </w:r>
          </w:p>
        </w:tc>
        <w:tc>
          <w:tcPr>
            <w:tcW w:w="1617" w:type="dxa"/>
            <w:tcBorders>
              <w:top w:val="nil"/>
              <w:left w:val="nil"/>
              <w:bottom w:val="nil"/>
              <w:right w:val="nil"/>
            </w:tcBorders>
            <w:noWrap w:val="0"/>
            <w:vAlign w:val="top"/>
          </w:tcPr>
          <w:p w14:paraId="4E95E01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People</w:t>
            </w:r>
          </w:p>
        </w:tc>
        <w:tc>
          <w:tcPr>
            <w:tcW w:w="811" w:type="dxa"/>
            <w:tcBorders>
              <w:top w:val="nil"/>
              <w:left w:val="nil"/>
              <w:bottom w:val="nil"/>
              <w:right w:val="nil"/>
            </w:tcBorders>
            <w:noWrap w:val="0"/>
            <w:vAlign w:val="top"/>
          </w:tcPr>
          <w:p w14:paraId="55C31DF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61</w:t>
            </w:r>
          </w:p>
        </w:tc>
        <w:tc>
          <w:tcPr>
            <w:tcW w:w="1161" w:type="dxa"/>
            <w:tcBorders>
              <w:top w:val="nil"/>
              <w:left w:val="nil"/>
              <w:bottom w:val="nil"/>
              <w:right w:val="single" w:color="auto" w:sz="6" w:space="0"/>
            </w:tcBorders>
            <w:noWrap w:val="0"/>
            <w:vAlign w:val="top"/>
          </w:tcPr>
          <w:p w14:paraId="12B4E89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0.15</w:t>
            </w:r>
          </w:p>
        </w:tc>
        <w:tc>
          <w:tcPr>
            <w:tcW w:w="728" w:type="dxa"/>
            <w:tcBorders>
              <w:top w:val="nil"/>
              <w:left w:val="single" w:color="auto" w:sz="6" w:space="0"/>
              <w:bottom w:val="nil"/>
              <w:right w:val="nil"/>
            </w:tcBorders>
            <w:noWrap w:val="0"/>
            <w:vAlign w:val="top"/>
          </w:tcPr>
          <w:p w14:paraId="58786C4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14</w:t>
            </w:r>
          </w:p>
        </w:tc>
        <w:tc>
          <w:tcPr>
            <w:tcW w:w="2342" w:type="dxa"/>
            <w:tcBorders>
              <w:top w:val="nil"/>
              <w:left w:val="nil"/>
              <w:bottom w:val="nil"/>
              <w:right w:val="nil"/>
            </w:tcBorders>
            <w:noWrap w:val="0"/>
            <w:vAlign w:val="top"/>
          </w:tcPr>
          <w:p w14:paraId="6FC4A77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Validity</w:t>
            </w:r>
          </w:p>
        </w:tc>
        <w:tc>
          <w:tcPr>
            <w:tcW w:w="800" w:type="dxa"/>
            <w:tcBorders>
              <w:top w:val="nil"/>
              <w:left w:val="nil"/>
              <w:bottom w:val="nil"/>
              <w:right w:val="nil"/>
            </w:tcBorders>
            <w:noWrap w:val="0"/>
            <w:vAlign w:val="top"/>
          </w:tcPr>
          <w:p w14:paraId="5404AB8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2</w:t>
            </w:r>
            <w:r>
              <w:rPr>
                <w:rFonts w:hint="default" w:ascii="Times New Roman Regular" w:hAnsi="Times New Roman Regular" w:cs="Times New Roman Regular"/>
                <w:color w:val="auto"/>
                <w:sz w:val="21"/>
                <w:szCs w:val="21"/>
                <w:vertAlign w:val="baseline"/>
                <w:lang w:val="en-US" w:eastAsia="zh-CN"/>
              </w:rPr>
              <w:t>5</w:t>
            </w:r>
          </w:p>
        </w:tc>
        <w:tc>
          <w:tcPr>
            <w:tcW w:w="1173" w:type="dxa"/>
            <w:tcBorders>
              <w:top w:val="nil"/>
              <w:left w:val="nil"/>
              <w:bottom w:val="nil"/>
              <w:right w:val="nil"/>
            </w:tcBorders>
            <w:noWrap w:val="0"/>
            <w:vAlign w:val="top"/>
          </w:tcPr>
          <w:p w14:paraId="53C92AE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0.</w:t>
            </w:r>
            <w:r>
              <w:rPr>
                <w:rFonts w:hint="default" w:ascii="Times New Roman Regular" w:hAnsi="Times New Roman Regular" w:cs="Times New Roman Regular"/>
                <w:color w:val="auto"/>
                <w:sz w:val="21"/>
                <w:szCs w:val="21"/>
                <w:vertAlign w:val="baseline"/>
                <w:lang w:val="en-US" w:eastAsia="zh-CN"/>
              </w:rPr>
              <w:t>05</w:t>
            </w:r>
          </w:p>
        </w:tc>
      </w:tr>
      <w:tr w14:paraId="56CB6626">
        <w:trPr>
          <w:jc w:val="center"/>
        </w:trPr>
        <w:tc>
          <w:tcPr>
            <w:tcW w:w="710" w:type="dxa"/>
            <w:tcBorders>
              <w:top w:val="nil"/>
              <w:left w:val="nil"/>
              <w:bottom w:val="nil"/>
              <w:right w:val="nil"/>
            </w:tcBorders>
            <w:noWrap w:val="0"/>
            <w:vAlign w:val="top"/>
          </w:tcPr>
          <w:p w14:paraId="47CA97B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5</w:t>
            </w:r>
          </w:p>
        </w:tc>
        <w:tc>
          <w:tcPr>
            <w:tcW w:w="1617" w:type="dxa"/>
            <w:tcBorders>
              <w:top w:val="nil"/>
              <w:left w:val="nil"/>
              <w:bottom w:val="nil"/>
              <w:right w:val="nil"/>
            </w:tcBorders>
            <w:noWrap w:val="0"/>
            <w:vAlign w:val="top"/>
          </w:tcPr>
          <w:p w14:paraId="05A31A7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Physical activity</w:t>
            </w:r>
          </w:p>
        </w:tc>
        <w:tc>
          <w:tcPr>
            <w:tcW w:w="811" w:type="dxa"/>
            <w:tcBorders>
              <w:top w:val="nil"/>
              <w:left w:val="nil"/>
              <w:bottom w:val="nil"/>
              <w:right w:val="nil"/>
            </w:tcBorders>
            <w:noWrap w:val="0"/>
            <w:vAlign w:val="top"/>
          </w:tcPr>
          <w:p w14:paraId="6FD7E94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43</w:t>
            </w:r>
          </w:p>
        </w:tc>
        <w:tc>
          <w:tcPr>
            <w:tcW w:w="1161" w:type="dxa"/>
            <w:tcBorders>
              <w:top w:val="nil"/>
              <w:left w:val="nil"/>
              <w:bottom w:val="nil"/>
              <w:right w:val="single" w:color="auto" w:sz="6" w:space="0"/>
            </w:tcBorders>
            <w:noWrap w:val="0"/>
            <w:vAlign w:val="top"/>
          </w:tcPr>
          <w:p w14:paraId="14FB6C1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0.</w:t>
            </w:r>
            <w:r>
              <w:rPr>
                <w:rFonts w:hint="default" w:ascii="Times New Roman Regular" w:hAnsi="Times New Roman Regular" w:cs="Times New Roman Regular"/>
                <w:color w:val="auto"/>
                <w:sz w:val="21"/>
                <w:szCs w:val="21"/>
                <w:vertAlign w:val="baseline"/>
                <w:lang w:val="en-US" w:eastAsia="zh-CN"/>
              </w:rPr>
              <w:t>02</w:t>
            </w:r>
          </w:p>
        </w:tc>
        <w:tc>
          <w:tcPr>
            <w:tcW w:w="728" w:type="dxa"/>
            <w:tcBorders>
              <w:top w:val="nil"/>
              <w:left w:val="single" w:color="auto" w:sz="6" w:space="0"/>
              <w:bottom w:val="nil"/>
              <w:right w:val="nil"/>
            </w:tcBorders>
            <w:noWrap w:val="0"/>
            <w:vAlign w:val="top"/>
          </w:tcPr>
          <w:p w14:paraId="171492F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15</w:t>
            </w:r>
          </w:p>
        </w:tc>
        <w:tc>
          <w:tcPr>
            <w:tcW w:w="2342" w:type="dxa"/>
            <w:tcBorders>
              <w:top w:val="nil"/>
              <w:left w:val="nil"/>
              <w:bottom w:val="nil"/>
              <w:right w:val="nil"/>
            </w:tcBorders>
            <w:noWrap w:val="0"/>
            <w:vAlign w:val="top"/>
          </w:tcPr>
          <w:p w14:paraId="2873651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Quality of life</w:t>
            </w:r>
          </w:p>
        </w:tc>
        <w:tc>
          <w:tcPr>
            <w:tcW w:w="800" w:type="dxa"/>
            <w:tcBorders>
              <w:top w:val="nil"/>
              <w:left w:val="nil"/>
              <w:bottom w:val="nil"/>
              <w:right w:val="nil"/>
            </w:tcBorders>
            <w:noWrap w:val="0"/>
            <w:vAlign w:val="top"/>
          </w:tcPr>
          <w:p w14:paraId="074C293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20</w:t>
            </w:r>
          </w:p>
        </w:tc>
        <w:tc>
          <w:tcPr>
            <w:tcW w:w="1173" w:type="dxa"/>
            <w:tcBorders>
              <w:top w:val="nil"/>
              <w:left w:val="nil"/>
              <w:bottom w:val="nil"/>
              <w:right w:val="nil"/>
            </w:tcBorders>
            <w:noWrap w:val="0"/>
            <w:vAlign w:val="top"/>
          </w:tcPr>
          <w:p w14:paraId="7DA9451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0.0</w:t>
            </w:r>
            <w:r>
              <w:rPr>
                <w:rFonts w:hint="default" w:ascii="Times New Roman Regular" w:hAnsi="Times New Roman Regular" w:cs="Times New Roman Regular"/>
                <w:color w:val="auto"/>
                <w:sz w:val="21"/>
                <w:szCs w:val="21"/>
                <w:vertAlign w:val="baseline"/>
                <w:lang w:val="en-US" w:eastAsia="zh-CN"/>
              </w:rPr>
              <w:t>1</w:t>
            </w:r>
          </w:p>
        </w:tc>
      </w:tr>
      <w:tr w14:paraId="7FF156D0">
        <w:trPr>
          <w:jc w:val="center"/>
        </w:trPr>
        <w:tc>
          <w:tcPr>
            <w:tcW w:w="710" w:type="dxa"/>
            <w:tcBorders>
              <w:top w:val="nil"/>
              <w:left w:val="nil"/>
              <w:bottom w:val="nil"/>
              <w:right w:val="nil"/>
            </w:tcBorders>
            <w:noWrap w:val="0"/>
            <w:vAlign w:val="top"/>
          </w:tcPr>
          <w:p w14:paraId="4AC2FD4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6</w:t>
            </w:r>
          </w:p>
        </w:tc>
        <w:tc>
          <w:tcPr>
            <w:tcW w:w="1617" w:type="dxa"/>
            <w:tcBorders>
              <w:top w:val="nil"/>
              <w:left w:val="nil"/>
              <w:bottom w:val="nil"/>
              <w:right w:val="nil"/>
            </w:tcBorders>
            <w:noWrap w:val="0"/>
            <w:vAlign w:val="top"/>
          </w:tcPr>
          <w:p w14:paraId="4ACC8B4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Home care</w:t>
            </w:r>
          </w:p>
        </w:tc>
        <w:tc>
          <w:tcPr>
            <w:tcW w:w="811" w:type="dxa"/>
            <w:tcBorders>
              <w:top w:val="nil"/>
              <w:left w:val="nil"/>
              <w:bottom w:val="nil"/>
              <w:right w:val="nil"/>
            </w:tcBorders>
            <w:noWrap w:val="0"/>
            <w:vAlign w:val="top"/>
          </w:tcPr>
          <w:p w14:paraId="5433649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37</w:t>
            </w:r>
          </w:p>
        </w:tc>
        <w:tc>
          <w:tcPr>
            <w:tcW w:w="1161" w:type="dxa"/>
            <w:tcBorders>
              <w:top w:val="nil"/>
              <w:left w:val="nil"/>
              <w:bottom w:val="nil"/>
              <w:right w:val="single" w:color="auto" w:sz="6" w:space="0"/>
            </w:tcBorders>
            <w:noWrap w:val="0"/>
            <w:vAlign w:val="top"/>
          </w:tcPr>
          <w:p w14:paraId="5BCA632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0.07</w:t>
            </w:r>
          </w:p>
        </w:tc>
        <w:tc>
          <w:tcPr>
            <w:tcW w:w="728" w:type="dxa"/>
            <w:tcBorders>
              <w:top w:val="nil"/>
              <w:left w:val="single" w:color="auto" w:sz="6" w:space="0"/>
              <w:bottom w:val="nil"/>
              <w:right w:val="nil"/>
            </w:tcBorders>
            <w:noWrap w:val="0"/>
            <w:vAlign w:val="top"/>
          </w:tcPr>
          <w:p w14:paraId="14008CD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16</w:t>
            </w:r>
          </w:p>
        </w:tc>
        <w:tc>
          <w:tcPr>
            <w:tcW w:w="2342" w:type="dxa"/>
            <w:tcBorders>
              <w:top w:val="nil"/>
              <w:left w:val="nil"/>
              <w:bottom w:val="nil"/>
              <w:right w:val="nil"/>
            </w:tcBorders>
            <w:noWrap w:val="0"/>
            <w:vAlign w:val="top"/>
          </w:tcPr>
          <w:p w14:paraId="5494EA5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lang w:val="en-US" w:eastAsia="zh-CN"/>
              </w:rPr>
              <w:t>Residents</w:t>
            </w:r>
          </w:p>
        </w:tc>
        <w:tc>
          <w:tcPr>
            <w:tcW w:w="800" w:type="dxa"/>
            <w:tcBorders>
              <w:top w:val="nil"/>
              <w:left w:val="nil"/>
              <w:bottom w:val="nil"/>
              <w:right w:val="nil"/>
            </w:tcBorders>
            <w:noWrap w:val="0"/>
            <w:vAlign w:val="top"/>
          </w:tcPr>
          <w:p w14:paraId="41AEEC8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19</w:t>
            </w:r>
          </w:p>
        </w:tc>
        <w:tc>
          <w:tcPr>
            <w:tcW w:w="1173" w:type="dxa"/>
            <w:tcBorders>
              <w:top w:val="nil"/>
              <w:left w:val="nil"/>
              <w:bottom w:val="nil"/>
              <w:right w:val="nil"/>
            </w:tcBorders>
            <w:noWrap w:val="0"/>
            <w:vAlign w:val="top"/>
          </w:tcPr>
          <w:p w14:paraId="62ED4FD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0.04</w:t>
            </w:r>
          </w:p>
        </w:tc>
      </w:tr>
      <w:tr w14:paraId="58CC29CF">
        <w:trPr>
          <w:jc w:val="center"/>
        </w:trPr>
        <w:tc>
          <w:tcPr>
            <w:tcW w:w="710" w:type="dxa"/>
            <w:tcBorders>
              <w:top w:val="nil"/>
              <w:left w:val="nil"/>
              <w:bottom w:val="nil"/>
              <w:right w:val="nil"/>
            </w:tcBorders>
            <w:noWrap w:val="0"/>
            <w:vAlign w:val="top"/>
          </w:tcPr>
          <w:p w14:paraId="52A0727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7</w:t>
            </w:r>
          </w:p>
        </w:tc>
        <w:tc>
          <w:tcPr>
            <w:tcW w:w="1617" w:type="dxa"/>
            <w:tcBorders>
              <w:top w:val="nil"/>
              <w:left w:val="nil"/>
              <w:bottom w:val="nil"/>
              <w:right w:val="nil"/>
            </w:tcBorders>
            <w:noWrap w:val="0"/>
            <w:vAlign w:val="top"/>
          </w:tcPr>
          <w:p w14:paraId="61FE81E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Reliability</w:t>
            </w:r>
          </w:p>
        </w:tc>
        <w:tc>
          <w:tcPr>
            <w:tcW w:w="811" w:type="dxa"/>
            <w:tcBorders>
              <w:top w:val="nil"/>
              <w:left w:val="nil"/>
              <w:bottom w:val="nil"/>
              <w:right w:val="nil"/>
            </w:tcBorders>
            <w:noWrap w:val="0"/>
            <w:vAlign w:val="top"/>
          </w:tcPr>
          <w:p w14:paraId="45692BB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32</w:t>
            </w:r>
          </w:p>
        </w:tc>
        <w:tc>
          <w:tcPr>
            <w:tcW w:w="1161" w:type="dxa"/>
            <w:tcBorders>
              <w:top w:val="nil"/>
              <w:left w:val="nil"/>
              <w:bottom w:val="nil"/>
              <w:right w:val="single" w:color="auto" w:sz="6" w:space="0"/>
            </w:tcBorders>
            <w:noWrap w:val="0"/>
            <w:vAlign w:val="top"/>
          </w:tcPr>
          <w:p w14:paraId="03DC023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0.</w:t>
            </w:r>
            <w:r>
              <w:rPr>
                <w:rFonts w:hint="default" w:ascii="Times New Roman Regular" w:hAnsi="Times New Roman Regular" w:cs="Times New Roman Regular"/>
                <w:color w:val="auto"/>
                <w:sz w:val="21"/>
                <w:szCs w:val="21"/>
                <w:vertAlign w:val="baseline"/>
                <w:lang w:val="en-US" w:eastAsia="zh-CN"/>
              </w:rPr>
              <w:t>08</w:t>
            </w:r>
          </w:p>
        </w:tc>
        <w:tc>
          <w:tcPr>
            <w:tcW w:w="728" w:type="dxa"/>
            <w:tcBorders>
              <w:top w:val="nil"/>
              <w:left w:val="single" w:color="auto" w:sz="6" w:space="0"/>
              <w:bottom w:val="nil"/>
              <w:right w:val="nil"/>
            </w:tcBorders>
            <w:noWrap w:val="0"/>
            <w:vAlign w:val="top"/>
          </w:tcPr>
          <w:p w14:paraId="3C6034B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17</w:t>
            </w:r>
          </w:p>
        </w:tc>
        <w:tc>
          <w:tcPr>
            <w:tcW w:w="2342" w:type="dxa"/>
            <w:tcBorders>
              <w:top w:val="nil"/>
              <w:left w:val="nil"/>
              <w:bottom w:val="nil"/>
              <w:right w:val="nil"/>
            </w:tcBorders>
            <w:noWrap w:val="0"/>
            <w:vAlign w:val="top"/>
          </w:tcPr>
          <w:p w14:paraId="10B4F91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Experiences</w:t>
            </w:r>
          </w:p>
        </w:tc>
        <w:tc>
          <w:tcPr>
            <w:tcW w:w="800" w:type="dxa"/>
            <w:tcBorders>
              <w:top w:val="nil"/>
              <w:left w:val="nil"/>
              <w:bottom w:val="nil"/>
              <w:right w:val="nil"/>
            </w:tcBorders>
            <w:noWrap w:val="0"/>
            <w:vAlign w:val="top"/>
          </w:tcPr>
          <w:p w14:paraId="3087A59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1</w:t>
            </w:r>
            <w:r>
              <w:rPr>
                <w:rFonts w:hint="default" w:ascii="Times New Roman Regular" w:hAnsi="Times New Roman Regular" w:cs="Times New Roman Regular"/>
                <w:color w:val="auto"/>
                <w:sz w:val="21"/>
                <w:szCs w:val="21"/>
                <w:vertAlign w:val="baseline"/>
                <w:lang w:val="en-US" w:eastAsia="zh-CN"/>
              </w:rPr>
              <w:t>9</w:t>
            </w:r>
          </w:p>
        </w:tc>
        <w:tc>
          <w:tcPr>
            <w:tcW w:w="1173" w:type="dxa"/>
            <w:tcBorders>
              <w:top w:val="nil"/>
              <w:left w:val="nil"/>
              <w:bottom w:val="nil"/>
              <w:right w:val="nil"/>
            </w:tcBorders>
            <w:noWrap w:val="0"/>
            <w:vAlign w:val="top"/>
          </w:tcPr>
          <w:p w14:paraId="3F7925C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0.06</w:t>
            </w:r>
          </w:p>
        </w:tc>
      </w:tr>
      <w:tr w14:paraId="6E36762C">
        <w:trPr>
          <w:jc w:val="center"/>
        </w:trPr>
        <w:tc>
          <w:tcPr>
            <w:tcW w:w="710" w:type="dxa"/>
            <w:tcBorders>
              <w:top w:val="nil"/>
              <w:left w:val="nil"/>
              <w:bottom w:val="nil"/>
              <w:right w:val="nil"/>
            </w:tcBorders>
            <w:noWrap w:val="0"/>
            <w:vAlign w:val="top"/>
          </w:tcPr>
          <w:p w14:paraId="6CF12A6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8</w:t>
            </w:r>
          </w:p>
        </w:tc>
        <w:tc>
          <w:tcPr>
            <w:tcW w:w="1617" w:type="dxa"/>
            <w:tcBorders>
              <w:top w:val="nil"/>
              <w:left w:val="nil"/>
              <w:bottom w:val="nil"/>
              <w:right w:val="nil"/>
            </w:tcBorders>
            <w:noWrap w:val="0"/>
            <w:vAlign w:val="top"/>
          </w:tcPr>
          <w:p w14:paraId="41A928A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Health</w:t>
            </w:r>
          </w:p>
        </w:tc>
        <w:tc>
          <w:tcPr>
            <w:tcW w:w="811" w:type="dxa"/>
            <w:tcBorders>
              <w:top w:val="nil"/>
              <w:left w:val="nil"/>
              <w:bottom w:val="nil"/>
              <w:right w:val="nil"/>
            </w:tcBorders>
            <w:noWrap w:val="0"/>
            <w:vAlign w:val="top"/>
          </w:tcPr>
          <w:p w14:paraId="2C1FA2B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31</w:t>
            </w:r>
          </w:p>
        </w:tc>
        <w:tc>
          <w:tcPr>
            <w:tcW w:w="1161" w:type="dxa"/>
            <w:tcBorders>
              <w:top w:val="nil"/>
              <w:left w:val="nil"/>
              <w:bottom w:val="nil"/>
              <w:right w:val="single" w:color="auto" w:sz="6" w:space="0"/>
            </w:tcBorders>
            <w:noWrap w:val="0"/>
            <w:vAlign w:val="top"/>
          </w:tcPr>
          <w:p w14:paraId="49EE585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0.17</w:t>
            </w:r>
          </w:p>
        </w:tc>
        <w:tc>
          <w:tcPr>
            <w:tcW w:w="728" w:type="dxa"/>
            <w:tcBorders>
              <w:top w:val="nil"/>
              <w:left w:val="single" w:color="auto" w:sz="6" w:space="0"/>
              <w:bottom w:val="nil"/>
              <w:right w:val="nil"/>
            </w:tcBorders>
            <w:noWrap w:val="0"/>
            <w:vAlign w:val="top"/>
          </w:tcPr>
          <w:p w14:paraId="30E1B84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18</w:t>
            </w:r>
          </w:p>
        </w:tc>
        <w:tc>
          <w:tcPr>
            <w:tcW w:w="2342" w:type="dxa"/>
            <w:tcBorders>
              <w:top w:val="nil"/>
              <w:left w:val="nil"/>
              <w:bottom w:val="nil"/>
              <w:right w:val="nil"/>
            </w:tcBorders>
            <w:noWrap w:val="0"/>
            <w:vAlign w:val="top"/>
          </w:tcPr>
          <w:p w14:paraId="10BAF57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Randomized controlled trial</w:t>
            </w:r>
          </w:p>
        </w:tc>
        <w:tc>
          <w:tcPr>
            <w:tcW w:w="800" w:type="dxa"/>
            <w:tcBorders>
              <w:top w:val="nil"/>
              <w:left w:val="nil"/>
              <w:bottom w:val="nil"/>
              <w:right w:val="nil"/>
            </w:tcBorders>
            <w:noWrap w:val="0"/>
            <w:vAlign w:val="top"/>
          </w:tcPr>
          <w:p w14:paraId="44866C7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18</w:t>
            </w:r>
          </w:p>
        </w:tc>
        <w:tc>
          <w:tcPr>
            <w:tcW w:w="1173" w:type="dxa"/>
            <w:tcBorders>
              <w:top w:val="nil"/>
              <w:left w:val="nil"/>
              <w:bottom w:val="nil"/>
              <w:right w:val="nil"/>
            </w:tcBorders>
            <w:noWrap w:val="0"/>
            <w:vAlign w:val="top"/>
          </w:tcPr>
          <w:p w14:paraId="2FF7B86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0.04</w:t>
            </w:r>
          </w:p>
        </w:tc>
      </w:tr>
      <w:tr w14:paraId="20B8857E">
        <w:trPr>
          <w:jc w:val="center"/>
        </w:trPr>
        <w:tc>
          <w:tcPr>
            <w:tcW w:w="710" w:type="dxa"/>
            <w:tcBorders>
              <w:top w:val="nil"/>
              <w:left w:val="nil"/>
              <w:bottom w:val="nil"/>
              <w:right w:val="nil"/>
            </w:tcBorders>
            <w:noWrap w:val="0"/>
            <w:vAlign w:val="top"/>
          </w:tcPr>
          <w:p w14:paraId="579E655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9</w:t>
            </w:r>
          </w:p>
        </w:tc>
        <w:tc>
          <w:tcPr>
            <w:tcW w:w="1617" w:type="dxa"/>
            <w:tcBorders>
              <w:top w:val="nil"/>
              <w:left w:val="nil"/>
              <w:bottom w:val="nil"/>
              <w:right w:val="nil"/>
            </w:tcBorders>
            <w:noWrap w:val="0"/>
            <w:vAlign w:val="top"/>
          </w:tcPr>
          <w:p w14:paraId="265B87D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Care</w:t>
            </w:r>
          </w:p>
        </w:tc>
        <w:tc>
          <w:tcPr>
            <w:tcW w:w="811" w:type="dxa"/>
            <w:tcBorders>
              <w:top w:val="nil"/>
              <w:left w:val="nil"/>
              <w:bottom w:val="nil"/>
              <w:right w:val="nil"/>
            </w:tcBorders>
            <w:noWrap w:val="0"/>
            <w:vAlign w:val="top"/>
          </w:tcPr>
          <w:p w14:paraId="04C04D2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30</w:t>
            </w:r>
          </w:p>
        </w:tc>
        <w:tc>
          <w:tcPr>
            <w:tcW w:w="1161" w:type="dxa"/>
            <w:tcBorders>
              <w:top w:val="nil"/>
              <w:left w:val="nil"/>
              <w:bottom w:val="nil"/>
              <w:right w:val="single" w:color="auto" w:sz="6" w:space="0"/>
            </w:tcBorders>
            <w:noWrap w:val="0"/>
            <w:vAlign w:val="top"/>
          </w:tcPr>
          <w:p w14:paraId="0923A69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0.</w:t>
            </w:r>
            <w:r>
              <w:rPr>
                <w:rFonts w:hint="default" w:ascii="Times New Roman Regular" w:hAnsi="Times New Roman Regular" w:cs="Times New Roman Regular"/>
                <w:color w:val="auto"/>
                <w:sz w:val="21"/>
                <w:szCs w:val="21"/>
                <w:vertAlign w:val="baseline"/>
                <w:lang w:val="en-US" w:eastAsia="zh-CN"/>
              </w:rPr>
              <w:t>12</w:t>
            </w:r>
          </w:p>
        </w:tc>
        <w:tc>
          <w:tcPr>
            <w:tcW w:w="728" w:type="dxa"/>
            <w:tcBorders>
              <w:top w:val="nil"/>
              <w:left w:val="single" w:color="auto" w:sz="6" w:space="0"/>
              <w:bottom w:val="nil"/>
              <w:right w:val="nil"/>
            </w:tcBorders>
            <w:noWrap w:val="0"/>
            <w:vAlign w:val="top"/>
          </w:tcPr>
          <w:p w14:paraId="204F805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19</w:t>
            </w:r>
          </w:p>
        </w:tc>
        <w:tc>
          <w:tcPr>
            <w:tcW w:w="2342" w:type="dxa"/>
            <w:tcBorders>
              <w:top w:val="nil"/>
              <w:left w:val="nil"/>
              <w:bottom w:val="nil"/>
              <w:right w:val="nil"/>
            </w:tcBorders>
            <w:noWrap w:val="0"/>
            <w:vAlign w:val="top"/>
          </w:tcPr>
          <w:p w14:paraId="5153447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Impact</w:t>
            </w:r>
          </w:p>
        </w:tc>
        <w:tc>
          <w:tcPr>
            <w:tcW w:w="800" w:type="dxa"/>
            <w:tcBorders>
              <w:top w:val="nil"/>
              <w:left w:val="nil"/>
              <w:bottom w:val="nil"/>
              <w:right w:val="nil"/>
            </w:tcBorders>
            <w:noWrap w:val="0"/>
            <w:vAlign w:val="top"/>
          </w:tcPr>
          <w:p w14:paraId="1923ACC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kern w:val="2"/>
                <w:sz w:val="21"/>
                <w:szCs w:val="21"/>
                <w:vertAlign w:val="baseline"/>
                <w:lang w:val="en-US" w:eastAsia="zh-CN" w:bidi="ar-SA"/>
              </w:rPr>
              <w:t>17</w:t>
            </w:r>
          </w:p>
        </w:tc>
        <w:tc>
          <w:tcPr>
            <w:tcW w:w="1173" w:type="dxa"/>
            <w:tcBorders>
              <w:top w:val="nil"/>
              <w:left w:val="nil"/>
              <w:bottom w:val="nil"/>
              <w:right w:val="nil"/>
            </w:tcBorders>
            <w:noWrap w:val="0"/>
            <w:vAlign w:val="top"/>
          </w:tcPr>
          <w:p w14:paraId="19B8DEF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kern w:val="2"/>
                <w:sz w:val="21"/>
                <w:szCs w:val="21"/>
                <w:vertAlign w:val="baseline"/>
                <w:lang w:val="en-US" w:eastAsia="zh-CN" w:bidi="ar-SA"/>
              </w:rPr>
              <w:t>0.01</w:t>
            </w:r>
          </w:p>
        </w:tc>
      </w:tr>
      <w:tr w14:paraId="580789BE">
        <w:trPr>
          <w:jc w:val="center"/>
        </w:trPr>
        <w:tc>
          <w:tcPr>
            <w:tcW w:w="710" w:type="dxa"/>
            <w:tcBorders>
              <w:top w:val="nil"/>
              <w:left w:val="nil"/>
              <w:bottom w:val="single" w:color="auto" w:sz="4" w:space="0"/>
              <w:right w:val="nil"/>
            </w:tcBorders>
            <w:noWrap w:val="0"/>
            <w:vAlign w:val="top"/>
          </w:tcPr>
          <w:p w14:paraId="572C917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10</w:t>
            </w:r>
          </w:p>
        </w:tc>
        <w:tc>
          <w:tcPr>
            <w:tcW w:w="1617" w:type="dxa"/>
            <w:tcBorders>
              <w:top w:val="nil"/>
              <w:left w:val="nil"/>
              <w:bottom w:val="single" w:color="auto" w:sz="4" w:space="0"/>
              <w:right w:val="nil"/>
            </w:tcBorders>
            <w:noWrap w:val="0"/>
            <w:vAlign w:val="top"/>
          </w:tcPr>
          <w:p w14:paraId="3194017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Rehabilitation</w:t>
            </w:r>
          </w:p>
        </w:tc>
        <w:tc>
          <w:tcPr>
            <w:tcW w:w="811" w:type="dxa"/>
            <w:tcBorders>
              <w:top w:val="nil"/>
              <w:left w:val="nil"/>
              <w:bottom w:val="single" w:color="auto" w:sz="4" w:space="0"/>
              <w:right w:val="nil"/>
            </w:tcBorders>
            <w:noWrap w:val="0"/>
            <w:vAlign w:val="top"/>
          </w:tcPr>
          <w:p w14:paraId="17B9862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30</w:t>
            </w:r>
          </w:p>
        </w:tc>
        <w:tc>
          <w:tcPr>
            <w:tcW w:w="1161" w:type="dxa"/>
            <w:tcBorders>
              <w:top w:val="nil"/>
              <w:left w:val="nil"/>
              <w:bottom w:val="single" w:color="auto" w:sz="4" w:space="0"/>
              <w:right w:val="single" w:color="auto" w:sz="6" w:space="0"/>
            </w:tcBorders>
            <w:noWrap w:val="0"/>
            <w:vAlign w:val="top"/>
          </w:tcPr>
          <w:p w14:paraId="26D9D2E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0.</w:t>
            </w:r>
            <w:r>
              <w:rPr>
                <w:rFonts w:hint="default" w:ascii="Times New Roman Regular" w:hAnsi="Times New Roman Regular" w:cs="Times New Roman Regular"/>
                <w:color w:val="auto"/>
                <w:sz w:val="21"/>
                <w:szCs w:val="21"/>
                <w:vertAlign w:val="baseline"/>
                <w:lang w:val="en-US" w:eastAsia="zh-CN"/>
              </w:rPr>
              <w:t>07</w:t>
            </w:r>
          </w:p>
        </w:tc>
        <w:tc>
          <w:tcPr>
            <w:tcW w:w="728" w:type="dxa"/>
            <w:tcBorders>
              <w:top w:val="nil"/>
              <w:left w:val="single" w:color="auto" w:sz="6" w:space="0"/>
              <w:bottom w:val="single" w:color="auto" w:sz="4" w:space="0"/>
              <w:right w:val="nil"/>
            </w:tcBorders>
            <w:noWrap w:val="0"/>
            <w:vAlign w:val="top"/>
          </w:tcPr>
          <w:p w14:paraId="65A93D1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20</w:t>
            </w:r>
          </w:p>
        </w:tc>
        <w:tc>
          <w:tcPr>
            <w:tcW w:w="2342" w:type="dxa"/>
            <w:tcBorders>
              <w:top w:val="nil"/>
              <w:left w:val="nil"/>
              <w:bottom w:val="single" w:color="auto" w:sz="4" w:space="0"/>
              <w:right w:val="nil"/>
            </w:tcBorders>
            <w:noWrap w:val="0"/>
            <w:vAlign w:val="top"/>
          </w:tcPr>
          <w:p w14:paraId="2D40AC9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Disability</w:t>
            </w:r>
          </w:p>
        </w:tc>
        <w:tc>
          <w:tcPr>
            <w:tcW w:w="800" w:type="dxa"/>
            <w:tcBorders>
              <w:top w:val="nil"/>
              <w:left w:val="nil"/>
              <w:bottom w:val="single" w:color="auto" w:sz="4" w:space="0"/>
              <w:right w:val="nil"/>
            </w:tcBorders>
            <w:noWrap w:val="0"/>
            <w:vAlign w:val="top"/>
          </w:tcPr>
          <w:p w14:paraId="2F8CD72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15</w:t>
            </w:r>
          </w:p>
        </w:tc>
        <w:tc>
          <w:tcPr>
            <w:tcW w:w="1173" w:type="dxa"/>
            <w:tcBorders>
              <w:top w:val="nil"/>
              <w:left w:val="nil"/>
              <w:bottom w:val="single" w:color="auto" w:sz="4" w:space="0"/>
              <w:right w:val="nil"/>
            </w:tcBorders>
            <w:noWrap w:val="0"/>
            <w:vAlign w:val="top"/>
          </w:tcPr>
          <w:p w14:paraId="407724C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vertAlign w:val="baseline"/>
                <w:lang w:val="en-US" w:eastAsia="zh-CN"/>
              </w:rPr>
              <w:t>0.07</w:t>
            </w:r>
          </w:p>
        </w:tc>
      </w:tr>
    </w:tbl>
    <w:p w14:paraId="33085A05">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Italic" w:hAnsi="Times New Roman Italic" w:cs="Times New Roman Italic"/>
          <w:b w:val="0"/>
          <w:bCs w:val="0"/>
          <w:i/>
          <w:iCs/>
          <w:color w:val="auto"/>
          <w:sz w:val="24"/>
          <w:szCs w:val="24"/>
          <w:lang w:val="en-US" w:eastAsia="zh-CN"/>
        </w:rPr>
      </w:pPr>
      <w:r>
        <w:rPr>
          <w:rFonts w:hint="default" w:ascii="Times New Roman Italic" w:hAnsi="Times New Roman Italic" w:cs="Times New Roman Italic"/>
          <w:b w:val="0"/>
          <w:bCs w:val="0"/>
          <w:i/>
          <w:iCs/>
          <w:color w:val="auto"/>
          <w:sz w:val="24"/>
          <w:szCs w:val="24"/>
          <w:lang w:val="en-US" w:eastAsia="zh-CN"/>
        </w:rPr>
        <w:t>Keywords clustering analysis</w:t>
      </w:r>
    </w:p>
    <w:p w14:paraId="6252DCD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hint="default" w:ascii="Times New Roman Regular" w:hAnsi="Times New Roman Regular" w:eastAsia="宋体" w:cs="Times New Roman Regular"/>
          <w:i w:val="0"/>
          <w:sz w:val="24"/>
          <w:szCs w:val="24"/>
          <w:lang w:val="en-US" w:eastAsia="zh-CN"/>
        </w:rPr>
      </w:pPr>
      <w:r>
        <w:rPr>
          <w:rFonts w:hint="default" w:ascii="Times New Roman Regular" w:hAnsi="Times New Roman Regular" w:cs="Times New Roman Regular"/>
          <w:i w:val="0"/>
          <w:sz w:val="24"/>
          <w:szCs w:val="24"/>
        </w:rPr>
        <w:t>Keyword clustering groups similar or related research topics and reflects focal issues within a research field. Using the Log-Likelihood Ratio (LLR) algorithm, keywords were clustered, with a larger number of keywords within a cluster corresponding to a smaller cluster label value. Cluster 0 represents the largest cluster.</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The results showed a modularity value (Q) of 0.4809, indicating a significant clustering structure (Q &gt; 0.3), and a silhouette value (S) of 0.7888, suggesting a high level of reliability for the clustering results (S &gt; 0.7). Detailed results are shown in Table 3.</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 xml:space="preserve">A total of eight clusters related to reablement research were identified: </w:t>
      </w:r>
      <w:r>
        <w:rPr>
          <w:rStyle w:val="15"/>
          <w:rFonts w:hint="default" w:ascii="Times New Roman Regular" w:hAnsi="Times New Roman Regular" w:cs="Times New Roman Regular"/>
          <w:i w:val="0"/>
          <w:sz w:val="24"/>
          <w:szCs w:val="24"/>
        </w:rPr>
        <w:t>reablement</w:t>
      </w:r>
      <w:r>
        <w:rPr>
          <w:rFonts w:hint="default" w:ascii="Times New Roman Regular" w:hAnsi="Times New Roman Regular" w:cs="Times New Roman Regular"/>
          <w:i w:val="0"/>
          <w:sz w:val="24"/>
          <w:szCs w:val="24"/>
        </w:rPr>
        <w:t xml:space="preserve">, </w:t>
      </w:r>
      <w:r>
        <w:rPr>
          <w:rStyle w:val="15"/>
          <w:rFonts w:hint="default" w:ascii="Times New Roman Regular" w:hAnsi="Times New Roman Regular" w:cs="Times New Roman Regular"/>
          <w:i w:val="0"/>
          <w:sz w:val="24"/>
          <w:szCs w:val="24"/>
        </w:rPr>
        <w:t>nursing home</w:t>
      </w:r>
      <w:r>
        <w:rPr>
          <w:rFonts w:hint="default" w:ascii="Times New Roman Regular" w:hAnsi="Times New Roman Regular" w:cs="Times New Roman Regular"/>
          <w:i w:val="0"/>
          <w:sz w:val="24"/>
          <w:szCs w:val="24"/>
        </w:rPr>
        <w:t xml:space="preserve">, </w:t>
      </w:r>
      <w:r>
        <w:rPr>
          <w:rStyle w:val="15"/>
          <w:rFonts w:hint="default" w:ascii="Times New Roman Regular" w:hAnsi="Times New Roman Regular" w:cs="Times New Roman Regular"/>
          <w:i w:val="0"/>
          <w:sz w:val="24"/>
          <w:szCs w:val="24"/>
        </w:rPr>
        <w:t>home care</w:t>
      </w:r>
      <w:r>
        <w:rPr>
          <w:rFonts w:hint="default" w:ascii="Times New Roman Regular" w:hAnsi="Times New Roman Regular" w:cs="Times New Roman Regular"/>
          <w:i w:val="0"/>
          <w:sz w:val="24"/>
          <w:szCs w:val="24"/>
        </w:rPr>
        <w:t xml:space="preserve">, </w:t>
      </w:r>
      <w:r>
        <w:rPr>
          <w:rStyle w:val="15"/>
          <w:rFonts w:hint="default" w:ascii="Times New Roman Regular" w:hAnsi="Times New Roman Regular" w:cs="Times New Roman Regular"/>
          <w:i w:val="0"/>
          <w:sz w:val="24"/>
          <w:szCs w:val="24"/>
        </w:rPr>
        <w:t>community care</w:t>
      </w:r>
      <w:r>
        <w:rPr>
          <w:rFonts w:hint="default" w:ascii="Times New Roman Regular" w:hAnsi="Times New Roman Regular" w:cs="Times New Roman Regular"/>
          <w:i w:val="0"/>
          <w:sz w:val="24"/>
          <w:szCs w:val="24"/>
        </w:rPr>
        <w:t xml:space="preserve">, </w:t>
      </w:r>
      <w:r>
        <w:rPr>
          <w:rStyle w:val="15"/>
          <w:rFonts w:hint="default" w:ascii="Times New Roman Regular" w:hAnsi="Times New Roman Regular" w:cs="Times New Roman Regular"/>
          <w:i w:val="0"/>
          <w:sz w:val="24"/>
          <w:szCs w:val="24"/>
        </w:rPr>
        <w:t>acute care</w:t>
      </w:r>
      <w:r>
        <w:rPr>
          <w:rFonts w:hint="default" w:ascii="Times New Roman Regular" w:hAnsi="Times New Roman Regular" w:cs="Times New Roman Regular"/>
          <w:i w:val="0"/>
          <w:sz w:val="24"/>
          <w:szCs w:val="24"/>
        </w:rPr>
        <w:t xml:space="preserve">, </w:t>
      </w:r>
      <w:r>
        <w:rPr>
          <w:rStyle w:val="15"/>
          <w:rFonts w:hint="default" w:ascii="Times New Roman Regular" w:hAnsi="Times New Roman Regular" w:cs="Times New Roman Regular"/>
          <w:i w:val="0"/>
          <w:sz w:val="24"/>
          <w:szCs w:val="24"/>
        </w:rPr>
        <w:t>exercise</w:t>
      </w:r>
      <w:r>
        <w:rPr>
          <w:rFonts w:hint="default" w:ascii="Times New Roman Regular" w:hAnsi="Times New Roman Regular" w:cs="Times New Roman Regular"/>
          <w:i w:val="0"/>
          <w:sz w:val="24"/>
          <w:szCs w:val="24"/>
        </w:rPr>
        <w:t xml:space="preserve">, </w:t>
      </w:r>
      <w:r>
        <w:rPr>
          <w:rStyle w:val="15"/>
          <w:rFonts w:hint="default" w:ascii="Times New Roman Regular" w:hAnsi="Times New Roman Regular" w:cs="Times New Roman Regular"/>
          <w:i w:val="0"/>
          <w:sz w:val="24"/>
          <w:szCs w:val="24"/>
        </w:rPr>
        <w:t>active aging</w:t>
      </w:r>
      <w:r>
        <w:rPr>
          <w:rFonts w:hint="default" w:ascii="Times New Roman Regular" w:hAnsi="Times New Roman Regular" w:cs="Times New Roman Regular"/>
          <w:i w:val="0"/>
          <w:sz w:val="24"/>
          <w:szCs w:val="24"/>
        </w:rPr>
        <w:t xml:space="preserve">, and </w:t>
      </w:r>
      <w:r>
        <w:rPr>
          <w:rStyle w:val="15"/>
          <w:rFonts w:hint="default" w:ascii="Times New Roman Regular" w:hAnsi="Times New Roman Regular" w:cs="Times New Roman Regular"/>
          <w:i w:val="0"/>
          <w:sz w:val="24"/>
          <w:szCs w:val="24"/>
        </w:rPr>
        <w:t>comprehensive geriatric assessment</w:t>
      </w:r>
      <w:r>
        <w:rPr>
          <w:rFonts w:hint="default" w:ascii="Times New Roman Regular" w:hAnsi="Times New Roman Regular" w:cs="Times New Roman Regular"/>
          <w:i w:val="0"/>
          <w:sz w:val="24"/>
          <w:szCs w:val="24"/>
        </w:rPr>
        <w:t>.</w:t>
      </w:r>
      <w:r>
        <w:rPr>
          <w:rFonts w:hint="eastAsia" w:ascii="Times New Roman Regular" w:hAnsi="Times New Roman Regular" w:cs="Times New Roman Regular"/>
          <w:i w:val="0"/>
          <w:sz w:val="24"/>
          <w:szCs w:val="24"/>
          <w:lang w:val="en-US" w:eastAsia="zh-CN"/>
        </w:rPr>
        <w:t xml:space="preserve">  </w:t>
      </w:r>
    </w:p>
    <w:p w14:paraId="651D248D">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Regular" w:hAnsi="Times New Roman Regular" w:cs="Times New Roman Regular"/>
          <w:i w:val="0"/>
          <w:sz w:val="24"/>
          <w:szCs w:val="24"/>
          <w:lang w:val="en-US" w:eastAsia="zh-CN"/>
        </w:rPr>
      </w:pPr>
      <w:r>
        <w:rPr>
          <w:rFonts w:hint="default" w:ascii="Times New Roman Regular" w:hAnsi="Times New Roman Regular" w:cs="Times New Roman Regular"/>
          <w:i w:val="0"/>
          <w:sz w:val="24"/>
          <w:szCs w:val="24"/>
        </w:rPr>
        <w:t xml:space="preserve">Table </w:t>
      </w:r>
      <w:r>
        <w:rPr>
          <w:rFonts w:hint="default" w:ascii="Times New Roman Bold" w:hAnsi="Times New Roman Bold" w:cs="Times New Roman Bold"/>
          <w:b/>
          <w:bCs/>
          <w:i w:val="0"/>
          <w:sz w:val="24"/>
          <w:szCs w:val="24"/>
        </w:rPr>
        <w:t>3</w:t>
      </w:r>
      <w:r>
        <w:rPr>
          <w:rFonts w:hint="default" w:ascii="Times New Roman Bold" w:hAnsi="Times New Roman Bold" w:cs="Times New Roman Bold"/>
          <w:b/>
          <w:bCs/>
          <w:i w:val="0"/>
          <w:sz w:val="24"/>
          <w:szCs w:val="24"/>
          <w:lang w:val="en-US"/>
        </w:rPr>
        <w:t>.</w:t>
      </w:r>
      <w:r>
        <w:rPr>
          <w:rFonts w:hint="default" w:ascii="Times New Roman Regular" w:hAnsi="Times New Roman Regular" w:cs="Times New Roman Regular"/>
          <w:i w:val="0"/>
          <w:sz w:val="24"/>
          <w:szCs w:val="24"/>
          <w:lang w:val="en-US" w:eastAsia="zh-CN"/>
        </w:rPr>
        <w:t xml:space="preserve"> Clustering visualization of research on </w:t>
      </w:r>
      <w:r>
        <w:rPr>
          <w:rFonts w:hint="eastAsia" w:ascii="Times New Roman Regular" w:hAnsi="Times New Roman Regular" w:cs="Times New Roman Regular"/>
          <w:i w:val="0"/>
          <w:sz w:val="24"/>
          <w:szCs w:val="24"/>
          <w:lang w:val="en-US" w:eastAsia="zh-CN"/>
        </w:rPr>
        <w:t>reablement</w:t>
      </w:r>
      <w:r>
        <w:rPr>
          <w:rFonts w:hint="default" w:ascii="Times New Roman Regular" w:hAnsi="Times New Roman Regular" w:cs="Times New Roman Regular"/>
          <w:i w:val="0"/>
          <w:sz w:val="24"/>
          <w:szCs w:val="24"/>
          <w:lang w:val="en-US" w:eastAsia="zh-CN"/>
        </w:rPr>
        <w:t>.</w:t>
      </w:r>
    </w:p>
    <w:tbl>
      <w:tblPr>
        <w:tblStyle w:val="12"/>
        <w:tblW w:w="927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2"/>
        <w:gridCol w:w="1714"/>
        <w:gridCol w:w="6834"/>
      </w:tblGrid>
      <w:tr w14:paraId="498CB602">
        <w:trPr>
          <w:jc w:val="center"/>
        </w:trPr>
        <w:tc>
          <w:tcPr>
            <w:tcW w:w="722" w:type="dxa"/>
            <w:tcBorders>
              <w:bottom w:val="single" w:color="auto" w:sz="4" w:space="0"/>
              <w:tl2br w:val="nil"/>
              <w:tr2bl w:val="nil"/>
            </w:tcBorders>
            <w:noWrap w:val="0"/>
            <w:vAlign w:val="top"/>
          </w:tcPr>
          <w:p w14:paraId="1099086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cs="Times New Roman Regular"/>
                <w:color w:val="auto"/>
                <w:sz w:val="21"/>
                <w:szCs w:val="21"/>
                <w:vertAlign w:val="baseline"/>
                <w:lang w:val="en-US" w:eastAsia="zh-CN"/>
              </w:rPr>
            </w:pPr>
            <w:r>
              <w:rPr>
                <w:rFonts w:hint="default" w:ascii="Times New Roman Bold" w:hAnsi="Times New Roman Bold" w:cs="Times New Roman Bold"/>
                <w:b/>
                <w:bCs/>
                <w:color w:val="auto"/>
                <w:sz w:val="21"/>
                <w:szCs w:val="21"/>
                <w:vertAlign w:val="baseline"/>
                <w:lang w:val="en-US" w:eastAsia="zh-CN"/>
              </w:rPr>
              <w:t>Rank</w:t>
            </w:r>
          </w:p>
        </w:tc>
        <w:tc>
          <w:tcPr>
            <w:tcW w:w="1714" w:type="dxa"/>
            <w:tcBorders>
              <w:bottom w:val="single" w:color="auto" w:sz="4" w:space="0"/>
              <w:tl2br w:val="nil"/>
              <w:tr2bl w:val="nil"/>
            </w:tcBorders>
            <w:noWrap w:val="0"/>
            <w:vAlign w:val="top"/>
          </w:tcPr>
          <w:p w14:paraId="7CADFC2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cs="Times New Roman Regular"/>
                <w:color w:val="auto"/>
                <w:sz w:val="21"/>
                <w:szCs w:val="21"/>
                <w:vertAlign w:val="baseline"/>
                <w:lang w:val="en-US" w:eastAsia="zh-CN"/>
              </w:rPr>
            </w:pPr>
            <w:r>
              <w:rPr>
                <w:rFonts w:hint="default" w:ascii="Times New Roman Bold" w:hAnsi="Times New Roman Bold" w:cs="Times New Roman Bold"/>
                <w:b/>
                <w:bCs/>
                <w:color w:val="auto"/>
                <w:sz w:val="21"/>
                <w:szCs w:val="21"/>
                <w:vertAlign w:val="baseline"/>
                <w:lang w:val="en-US" w:eastAsia="zh-CN"/>
              </w:rPr>
              <w:t>Cluster</w:t>
            </w:r>
          </w:p>
        </w:tc>
        <w:tc>
          <w:tcPr>
            <w:tcW w:w="6834" w:type="dxa"/>
            <w:tcBorders>
              <w:bottom w:val="single" w:color="auto" w:sz="4" w:space="0"/>
              <w:tl2br w:val="nil"/>
              <w:tr2bl w:val="nil"/>
            </w:tcBorders>
            <w:noWrap w:val="0"/>
            <w:vAlign w:val="top"/>
          </w:tcPr>
          <w:p w14:paraId="1C761BE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cs="Times New Roman Regular"/>
                <w:color w:val="auto"/>
                <w:sz w:val="21"/>
                <w:szCs w:val="21"/>
                <w:vertAlign w:val="baseline"/>
                <w:lang w:val="en-US" w:eastAsia="zh-CN"/>
              </w:rPr>
            </w:pPr>
            <w:r>
              <w:rPr>
                <w:rFonts w:hint="default" w:ascii="Times New Roman Bold" w:hAnsi="Times New Roman Bold" w:cs="Times New Roman Bold"/>
                <w:b/>
                <w:bCs/>
                <w:color w:val="auto"/>
                <w:sz w:val="21"/>
                <w:szCs w:val="21"/>
                <w:vertAlign w:val="baseline"/>
                <w:lang w:val="en-US" w:eastAsia="zh-CN"/>
              </w:rPr>
              <w:t>Keywords</w:t>
            </w:r>
          </w:p>
        </w:tc>
      </w:tr>
      <w:tr w14:paraId="5CE9D1F8">
        <w:trPr>
          <w:jc w:val="center"/>
        </w:trPr>
        <w:tc>
          <w:tcPr>
            <w:tcW w:w="722" w:type="dxa"/>
            <w:tcBorders>
              <w:top w:val="single" w:color="auto" w:sz="4" w:space="0"/>
              <w:tl2br w:val="nil"/>
              <w:tr2bl w:val="nil"/>
            </w:tcBorders>
            <w:noWrap w:val="0"/>
            <w:vAlign w:val="top"/>
          </w:tcPr>
          <w:p w14:paraId="6B1D926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lang w:val="en-US" w:eastAsia="zh-CN"/>
              </w:rPr>
              <w:t>#0</w:t>
            </w:r>
          </w:p>
        </w:tc>
        <w:tc>
          <w:tcPr>
            <w:tcW w:w="1714" w:type="dxa"/>
            <w:tcBorders>
              <w:top w:val="single" w:color="auto" w:sz="4" w:space="0"/>
              <w:tl2br w:val="nil"/>
              <w:tr2bl w:val="nil"/>
            </w:tcBorders>
            <w:noWrap w:val="0"/>
            <w:vAlign w:val="top"/>
          </w:tcPr>
          <w:p w14:paraId="1036807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eastAsia" w:ascii="Times New Roman Regular" w:hAnsi="Times New Roman Regular" w:cs="Times New Roman Regular"/>
                <w:color w:val="auto"/>
                <w:sz w:val="21"/>
                <w:szCs w:val="21"/>
                <w:highlight w:val="none"/>
                <w:vertAlign w:val="baseline"/>
                <w:lang w:val="en-US" w:eastAsia="zh-CN"/>
              </w:rPr>
              <w:t>r</w:t>
            </w:r>
            <w:r>
              <w:rPr>
                <w:rFonts w:hint="default" w:ascii="Times New Roman Regular" w:hAnsi="Times New Roman Regular" w:cs="Times New Roman Regular"/>
                <w:color w:val="auto"/>
                <w:sz w:val="21"/>
                <w:szCs w:val="21"/>
                <w:highlight w:val="none"/>
                <w:vertAlign w:val="baseline"/>
                <w:lang w:val="en-US" w:eastAsia="zh-CN"/>
              </w:rPr>
              <w:t>eablement</w:t>
            </w:r>
          </w:p>
        </w:tc>
        <w:tc>
          <w:tcPr>
            <w:tcW w:w="6834" w:type="dxa"/>
            <w:tcBorders>
              <w:top w:val="single" w:color="auto" w:sz="4" w:space="0"/>
              <w:tl2br w:val="nil"/>
              <w:tr2bl w:val="nil"/>
            </w:tcBorders>
            <w:noWrap w:val="0"/>
            <w:vAlign w:val="top"/>
          </w:tcPr>
          <w:p w14:paraId="3801FD4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i w:val="0"/>
                <w:iCs w:val="0"/>
                <w:caps w:val="0"/>
                <w:color w:val="auto"/>
                <w:spacing w:val="0"/>
                <w:kern w:val="2"/>
                <w:sz w:val="21"/>
                <w:szCs w:val="21"/>
                <w:u w:val="none"/>
                <w:lang w:val="en-US" w:eastAsia="zh-CN" w:bidi="ar"/>
              </w:rPr>
              <w:t xml:space="preserve">physical activity; assisted living; </w:t>
            </w:r>
            <w:r>
              <w:rPr>
                <w:rFonts w:hint="default" w:ascii="Times New Roman Regular" w:hAnsi="Times New Roman Regular" w:eastAsia="宋体" w:cs="Times New Roman Regular"/>
                <w:i w:val="0"/>
                <w:iCs w:val="0"/>
                <w:caps w:val="0"/>
                <w:color w:val="auto"/>
                <w:spacing w:val="0"/>
                <w:kern w:val="2"/>
                <w:sz w:val="21"/>
                <w:szCs w:val="21"/>
                <w:u w:val="none"/>
                <w:lang w:val="en-US" w:eastAsia="zh-CN" w:bidi="ar"/>
              </w:rPr>
              <w:t>long term care</w:t>
            </w:r>
            <w:r>
              <w:rPr>
                <w:rFonts w:hint="default" w:ascii="Times New Roman Regular" w:hAnsi="Times New Roman Regular" w:cs="Times New Roman Regular"/>
                <w:i w:val="0"/>
                <w:iCs w:val="0"/>
                <w:caps w:val="0"/>
                <w:color w:val="auto"/>
                <w:spacing w:val="0"/>
                <w:kern w:val="2"/>
                <w:sz w:val="21"/>
                <w:szCs w:val="21"/>
                <w:u w:val="none"/>
                <w:lang w:val="en-US" w:eastAsia="zh-CN" w:bidi="ar"/>
              </w:rPr>
              <w:t xml:space="preserve">; </w:t>
            </w:r>
            <w:r>
              <w:rPr>
                <w:rFonts w:hint="default" w:ascii="Times New Roman Regular" w:hAnsi="Times New Roman Regular" w:eastAsia="宋体" w:cs="Times New Roman Regular"/>
                <w:i w:val="0"/>
                <w:iCs w:val="0"/>
                <w:caps w:val="0"/>
                <w:color w:val="auto"/>
                <w:spacing w:val="0"/>
                <w:kern w:val="2"/>
                <w:sz w:val="21"/>
                <w:szCs w:val="21"/>
                <w:u w:val="none"/>
                <w:lang w:val="en-US" w:eastAsia="zh-CN" w:bidi="ar"/>
              </w:rPr>
              <w:t>aged care</w:t>
            </w:r>
          </w:p>
        </w:tc>
      </w:tr>
      <w:tr w14:paraId="392F56E5">
        <w:trPr>
          <w:jc w:val="center"/>
        </w:trPr>
        <w:tc>
          <w:tcPr>
            <w:tcW w:w="722" w:type="dxa"/>
            <w:tcBorders>
              <w:tl2br w:val="nil"/>
              <w:tr2bl w:val="nil"/>
            </w:tcBorders>
            <w:noWrap w:val="0"/>
            <w:vAlign w:val="top"/>
          </w:tcPr>
          <w:p w14:paraId="025D7AA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lang w:val="en-US" w:eastAsia="zh-CN"/>
              </w:rPr>
              <w:t>#1</w:t>
            </w:r>
          </w:p>
        </w:tc>
        <w:tc>
          <w:tcPr>
            <w:tcW w:w="1714" w:type="dxa"/>
            <w:tcBorders>
              <w:tl2br w:val="nil"/>
              <w:tr2bl w:val="nil"/>
            </w:tcBorders>
            <w:noWrap w:val="0"/>
            <w:vAlign w:val="top"/>
          </w:tcPr>
          <w:p w14:paraId="0E255520">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rPr>
              <w:t>nursing home</w:t>
            </w:r>
          </w:p>
        </w:tc>
        <w:tc>
          <w:tcPr>
            <w:tcW w:w="6834" w:type="dxa"/>
            <w:tcBorders>
              <w:tl2br w:val="nil"/>
              <w:tr2bl w:val="nil"/>
            </w:tcBorders>
            <w:noWrap w:val="0"/>
            <w:vAlign w:val="top"/>
          </w:tcPr>
          <w:p w14:paraId="541752F1">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webkit-standard" w:cs="Times New Roman Regular"/>
                <w:color w:val="auto"/>
                <w:kern w:val="0"/>
                <w:sz w:val="21"/>
                <w:szCs w:val="21"/>
                <w:u w:val="none"/>
                <w:lang w:bidi="ar"/>
              </w:rPr>
              <w:t>outcome expectations</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eastAsia="-webkit-standard" w:cs="Times New Roman Regular"/>
                <w:color w:val="auto"/>
                <w:kern w:val="0"/>
                <w:sz w:val="21"/>
                <w:szCs w:val="21"/>
                <w:u w:val="none"/>
                <w:lang w:val="en-US" w:bidi="ar"/>
              </w:rPr>
              <w:t xml:space="preserve"> </w:t>
            </w:r>
            <w:r>
              <w:rPr>
                <w:rFonts w:hint="default" w:ascii="Times New Roman Regular" w:hAnsi="Times New Roman Regular" w:eastAsia="-webkit-standard" w:cs="Times New Roman Regular"/>
                <w:color w:val="auto"/>
                <w:kern w:val="0"/>
                <w:sz w:val="21"/>
                <w:szCs w:val="21"/>
                <w:u w:val="none"/>
                <w:lang w:bidi="ar"/>
              </w:rPr>
              <w:t>self-efficacy</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eastAsia="-webkit-standard" w:cs="Times New Roman Regular"/>
                <w:color w:val="auto"/>
                <w:kern w:val="0"/>
                <w:sz w:val="21"/>
                <w:szCs w:val="21"/>
                <w:u w:val="none"/>
                <w:lang w:val="en-US" w:bidi="ar"/>
              </w:rPr>
              <w:t xml:space="preserve"> </w:t>
            </w:r>
            <w:r>
              <w:rPr>
                <w:rFonts w:hint="default" w:ascii="Times New Roman Regular" w:hAnsi="Times New Roman Regular" w:eastAsia="-webkit-standard" w:cs="Times New Roman Regular"/>
                <w:color w:val="auto"/>
                <w:kern w:val="0"/>
                <w:sz w:val="21"/>
                <w:szCs w:val="21"/>
                <w:u w:val="none"/>
                <w:lang w:bidi="ar"/>
              </w:rPr>
              <w:t>agitation</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eastAsia="-webkit-standard" w:cs="Times New Roman Regular"/>
                <w:color w:val="auto"/>
                <w:kern w:val="0"/>
                <w:sz w:val="21"/>
                <w:szCs w:val="21"/>
                <w:u w:val="none"/>
                <w:lang w:val="en-US" w:bidi="ar"/>
              </w:rPr>
              <w:t xml:space="preserve"> </w:t>
            </w:r>
            <w:r>
              <w:rPr>
                <w:rFonts w:hint="default" w:ascii="Times New Roman Regular" w:hAnsi="Times New Roman Regular" w:eastAsia="-webkit-standard" w:cs="Times New Roman Regular"/>
                <w:color w:val="auto"/>
                <w:kern w:val="0"/>
                <w:sz w:val="21"/>
                <w:szCs w:val="21"/>
                <w:u w:val="none"/>
                <w:lang w:bidi="ar"/>
              </w:rPr>
              <w:t>assistants</w:t>
            </w:r>
          </w:p>
        </w:tc>
      </w:tr>
      <w:tr w14:paraId="02994235">
        <w:trPr>
          <w:jc w:val="center"/>
        </w:trPr>
        <w:tc>
          <w:tcPr>
            <w:tcW w:w="722" w:type="dxa"/>
            <w:tcBorders>
              <w:tl2br w:val="nil"/>
              <w:tr2bl w:val="nil"/>
            </w:tcBorders>
            <w:noWrap w:val="0"/>
            <w:vAlign w:val="top"/>
          </w:tcPr>
          <w:p w14:paraId="5A720F3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lang w:val="en-US" w:eastAsia="zh-CN"/>
              </w:rPr>
              <w:t>#2</w:t>
            </w:r>
          </w:p>
        </w:tc>
        <w:tc>
          <w:tcPr>
            <w:tcW w:w="1714" w:type="dxa"/>
            <w:tcBorders>
              <w:tl2br w:val="nil"/>
              <w:tr2bl w:val="nil"/>
            </w:tcBorders>
            <w:noWrap w:val="0"/>
            <w:vAlign w:val="top"/>
          </w:tcPr>
          <w:p w14:paraId="3C8D496F">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webkit-standard" w:cs="Times New Roman Regular"/>
                <w:i w:val="0"/>
                <w:iCs w:val="0"/>
                <w:caps w:val="0"/>
                <w:color w:val="auto"/>
                <w:spacing w:val="0"/>
                <w:kern w:val="0"/>
                <w:sz w:val="21"/>
                <w:szCs w:val="21"/>
                <w:u w:val="none"/>
                <w:lang w:val="en-US" w:eastAsia="zh-CN" w:bidi="ar"/>
              </w:rPr>
              <w:t>home care</w:t>
            </w:r>
          </w:p>
        </w:tc>
        <w:tc>
          <w:tcPr>
            <w:tcW w:w="6834" w:type="dxa"/>
            <w:tcBorders>
              <w:tl2br w:val="nil"/>
              <w:tr2bl w:val="nil"/>
            </w:tcBorders>
            <w:noWrap w:val="0"/>
            <w:vAlign w:val="top"/>
          </w:tcPr>
          <w:p w14:paraId="22F237B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webkit-standard" w:cs="Times New Roman Regular"/>
                <w:i w:val="0"/>
                <w:iCs w:val="0"/>
                <w:caps w:val="0"/>
                <w:color w:val="auto"/>
                <w:spacing w:val="0"/>
                <w:kern w:val="0"/>
                <w:sz w:val="21"/>
                <w:szCs w:val="21"/>
                <w:u w:val="none"/>
                <w:lang w:val="en-US" w:eastAsia="zh-CN" w:bidi="ar"/>
              </w:rPr>
              <w:t>community</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cs="Times New Roman Regular"/>
                <w:i w:val="0"/>
                <w:iCs w:val="0"/>
                <w:caps w:val="0"/>
                <w:color w:val="auto"/>
                <w:spacing w:val="0"/>
                <w:kern w:val="0"/>
                <w:sz w:val="21"/>
                <w:szCs w:val="21"/>
                <w:u w:val="none"/>
                <w:lang w:val="en-US" w:eastAsia="zh-CN" w:bidi="ar"/>
              </w:rPr>
              <w:t xml:space="preserve"> </w:t>
            </w:r>
            <w:r>
              <w:rPr>
                <w:rFonts w:hint="default" w:ascii="Times New Roman Regular" w:hAnsi="Times New Roman Regular" w:eastAsia="宋体" w:cs="Times New Roman Regular"/>
                <w:i w:val="0"/>
                <w:iCs w:val="0"/>
                <w:caps w:val="0"/>
                <w:color w:val="auto"/>
                <w:spacing w:val="0"/>
                <w:kern w:val="0"/>
                <w:sz w:val="21"/>
                <w:szCs w:val="21"/>
                <w:u w:val="none"/>
                <w:lang w:val="en-US" w:eastAsia="zh-CN" w:bidi="ar"/>
              </w:rPr>
              <w:t>goal-setting</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cs="Times New Roman Regular"/>
                <w:color w:val="auto"/>
                <w:sz w:val="21"/>
                <w:szCs w:val="21"/>
                <w:vertAlign w:val="baseline"/>
                <w:lang w:val="en-US" w:eastAsia="zh-CN"/>
              </w:rPr>
              <w:t xml:space="preserve"> carers</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cs="Times New Roman Regular"/>
                <w:color w:val="auto"/>
                <w:sz w:val="21"/>
                <w:szCs w:val="21"/>
                <w:vertAlign w:val="baseline"/>
                <w:lang w:val="en-US" w:eastAsia="zh-CN"/>
              </w:rPr>
              <w:t xml:space="preserve"> </w:t>
            </w:r>
            <w:r>
              <w:rPr>
                <w:rFonts w:hint="default" w:ascii="Times New Roman Regular" w:hAnsi="Times New Roman Regular" w:eastAsia="宋体" w:cs="Times New Roman Regular"/>
                <w:color w:val="auto"/>
                <w:sz w:val="21"/>
                <w:szCs w:val="21"/>
                <w:vertAlign w:val="baseline"/>
                <w:lang w:val="en-US" w:eastAsia="zh-CN"/>
              </w:rPr>
              <w:t>dementia</w:t>
            </w:r>
          </w:p>
        </w:tc>
      </w:tr>
      <w:tr w14:paraId="4BB1C3AB">
        <w:trPr>
          <w:jc w:val="center"/>
        </w:trPr>
        <w:tc>
          <w:tcPr>
            <w:tcW w:w="722" w:type="dxa"/>
            <w:tcBorders>
              <w:tl2br w:val="nil"/>
              <w:tr2bl w:val="nil"/>
            </w:tcBorders>
            <w:noWrap w:val="0"/>
            <w:vAlign w:val="top"/>
          </w:tcPr>
          <w:p w14:paraId="5D0DE6B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lang w:val="en-US" w:eastAsia="zh-CN"/>
              </w:rPr>
              <w:t>#3</w:t>
            </w:r>
          </w:p>
        </w:tc>
        <w:tc>
          <w:tcPr>
            <w:tcW w:w="1714" w:type="dxa"/>
            <w:tcBorders>
              <w:tl2br w:val="nil"/>
              <w:tr2bl w:val="nil"/>
            </w:tcBorders>
            <w:noWrap w:val="0"/>
            <w:vAlign w:val="top"/>
          </w:tcPr>
          <w:p w14:paraId="2124B3E6">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webkit-standard" w:cs="Times New Roman Regular"/>
                <w:i w:val="0"/>
                <w:iCs w:val="0"/>
                <w:caps w:val="0"/>
                <w:color w:val="auto"/>
                <w:spacing w:val="0"/>
                <w:kern w:val="0"/>
                <w:sz w:val="21"/>
                <w:szCs w:val="21"/>
                <w:u w:val="none"/>
                <w:lang w:val="en-US" w:eastAsia="zh-CN" w:bidi="ar"/>
              </w:rPr>
              <w:t>community care</w:t>
            </w:r>
          </w:p>
        </w:tc>
        <w:tc>
          <w:tcPr>
            <w:tcW w:w="6834" w:type="dxa"/>
            <w:tcBorders>
              <w:tl2br w:val="nil"/>
              <w:tr2bl w:val="nil"/>
            </w:tcBorders>
            <w:noWrap w:val="0"/>
            <w:vAlign w:val="top"/>
          </w:tcPr>
          <w:p w14:paraId="49A3CF4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webkit-standard" w:cs="Times New Roman Regular"/>
                <w:i w:val="0"/>
                <w:iCs w:val="0"/>
                <w:caps w:val="0"/>
                <w:color w:val="auto"/>
                <w:spacing w:val="0"/>
                <w:kern w:val="0"/>
                <w:sz w:val="21"/>
                <w:szCs w:val="21"/>
                <w:u w:val="none"/>
                <w:lang w:val="en-US" w:eastAsia="zh-CN" w:bidi="ar"/>
              </w:rPr>
              <w:t>cognitive rehabilitation</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cs="Times New Roman Regular"/>
                <w:i w:val="0"/>
                <w:iCs w:val="0"/>
                <w:caps w:val="0"/>
                <w:color w:val="auto"/>
                <w:spacing w:val="0"/>
                <w:kern w:val="0"/>
                <w:sz w:val="21"/>
                <w:szCs w:val="21"/>
                <w:u w:val="none"/>
                <w:lang w:val="en-US" w:eastAsia="zh-CN" w:bidi="ar"/>
              </w:rPr>
              <w:t xml:space="preserve"> </w:t>
            </w:r>
            <w:r>
              <w:rPr>
                <w:rFonts w:hint="default" w:ascii="Times New Roman Regular" w:hAnsi="Times New Roman Regular" w:eastAsia="宋体" w:cs="Times New Roman Regular"/>
                <w:i w:val="0"/>
                <w:iCs w:val="0"/>
                <w:caps w:val="0"/>
                <w:color w:val="auto"/>
                <w:spacing w:val="0"/>
                <w:kern w:val="0"/>
                <w:sz w:val="21"/>
                <w:szCs w:val="21"/>
                <w:u w:val="none"/>
                <w:lang w:val="en-US" w:eastAsia="zh-CN" w:bidi="ar"/>
              </w:rPr>
              <w:t>occupation</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cs="Times New Roman Regular"/>
                <w:i w:val="0"/>
                <w:iCs w:val="0"/>
                <w:caps w:val="0"/>
                <w:color w:val="auto"/>
                <w:spacing w:val="0"/>
                <w:kern w:val="0"/>
                <w:sz w:val="21"/>
                <w:szCs w:val="21"/>
                <w:u w:val="none"/>
                <w:lang w:val="en-US" w:eastAsia="zh-CN" w:bidi="ar"/>
              </w:rPr>
              <w:t xml:space="preserve"> </w:t>
            </w:r>
            <w:r>
              <w:rPr>
                <w:rFonts w:hint="default" w:ascii="Times New Roman Regular" w:hAnsi="Times New Roman Regular" w:eastAsia="宋体" w:cs="Times New Roman Regular"/>
                <w:i w:val="0"/>
                <w:iCs w:val="0"/>
                <w:caps w:val="0"/>
                <w:color w:val="auto"/>
                <w:spacing w:val="0"/>
                <w:kern w:val="0"/>
                <w:sz w:val="21"/>
                <w:szCs w:val="21"/>
                <w:u w:val="none"/>
                <w:lang w:val="en-US" w:eastAsia="zh-CN" w:bidi="ar"/>
              </w:rPr>
              <w:t>social support</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cs="Times New Roman Regular"/>
                <w:i w:val="0"/>
                <w:iCs w:val="0"/>
                <w:caps w:val="0"/>
                <w:color w:val="auto"/>
                <w:spacing w:val="0"/>
                <w:kern w:val="0"/>
                <w:sz w:val="21"/>
                <w:szCs w:val="21"/>
                <w:u w:val="none"/>
                <w:lang w:val="en-US" w:eastAsia="zh-CN" w:bidi="ar"/>
              </w:rPr>
              <w:t xml:space="preserve"> </w:t>
            </w:r>
            <w:r>
              <w:rPr>
                <w:rFonts w:hint="default" w:ascii="Times New Roman Regular" w:hAnsi="Times New Roman Regular" w:eastAsia="宋体" w:cs="Times New Roman Regular"/>
                <w:i w:val="0"/>
                <w:iCs w:val="0"/>
                <w:caps w:val="0"/>
                <w:color w:val="auto"/>
                <w:spacing w:val="0"/>
                <w:kern w:val="0"/>
                <w:sz w:val="21"/>
                <w:szCs w:val="21"/>
                <w:u w:val="none"/>
                <w:lang w:val="en-US" w:eastAsia="zh-CN" w:bidi="ar"/>
              </w:rPr>
              <w:t>disability</w:t>
            </w:r>
          </w:p>
        </w:tc>
      </w:tr>
      <w:tr w14:paraId="7CC7DD3E">
        <w:trPr>
          <w:jc w:val="center"/>
        </w:trPr>
        <w:tc>
          <w:tcPr>
            <w:tcW w:w="722" w:type="dxa"/>
            <w:tcBorders>
              <w:tl2br w:val="nil"/>
              <w:tr2bl w:val="nil"/>
            </w:tcBorders>
            <w:noWrap w:val="0"/>
            <w:vAlign w:val="top"/>
          </w:tcPr>
          <w:p w14:paraId="13958FE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lang w:val="en-US" w:eastAsia="zh-CN"/>
              </w:rPr>
              <w:t>#4</w:t>
            </w:r>
          </w:p>
        </w:tc>
        <w:tc>
          <w:tcPr>
            <w:tcW w:w="1714" w:type="dxa"/>
            <w:tcBorders>
              <w:tl2br w:val="nil"/>
              <w:tr2bl w:val="nil"/>
            </w:tcBorders>
            <w:noWrap w:val="0"/>
            <w:vAlign w:val="top"/>
          </w:tcPr>
          <w:p w14:paraId="566E79D2">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webkit-standard" w:cs="Times New Roman Regular"/>
                <w:i w:val="0"/>
                <w:iCs w:val="0"/>
                <w:caps w:val="0"/>
                <w:color w:val="auto"/>
                <w:spacing w:val="0"/>
                <w:kern w:val="0"/>
                <w:sz w:val="21"/>
                <w:szCs w:val="21"/>
                <w:u w:val="none"/>
                <w:lang w:val="en-US" w:eastAsia="zh-CN" w:bidi="ar"/>
              </w:rPr>
              <w:t>acute care</w:t>
            </w:r>
          </w:p>
        </w:tc>
        <w:tc>
          <w:tcPr>
            <w:tcW w:w="6834" w:type="dxa"/>
            <w:tcBorders>
              <w:tl2br w:val="nil"/>
              <w:tr2bl w:val="nil"/>
            </w:tcBorders>
            <w:noWrap w:val="0"/>
            <w:vAlign w:val="top"/>
          </w:tcPr>
          <w:p w14:paraId="22E14C1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webkit-standard" w:cs="Times New Roman Regular"/>
                <w:i w:val="0"/>
                <w:iCs w:val="0"/>
                <w:caps w:val="0"/>
                <w:color w:val="auto"/>
                <w:spacing w:val="0"/>
                <w:kern w:val="0"/>
                <w:sz w:val="21"/>
                <w:szCs w:val="21"/>
                <w:u w:val="none"/>
                <w:lang w:val="en-US" w:eastAsia="zh-CN" w:bidi="ar"/>
              </w:rPr>
              <w:t>functional recovery</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eastAsia="-webkit-standard" w:cs="Times New Roman Regular"/>
                <w:i w:val="0"/>
                <w:iCs w:val="0"/>
                <w:caps w:val="0"/>
                <w:color w:val="auto"/>
                <w:spacing w:val="0"/>
                <w:kern w:val="0"/>
                <w:sz w:val="21"/>
                <w:szCs w:val="21"/>
                <w:u w:val="none"/>
                <w:lang w:val="en-US" w:eastAsia="zh-CN" w:bidi="ar"/>
              </w:rPr>
              <w:t xml:space="preserve"> family engagement</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eastAsia="-webkit-standard" w:cs="Times New Roman Regular"/>
                <w:i w:val="0"/>
                <w:iCs w:val="0"/>
                <w:caps w:val="0"/>
                <w:color w:val="auto"/>
                <w:spacing w:val="0"/>
                <w:kern w:val="0"/>
                <w:sz w:val="21"/>
                <w:szCs w:val="21"/>
                <w:u w:val="none"/>
                <w:lang w:val="en-US" w:eastAsia="zh-CN" w:bidi="ar"/>
              </w:rPr>
              <w:t xml:space="preserve"> r</w:t>
            </w:r>
            <w:r>
              <w:rPr>
                <w:rFonts w:hint="default" w:ascii="Times New Roman Regular" w:hAnsi="Times New Roman Regular" w:cs="Times New Roman Regular"/>
                <w:color w:val="auto"/>
                <w:sz w:val="21"/>
                <w:szCs w:val="21"/>
                <w:highlight w:val="none"/>
                <w:vertAlign w:val="baseline"/>
                <w:lang w:val="en-US" w:eastAsia="zh-CN"/>
              </w:rPr>
              <w:t>eablement</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eastAsia="-webkit-standard" w:cs="Times New Roman Regular"/>
                <w:i w:val="0"/>
                <w:iCs w:val="0"/>
                <w:caps w:val="0"/>
                <w:color w:val="auto"/>
                <w:spacing w:val="0"/>
                <w:kern w:val="0"/>
                <w:sz w:val="21"/>
                <w:szCs w:val="21"/>
                <w:u w:val="none"/>
                <w:lang w:val="en-US" w:eastAsia="zh-CN" w:bidi="ar"/>
              </w:rPr>
              <w:t xml:space="preserve"> hospitalized older adult</w:t>
            </w:r>
          </w:p>
        </w:tc>
      </w:tr>
      <w:tr w14:paraId="3CEBF9C4">
        <w:trPr>
          <w:jc w:val="center"/>
        </w:trPr>
        <w:tc>
          <w:tcPr>
            <w:tcW w:w="722" w:type="dxa"/>
            <w:tcBorders>
              <w:tl2br w:val="nil"/>
              <w:tr2bl w:val="nil"/>
            </w:tcBorders>
            <w:noWrap w:val="0"/>
            <w:vAlign w:val="top"/>
          </w:tcPr>
          <w:p w14:paraId="42EF42F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lang w:val="en-US" w:eastAsia="zh-CN"/>
              </w:rPr>
              <w:t>#5</w:t>
            </w:r>
          </w:p>
        </w:tc>
        <w:tc>
          <w:tcPr>
            <w:tcW w:w="1714" w:type="dxa"/>
            <w:tcBorders>
              <w:tl2br w:val="nil"/>
              <w:tr2bl w:val="nil"/>
            </w:tcBorders>
            <w:noWrap w:val="0"/>
            <w:vAlign w:val="top"/>
          </w:tcPr>
          <w:p w14:paraId="6D9A9414">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eastAsia" w:ascii="Times New Roman Regular" w:hAnsi="Times New Roman Regular" w:eastAsia="-webkit-standard" w:cs="Times New Roman Regular"/>
                <w:i w:val="0"/>
                <w:iCs w:val="0"/>
                <w:caps w:val="0"/>
                <w:color w:val="auto"/>
                <w:spacing w:val="0"/>
                <w:kern w:val="0"/>
                <w:sz w:val="21"/>
                <w:szCs w:val="21"/>
                <w:u w:val="none"/>
                <w:lang w:val="en-US" w:eastAsia="zh-CN" w:bidi="ar"/>
              </w:rPr>
              <w:t>e</w:t>
            </w:r>
            <w:r>
              <w:rPr>
                <w:rFonts w:hint="default" w:ascii="Times New Roman Regular" w:hAnsi="Times New Roman Regular" w:eastAsia="-webkit-standard" w:cs="Times New Roman Regular"/>
                <w:i w:val="0"/>
                <w:iCs w:val="0"/>
                <w:caps w:val="0"/>
                <w:color w:val="auto"/>
                <w:spacing w:val="0"/>
                <w:kern w:val="0"/>
                <w:sz w:val="21"/>
                <w:szCs w:val="21"/>
                <w:u w:val="none"/>
                <w:lang w:val="en-US" w:eastAsia="zh-CN" w:bidi="ar"/>
              </w:rPr>
              <w:t>xercise</w:t>
            </w:r>
          </w:p>
        </w:tc>
        <w:tc>
          <w:tcPr>
            <w:tcW w:w="6834" w:type="dxa"/>
            <w:tcBorders>
              <w:tl2br w:val="nil"/>
              <w:tr2bl w:val="nil"/>
            </w:tcBorders>
            <w:noWrap w:val="0"/>
            <w:vAlign w:val="top"/>
          </w:tcPr>
          <w:p w14:paraId="12C8C856">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Times New Roman Regular" w:hAnsi="Times New Roman Regular" w:eastAsia="宋体" w:cs="Times New Roman Regular"/>
                <w:color w:val="auto"/>
                <w:kern w:val="2"/>
                <w:sz w:val="21"/>
                <w:szCs w:val="21"/>
                <w:lang w:val="en-US" w:eastAsia="zh-CN" w:bidi="ar-SA"/>
              </w:rPr>
            </w:pPr>
            <w:r>
              <w:rPr>
                <w:rFonts w:hint="default" w:ascii="Times New Roman Regular" w:hAnsi="Times New Roman Regular" w:eastAsia="-webkit-standard" w:cs="Times New Roman Regular"/>
                <w:i w:val="0"/>
                <w:iCs w:val="0"/>
                <w:caps w:val="0"/>
                <w:color w:val="auto"/>
                <w:spacing w:val="0"/>
                <w:kern w:val="0"/>
                <w:sz w:val="21"/>
                <w:szCs w:val="21"/>
                <w:u w:val="none"/>
                <w:lang w:val="en-US" w:eastAsia="zh-CN" w:bidi="ar"/>
              </w:rPr>
              <w:t>restorative home care services</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eastAsia="-webkit-standard" w:cs="Times New Roman Regular"/>
                <w:i w:val="0"/>
                <w:iCs w:val="0"/>
                <w:caps w:val="0"/>
                <w:color w:val="auto"/>
                <w:spacing w:val="0"/>
                <w:kern w:val="0"/>
                <w:sz w:val="21"/>
                <w:szCs w:val="21"/>
                <w:u w:val="none"/>
                <w:lang w:val="en-US" w:eastAsia="zh-CN" w:bidi="ar"/>
              </w:rPr>
              <w:t xml:space="preserve"> aging</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eastAsia="-webkit-standard" w:cs="Times New Roman Regular"/>
                <w:i w:val="0"/>
                <w:iCs w:val="0"/>
                <w:caps w:val="0"/>
                <w:color w:val="auto"/>
                <w:spacing w:val="0"/>
                <w:kern w:val="0"/>
                <w:sz w:val="21"/>
                <w:szCs w:val="21"/>
                <w:u w:val="none"/>
                <w:lang w:val="en-US" w:eastAsia="zh-CN" w:bidi="ar"/>
              </w:rPr>
              <w:t xml:space="preserve"> burden</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eastAsia="-webkit-standard" w:cs="Times New Roman Regular"/>
                <w:i w:val="0"/>
                <w:iCs w:val="0"/>
                <w:caps w:val="0"/>
                <w:color w:val="auto"/>
                <w:spacing w:val="0"/>
                <w:kern w:val="0"/>
                <w:sz w:val="21"/>
                <w:szCs w:val="21"/>
                <w:u w:val="none"/>
                <w:lang w:val="en-US" w:eastAsia="zh-CN" w:bidi="ar"/>
              </w:rPr>
              <w:t xml:space="preserve"> </w:t>
            </w:r>
            <w:r>
              <w:rPr>
                <w:rFonts w:hint="default" w:ascii="Times New Roman Regular" w:hAnsi="Times New Roman Regular" w:eastAsia="-webkit-standard" w:cs="Times New Roman Regular"/>
                <w:color w:val="auto"/>
                <w:kern w:val="0"/>
                <w:sz w:val="21"/>
                <w:szCs w:val="21"/>
                <w:u w:val="none"/>
                <w:lang w:bidi="ar"/>
              </w:rPr>
              <w:t>health behavior/symptom focus</w:t>
            </w:r>
          </w:p>
        </w:tc>
      </w:tr>
      <w:tr w14:paraId="03496A68">
        <w:trPr>
          <w:jc w:val="center"/>
        </w:trPr>
        <w:tc>
          <w:tcPr>
            <w:tcW w:w="722" w:type="dxa"/>
            <w:tcBorders>
              <w:tl2br w:val="nil"/>
              <w:tr2bl w:val="nil"/>
            </w:tcBorders>
            <w:noWrap w:val="0"/>
            <w:vAlign w:val="top"/>
          </w:tcPr>
          <w:p w14:paraId="5B096AB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lang w:val="en-US" w:eastAsia="zh-CN"/>
              </w:rPr>
              <w:t>#6</w:t>
            </w:r>
          </w:p>
        </w:tc>
        <w:tc>
          <w:tcPr>
            <w:tcW w:w="1714" w:type="dxa"/>
            <w:tcBorders>
              <w:tl2br w:val="nil"/>
              <w:tr2bl w:val="nil"/>
            </w:tcBorders>
            <w:noWrap w:val="0"/>
            <w:vAlign w:val="top"/>
          </w:tcPr>
          <w:p w14:paraId="46D10C57">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rPr>
              <w:t>active aging</w:t>
            </w:r>
          </w:p>
        </w:tc>
        <w:tc>
          <w:tcPr>
            <w:tcW w:w="6834" w:type="dxa"/>
            <w:tcBorders>
              <w:tl2br w:val="nil"/>
              <w:tr2bl w:val="nil"/>
            </w:tcBorders>
            <w:noWrap w:val="0"/>
            <w:vAlign w:val="top"/>
          </w:tcPr>
          <w:p w14:paraId="6EC3F0C5">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eastAsia="宋体" w:cs="Times New Roman Regular"/>
                <w:color w:val="auto"/>
                <w:sz w:val="21"/>
                <w:szCs w:val="21"/>
                <w:vertAlign w:val="baseline"/>
                <w:lang w:val="en-US" w:eastAsia="zh-CN"/>
              </w:rPr>
              <w:t>occupational therapy</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eastAsia="宋体" w:cs="Times New Roman Regular"/>
                <w:color w:val="auto"/>
                <w:sz w:val="21"/>
                <w:szCs w:val="21"/>
                <w:vertAlign w:val="baseline"/>
                <w:lang w:val="en-US" w:eastAsia="zh-CN"/>
              </w:rPr>
              <w:t xml:space="preserve"> economic evaluation</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eastAsia="宋体" w:cs="Times New Roman Regular"/>
                <w:color w:val="auto"/>
                <w:sz w:val="21"/>
                <w:szCs w:val="21"/>
                <w:vertAlign w:val="baseline"/>
                <w:lang w:val="en-US" w:eastAsia="zh-CN"/>
              </w:rPr>
              <w:t xml:space="preserve"> aging in place</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eastAsia="宋体" w:cs="Times New Roman Regular"/>
                <w:color w:val="auto"/>
                <w:sz w:val="21"/>
                <w:szCs w:val="21"/>
                <w:vertAlign w:val="baseline"/>
                <w:lang w:val="en-US" w:eastAsia="zh-CN"/>
              </w:rPr>
              <w:t xml:space="preserve"> care work</w:t>
            </w:r>
          </w:p>
        </w:tc>
      </w:tr>
      <w:tr w14:paraId="1231648D">
        <w:trPr>
          <w:jc w:val="center"/>
        </w:trPr>
        <w:tc>
          <w:tcPr>
            <w:tcW w:w="722" w:type="dxa"/>
            <w:tcBorders>
              <w:tl2br w:val="nil"/>
              <w:tr2bl w:val="nil"/>
            </w:tcBorders>
            <w:noWrap w:val="0"/>
            <w:vAlign w:val="top"/>
          </w:tcPr>
          <w:p w14:paraId="023779F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lang w:val="en-US" w:eastAsia="zh-CN" w:bidi="ar-SA"/>
              </w:rPr>
            </w:pPr>
            <w:r>
              <w:rPr>
                <w:rFonts w:hint="default" w:ascii="Times New Roman Regular" w:hAnsi="Times New Roman Regular" w:eastAsia="宋体" w:cs="Times New Roman Regular"/>
                <w:color w:val="auto"/>
                <w:sz w:val="21"/>
                <w:szCs w:val="21"/>
                <w:lang w:val="en-US" w:eastAsia="zh-CN"/>
              </w:rPr>
              <w:t>#7</w:t>
            </w:r>
          </w:p>
        </w:tc>
        <w:tc>
          <w:tcPr>
            <w:tcW w:w="1714" w:type="dxa"/>
            <w:tcBorders>
              <w:tl2br w:val="nil"/>
              <w:tr2bl w:val="nil"/>
            </w:tcBorders>
            <w:noWrap w:val="0"/>
            <w:vAlign w:val="top"/>
          </w:tcPr>
          <w:p w14:paraId="54A9C3CE">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Times New Roman Regular" w:hAnsi="Times New Roman Regular" w:eastAsia="宋体" w:cs="Times New Roman Regular"/>
                <w:color w:val="auto"/>
                <w:kern w:val="2"/>
                <w:sz w:val="21"/>
                <w:szCs w:val="21"/>
                <w:vertAlign w:val="baseline"/>
                <w:lang w:val="en-US" w:eastAsia="zh-CN" w:bidi="ar-SA"/>
              </w:rPr>
            </w:pPr>
            <w:r>
              <w:rPr>
                <w:rFonts w:hint="default" w:ascii="Times New Roman Regular" w:hAnsi="Times New Roman Regular" w:cs="Times New Roman Regular"/>
                <w:color w:val="auto"/>
                <w:sz w:val="21"/>
                <w:szCs w:val="21"/>
              </w:rPr>
              <w:t>comprehensive geriatric</w:t>
            </w:r>
            <w:r>
              <w:rPr>
                <w:rFonts w:hint="default" w:ascii="Times New Roman Regular" w:hAnsi="Times New Roman Regular" w:cs="Times New Roman Regular"/>
                <w:color w:val="auto"/>
                <w:sz w:val="21"/>
                <w:szCs w:val="21"/>
                <w:lang w:val="en-US" w:eastAsia="zh-CN"/>
              </w:rPr>
              <w:t xml:space="preserve"> </w:t>
            </w:r>
            <w:r>
              <w:rPr>
                <w:rFonts w:hint="default" w:ascii="Times New Roman Regular" w:hAnsi="Times New Roman Regular" w:cs="Times New Roman Regular"/>
                <w:color w:val="auto"/>
                <w:sz w:val="21"/>
                <w:szCs w:val="21"/>
              </w:rPr>
              <w:t>assessment</w:t>
            </w:r>
          </w:p>
        </w:tc>
        <w:tc>
          <w:tcPr>
            <w:tcW w:w="6834" w:type="dxa"/>
            <w:tcBorders>
              <w:tl2br w:val="nil"/>
              <w:tr2bl w:val="nil"/>
            </w:tcBorders>
            <w:noWrap w:val="0"/>
            <w:vAlign w:val="top"/>
          </w:tcPr>
          <w:p w14:paraId="3E010238">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9"/>
              <w:rPr>
                <w:rFonts w:hint="default" w:ascii="Times New Roman Regular" w:hAnsi="Times New Roman Regular" w:eastAsia="宋体" w:cs="Times New Roman Regular"/>
                <w:color w:val="auto"/>
                <w:kern w:val="2"/>
                <w:sz w:val="21"/>
                <w:szCs w:val="21"/>
                <w:lang w:val="en-US" w:eastAsia="zh-CN" w:bidi="ar-SA"/>
              </w:rPr>
            </w:pPr>
            <w:r>
              <w:rPr>
                <w:rFonts w:hint="default" w:ascii="Times New Roman Regular" w:hAnsi="Times New Roman Regular" w:cs="Times New Roman Regular"/>
                <w:color w:val="auto"/>
                <w:sz w:val="21"/>
                <w:szCs w:val="21"/>
              </w:rPr>
              <w:t xml:space="preserve">older </w:t>
            </w:r>
            <w:r>
              <w:rPr>
                <w:rFonts w:hint="default" w:ascii="Times New Roman Regular" w:hAnsi="Times New Roman Regular" w:cs="Times New Roman Regular"/>
                <w:color w:val="auto"/>
                <w:sz w:val="21"/>
                <w:szCs w:val="21"/>
                <w:highlight w:val="none"/>
                <w:vertAlign w:val="baseline"/>
                <w:lang w:val="en-US" w:eastAsia="zh-CN"/>
              </w:rPr>
              <w:t>adults</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cs="Times New Roman Regular"/>
                <w:color w:val="auto"/>
                <w:sz w:val="21"/>
                <w:szCs w:val="21"/>
                <w:lang w:val="en-US" w:eastAsia="zh-CN"/>
              </w:rPr>
              <w:t xml:space="preserve"> </w:t>
            </w:r>
            <w:r>
              <w:rPr>
                <w:rFonts w:hint="default" w:ascii="Times New Roman Regular" w:hAnsi="Times New Roman Regular" w:cs="Times New Roman Regular"/>
                <w:color w:val="auto"/>
                <w:sz w:val="21"/>
                <w:szCs w:val="21"/>
              </w:rPr>
              <w:t xml:space="preserve">discharge </w:t>
            </w:r>
            <w:r>
              <w:rPr>
                <w:rFonts w:hint="default" w:ascii="Times New Roman Regular" w:hAnsi="Times New Roman Regular" w:cs="Times New Roman Regular"/>
                <w:color w:val="auto"/>
                <w:sz w:val="21"/>
                <w:szCs w:val="21"/>
                <w:lang w:val="en-US" w:eastAsia="zh-CN"/>
              </w:rPr>
              <w:t>from hospital</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cs="Times New Roman Regular"/>
                <w:color w:val="auto"/>
                <w:sz w:val="21"/>
                <w:szCs w:val="21"/>
                <w:lang w:val="en-US" w:eastAsia="zh-CN"/>
              </w:rPr>
              <w:t xml:space="preserve"> </w:t>
            </w:r>
            <w:r>
              <w:rPr>
                <w:rFonts w:hint="default" w:ascii="Times New Roman Regular" w:hAnsi="Times New Roman Regular" w:cs="Times New Roman Regular"/>
                <w:color w:val="auto"/>
                <w:sz w:val="21"/>
                <w:szCs w:val="21"/>
              </w:rPr>
              <w:t>patient expectation</w:t>
            </w:r>
            <w:r>
              <w:rPr>
                <w:rFonts w:hint="default" w:ascii="Times New Roman Regular" w:hAnsi="Times New Roman Regular" w:cs="Times New Roman Regular"/>
                <w:i w:val="0"/>
                <w:iCs w:val="0"/>
                <w:caps w:val="0"/>
                <w:color w:val="auto"/>
                <w:spacing w:val="0"/>
                <w:kern w:val="2"/>
                <w:sz w:val="21"/>
                <w:szCs w:val="21"/>
                <w:u w:val="none"/>
                <w:lang w:val="en-US" w:eastAsia="zh-CN" w:bidi="ar"/>
              </w:rPr>
              <w:t>;</w:t>
            </w:r>
            <w:r>
              <w:rPr>
                <w:rFonts w:hint="default" w:ascii="Times New Roman Regular" w:hAnsi="Times New Roman Regular" w:cs="Times New Roman Regular"/>
                <w:color w:val="auto"/>
                <w:sz w:val="21"/>
                <w:szCs w:val="21"/>
                <w:lang w:val="en-US" w:eastAsia="zh-CN"/>
              </w:rPr>
              <w:t xml:space="preserve"> </w:t>
            </w:r>
            <w:r>
              <w:rPr>
                <w:rFonts w:hint="default" w:ascii="Times New Roman Regular" w:hAnsi="Times New Roman Regular" w:cs="Times New Roman Regular"/>
                <w:color w:val="auto"/>
                <w:sz w:val="21"/>
                <w:szCs w:val="21"/>
              </w:rPr>
              <w:t>follow up</w:t>
            </w:r>
          </w:p>
        </w:tc>
      </w:tr>
    </w:tbl>
    <w:p w14:paraId="58163ADB">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Italic" w:hAnsi="Times New Roman Italic" w:cs="Times New Roman Italic"/>
          <w:b w:val="0"/>
          <w:bCs w:val="0"/>
          <w:i/>
          <w:iCs/>
          <w:color w:val="auto"/>
          <w:sz w:val="24"/>
          <w:szCs w:val="24"/>
          <w:lang w:val="en-US" w:eastAsia="zh-CN"/>
        </w:rPr>
      </w:pPr>
      <w:r>
        <w:rPr>
          <w:rFonts w:hint="default" w:ascii="Times New Roman Italic" w:hAnsi="Times New Roman Italic" w:cs="Times New Roman Italic"/>
          <w:b w:val="0"/>
          <w:bCs w:val="0"/>
          <w:i/>
          <w:iCs/>
          <w:color w:val="auto"/>
          <w:sz w:val="24"/>
          <w:szCs w:val="24"/>
          <w:lang w:val="en-US" w:eastAsia="zh-CN"/>
        </w:rPr>
        <w:t>Keywords burst analysis</w:t>
      </w:r>
    </w:p>
    <w:p w14:paraId="04F7292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Burst keywords refer to terms that show a sharp increase in frequency over a short period and can indicate emerging research trends and frontiers. The top 25 keywords with the strongest burst strength reflected changes in reablement research from 1999 to 2025. As shown in Figure 3, the five keywords with the strongest burst strength were “quality of life”, “dementia”, “home”, “reablement”, and “mobility”. Burst keywords emerging in the most recent year included “quality of life”, “nursing home”, “home care”, and “health”.</w:t>
      </w:r>
    </w:p>
    <w:p w14:paraId="0DD2CF3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cs="Times New Roman Regular"/>
          <w:color w:val="0070C0"/>
          <w:sz w:val="24"/>
          <w:szCs w:val="24"/>
          <w:lang w:val="en-US" w:eastAsia="zh-CN"/>
        </w:rPr>
      </w:pPr>
      <w:r>
        <w:rPr>
          <w:rFonts w:hint="default" w:ascii="Times New Roman Regular" w:hAnsi="Times New Roman Regular" w:cs="Times New Roman Regular"/>
          <w:color w:val="0070C0"/>
          <w:sz w:val="24"/>
          <w:szCs w:val="24"/>
          <w:lang w:val="en-US" w:eastAsia="zh-CN"/>
        </w:rPr>
        <w:drawing>
          <wp:inline distT="0" distB="0" distL="114300" distR="114300">
            <wp:extent cx="2421890" cy="2644140"/>
            <wp:effectExtent l="0" t="0" r="16510" b="22860"/>
            <wp:docPr id="3" name="图片 31" descr="突现图谱11.15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1" descr="突现图谱11.15_00"/>
                    <pic:cNvPicPr>
                      <a:picLocks noChangeAspect="1"/>
                    </pic:cNvPicPr>
                  </pic:nvPicPr>
                  <pic:blipFill>
                    <a:blip r:embed="rId8"/>
                    <a:srcRect t="5737" b="17142"/>
                    <a:stretch>
                      <a:fillRect/>
                    </a:stretch>
                  </pic:blipFill>
                  <pic:spPr>
                    <a:xfrm>
                      <a:off x="0" y="0"/>
                      <a:ext cx="2421890" cy="2644140"/>
                    </a:xfrm>
                    <a:prstGeom prst="rect">
                      <a:avLst/>
                    </a:prstGeom>
                    <a:noFill/>
                    <a:ln>
                      <a:noFill/>
                    </a:ln>
                  </pic:spPr>
                </pic:pic>
              </a:graphicData>
            </a:graphic>
          </wp:inline>
        </w:drawing>
      </w:r>
    </w:p>
    <w:p w14:paraId="77E184E3">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 xml:space="preserve">Fig. </w:t>
      </w:r>
      <w:r>
        <w:rPr>
          <w:rFonts w:hint="default" w:ascii="Times New Roman Bold" w:hAnsi="Times New Roman Bold" w:cs="Times New Roman Bold"/>
          <w:b/>
          <w:bCs/>
          <w:color w:val="auto"/>
          <w:sz w:val="24"/>
          <w:szCs w:val="24"/>
          <w:lang w:val="en-US" w:eastAsia="zh-CN"/>
        </w:rPr>
        <w:t>3.</w:t>
      </w:r>
      <w:r>
        <w:rPr>
          <w:rFonts w:hint="eastAsia" w:ascii="Times New Roman Regular" w:hAnsi="Times New Roman Regular" w:cs="Times New Roman Regular"/>
          <w:color w:val="auto"/>
          <w:sz w:val="24"/>
          <w:szCs w:val="24"/>
          <w:lang w:val="en-US" w:eastAsia="zh-CN"/>
        </w:rPr>
        <w:t xml:space="preserve"> Top 25 keywords with the strongest burst detection in reablement research</w:t>
      </w:r>
      <w:r>
        <w:rPr>
          <w:rFonts w:hint="default" w:ascii="Times New Roman Regular" w:hAnsi="Times New Roman Regular" w:cs="Times New Roman Regular"/>
          <w:color w:val="auto"/>
          <w:sz w:val="24"/>
          <w:szCs w:val="24"/>
          <w:lang w:val="en-US" w:eastAsia="zh-CN"/>
        </w:rPr>
        <w:t>.</w:t>
      </w:r>
    </w:p>
    <w:p w14:paraId="41F7B6EF">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Italic" w:hAnsi="Times New Roman Italic" w:cs="Times New Roman Italic"/>
          <w:b w:val="0"/>
          <w:bCs w:val="0"/>
          <w:i/>
          <w:iCs/>
          <w:color w:val="auto"/>
          <w:sz w:val="24"/>
          <w:szCs w:val="24"/>
          <w:lang w:val="en-US" w:eastAsia="zh-CN"/>
        </w:rPr>
      </w:pPr>
      <w:r>
        <w:rPr>
          <w:rFonts w:hint="default" w:ascii="Times New Roman Italic" w:hAnsi="Times New Roman Italic" w:cs="Times New Roman Italic"/>
          <w:b w:val="0"/>
          <w:bCs w:val="0"/>
          <w:i/>
          <w:iCs/>
          <w:color w:val="auto"/>
          <w:sz w:val="24"/>
          <w:szCs w:val="24"/>
          <w:lang w:val="en-US" w:eastAsia="zh-CN"/>
        </w:rPr>
        <w:t>Keywords time-zone visualization</w:t>
      </w:r>
    </w:p>
    <w:p w14:paraId="5911AC94">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hint="default" w:ascii="Times New Roman Regular" w:hAnsi="Times New Roman Regular" w:cs="Times New Roman Regular"/>
          <w:i w:val="0"/>
          <w:sz w:val="24"/>
          <w:szCs w:val="24"/>
        </w:rPr>
      </w:pPr>
      <w:r>
        <w:rPr>
          <w:rFonts w:hint="default" w:ascii="Times New Roman Regular" w:hAnsi="Times New Roman Regular" w:cs="Times New Roman Regular"/>
          <w:i w:val="0"/>
          <w:sz w:val="24"/>
          <w:szCs w:val="24"/>
        </w:rPr>
        <w:t xml:space="preserve">From 1999 to 2004, research primarily focused on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older adults</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intervention</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health</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and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dementia</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reflecting attention to health status and intervention strategies for older populations.</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 xml:space="preserve">Between 2005 and 2010, research hotspots gradually shifted toward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reablement</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physical activity</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and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rehabilitation</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Outcome-related keywords such as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reliability</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validity</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and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quality of life</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began to emerge, with research settings mainly concentrated in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nursing homes</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 xml:space="preserve">From 2011 to 2016, keywords such as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home care</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social care</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and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home independence program</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indicated increasing interest in individualized reablement care models and self-care capacity. Keywords including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activities of daily living</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barriers</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and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falls</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reflected the core research content of reablement.</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 xml:space="preserve">Between 2017 and 2025, research themes shifted toward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community care</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care work</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and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occupational therapy</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emphasizing the scientific basis, professionalization, and innovative service models of reablement. As shown in Figure 4, node size represents keyword frequency, and node color indicates the year of first appearance.</w:t>
      </w:r>
    </w:p>
    <w:p w14:paraId="7C49E85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drawing>
          <wp:inline distT="0" distB="0" distL="114300" distR="114300">
            <wp:extent cx="5115560" cy="2845435"/>
            <wp:effectExtent l="0" t="0" r="15240" b="24765"/>
            <wp:docPr id="4" name="图片 34" descr="合并时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4" descr="合并时区图"/>
                    <pic:cNvPicPr>
                      <a:picLocks noChangeAspect="1"/>
                    </pic:cNvPicPr>
                  </pic:nvPicPr>
                  <pic:blipFill>
                    <a:blip r:embed="rId9"/>
                    <a:srcRect t="16673" r="15111" b="10127"/>
                    <a:stretch>
                      <a:fillRect/>
                    </a:stretch>
                  </pic:blipFill>
                  <pic:spPr>
                    <a:xfrm>
                      <a:off x="0" y="0"/>
                      <a:ext cx="5115560" cy="2845435"/>
                    </a:xfrm>
                    <a:prstGeom prst="rect">
                      <a:avLst/>
                    </a:prstGeom>
                    <a:noFill/>
                    <a:ln>
                      <a:noFill/>
                    </a:ln>
                  </pic:spPr>
                </pic:pic>
              </a:graphicData>
            </a:graphic>
          </wp:inline>
        </w:drawing>
      </w:r>
    </w:p>
    <w:p w14:paraId="0B8565A5">
      <w:pPr>
        <w:keepNext w:val="0"/>
        <w:keepLines w:val="0"/>
        <w:widowControl/>
        <w:suppressLineNumbers w:val="0"/>
        <w:spacing w:line="240" w:lineRule="auto"/>
        <w:jc w:val="left"/>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i w:val="0"/>
          <w:sz w:val="24"/>
          <w:szCs w:val="24"/>
        </w:rPr>
        <w:t>Fig</w:t>
      </w:r>
      <w:r>
        <w:rPr>
          <w:rFonts w:hint="eastAsia" w:ascii="Times New Roman Regular" w:hAnsi="Times New Roman Regular" w:cs="Times New Roman Regular"/>
          <w:i w:val="0"/>
          <w:sz w:val="24"/>
          <w:szCs w:val="24"/>
          <w:lang w:val="en-US" w:eastAsia="zh-CN"/>
        </w:rPr>
        <w:t>.</w:t>
      </w:r>
      <w:r>
        <w:rPr>
          <w:rFonts w:hint="default" w:ascii="Times New Roman Regular" w:hAnsi="Times New Roman Regular" w:cs="Times New Roman Regular"/>
          <w:i w:val="0"/>
          <w:sz w:val="24"/>
          <w:szCs w:val="24"/>
        </w:rPr>
        <w:t xml:space="preserve"> </w:t>
      </w:r>
      <w:r>
        <w:rPr>
          <w:rFonts w:hint="default" w:ascii="Times New Roman Bold" w:hAnsi="Times New Roman Bold" w:cs="Times New Roman Bold"/>
          <w:b/>
          <w:bCs/>
          <w:i w:val="0"/>
          <w:sz w:val="24"/>
          <w:szCs w:val="24"/>
        </w:rPr>
        <w:t>4</w:t>
      </w:r>
      <w:r>
        <w:rPr>
          <w:rFonts w:hint="eastAsia" w:ascii="Times New Roman Bold" w:hAnsi="Times New Roman Bold" w:cs="Times New Roman Bold"/>
          <w:b/>
          <w:bCs/>
          <w:i w:val="0"/>
          <w:sz w:val="24"/>
          <w:szCs w:val="24"/>
          <w:lang w:val="en-US" w:eastAsia="zh-CN"/>
        </w:rPr>
        <w:t>.</w:t>
      </w:r>
      <w:r>
        <w:rPr>
          <w:rFonts w:hint="default" w:ascii="Times New Roman Regular" w:hAnsi="Times New Roman Regular" w:cs="Times New Roman Regular"/>
          <w:color w:val="auto"/>
          <w:sz w:val="24"/>
          <w:szCs w:val="24"/>
          <w:lang w:val="en-US" w:eastAsia="zh-CN"/>
        </w:rPr>
        <w:t xml:space="preserve"> </w:t>
      </w:r>
      <w:r>
        <w:rPr>
          <w:rFonts w:hint="default" w:ascii="Times New Roman Regular" w:hAnsi="Times New Roman Regular" w:eastAsia="宋体" w:cs="Times New Roman Regular"/>
          <w:kern w:val="0"/>
          <w:sz w:val="24"/>
          <w:szCs w:val="24"/>
          <w:lang w:val="en-US" w:eastAsia="zh-CN" w:bidi="ar"/>
        </w:rPr>
        <w:t>Time-zone map of</w:t>
      </w:r>
      <w:r>
        <w:rPr>
          <w:rFonts w:hint="eastAsia" w:ascii="Times New Roman Regular" w:hAnsi="Times New Roman Regular" w:cs="Times New Roman Regular"/>
          <w:kern w:val="0"/>
          <w:sz w:val="24"/>
          <w:szCs w:val="24"/>
          <w:lang w:val="en-US" w:eastAsia="zh-CN" w:bidi="ar"/>
        </w:rPr>
        <w:t xml:space="preserve"> </w:t>
      </w:r>
      <w:r>
        <w:rPr>
          <w:rFonts w:hint="default" w:ascii="Times New Roman Regular" w:hAnsi="Times New Roman Regular" w:eastAsia="宋体" w:cs="Times New Roman Regular"/>
          <w:kern w:val="0"/>
          <w:sz w:val="24"/>
          <w:szCs w:val="24"/>
          <w:lang w:val="en-US" w:eastAsia="zh-CN" w:bidi="ar"/>
        </w:rPr>
        <w:t>keywords in reablement research.</w:t>
      </w:r>
    </w:p>
    <w:p w14:paraId="423B19CB">
      <w:pPr>
        <w:keepNext w:val="0"/>
        <w:keepLines w:val="0"/>
        <w:pageBreakBefore w:val="0"/>
        <w:widowControl/>
        <w:suppressLineNumbers w:val="0"/>
        <w:kinsoku/>
        <w:overflowPunct/>
        <w:topLinePunct w:val="0"/>
        <w:autoSpaceDE/>
        <w:autoSpaceDN/>
        <w:bidi w:val="0"/>
        <w:adjustRightInd/>
        <w:snapToGrid/>
        <w:spacing w:line="240" w:lineRule="auto"/>
        <w:jc w:val="left"/>
        <w:textAlignment w:val="auto"/>
        <w:rPr>
          <w:rFonts w:hint="default" w:ascii="Times New Roman Regular" w:hAnsi="Times New Roman Regular" w:eastAsia="宋体" w:cs="Times New Roman Regular"/>
          <w:b w:val="0"/>
          <w:bCs w:val="0"/>
          <w:color w:val="auto"/>
          <w:sz w:val="24"/>
          <w:szCs w:val="24"/>
          <w:lang w:val="en-US" w:eastAsia="zh-CN"/>
        </w:rPr>
      </w:pPr>
      <w:r>
        <w:rPr>
          <w:rFonts w:hint="default" w:ascii="Times New Roman Bold" w:hAnsi="Times New Roman Bold" w:eastAsia="宋体" w:cs="Times New Roman Bold"/>
          <w:b/>
          <w:bCs w:val="0"/>
          <w:kern w:val="0"/>
          <w:sz w:val="30"/>
          <w:szCs w:val="30"/>
          <w:lang w:val="en-US" w:eastAsia="zh-CN" w:bidi="ar"/>
        </w:rPr>
        <w:t>Discussion</w:t>
      </w:r>
      <w:r>
        <w:rPr>
          <w:rFonts w:hint="default" w:ascii="Times New Roman Regular" w:hAnsi="Times New Roman Regular" w:cs="Times New Roman Regular"/>
          <w:b w:val="0"/>
          <w:bCs/>
          <w:color w:val="auto"/>
          <w:sz w:val="24"/>
          <w:szCs w:val="24"/>
          <w:lang w:val="en-US" w:eastAsia="zh-CN"/>
        </w:rPr>
        <w:t xml:space="preserve"> </w:t>
      </w:r>
      <w:r>
        <w:rPr>
          <w:rFonts w:hint="default" w:ascii="Times New Roman Regular" w:hAnsi="Times New Roman Regular" w:cs="Times New Roman Regular"/>
          <w:b/>
          <w:bCs/>
          <w:color w:val="auto"/>
          <w:sz w:val="24"/>
          <w:szCs w:val="24"/>
          <w:lang w:val="en-US" w:eastAsia="zh-CN"/>
        </w:rPr>
        <w:t xml:space="preserve"> </w:t>
      </w:r>
    </w:p>
    <w:p w14:paraId="794A7F6E">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Bold" w:hAnsi="Times New Roman Bold" w:cs="Times New Roman Bold"/>
          <w:b/>
          <w:bCs/>
          <w:i/>
          <w:iCs/>
          <w:color w:val="auto"/>
          <w:sz w:val="24"/>
          <w:szCs w:val="24"/>
          <w:lang w:val="en-US" w:eastAsia="zh-CN"/>
        </w:rPr>
      </w:pPr>
      <w:r>
        <w:rPr>
          <w:rFonts w:hint="default" w:ascii="Times New Roman Bold" w:hAnsi="Times New Roman Bold" w:cs="Times New Roman Bold"/>
          <w:b/>
          <w:bCs/>
          <w:i/>
          <w:iCs/>
          <w:color w:val="auto"/>
          <w:sz w:val="24"/>
          <w:szCs w:val="24"/>
          <w:lang w:val="en-US" w:eastAsia="zh-CN"/>
        </w:rPr>
        <w:t>Publication output, countries, and institutions in reablement research</w:t>
      </w:r>
    </w:p>
    <w:p w14:paraId="3905720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hint="default" w:ascii="Times New Roman Regular" w:hAnsi="Times New Roman Regular" w:cs="Times New Roman Regular"/>
          <w:i w:val="0"/>
          <w:sz w:val="24"/>
          <w:szCs w:val="24"/>
        </w:rPr>
      </w:pPr>
      <w:r>
        <w:rPr>
          <w:rFonts w:hint="default" w:ascii="Times New Roman Regular" w:hAnsi="Times New Roman Regular" w:cs="Times New Roman Regular"/>
          <w:i w:val="0"/>
          <w:sz w:val="24"/>
          <w:szCs w:val="24"/>
        </w:rPr>
        <w:t>Publications from the most recent six years accounted for 53.99% of the total number of reablement-related articles, indicating that reablement research has entered a phase of rapid development. In terms of country distribution, the top five countries contributed 240 publications, accounting for 86.95% of the total output, suggesting an uneven geographical distribution of research in this field.</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 xml:space="preserve">The United States ranked first in publication output, which may largely be attributed to strong governmental support. For example, projects led by the University of Maryland and funded by the National Institute on Aging (NIA), such as </w:t>
      </w:r>
      <w:r>
        <w:rPr>
          <w:rStyle w:val="15"/>
          <w:rFonts w:hint="default" w:ascii="Times New Roman Regular" w:hAnsi="Times New Roman Regular" w:cs="Times New Roman Regular"/>
          <w:i w:val="0"/>
          <w:sz w:val="24"/>
          <w:szCs w:val="24"/>
        </w:rPr>
        <w:t>FFC-AC-EIT</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color w:val="auto"/>
          <w:sz w:val="24"/>
        </w:rPr>
        <w:t>Function Focused Care for Acute Care</w:t>
      </w:r>
      <w:r>
        <w:rPr>
          <w:rFonts w:hint="default" w:ascii="Times New Roman Regular" w:hAnsi="Times New Roman Regular" w:cs="Times New Roman Regular"/>
          <w:color w:val="auto"/>
          <w:sz w:val="24"/>
          <w:lang w:val="en-US"/>
        </w:rPr>
        <w:t>)</w:t>
      </w:r>
      <w:r>
        <w:rPr>
          <w:rFonts w:hint="default" w:ascii="Times New Roman Regular" w:hAnsi="Times New Roman Regular" w:cs="Times New Roman Regular"/>
          <w:i w:val="0"/>
          <w:sz w:val="24"/>
          <w:szCs w:val="24"/>
        </w:rPr>
        <w:t>, have provided substantial data support for reablement research</w:t>
      </w:r>
      <w:r>
        <w:rPr>
          <w:rFonts w:hint="eastAsia" w:ascii="Times New Roman Regular" w:hAnsi="Times New Roman Regular" w:cs="Times New Roman Regular"/>
          <w:i w:val="0"/>
          <w:sz w:val="24"/>
          <w:szCs w:val="24"/>
          <w:lang w:val="en-US" w:eastAsia="zh-CN"/>
        </w:rPr>
        <w:t xml:space="preserve"> </w:t>
      </w:r>
      <w:r>
        <w:rPr>
          <w:rFonts w:hint="default" w:ascii="Times New Roman Regular" w:hAnsi="Times New Roman Regular" w:cs="Times New Roman Regular"/>
          <w:i w:val="0"/>
          <w:sz w:val="24"/>
          <w:szCs w:val="24"/>
          <w:vertAlign w:val="superscript"/>
        </w:rPr>
        <w:t>[1</w:t>
      </w:r>
      <w:r>
        <w:rPr>
          <w:rFonts w:hint="default" w:ascii="Times New Roman Regular" w:hAnsi="Times New Roman Regular" w:cs="Times New Roman Regular"/>
          <w:i w:val="0"/>
          <w:sz w:val="24"/>
          <w:szCs w:val="24"/>
          <w:vertAlign w:val="superscript"/>
          <w:lang w:val="en-US"/>
        </w:rPr>
        <w:t>4</w:t>
      </w:r>
      <w:r>
        <w:rPr>
          <w:rFonts w:hint="default" w:ascii="Times New Roman Regular" w:hAnsi="Times New Roman Regular" w:cs="Times New Roman Regular"/>
          <w:i w:val="0"/>
          <w:sz w:val="24"/>
          <w:szCs w:val="24"/>
          <w:vertAlign w:val="superscript"/>
        </w:rPr>
        <w:t>]</w:t>
      </w:r>
      <w:r>
        <w:rPr>
          <w:rFonts w:hint="default" w:ascii="Times New Roman Regular" w:hAnsi="Times New Roman Regular" w:cs="Times New Roman Regular"/>
          <w:i w:val="0"/>
          <w:sz w:val="24"/>
          <w:szCs w:val="24"/>
        </w:rPr>
        <w:t>. Australia and Norway ranked second and third, respectively, with similar publication outputs. This may be explained by policy and financial support from their governments. In Australia, an independent aged care assessment system has been established to ensure service quality, separating provider accreditation and service quality evaluation from service delivery. In Norway, the Norwegian Occupational Therapy Association launched the “Reablement in Norway” program, in which multidisciplinary teams composed of physiotherapists, occupational therapists, nurses, and nursing assistants provide structured reablement services to older adults with functional decline, while also promoting the program among health authorities and clinicians at various levels</w:t>
      </w:r>
      <w:r>
        <w:rPr>
          <w:rFonts w:hint="eastAsia" w:ascii="Times New Roman Regular" w:hAnsi="Times New Roman Regular" w:cs="Times New Roman Regular"/>
          <w:i w:val="0"/>
          <w:sz w:val="24"/>
          <w:szCs w:val="24"/>
          <w:lang w:val="en-US" w:eastAsia="zh-CN"/>
        </w:rPr>
        <w:t xml:space="preserve"> </w:t>
      </w:r>
      <w:r>
        <w:rPr>
          <w:rFonts w:hint="default" w:ascii="Times New Roman Regular" w:hAnsi="Times New Roman Regular" w:cs="Times New Roman Regular"/>
          <w:i w:val="0"/>
          <w:sz w:val="24"/>
          <w:szCs w:val="24"/>
          <w:vertAlign w:val="superscript"/>
        </w:rPr>
        <w:t>[1</w:t>
      </w:r>
      <w:r>
        <w:rPr>
          <w:rFonts w:hint="default" w:ascii="Times New Roman Regular" w:hAnsi="Times New Roman Regular" w:cs="Times New Roman Regular"/>
          <w:i w:val="0"/>
          <w:sz w:val="24"/>
          <w:szCs w:val="24"/>
          <w:vertAlign w:val="superscript"/>
          <w:lang w:val="en-US"/>
        </w:rPr>
        <w:t>5</w:t>
      </w:r>
      <w:r>
        <w:rPr>
          <w:rFonts w:hint="default" w:ascii="Times New Roman Regular" w:hAnsi="Times New Roman Regular" w:cs="Times New Roman Regular"/>
          <w:i w:val="0"/>
          <w:sz w:val="24"/>
          <w:szCs w:val="24"/>
          <w:vertAlign w:val="superscript"/>
        </w:rPr>
        <w:t>–1</w:t>
      </w:r>
      <w:r>
        <w:rPr>
          <w:rFonts w:hint="default" w:ascii="Times New Roman Regular" w:hAnsi="Times New Roman Regular" w:cs="Times New Roman Regular"/>
          <w:i w:val="0"/>
          <w:sz w:val="24"/>
          <w:szCs w:val="24"/>
          <w:vertAlign w:val="superscript"/>
          <w:lang w:val="en-US"/>
        </w:rPr>
        <w:t>6</w:t>
      </w:r>
      <w:r>
        <w:rPr>
          <w:rFonts w:hint="default" w:ascii="Times New Roman Regular" w:hAnsi="Times New Roman Regular" w:cs="Times New Roman Regular"/>
          <w:i w:val="0"/>
          <w:sz w:val="24"/>
          <w:szCs w:val="24"/>
          <w:vertAlign w:val="superscript"/>
        </w:rPr>
        <w:t>]</w:t>
      </w:r>
      <w:r>
        <w:rPr>
          <w:rFonts w:hint="default" w:ascii="Times New Roman Regular" w:hAnsi="Times New Roman Regular" w:cs="Times New Roman Regular"/>
          <w:i w:val="0"/>
          <w:sz w:val="24"/>
          <w:szCs w:val="24"/>
        </w:rPr>
        <w:t>.</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The Netherlands ranked fourth in publication output, which may be related to the Living Lab in Ageing and Long-Term Care jointly initiated by Maastricht University and a nursing home in 1998</w:t>
      </w:r>
      <w:r>
        <w:rPr>
          <w:rFonts w:hint="eastAsia" w:ascii="Times New Roman Regular" w:hAnsi="Times New Roman Regular" w:cs="Times New Roman Regular"/>
          <w:i w:val="0"/>
          <w:sz w:val="24"/>
          <w:szCs w:val="24"/>
          <w:lang w:val="en-US" w:eastAsia="zh-CN"/>
        </w:rPr>
        <w:t xml:space="preserve"> </w:t>
      </w:r>
      <w:r>
        <w:rPr>
          <w:rFonts w:hint="default" w:ascii="Times New Roman Regular" w:hAnsi="Times New Roman Regular" w:cs="Times New Roman Regular"/>
          <w:i w:val="0"/>
          <w:sz w:val="24"/>
          <w:szCs w:val="24"/>
          <w:vertAlign w:val="superscript"/>
        </w:rPr>
        <w:t>[</w:t>
      </w:r>
      <w:r>
        <w:rPr>
          <w:rFonts w:hint="default" w:ascii="Times New Roman Regular" w:hAnsi="Times New Roman Regular" w:cs="Times New Roman Regular"/>
          <w:i w:val="0"/>
          <w:sz w:val="24"/>
          <w:szCs w:val="24"/>
          <w:vertAlign w:val="superscript"/>
          <w:lang w:val="en-US"/>
        </w:rPr>
        <w:t>17</w:t>
      </w:r>
      <w:r>
        <w:rPr>
          <w:rFonts w:hint="default" w:ascii="Times New Roman Regular" w:hAnsi="Times New Roman Regular" w:cs="Times New Roman Regular"/>
          <w:i w:val="0"/>
          <w:sz w:val="24"/>
          <w:szCs w:val="24"/>
          <w:vertAlign w:val="superscript"/>
        </w:rPr>
        <w:t>]</w:t>
      </w:r>
      <w:r>
        <w:rPr>
          <w:rFonts w:hint="default" w:ascii="Times New Roman Regular" w:hAnsi="Times New Roman Regular" w:cs="Times New Roman Regular"/>
          <w:i w:val="0"/>
          <w:sz w:val="24"/>
          <w:szCs w:val="24"/>
        </w:rPr>
        <w:t>. In addition, the United Kingdom has implemented reablement for over 20 years and has accumulated substantial theoretical and practical experience, resulting in a relatively high number of publications</w:t>
      </w:r>
      <w:r>
        <w:rPr>
          <w:rFonts w:hint="eastAsia" w:ascii="Times New Roman Regular" w:hAnsi="Times New Roman Regular" w:cs="Times New Roman Regular"/>
          <w:i w:val="0"/>
          <w:sz w:val="24"/>
          <w:szCs w:val="24"/>
          <w:lang w:val="en-US" w:eastAsia="zh-CN"/>
        </w:rPr>
        <w:t xml:space="preserve"> </w:t>
      </w:r>
      <w:r>
        <w:rPr>
          <w:rFonts w:hint="default" w:ascii="Times New Roman Regular" w:hAnsi="Times New Roman Regular" w:cs="Times New Roman Regular"/>
          <w:i w:val="0"/>
          <w:sz w:val="24"/>
          <w:szCs w:val="24"/>
          <w:vertAlign w:val="superscript"/>
        </w:rPr>
        <w:t>[1</w:t>
      </w:r>
      <w:r>
        <w:rPr>
          <w:rFonts w:hint="default" w:ascii="Times New Roman Regular" w:hAnsi="Times New Roman Regular" w:cs="Times New Roman Regular"/>
          <w:i w:val="0"/>
          <w:sz w:val="24"/>
          <w:szCs w:val="24"/>
          <w:vertAlign w:val="superscript"/>
          <w:lang w:val="en-US"/>
        </w:rPr>
        <w:t>6</w:t>
      </w:r>
      <w:r>
        <w:rPr>
          <w:rFonts w:hint="default" w:ascii="Times New Roman Regular" w:hAnsi="Times New Roman Regular" w:cs="Times New Roman Regular"/>
          <w:i w:val="0"/>
          <w:sz w:val="24"/>
          <w:szCs w:val="24"/>
          <w:vertAlign w:val="superscript"/>
        </w:rPr>
        <w:t>]</w:t>
      </w:r>
      <w:r>
        <w:rPr>
          <w:rFonts w:hint="default" w:ascii="Times New Roman Regular" w:hAnsi="Times New Roman Regular" w:cs="Times New Roman Regular"/>
          <w:i w:val="0"/>
          <w:sz w:val="24"/>
          <w:szCs w:val="24"/>
        </w:rPr>
        <w:t>.</w:t>
      </w:r>
    </w:p>
    <w:p w14:paraId="0C5E415F">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Regular" w:hAnsi="Times New Roman Regular" w:eastAsia="宋体" w:cs="Times New Roman Regular"/>
          <w:b w:val="0"/>
          <w:bCs w:val="0"/>
          <w:color w:val="auto"/>
          <w:sz w:val="24"/>
          <w:szCs w:val="24"/>
          <w:highlight w:val="none"/>
          <w:lang w:val="en-US" w:eastAsia="zh-CN"/>
        </w:rPr>
      </w:pPr>
      <w:r>
        <w:rPr>
          <w:rFonts w:hint="default" w:ascii="Times New Roman Regular" w:hAnsi="Times New Roman Regular" w:cs="Times New Roman Regular"/>
          <w:i w:val="0"/>
          <w:sz w:val="24"/>
          <w:szCs w:val="24"/>
        </w:rPr>
        <w:t>From the perspective of collaboration networks, Australia, Norway, and the Netherlands demonstrated a stronger emphasis on international academic collaboration. Institutions such as the University of Maryland (</w:t>
      </w:r>
      <w:r>
        <w:rPr>
          <w:rFonts w:hint="default" w:ascii="Times New Roman Regular" w:hAnsi="Times New Roman Regular" w:cs="Times New Roman Regular"/>
          <w:sz w:val="24"/>
          <w:szCs w:val="24"/>
        </w:rPr>
        <w:t>United States</w:t>
      </w:r>
      <w:r>
        <w:rPr>
          <w:rFonts w:hint="default" w:ascii="Times New Roman Regular" w:hAnsi="Times New Roman Regular" w:cs="Times New Roman Regular"/>
          <w:i w:val="0"/>
          <w:sz w:val="24"/>
          <w:szCs w:val="24"/>
        </w:rPr>
        <w:t>), the University of Sydney (Australia), and Maastricht University (Netherlands) played prominent roles in international cooperation. Such cross-national collaboration may accelerate the sharing of theoretical and practical knowledge, contributing to these countries</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leading positions in reablement research. Therefore, researchers in other countries are encouraged to strengthen resource integration and international collaboration, draw on advanced experiences, and explore the development of region-specific reablement strategies and operational guidelines.</w:t>
      </w:r>
    </w:p>
    <w:p w14:paraId="23C2D8B8">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Bold" w:hAnsi="Times New Roman Bold" w:cs="Times New Roman Bold"/>
          <w:b/>
          <w:bCs/>
          <w:i/>
          <w:iCs/>
          <w:color w:val="auto"/>
          <w:sz w:val="24"/>
          <w:szCs w:val="24"/>
          <w:lang w:val="en-US" w:eastAsia="zh-CN"/>
        </w:rPr>
      </w:pPr>
      <w:r>
        <w:rPr>
          <w:rFonts w:hint="default" w:ascii="Times New Roman Bold" w:hAnsi="Times New Roman Bold" w:cs="Times New Roman Bold"/>
          <w:b/>
          <w:bCs/>
          <w:i/>
          <w:iCs/>
          <w:color w:val="auto"/>
          <w:sz w:val="24"/>
          <w:szCs w:val="24"/>
          <w:lang w:val="en-US" w:eastAsia="zh-CN"/>
        </w:rPr>
        <w:t>Research hotspots in reablement</w:t>
      </w:r>
    </w:p>
    <w:p w14:paraId="40B7690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firstLineChars="0"/>
        <w:jc w:val="left"/>
        <w:textAlignment w:val="auto"/>
        <w:outlineLvl w:val="9"/>
        <w:rPr>
          <w:rFonts w:hint="default" w:ascii="Times New Roman Regular" w:hAnsi="Times New Roman Regular" w:cs="Times New Roman Regular"/>
          <w:i w:val="0"/>
          <w:sz w:val="24"/>
          <w:szCs w:val="24"/>
        </w:rPr>
      </w:pPr>
      <w:r>
        <w:rPr>
          <w:rFonts w:hint="default" w:ascii="Times New Roman Regular" w:hAnsi="Times New Roman Regular" w:cs="Times New Roman Regular"/>
          <w:i w:val="0"/>
          <w:sz w:val="24"/>
          <w:szCs w:val="24"/>
        </w:rPr>
        <w:t xml:space="preserve">The frequent appearance of the keyword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older adults</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together with the high frequency and centrality of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people</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and </w:t>
      </w:r>
      <w:r>
        <w:rPr>
          <w:rFonts w:hint="default" w:ascii="Times New Roman Regular" w:hAnsi="Times New Roman Regular" w:cs="Times New Roman Regular"/>
          <w:i w:val="0"/>
          <w:sz w:val="24"/>
          <w:szCs w:val="24"/>
          <w:lang w:val="en-US"/>
        </w:rPr>
        <w:t>“</w:t>
      </w:r>
      <w:r>
        <w:rPr>
          <w:rStyle w:val="15"/>
          <w:rFonts w:hint="default" w:ascii="Times New Roman Regular" w:hAnsi="Times New Roman Regular" w:cs="Times New Roman Regular"/>
          <w:i w:val="0"/>
          <w:sz w:val="24"/>
          <w:szCs w:val="24"/>
        </w:rPr>
        <w:t>dementia</w:t>
      </w:r>
      <w:r>
        <w:rPr>
          <w:rStyle w:val="15"/>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indicates that current reablement research primarily focuses on older populations, particularly individuals with dementia. To alleviate caregiving burdens on families and society, researchers have attempted to maximize older adults</w:t>
      </w:r>
      <w:r>
        <w:rPr>
          <w:rFonts w:hint="default" w:ascii="Times New Roman Regular" w:hAnsi="Times New Roman Regular" w:cs="Times New Roman Regular"/>
          <w:i w:val="0"/>
          <w:sz w:val="24"/>
          <w:szCs w:val="24"/>
          <w:lang w:val="en-US"/>
        </w:rPr>
        <w:t>’</w:t>
      </w:r>
      <w:r>
        <w:rPr>
          <w:rFonts w:hint="default" w:ascii="Times New Roman Regular" w:hAnsi="Times New Roman Regular" w:cs="Times New Roman Regular"/>
          <w:i w:val="0"/>
          <w:sz w:val="24"/>
          <w:szCs w:val="24"/>
        </w:rPr>
        <w:t xml:space="preserve"> functional capacities through reablement and improve their independence in daily living. Empirical evidence has demonstrated that reablement can improve ADL performance, mobility, and quality of life among older adults</w:t>
      </w:r>
      <w:r>
        <w:rPr>
          <w:rFonts w:hint="eastAsia" w:ascii="Times New Roman Regular" w:hAnsi="Times New Roman Regular" w:cs="Times New Roman Regular"/>
          <w:i w:val="0"/>
          <w:sz w:val="24"/>
          <w:szCs w:val="24"/>
          <w:lang w:val="en-US" w:eastAsia="zh-CN"/>
        </w:rPr>
        <w:t xml:space="preserve"> </w:t>
      </w:r>
      <w:r>
        <w:rPr>
          <w:rFonts w:hint="default" w:ascii="Times New Roman Regular" w:hAnsi="Times New Roman Regular" w:cs="Times New Roman Regular"/>
          <w:i w:val="0"/>
          <w:sz w:val="24"/>
          <w:szCs w:val="24"/>
          <w:vertAlign w:val="superscript"/>
        </w:rPr>
        <w:t>[</w:t>
      </w:r>
      <w:r>
        <w:rPr>
          <w:rFonts w:hint="default" w:ascii="Times New Roman Regular" w:hAnsi="Times New Roman Regular" w:cs="Times New Roman Regular"/>
          <w:i w:val="0"/>
          <w:sz w:val="24"/>
          <w:szCs w:val="24"/>
          <w:vertAlign w:val="superscript"/>
          <w:lang w:val="en-US"/>
        </w:rPr>
        <w:t>18</w:t>
      </w:r>
      <w:r>
        <w:rPr>
          <w:rFonts w:hint="default" w:ascii="Times New Roman Regular" w:hAnsi="Times New Roman Regular" w:cs="Times New Roman Regular"/>
          <w:i w:val="0"/>
          <w:sz w:val="24"/>
          <w:szCs w:val="24"/>
          <w:vertAlign w:val="superscript"/>
        </w:rPr>
        <w:t>–</w:t>
      </w:r>
      <w:r>
        <w:rPr>
          <w:rFonts w:hint="default" w:ascii="Times New Roman Regular" w:hAnsi="Times New Roman Regular" w:cs="Times New Roman Regular"/>
          <w:i w:val="0"/>
          <w:sz w:val="24"/>
          <w:szCs w:val="24"/>
          <w:vertAlign w:val="superscript"/>
          <w:lang w:val="en-US"/>
        </w:rPr>
        <w:t>19</w:t>
      </w:r>
      <w:r>
        <w:rPr>
          <w:rFonts w:hint="default" w:ascii="Times New Roman Regular" w:hAnsi="Times New Roman Regular" w:cs="Times New Roman Regular"/>
          <w:i w:val="0"/>
          <w:sz w:val="24"/>
          <w:szCs w:val="24"/>
          <w:vertAlign w:val="superscript"/>
        </w:rPr>
        <w:t>]</w:t>
      </w:r>
      <w:r>
        <w:rPr>
          <w:rFonts w:hint="default" w:ascii="Times New Roman Regular" w:hAnsi="Times New Roman Regular" w:cs="Times New Roman Regular"/>
          <w:i w:val="0"/>
          <w:sz w:val="24"/>
          <w:szCs w:val="24"/>
        </w:rPr>
        <w:t>.</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Keyword analysis also highlights people with dementia as a key target group for reablement. Jeon</w:t>
      </w:r>
      <w:r>
        <w:rPr>
          <w:rFonts w:hint="eastAsia" w:ascii="Times New Roman Regular" w:hAnsi="Times New Roman Regular" w:cs="Times New Roman Regular"/>
          <w:i w:val="0"/>
          <w:sz w:val="24"/>
          <w:szCs w:val="24"/>
          <w:lang w:val="en-US" w:eastAsia="zh-CN"/>
        </w:rPr>
        <w:t xml:space="preserve"> </w:t>
      </w:r>
      <w:r>
        <w:rPr>
          <w:rFonts w:hint="default" w:ascii="Times New Roman Regular" w:hAnsi="Times New Roman Regular" w:cs="Times New Roman Regular"/>
          <w:i w:val="0"/>
          <w:sz w:val="24"/>
          <w:szCs w:val="24"/>
          <w:vertAlign w:val="superscript"/>
        </w:rPr>
        <w:t>[2</w:t>
      </w:r>
      <w:r>
        <w:rPr>
          <w:rFonts w:hint="default" w:ascii="Times New Roman Regular" w:hAnsi="Times New Roman Regular" w:cs="Times New Roman Regular"/>
          <w:i w:val="0"/>
          <w:sz w:val="24"/>
          <w:szCs w:val="24"/>
          <w:vertAlign w:val="superscript"/>
          <w:lang w:val="en-US"/>
        </w:rPr>
        <w:t>0</w:t>
      </w:r>
      <w:r>
        <w:rPr>
          <w:rFonts w:hint="default" w:ascii="Times New Roman Regular" w:hAnsi="Times New Roman Regular" w:cs="Times New Roman Regular"/>
          <w:i w:val="0"/>
          <w:sz w:val="24"/>
          <w:szCs w:val="24"/>
          <w:vertAlign w:val="superscript"/>
        </w:rPr>
        <w:t>]</w:t>
      </w:r>
      <w:r>
        <w:rPr>
          <w:rFonts w:hint="default" w:ascii="Times New Roman Regular" w:hAnsi="Times New Roman Regular" w:cs="Times New Roman Regular"/>
          <w:i w:val="0"/>
          <w:sz w:val="24"/>
          <w:szCs w:val="24"/>
        </w:rPr>
        <w:t xml:space="preserve"> suggested that although neurological, psychological, and social impairments associated with dementia may limit daily activities and experiences, individuals with dementia are still capable of living meaningful lives. Currently, Australia is implementing the I-HARP program, which incorporates cognitive rehabilitation, cognitive and physical function assessment, and person-cent</w:t>
      </w:r>
      <w:r>
        <w:rPr>
          <w:rFonts w:hint="eastAsia" w:ascii="Times New Roman Regular" w:hAnsi="Times New Roman Regular" w:cs="Times New Roman Regular"/>
          <w:i w:val="0"/>
          <w:sz w:val="24"/>
          <w:szCs w:val="24"/>
          <w:lang w:val="en-US" w:eastAsia="zh-CN"/>
        </w:rPr>
        <w:t>e</w:t>
      </w:r>
      <w:r>
        <w:rPr>
          <w:rFonts w:hint="default" w:ascii="Times New Roman Regular" w:hAnsi="Times New Roman Regular" w:cs="Times New Roman Regular"/>
          <w:i w:val="0"/>
          <w:sz w:val="24"/>
          <w:szCs w:val="24"/>
        </w:rPr>
        <w:t>red dementia care into standard reablement services to address the specific needs of people with dementia. This program aims to improve independence, mobility, quality of life, depression, and caregiver burden</w:t>
      </w:r>
      <w:r>
        <w:rPr>
          <w:rFonts w:hint="eastAsia" w:ascii="Times New Roman Regular" w:hAnsi="Times New Roman Regular" w:cs="Times New Roman Regular"/>
          <w:i w:val="0"/>
          <w:sz w:val="24"/>
          <w:szCs w:val="24"/>
          <w:lang w:val="en-US" w:eastAsia="zh-CN"/>
        </w:rPr>
        <w:t xml:space="preserve"> </w:t>
      </w:r>
      <w:r>
        <w:rPr>
          <w:rFonts w:hint="default" w:ascii="Times New Roman Regular" w:hAnsi="Times New Roman Regular" w:cs="Times New Roman Regular"/>
          <w:i w:val="0"/>
          <w:sz w:val="24"/>
          <w:szCs w:val="24"/>
          <w:vertAlign w:val="superscript"/>
        </w:rPr>
        <w:t>[2</w:t>
      </w:r>
      <w:r>
        <w:rPr>
          <w:rFonts w:hint="default" w:ascii="Times New Roman Regular" w:hAnsi="Times New Roman Regular" w:cs="Times New Roman Regular"/>
          <w:i w:val="0"/>
          <w:sz w:val="24"/>
          <w:szCs w:val="24"/>
          <w:vertAlign w:val="superscript"/>
          <w:lang w:val="en-US"/>
        </w:rPr>
        <w:t>1</w:t>
      </w:r>
      <w:r>
        <w:rPr>
          <w:rFonts w:hint="default" w:ascii="Times New Roman Regular" w:hAnsi="Times New Roman Regular" w:cs="Times New Roman Regular"/>
          <w:i w:val="0"/>
          <w:sz w:val="24"/>
          <w:szCs w:val="24"/>
          <w:vertAlign w:val="superscript"/>
        </w:rPr>
        <w:t>]</w:t>
      </w:r>
      <w:r>
        <w:rPr>
          <w:rFonts w:hint="default" w:ascii="Times New Roman Regular" w:hAnsi="Times New Roman Regular" w:cs="Times New Roman Regular"/>
          <w:i w:val="0"/>
          <w:sz w:val="24"/>
          <w:szCs w:val="24"/>
        </w:rPr>
        <w:t>.Regarding evidence for cognitive rehabilitation, only one systematic review</w:t>
      </w:r>
      <w:r>
        <w:rPr>
          <w:rFonts w:hint="eastAsia" w:ascii="Times New Roman Regular" w:hAnsi="Times New Roman Regular" w:cs="Times New Roman Regular"/>
          <w:i w:val="0"/>
          <w:sz w:val="24"/>
          <w:szCs w:val="24"/>
          <w:lang w:val="en-US" w:eastAsia="zh-CN"/>
        </w:rPr>
        <w:t xml:space="preserve"> </w:t>
      </w:r>
      <w:r>
        <w:rPr>
          <w:rFonts w:hint="default" w:ascii="Times New Roman Regular" w:hAnsi="Times New Roman Regular" w:cs="Times New Roman Regular"/>
          <w:i w:val="0"/>
          <w:sz w:val="24"/>
          <w:szCs w:val="24"/>
          <w:vertAlign w:val="superscript"/>
        </w:rPr>
        <w:t>[2</w:t>
      </w:r>
      <w:r>
        <w:rPr>
          <w:rFonts w:hint="default" w:ascii="Times New Roman Regular" w:hAnsi="Times New Roman Regular" w:cs="Times New Roman Regular"/>
          <w:i w:val="0"/>
          <w:sz w:val="24"/>
          <w:szCs w:val="24"/>
          <w:vertAlign w:val="superscript"/>
          <w:lang w:val="en-US"/>
        </w:rPr>
        <w:t>2</w:t>
      </w:r>
      <w:r>
        <w:rPr>
          <w:rFonts w:hint="default" w:ascii="Times New Roman Regular" w:hAnsi="Times New Roman Regular" w:cs="Times New Roman Regular"/>
          <w:i w:val="0"/>
          <w:sz w:val="24"/>
          <w:szCs w:val="24"/>
          <w:vertAlign w:val="superscript"/>
        </w:rPr>
        <w:t>]</w:t>
      </w:r>
      <w:r>
        <w:rPr>
          <w:rFonts w:hint="default" w:ascii="Times New Roman Regular" w:hAnsi="Times New Roman Regular" w:cs="Times New Roman Regular"/>
          <w:i w:val="0"/>
          <w:sz w:val="24"/>
          <w:szCs w:val="24"/>
        </w:rPr>
        <w:t xml:space="preserve"> has concluded its effectiveness for individuals with mild dementia. However, findings from the I-HARP program suggest that when combined with other multidisciplinary interventions, cognitive rehabilitation may also be beneficial for individuals with moderate dementia. In addition, Claire</w:t>
      </w:r>
      <w:r>
        <w:rPr>
          <w:rFonts w:hint="eastAsia" w:ascii="Times New Roman Regular" w:hAnsi="Times New Roman Regular" w:cs="Times New Roman Regular"/>
          <w:i w:val="0"/>
          <w:sz w:val="24"/>
          <w:szCs w:val="24"/>
          <w:lang w:val="en-US" w:eastAsia="zh-CN"/>
        </w:rPr>
        <w:t xml:space="preserve"> </w:t>
      </w:r>
      <w:r>
        <w:rPr>
          <w:rFonts w:hint="default" w:ascii="Times New Roman Regular" w:hAnsi="Times New Roman Regular" w:cs="Times New Roman Regular"/>
          <w:i w:val="0"/>
          <w:sz w:val="24"/>
          <w:szCs w:val="24"/>
          <w:vertAlign w:val="superscript"/>
        </w:rPr>
        <w:t>[2</w:t>
      </w:r>
      <w:r>
        <w:rPr>
          <w:rFonts w:hint="default" w:ascii="Times New Roman Regular" w:hAnsi="Times New Roman Regular" w:cs="Times New Roman Regular"/>
          <w:i w:val="0"/>
          <w:sz w:val="24"/>
          <w:szCs w:val="24"/>
          <w:vertAlign w:val="superscript"/>
          <w:lang w:val="en-US"/>
        </w:rPr>
        <w:t>3</w:t>
      </w:r>
      <w:r>
        <w:rPr>
          <w:rFonts w:hint="default" w:ascii="Times New Roman Regular" w:hAnsi="Times New Roman Regular" w:cs="Times New Roman Regular"/>
          <w:i w:val="0"/>
          <w:sz w:val="24"/>
          <w:szCs w:val="24"/>
          <w:vertAlign w:val="superscript"/>
        </w:rPr>
        <w:t>]</w:t>
      </w:r>
      <w:r>
        <w:rPr>
          <w:rFonts w:hint="default" w:ascii="Times New Roman Regular" w:hAnsi="Times New Roman Regular" w:cs="Times New Roman Regular"/>
          <w:i w:val="0"/>
          <w:sz w:val="24"/>
          <w:szCs w:val="24"/>
        </w:rPr>
        <w:t xml:space="preserve"> developed a reablement practice manual for service providers caring for people with dementia, systematically outlining intervention procedures and contents related to occupational therapy, cognitive interventions, fall prevention, and communication strategies.</w:t>
      </w:r>
      <w:r>
        <w:rPr>
          <w:rFonts w:hint="default" w:ascii="Times New Roman Regular" w:hAnsi="Times New Roman Regular" w:cs="Times New Roman Regular"/>
          <w:i w:val="0"/>
          <w:sz w:val="24"/>
          <w:szCs w:val="24"/>
          <w:lang w:val="en-US"/>
        </w:rPr>
        <w:t xml:space="preserve"> </w:t>
      </w:r>
      <w:r>
        <w:rPr>
          <w:rFonts w:hint="default" w:ascii="Times New Roman Regular" w:hAnsi="Times New Roman Regular" w:cs="Times New Roman Regular"/>
          <w:i w:val="0"/>
          <w:sz w:val="24"/>
          <w:szCs w:val="24"/>
        </w:rPr>
        <w:t>Although stroke was not identified as a prominent research focus based on keyword analysis, Chiu</w:t>
      </w:r>
      <w:r>
        <w:rPr>
          <w:rFonts w:hint="eastAsia" w:ascii="Times New Roman Regular" w:hAnsi="Times New Roman Regular" w:cs="Times New Roman Regular"/>
          <w:i w:val="0"/>
          <w:sz w:val="24"/>
          <w:szCs w:val="24"/>
          <w:lang w:val="en-US" w:eastAsia="zh-CN"/>
        </w:rPr>
        <w:t xml:space="preserve"> </w:t>
      </w:r>
      <w:r>
        <w:rPr>
          <w:rFonts w:hint="default" w:ascii="Times New Roman Regular" w:hAnsi="Times New Roman Regular" w:cs="Times New Roman Regular"/>
          <w:i w:val="0"/>
          <w:sz w:val="24"/>
          <w:szCs w:val="24"/>
          <w:vertAlign w:val="superscript"/>
        </w:rPr>
        <w:t>[2</w:t>
      </w:r>
      <w:r>
        <w:rPr>
          <w:rFonts w:hint="default" w:ascii="Times New Roman Regular" w:hAnsi="Times New Roman Regular" w:cs="Times New Roman Regular"/>
          <w:i w:val="0"/>
          <w:sz w:val="24"/>
          <w:szCs w:val="24"/>
          <w:vertAlign w:val="superscript"/>
          <w:lang w:val="en-US"/>
        </w:rPr>
        <w:t>4</w:t>
      </w:r>
      <w:r>
        <w:rPr>
          <w:rFonts w:hint="default" w:ascii="Times New Roman Regular" w:hAnsi="Times New Roman Regular" w:cs="Times New Roman Regular"/>
          <w:i w:val="0"/>
          <w:sz w:val="24"/>
          <w:szCs w:val="24"/>
          <w:vertAlign w:val="superscript"/>
        </w:rPr>
        <w:t>]</w:t>
      </w:r>
      <w:r>
        <w:rPr>
          <w:rFonts w:hint="default" w:ascii="Times New Roman Regular" w:hAnsi="Times New Roman Regular" w:cs="Times New Roman Regular"/>
          <w:i w:val="0"/>
          <w:sz w:val="24"/>
          <w:szCs w:val="24"/>
        </w:rPr>
        <w:t xml:space="preserve"> demonstrated that a six-week home-based reablement program for individuals with stroke improved motor function, ADL and instrumental ADL (IADL), mood, and memory. Compared with traditional rehabilitation, home-based reablement reduced medical costs by 15% and decreased the need for caregiving staff. Therefore, it is recommended to develop family-based reablement models and strengthen collaboration among communities, primary healthcare institutions, and families to provide effective services for individuals with stroke, dementia, and other conditions.</w:t>
      </w:r>
    </w:p>
    <w:p w14:paraId="171A98F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hint="default" w:ascii="Times New Roman Regular" w:hAnsi="Times New Roman Regular" w:cs="Times New Roman Regular"/>
          <w:b w:val="0"/>
          <w:bCs w:val="0"/>
          <w:color w:val="auto"/>
          <w:sz w:val="24"/>
          <w:szCs w:val="24"/>
          <w:lang w:val="en-US" w:eastAsia="zh-CN"/>
        </w:rPr>
      </w:pPr>
      <w:r>
        <w:rPr>
          <w:rFonts w:hint="default" w:ascii="Times New Roman Regular" w:hAnsi="Times New Roman Regular" w:cs="Times New Roman Regular"/>
          <w:b w:val="0"/>
          <w:bCs w:val="0"/>
          <w:color w:val="auto"/>
          <w:sz w:val="24"/>
          <w:szCs w:val="24"/>
          <w:lang w:val="en-US" w:eastAsia="zh-CN"/>
        </w:rPr>
        <w:t>“Physical activity (PA)” and “activities of daily living (ADL) ”were identified as high-frequency keywords, “exercise” formed Cluster #5, and “mobility” showed burst activity between 2001 and 2012. PA generally includes ADL, household activities, leisure activities, and structured exercise, indicating that current research hotspots mainly focus on improving physical activity among service recipients. Consequently, ADL training and physical function exercise constitute the core components of reablement</w:t>
      </w:r>
      <w:r>
        <w:rPr>
          <w:rFonts w:hint="eastAsia" w:ascii="Times New Roman Regular" w:hAnsi="Times New Roman Regular" w:cs="Times New Roman Regular"/>
          <w:b w:val="0"/>
          <w:bCs w:val="0"/>
          <w:color w:val="auto"/>
          <w:sz w:val="24"/>
          <w:szCs w:val="24"/>
          <w:lang w:val="en-US" w:eastAsia="zh-CN"/>
        </w:rPr>
        <w:t xml:space="preserve"> </w:t>
      </w:r>
      <w:r>
        <w:rPr>
          <w:rFonts w:hint="default" w:ascii="Times New Roman Regular" w:hAnsi="Times New Roman Regular" w:cs="Times New Roman Regular"/>
          <w:b w:val="0"/>
          <w:bCs w:val="0"/>
          <w:color w:val="auto"/>
          <w:sz w:val="24"/>
          <w:szCs w:val="24"/>
          <w:vertAlign w:val="superscript"/>
          <w:lang w:val="en-US" w:eastAsia="zh-CN"/>
        </w:rPr>
        <w:t>[25]</w:t>
      </w:r>
      <w:r>
        <w:rPr>
          <w:rFonts w:hint="default" w:ascii="Times New Roman Regular" w:hAnsi="Times New Roman Regular" w:cs="Times New Roman Regular"/>
          <w:b w:val="0"/>
          <w:bCs w:val="0"/>
          <w:color w:val="auto"/>
          <w:sz w:val="24"/>
          <w:szCs w:val="24"/>
          <w:lang w:val="en-US" w:eastAsia="zh-CN"/>
        </w:rPr>
        <w:t>. ADL training is typically delivered by occupational therapists or registered nurses and involves repeated practice of personal care, eating, and other daily activities within everyday contexts, encouraging individuals to complete activities independently or partially independently. Physical function exercise is usually provided by physiotherapists and includes training in strength, balance, endurance, and fine motor skills</w:t>
      </w:r>
      <w:r>
        <w:rPr>
          <w:rFonts w:hint="eastAsia" w:ascii="Times New Roman Regular" w:hAnsi="Times New Roman Regular" w:cs="Times New Roman Regular"/>
          <w:b w:val="0"/>
          <w:bCs w:val="0"/>
          <w:color w:val="auto"/>
          <w:sz w:val="24"/>
          <w:szCs w:val="24"/>
          <w:lang w:val="en-US" w:eastAsia="zh-CN"/>
        </w:rPr>
        <w:t xml:space="preserve"> </w:t>
      </w:r>
      <w:r>
        <w:rPr>
          <w:rFonts w:hint="default" w:ascii="Times New Roman Regular" w:hAnsi="Times New Roman Regular" w:cs="Times New Roman Regular"/>
          <w:b w:val="0"/>
          <w:bCs w:val="0"/>
          <w:color w:val="auto"/>
          <w:sz w:val="24"/>
          <w:szCs w:val="24"/>
          <w:vertAlign w:val="superscript"/>
          <w:lang w:val="en-US" w:eastAsia="zh-CN"/>
        </w:rPr>
        <w:t>[26]</w:t>
      </w:r>
      <w:r>
        <w:rPr>
          <w:rFonts w:hint="default" w:ascii="Times New Roman Regular" w:hAnsi="Times New Roman Regular" w:cs="Times New Roman Regular"/>
          <w:b w:val="0"/>
          <w:bCs w:val="0"/>
          <w:color w:val="auto"/>
          <w:sz w:val="24"/>
          <w:szCs w:val="24"/>
          <w:lang w:val="en-US" w:eastAsia="zh-CN"/>
        </w:rPr>
        <w:t>. However, a systematic review</w:t>
      </w:r>
      <w:r>
        <w:rPr>
          <w:rFonts w:hint="eastAsia" w:ascii="Times New Roman Regular" w:hAnsi="Times New Roman Regular" w:cs="Times New Roman Regular"/>
          <w:b w:val="0"/>
          <w:bCs w:val="0"/>
          <w:color w:val="auto"/>
          <w:sz w:val="24"/>
          <w:szCs w:val="24"/>
          <w:lang w:val="en-US" w:eastAsia="zh-CN"/>
        </w:rPr>
        <w:t xml:space="preserve"> </w:t>
      </w:r>
      <w:r>
        <w:rPr>
          <w:rFonts w:hint="default" w:ascii="Times New Roman Regular" w:hAnsi="Times New Roman Regular" w:cs="Times New Roman Regular"/>
          <w:b w:val="0"/>
          <w:bCs w:val="0"/>
          <w:color w:val="auto"/>
          <w:sz w:val="24"/>
          <w:szCs w:val="24"/>
          <w:vertAlign w:val="superscript"/>
          <w:lang w:val="en-US" w:eastAsia="zh-CN"/>
        </w:rPr>
        <w:t>[27]</w:t>
      </w:r>
      <w:r>
        <w:rPr>
          <w:rFonts w:hint="default" w:ascii="Times New Roman Regular" w:hAnsi="Times New Roman Regular" w:cs="Times New Roman Regular"/>
          <w:b w:val="0"/>
          <w:bCs w:val="0"/>
          <w:color w:val="auto"/>
          <w:sz w:val="24"/>
          <w:szCs w:val="24"/>
          <w:lang w:val="en-US" w:eastAsia="zh-CN"/>
        </w:rPr>
        <w:t xml:space="preserve"> reported that most reablement intervention studies did not clearly describe specific PA-related strategies or intervention intensity, resulting in limited evidence regarding how reablement influences PA. Future research should conduct high-quality empirical studies to explore the feasibility, effectiveness, and influencing factors of PA interventions within reablement programs.</w:t>
      </w:r>
    </w:p>
    <w:p w14:paraId="3D8DB85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hint="default" w:ascii="Times New Roman Regular" w:hAnsi="Times New Roman Regular" w:cs="Times New Roman Regular"/>
          <w:color w:val="0000FF"/>
          <w:sz w:val="24"/>
          <w:szCs w:val="24"/>
          <w:lang w:val="en-US" w:eastAsia="zh-CN"/>
        </w:rPr>
      </w:pPr>
      <w:r>
        <w:rPr>
          <w:rFonts w:hint="default" w:ascii="Times New Roman Regular" w:hAnsi="Times New Roman Regular" w:cs="Times New Roman Regular"/>
          <w:color w:val="auto"/>
          <w:sz w:val="24"/>
          <w:szCs w:val="24"/>
          <w:lang w:val="en-US" w:eastAsia="zh-CN"/>
        </w:rPr>
        <w:t>Based on high-frequency keywords, keyword clustering, and burst analy</w:t>
      </w:r>
      <w:r>
        <w:rPr>
          <w:rFonts w:hint="eastAsia" w:ascii="Times New Roman Regular" w:hAnsi="Times New Roman Regular" w:cs="Times New Roman Regular"/>
          <w:color w:val="auto"/>
          <w:sz w:val="24"/>
          <w:szCs w:val="24"/>
          <w:lang w:val="en-US" w:eastAsia="zh-CN"/>
        </w:rPr>
        <w:t>z</w:t>
      </w:r>
      <w:r>
        <w:rPr>
          <w:rFonts w:hint="default" w:ascii="Times New Roman Regular" w:hAnsi="Times New Roman Regular" w:cs="Times New Roman Regular"/>
          <w:color w:val="auto"/>
          <w:sz w:val="24"/>
          <w:szCs w:val="24"/>
          <w:lang w:val="en-US" w:eastAsia="zh-CN"/>
        </w:rPr>
        <w:t>es, experiences and intervention were identified as major research hotspots in reablement. This may be attributed to the person-cent</w:t>
      </w:r>
      <w:r>
        <w:rPr>
          <w:rFonts w:hint="eastAsia" w:ascii="Times New Roman Regular" w:hAnsi="Times New Roman Regular" w:cs="Times New Roman Regular"/>
          <w:color w:val="auto"/>
          <w:sz w:val="24"/>
          <w:szCs w:val="24"/>
          <w:lang w:val="en-US" w:eastAsia="zh-CN"/>
        </w:rPr>
        <w:t>e</w:t>
      </w:r>
      <w:r>
        <w:rPr>
          <w:rFonts w:hint="default" w:ascii="Times New Roman Regular" w:hAnsi="Times New Roman Regular" w:cs="Times New Roman Regular"/>
          <w:color w:val="auto"/>
          <w:sz w:val="24"/>
          <w:szCs w:val="24"/>
          <w:lang w:val="en-US" w:eastAsia="zh-CN"/>
        </w:rPr>
        <w:t>red nature of reablement, which aims to support individuals in doing what they want and need to do. As a result, researchers often comprehensively explore participation experiences from the perspectives of service recipients, caregivers, and service providers. In addition to qualitative research, intervention studies constitute another major research focus. Current intervention studies on reablement cover diverse populations, settings, and intervention components. However, Cochrane reviewers</w:t>
      </w:r>
      <w:r>
        <w:rPr>
          <w:rFonts w:hint="eastAsia"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vertAlign w:val="superscript"/>
          <w:lang w:val="en-US" w:eastAsia="zh-CN"/>
        </w:rPr>
        <w:t>[28]</w:t>
      </w:r>
      <w:r>
        <w:rPr>
          <w:rFonts w:hint="default" w:ascii="Times New Roman Regular" w:hAnsi="Times New Roman Regular" w:cs="Times New Roman Regular"/>
          <w:color w:val="auto"/>
          <w:sz w:val="24"/>
          <w:szCs w:val="24"/>
          <w:lang w:val="en-US" w:eastAsia="zh-CN"/>
        </w:rPr>
        <w:t xml:space="preserve"> have indicated that high-quality evidence confirming the effectiveness of reablement remains insufficient. The keywords time-zone analysis showed that before 2012, reablement interventions were mainly conducted in institutional care settings, whereas in recent years, they have gradually shifted toward home- or community-based settings. This shift may be explained by increasing population aging and rising life expectancy, which have placed substantial pressure on healthcare and welfare systems. Home-</w:t>
      </w:r>
      <w:r>
        <w:rPr>
          <w:rFonts w:hint="eastAsia"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lang w:val="en-US" w:eastAsia="zh-CN"/>
        </w:rPr>
        <w:t>or community-based care, characterized by lower costs, ease of implementation, and greater flexibility, has therefore attracted increasing attention. Currently, only a limited number of national-level home-based reablement programs are in operation, such as the Home Independence Program (HIP) in Australia, the I-MANAGE community reablement program in the Netherlands, and the ASSIST program in Sweden. Experiences from these programs suggest that with policy support, financial investment, and multidisciplinary collaboration, home-based reablement can effectively reduce healthcare burdens and improve independence and quality of life among service recipients, providing valuable references for other countries seeking to develop home- or community- based reablement programs.</w:t>
      </w:r>
    </w:p>
    <w:p w14:paraId="2706E5A5">
      <w:pPr>
        <w:keepNext w:val="0"/>
        <w:keepLines w:val="0"/>
        <w:pageBreakBefore w:val="0"/>
        <w:widowControl/>
        <w:suppressLineNumbers w:val="0"/>
        <w:kinsoku/>
        <w:overflowPunct/>
        <w:topLinePunct w:val="0"/>
        <w:autoSpaceDE/>
        <w:autoSpaceDN/>
        <w:bidi w:val="0"/>
        <w:adjustRightInd/>
        <w:snapToGrid/>
        <w:spacing w:line="240" w:lineRule="auto"/>
        <w:jc w:val="left"/>
        <w:textAlignment w:val="auto"/>
        <w:rPr>
          <w:rFonts w:hint="default" w:ascii="Times New Roman Bold" w:hAnsi="Times New Roman Bold" w:cs="Times New Roman Bold"/>
          <w:b/>
          <w:bCs/>
          <w:sz w:val="30"/>
          <w:szCs w:val="30"/>
          <w:lang w:val="en-US"/>
        </w:rPr>
      </w:pPr>
      <w:r>
        <w:rPr>
          <w:rFonts w:hint="default" w:ascii="Times New Roman Bold" w:hAnsi="Times New Roman Bold" w:eastAsia="宋体" w:cs="Times New Roman Bold"/>
          <w:b/>
          <w:bCs/>
          <w:kern w:val="0"/>
          <w:sz w:val="30"/>
          <w:szCs w:val="30"/>
          <w:lang w:val="en-US" w:eastAsia="zh-CN" w:bidi="ar"/>
        </w:rPr>
        <w:t>Conclusion</w:t>
      </w:r>
      <w:r>
        <w:rPr>
          <w:rFonts w:hint="eastAsia" w:ascii="Times New Roman Bold" w:hAnsi="Times New Roman Bold" w:eastAsia="宋体" w:cs="Times New Roman Bold"/>
          <w:b/>
          <w:bCs/>
          <w:kern w:val="0"/>
          <w:sz w:val="30"/>
          <w:szCs w:val="30"/>
          <w:lang w:val="en-US" w:eastAsia="zh-CN" w:bidi="ar"/>
        </w:rPr>
        <w:t>s</w:t>
      </w:r>
    </w:p>
    <w:p w14:paraId="6729A95D">
      <w:pPr>
        <w:keepNext w:val="0"/>
        <w:keepLines w:val="0"/>
        <w:pageBreakBefore w:val="0"/>
        <w:widowControl/>
        <w:suppressLineNumbers w:val="0"/>
        <w:kinsoku/>
        <w:overflowPunct/>
        <w:topLinePunct w:val="0"/>
        <w:autoSpaceDE/>
        <w:autoSpaceDN/>
        <w:bidi w:val="0"/>
        <w:adjustRightInd/>
        <w:snapToGrid/>
        <w:spacing w:line="240" w:lineRule="auto"/>
        <w:jc w:val="left"/>
        <w:textAlignment w:val="auto"/>
        <w:rPr>
          <w:rFonts w:hint="default" w:ascii="Times New Roman Regular" w:hAnsi="Times New Roman Regular" w:cs="Times New Roman Regular"/>
          <w:b w:val="0"/>
          <w:bCs w:val="0"/>
          <w:color w:val="auto"/>
          <w:sz w:val="24"/>
          <w:szCs w:val="24"/>
          <w:lang w:val="en-US" w:eastAsia="zh-CN"/>
        </w:rPr>
      </w:pPr>
      <w:r>
        <w:rPr>
          <w:rFonts w:hint="default" w:ascii="Times New Roman Regular" w:hAnsi="Times New Roman Regular" w:cs="Times New Roman Regular"/>
          <w:b w:val="0"/>
          <w:bCs w:val="0"/>
          <w:color w:val="auto"/>
          <w:sz w:val="24"/>
          <w:szCs w:val="24"/>
          <w:lang w:val="en-US" w:eastAsia="zh-CN"/>
        </w:rPr>
        <w:t>This study employed VOSviewer and CiteSpace to conduct a visualized bibliometric analysis of the literature on reablement, presenting the current research landscape, hotspots, and development trends in this field. The analysis of research patterns and evolutionary characteristics provides multidimensional references for researchers and policymakers. At present, reablement research is still evolving. Future studies are recommended to conduct more high-quality empirical research to identify optimal intervention strategies, as well as sensitive assessment tools and outcome indicators. In addition, the active promotion of home-based reablement services is encouraged to further support independence and quality of life among service recipients.</w:t>
      </w:r>
    </w:p>
    <w:p w14:paraId="1F25212D">
      <w:pPr>
        <w:keepNext w:val="0"/>
        <w:keepLines w:val="0"/>
        <w:pageBreakBefore w:val="0"/>
        <w:widowControl/>
        <w:suppressLineNumbers w:val="0"/>
        <w:kinsoku/>
        <w:overflowPunct/>
        <w:topLinePunct w:val="0"/>
        <w:autoSpaceDE/>
        <w:autoSpaceDN/>
        <w:bidi w:val="0"/>
        <w:adjustRightInd/>
        <w:snapToGrid/>
        <w:spacing w:line="240" w:lineRule="auto"/>
        <w:jc w:val="left"/>
        <w:textAlignment w:val="auto"/>
        <w:rPr>
          <w:rFonts w:hint="default" w:ascii="Times New Roman Bold" w:hAnsi="Times New Roman Bold" w:cs="Times New Roman Bold"/>
          <w:b/>
          <w:bCs w:val="0"/>
          <w:color w:val="auto"/>
          <w:sz w:val="30"/>
          <w:szCs w:val="30"/>
          <w:lang w:val="en-US" w:eastAsia="zh-CN"/>
        </w:rPr>
      </w:pPr>
      <w:r>
        <w:rPr>
          <w:rFonts w:hint="default" w:ascii="Times New Roman Bold" w:hAnsi="Times New Roman Bold" w:eastAsia="宋体" w:cs="Times New Roman Bold"/>
          <w:b/>
          <w:bCs w:val="0"/>
          <w:kern w:val="0"/>
          <w:sz w:val="30"/>
          <w:szCs w:val="30"/>
          <w:lang w:val="en-US" w:eastAsia="zh-CN" w:bidi="ar"/>
        </w:rPr>
        <w:t>Limitations</w:t>
      </w:r>
    </w:p>
    <w:p w14:paraId="3538FD8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Fonts w:hint="default" w:ascii="Times New Roman Regular" w:hAnsi="Times New Roman Regular" w:cs="Times New Roman Regular"/>
          <w:b w:val="0"/>
          <w:bCs w:val="0"/>
          <w:color w:val="auto"/>
          <w:sz w:val="24"/>
          <w:szCs w:val="24"/>
          <w:lang w:val="en-US" w:eastAsia="zh-CN"/>
        </w:rPr>
      </w:pPr>
      <w:r>
        <w:rPr>
          <w:rFonts w:hint="default" w:ascii="Times New Roman Regular" w:hAnsi="Times New Roman Regular" w:cs="Times New Roman Regular"/>
          <w:b w:val="0"/>
          <w:bCs w:val="0"/>
          <w:color w:val="auto"/>
          <w:sz w:val="24"/>
          <w:szCs w:val="24"/>
          <w:lang w:val="en-US" w:eastAsia="zh-CN"/>
        </w:rPr>
        <w:t>This study has several limitations. Due to language restrictions and the limitations of data analysis tools, only English-language publications from the Web of Science Core Collection were included, which may have influenced the results. Future studies could incorporate literature from other databases, such as Scopus and PubMed, and conduct cross-national comparative analy</w:t>
      </w:r>
      <w:r>
        <w:rPr>
          <w:rFonts w:hint="eastAsia" w:ascii="Times New Roman Regular" w:hAnsi="Times New Roman Regular" w:cs="Times New Roman Regular"/>
          <w:b w:val="0"/>
          <w:bCs w:val="0"/>
          <w:color w:val="auto"/>
          <w:sz w:val="24"/>
          <w:szCs w:val="24"/>
          <w:lang w:val="en-US" w:eastAsia="zh-CN"/>
        </w:rPr>
        <w:t>z</w:t>
      </w:r>
      <w:r>
        <w:rPr>
          <w:rFonts w:hint="default" w:ascii="Times New Roman Regular" w:hAnsi="Times New Roman Regular" w:cs="Times New Roman Regular"/>
          <w:b w:val="0"/>
          <w:bCs w:val="0"/>
          <w:color w:val="auto"/>
          <w:sz w:val="24"/>
          <w:szCs w:val="24"/>
          <w:lang w:val="en-US" w:eastAsia="zh-CN"/>
        </w:rPr>
        <w:t>es to explore reablement models suitable for different national contexts, thereby providing stronger evidence for policy formulation and service implementation.</w:t>
      </w:r>
    </w:p>
    <w:p w14:paraId="7496CD96">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Regular" w:hAnsi="Times New Roman Regular" w:cs="Times New Roman Regular"/>
          <w:b/>
          <w:bCs/>
          <w:color w:val="auto"/>
          <w:sz w:val="30"/>
          <w:szCs w:val="30"/>
          <w:lang w:val="en-US" w:eastAsia="zh-CN"/>
        </w:rPr>
      </w:pPr>
      <w:r>
        <w:rPr>
          <w:rFonts w:hint="default" w:ascii="Times New Roman Regular" w:hAnsi="Times New Roman Regular" w:cs="Times New Roman Regular"/>
          <w:b/>
          <w:bCs/>
          <w:color w:val="auto"/>
          <w:sz w:val="30"/>
          <w:szCs w:val="30"/>
          <w:lang w:val="en-US" w:eastAsia="zh-CN"/>
        </w:rPr>
        <w:t>References</w:t>
      </w:r>
    </w:p>
    <w:p w14:paraId="726B85DE">
      <w:pPr>
        <w:keepNext w:val="0"/>
        <w:keepLines w:val="0"/>
        <w:pageBreakBefore w:val="0"/>
        <w:numPr>
          <w:ilvl w:val="0"/>
          <w:numId w:val="1"/>
        </w:numPr>
        <w:kinsoku/>
        <w:wordWrap/>
        <w:overflowPunct/>
        <w:topLinePunct w:val="0"/>
        <w:autoSpaceDE/>
        <w:autoSpaceDN/>
        <w:bidi w:val="0"/>
        <w:adjustRightInd/>
        <w:snapToGrid/>
        <w:spacing w:line="240" w:lineRule="auto"/>
        <w:ind w:left="0" w:hanging="480" w:hangingChars="200"/>
        <w:jc w:val="left"/>
        <w:textAlignment w:val="auto"/>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t>World Health Organization</w:t>
      </w:r>
      <w:r>
        <w:rPr>
          <w:rFonts w:hint="default" w:ascii="Times New Roman Regular" w:hAnsi="Times New Roman Regular" w:cs="Times New Roman Regular"/>
          <w:color w:val="auto"/>
          <w:sz w:val="24"/>
          <w:szCs w:val="24"/>
          <w:lang w:val="en-US"/>
        </w:rPr>
        <w:t xml:space="preserve">: </w:t>
      </w:r>
      <w:r>
        <w:rPr>
          <w:rFonts w:hint="default" w:ascii="Times New Roman Regular" w:hAnsi="Times New Roman Regular" w:cs="Times New Roman Regular"/>
          <w:color w:val="auto"/>
          <w:sz w:val="24"/>
          <w:szCs w:val="24"/>
        </w:rPr>
        <w:t xml:space="preserve">Ageing and health. </w:t>
      </w:r>
      <w:r>
        <w:rPr>
          <w:rFonts w:hint="default" w:ascii="Times New Roman Regular" w:hAnsi="Times New Roman Regular" w:cs="Times New Roman Regular"/>
          <w:color w:val="auto"/>
          <w:sz w:val="24"/>
          <w:szCs w:val="24"/>
          <w:lang w:val="en-US" w:eastAsia="zh-CN"/>
        </w:rPr>
        <w:t>[EB/OL]. (2025)[2025-12-20].</w:t>
      </w:r>
    </w:p>
    <w:p w14:paraId="1834A2FE">
      <w:pPr>
        <w:keepNext w:val="0"/>
        <w:keepLines w:val="0"/>
        <w:pageBreakBefore w:val="0"/>
        <w:numPr>
          <w:ilvl w:val="-1"/>
          <w:numId w:val="0"/>
        </w:numPr>
        <w:kinsoku/>
        <w:wordWrap/>
        <w:overflowPunct/>
        <w:topLinePunct w:val="0"/>
        <w:autoSpaceDE/>
        <w:autoSpaceDN/>
        <w:bidi w:val="0"/>
        <w:adjustRightInd/>
        <w:snapToGrid/>
        <w:spacing w:line="240" w:lineRule="auto"/>
        <w:ind w:left="719" w:leftChars="228" w:hanging="240" w:hangingChars="100"/>
        <w:jc w:val="left"/>
        <w:textAlignment w:val="auto"/>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rPr>
        <w:fldChar w:fldCharType="begin"/>
      </w:r>
      <w:r>
        <w:rPr>
          <w:rFonts w:hint="default" w:ascii="Times New Roman Regular" w:hAnsi="Times New Roman Regular" w:cs="Times New Roman Regular"/>
          <w:color w:val="auto"/>
          <w:sz w:val="24"/>
          <w:szCs w:val="24"/>
        </w:rPr>
        <w:instrText xml:space="preserve"> HYPERLINK "https://www.who.int/zh/news-room/fact-sheets/detail/ageing-and-health" </w:instrText>
      </w:r>
      <w:r>
        <w:rPr>
          <w:rFonts w:hint="default" w:ascii="Times New Roman Regular" w:hAnsi="Times New Roman Regular" w:cs="Times New Roman Regular"/>
          <w:color w:val="auto"/>
          <w:sz w:val="24"/>
          <w:szCs w:val="24"/>
        </w:rPr>
        <w:fldChar w:fldCharType="separate"/>
      </w:r>
      <w:r>
        <w:rPr>
          <w:rStyle w:val="16"/>
          <w:rFonts w:hint="default" w:ascii="Times New Roman Regular" w:hAnsi="Times New Roman Regular" w:cs="Times New Roman Regular"/>
          <w:sz w:val="24"/>
          <w:szCs w:val="24"/>
        </w:rPr>
        <w:t>https://www.who.int/zh/news-room/fact-sheets/detail/ageing-and-health</w:t>
      </w:r>
      <w:r>
        <w:rPr>
          <w:rFonts w:hint="default" w:ascii="Times New Roman Regular" w:hAnsi="Times New Roman Regular" w:cs="Times New Roman Regular"/>
          <w:color w:val="auto"/>
          <w:sz w:val="24"/>
          <w:szCs w:val="24"/>
        </w:rPr>
        <w:fldChar w:fldCharType="end"/>
      </w:r>
    </w:p>
    <w:p w14:paraId="6DBF690E">
      <w:pPr>
        <w:keepNext w:val="0"/>
        <w:keepLines w:val="0"/>
        <w:pageBreakBefore w:val="0"/>
        <w:numPr>
          <w:ilvl w:val="0"/>
          <w:numId w:val="1"/>
        </w:numPr>
        <w:kinsoku/>
        <w:wordWrap/>
        <w:overflowPunct/>
        <w:topLinePunct w:val="0"/>
        <w:autoSpaceDE/>
        <w:autoSpaceDN/>
        <w:bidi w:val="0"/>
        <w:adjustRightInd/>
        <w:snapToGrid/>
        <w:spacing w:line="240" w:lineRule="auto"/>
        <w:ind w:left="0" w:hanging="480" w:hangingChars="200"/>
        <w:jc w:val="left"/>
        <w:textAlignment w:val="auto"/>
        <w:rPr>
          <w:rFonts w:hint="default" w:ascii="Times New Roman Regular" w:hAnsi="Times New Roman Regular" w:cs="Times New Roman Regular"/>
          <w:color w:val="auto"/>
          <w:sz w:val="24"/>
          <w:szCs w:val="24"/>
        </w:rPr>
      </w:pPr>
      <w:r>
        <w:rPr>
          <w:rFonts w:hint="default" w:ascii="Times New Roman Regular" w:hAnsi="Times New Roman Regular" w:cs="Times New Roman Regular"/>
          <w:color w:val="auto"/>
          <w:sz w:val="24"/>
          <w:szCs w:val="24"/>
          <w:lang w:val="en-US"/>
        </w:rPr>
        <w:t xml:space="preserve">Fu Jingjing, Hong Yan, Liu Siqi, et al. </w:t>
      </w:r>
      <w:r>
        <w:rPr>
          <w:rFonts w:hint="default" w:ascii="Times New Roman Regular" w:hAnsi="Times New Roman Regular" w:cs="Times New Roman Regular"/>
          <w:color w:val="auto"/>
          <w:sz w:val="24"/>
          <w:szCs w:val="24"/>
        </w:rPr>
        <w:t>Global research on the social health of community-dwelling elderly over the past decade: a visual analysis</w:t>
      </w:r>
      <w:r>
        <w:rPr>
          <w:rFonts w:hint="default"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rPr>
        <w:t>[J]. Chinese Journal of Clinical Healthcare,</w:t>
      </w:r>
      <w:r>
        <w:rPr>
          <w:rFonts w:hint="default" w:ascii="Times New Roman Regular" w:hAnsi="Times New Roman Regular" w:cs="Times New Roman Regular"/>
          <w:color w:val="auto"/>
          <w:sz w:val="24"/>
          <w:szCs w:val="24"/>
          <w:lang w:val="en-US"/>
        </w:rPr>
        <w:t xml:space="preserve"> </w:t>
      </w:r>
      <w:r>
        <w:rPr>
          <w:rFonts w:hint="default" w:ascii="Times New Roman Regular" w:hAnsi="Times New Roman Regular" w:cs="Times New Roman Regular"/>
          <w:color w:val="auto"/>
          <w:sz w:val="24"/>
          <w:szCs w:val="24"/>
        </w:rPr>
        <w:t>2022,</w:t>
      </w:r>
      <w:r>
        <w:rPr>
          <w:rFonts w:hint="default" w:ascii="Times New Roman Regular" w:hAnsi="Times New Roman Regular" w:cs="Times New Roman Regular"/>
          <w:color w:val="auto"/>
          <w:sz w:val="24"/>
          <w:szCs w:val="24"/>
          <w:lang w:val="en-US"/>
        </w:rPr>
        <w:t xml:space="preserve"> </w:t>
      </w:r>
      <w:r>
        <w:rPr>
          <w:rFonts w:hint="default" w:ascii="Times New Roman Regular" w:hAnsi="Times New Roman Regular" w:cs="Times New Roman Regular"/>
          <w:color w:val="auto"/>
          <w:sz w:val="24"/>
          <w:szCs w:val="24"/>
        </w:rPr>
        <w:t>25</w:t>
      </w:r>
      <w:r>
        <w:rPr>
          <w:rFonts w:hint="default" w:ascii="Times New Roman Regular" w:hAnsi="Times New Roman Regular" w:cs="Times New Roman Regular"/>
          <w:color w:val="auto"/>
          <w:sz w:val="24"/>
          <w:szCs w:val="24"/>
          <w:lang w:val="en-US" w:eastAsia="zh-CN"/>
        </w:rPr>
        <w:t>(</w:t>
      </w:r>
      <w:r>
        <w:rPr>
          <w:rFonts w:hint="default" w:ascii="Times New Roman Regular" w:hAnsi="Times New Roman Regular" w:cs="Times New Roman Regular"/>
          <w:color w:val="auto"/>
          <w:sz w:val="24"/>
          <w:szCs w:val="24"/>
        </w:rPr>
        <w:t>3</w:t>
      </w:r>
      <w:r>
        <w:rPr>
          <w:rFonts w:hint="default" w:ascii="Times New Roman Regular" w:hAnsi="Times New Roman Regular" w:cs="Times New Roman Regular"/>
          <w:color w:val="auto"/>
          <w:sz w:val="24"/>
          <w:szCs w:val="24"/>
          <w:lang w:val="en-US"/>
        </w:rPr>
        <w:t>)</w:t>
      </w:r>
      <w:r>
        <w:rPr>
          <w:rFonts w:hint="default"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rPr>
        <w:t>415-420.</w:t>
      </w:r>
    </w:p>
    <w:p w14:paraId="67BAD756">
      <w:pPr>
        <w:keepNext w:val="0"/>
        <w:keepLines w:val="0"/>
        <w:pageBreakBefore w:val="0"/>
        <w:numPr>
          <w:ilvl w:val="0"/>
          <w:numId w:val="1"/>
        </w:numPr>
        <w:kinsoku/>
        <w:wordWrap/>
        <w:overflowPunct/>
        <w:topLinePunct w:val="0"/>
        <w:autoSpaceDE/>
        <w:autoSpaceDN/>
        <w:bidi w:val="0"/>
        <w:adjustRightInd/>
        <w:snapToGrid/>
        <w:spacing w:line="240" w:lineRule="auto"/>
        <w:ind w:left="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Metzelthin SF, Rostgaard T, Parsons M, et al. Development of an internationally accepted definition of reablement: a Delphi study. Ageing and Society. 2020;42(3):703-718. doi:10.1017/s0144686x20000999</w:t>
      </w:r>
    </w:p>
    <w:p w14:paraId="52A7BFBF">
      <w:pPr>
        <w:keepNext w:val="0"/>
        <w:keepLines w:val="0"/>
        <w:pageBreakBefore w:val="0"/>
        <w:numPr>
          <w:ilvl w:val="0"/>
          <w:numId w:val="1"/>
        </w:numPr>
        <w:kinsoku/>
        <w:wordWrap/>
        <w:overflowPunct/>
        <w:topLinePunct w:val="0"/>
        <w:autoSpaceDE/>
        <w:autoSpaceDN/>
        <w:bidi w:val="0"/>
        <w:adjustRightInd/>
        <w:snapToGrid/>
        <w:spacing w:line="240" w:lineRule="auto"/>
        <w:ind w:left="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Resnick B, Galik E. Using function-focused care to increase physical activity among older adults. Annu Rev Nurs Res. 2013;31:175-208. doi:10.1891/0739-6686.31.175</w:t>
      </w:r>
    </w:p>
    <w:p w14:paraId="31590F08">
      <w:pPr>
        <w:keepNext w:val="0"/>
        <w:keepLines w:val="0"/>
        <w:pageBreakBefore w:val="0"/>
        <w:numPr>
          <w:ilvl w:val="0"/>
          <w:numId w:val="1"/>
        </w:numPr>
        <w:kinsoku/>
        <w:wordWrap/>
        <w:overflowPunct/>
        <w:topLinePunct w:val="0"/>
        <w:autoSpaceDE/>
        <w:autoSpaceDN/>
        <w:bidi w:val="0"/>
        <w:adjustRightInd/>
        <w:snapToGrid/>
        <w:spacing w:line="240" w:lineRule="auto"/>
        <w:ind w:left="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Cunliffe AL, Gladman JR, Husbands SL, et al.</w:t>
      </w:r>
      <w:r>
        <w:rPr>
          <w:rFonts w:hint="eastAsia" w:ascii="Times New Roman Regular" w:hAnsi="Times New Roman Regular" w:cs="Times New Roman Regular"/>
          <w:color w:val="auto"/>
          <w:sz w:val="24"/>
          <w:szCs w:val="24"/>
          <w:lang w:val="en-US" w:eastAsia="zh-CN"/>
        </w:rPr>
        <w:t xml:space="preserve"> </w:t>
      </w:r>
      <w:r>
        <w:rPr>
          <w:rFonts w:hint="default" w:ascii="Times New Roman Regular" w:hAnsi="Times New Roman Regular" w:cs="Times New Roman Regular"/>
          <w:color w:val="auto"/>
          <w:sz w:val="24"/>
          <w:szCs w:val="24"/>
          <w:lang w:val="en-US" w:eastAsia="zh-CN"/>
        </w:rPr>
        <w:t>Sooner and healthier: a randomised controlled trial and interview study of an early discharge rehabilitation service for older people. Age Ageing. 2004;33(3):246-252. doi:10.1093/ageing/afh076</w:t>
      </w:r>
    </w:p>
    <w:p w14:paraId="7FEC29A0">
      <w:pPr>
        <w:keepNext w:val="0"/>
        <w:keepLines w:val="0"/>
        <w:pageBreakBefore w:val="0"/>
        <w:numPr>
          <w:ilvl w:val="0"/>
          <w:numId w:val="1"/>
        </w:numPr>
        <w:kinsoku/>
        <w:wordWrap/>
        <w:overflowPunct/>
        <w:topLinePunct w:val="0"/>
        <w:autoSpaceDE/>
        <w:autoSpaceDN/>
        <w:bidi w:val="0"/>
        <w:adjustRightInd/>
        <w:snapToGrid/>
        <w:spacing w:line="240" w:lineRule="auto"/>
        <w:ind w:left="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Hattori S, Yoshida T, Okumura Y, et al. Effects of Reablement on the Independence of Community-Dwelling Older Adults with Mild Disability: A Randomized Controlled Trial. Int J Environ Res Public Health. 2019;16(20):3954. Published 2019 Oct 17. doi:10.3390/ijerph16203954</w:t>
      </w:r>
    </w:p>
    <w:p w14:paraId="7D4B7015">
      <w:pPr>
        <w:keepNext w:val="0"/>
        <w:keepLines w:val="0"/>
        <w:pageBreakBefore w:val="0"/>
        <w:numPr>
          <w:ilvl w:val="0"/>
          <w:numId w:val="1"/>
        </w:numPr>
        <w:kinsoku/>
        <w:wordWrap/>
        <w:overflowPunct/>
        <w:topLinePunct w:val="0"/>
        <w:autoSpaceDE/>
        <w:autoSpaceDN/>
        <w:bidi w:val="0"/>
        <w:adjustRightInd/>
        <w:snapToGrid/>
        <w:spacing w:line="240" w:lineRule="auto"/>
        <w:ind w:left="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Jung D, Lee H, Lee M. Function-focused care programme for older people in Korean long-term care facilities. Int J Older People Nurs. 2020;15(1):e12277. doi:10.1111/opn.12277</w:t>
      </w:r>
    </w:p>
    <w:p w14:paraId="6F293A3A">
      <w:pPr>
        <w:keepNext w:val="0"/>
        <w:keepLines w:val="0"/>
        <w:pageBreakBefore w:val="0"/>
        <w:numPr>
          <w:ilvl w:val="0"/>
          <w:numId w:val="1"/>
        </w:numPr>
        <w:kinsoku/>
        <w:wordWrap/>
        <w:overflowPunct/>
        <w:topLinePunct w:val="0"/>
        <w:autoSpaceDE/>
        <w:autoSpaceDN/>
        <w:bidi w:val="0"/>
        <w:adjustRightInd/>
        <w:snapToGrid/>
        <w:spacing w:line="240" w:lineRule="auto"/>
        <w:ind w:left="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Smeets RGM, Kempen GIJM, Zijlstra GAR, et al. Experiences of home-care workers with the 'Stay Active at Home' programme targeting reablement of community-living older adults: An exploratory study. Health Soc Care Community. 2020;28(1):291-299. doi:10.1111/hsc.12863</w:t>
      </w:r>
    </w:p>
    <w:p w14:paraId="053FFB85">
      <w:pPr>
        <w:keepNext w:val="0"/>
        <w:keepLines w:val="0"/>
        <w:pageBreakBefore w:val="0"/>
        <w:numPr>
          <w:ilvl w:val="0"/>
          <w:numId w:val="1"/>
        </w:numPr>
        <w:kinsoku/>
        <w:wordWrap/>
        <w:overflowPunct/>
        <w:topLinePunct w:val="0"/>
        <w:autoSpaceDE/>
        <w:autoSpaceDN/>
        <w:bidi w:val="0"/>
        <w:adjustRightInd/>
        <w:snapToGrid/>
        <w:spacing w:line="240" w:lineRule="auto"/>
        <w:ind w:left="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Lewin G, Vandermeulen S. A non-randomised controlled trial of the Home Independence Program (HIP): an Australian restorative programme for older home-care clients. Health Soc Care Community. 2010;18(1):91-99. doi:10.1111/j.1365-2524.2009.00878.x</w:t>
      </w:r>
    </w:p>
    <w:p w14:paraId="43A40BEA">
      <w:pPr>
        <w:keepNext w:val="0"/>
        <w:keepLines w:val="0"/>
        <w:pageBreakBefore w:val="0"/>
        <w:numPr>
          <w:ilvl w:val="0"/>
          <w:numId w:val="1"/>
        </w:numPr>
        <w:kinsoku/>
        <w:wordWrap/>
        <w:overflowPunct/>
        <w:topLinePunct w:val="0"/>
        <w:autoSpaceDE/>
        <w:autoSpaceDN/>
        <w:bidi w:val="0"/>
        <w:adjustRightInd/>
        <w:snapToGrid/>
        <w:spacing w:line="240" w:lineRule="auto"/>
        <w:ind w:left="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Assander S, Bergström A, Eriksson C, et al. ASSIST: a reablement program for older adults in Sweden - a feasibility study. BMC Geriatr. 2022;22(1):618. Published 2022 Jul 26. doi:10.1186/s12877-022-03185-2</w:t>
      </w:r>
    </w:p>
    <w:p w14:paraId="02F41C01">
      <w:pPr>
        <w:keepNext w:val="0"/>
        <w:keepLines w:val="0"/>
        <w:pageBreakBefore w:val="0"/>
        <w:numPr>
          <w:ilvl w:val="0"/>
          <w:numId w:val="1"/>
        </w:numPr>
        <w:kinsoku/>
        <w:wordWrap/>
        <w:overflowPunct/>
        <w:topLinePunct w:val="0"/>
        <w:autoSpaceDE/>
        <w:autoSpaceDN/>
        <w:bidi w:val="0"/>
        <w:adjustRightInd/>
        <w:snapToGrid/>
        <w:spacing w:line="240" w:lineRule="auto"/>
        <w:ind w:left="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Resnick B, Galik E, Gruber-Baldini AL, et al. Implementing a restorative care philosophy of care in assisted living: pilot testing of Res-Care-AL. J Am Acad Nurse Pract. 2009;21(2):123-133. doi:10.1111/j.1745-7599.2008.00394.x</w:t>
      </w:r>
    </w:p>
    <w:p w14:paraId="23086518">
      <w:pPr>
        <w:keepNext w:val="0"/>
        <w:keepLines w:val="0"/>
        <w:pageBreakBefore w:val="0"/>
        <w:numPr>
          <w:ilvl w:val="0"/>
          <w:numId w:val="1"/>
        </w:numPr>
        <w:kinsoku/>
        <w:wordWrap/>
        <w:overflowPunct/>
        <w:topLinePunct w:val="0"/>
        <w:autoSpaceDE/>
        <w:autoSpaceDN/>
        <w:bidi w:val="0"/>
        <w:adjustRightInd/>
        <w:snapToGrid/>
        <w:spacing w:line="240" w:lineRule="auto"/>
        <w:ind w:left="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Galik EM, Resnick B, Gruber-Baldini A, et al. Pilot testing of the restorative care intervention for the cognitively impaired. J Am Med Dir Assoc. 2008;9(7):516-522. doi:10.1016/j.jamda.2008.04.013</w:t>
      </w:r>
    </w:p>
    <w:p w14:paraId="3A223CDB">
      <w:pPr>
        <w:keepNext w:val="0"/>
        <w:keepLines w:val="0"/>
        <w:pageBreakBefore w:val="0"/>
        <w:numPr>
          <w:ilvl w:val="0"/>
          <w:numId w:val="1"/>
        </w:numPr>
        <w:kinsoku/>
        <w:wordWrap/>
        <w:overflowPunct/>
        <w:topLinePunct w:val="0"/>
        <w:autoSpaceDE/>
        <w:autoSpaceDN/>
        <w:bidi w:val="0"/>
        <w:adjustRightInd/>
        <w:snapToGrid/>
        <w:spacing w:line="240" w:lineRule="auto"/>
        <w:ind w:left="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K. Suggs, Catherine B. Messick, Mau P. RESTORATIVE (GERIATRIC SUBACUTE) CARE: THE EDUCATIONAL COMPONENT. Educational Gerontology. 1999;25(3):211-219. doi:10.1080/036012799267837</w:t>
      </w:r>
    </w:p>
    <w:p w14:paraId="5A1F646B">
      <w:pPr>
        <w:keepNext w:val="0"/>
        <w:keepLines w:val="0"/>
        <w:pageBreakBefore w:val="0"/>
        <w:numPr>
          <w:ilvl w:val="0"/>
          <w:numId w:val="1"/>
        </w:numPr>
        <w:kinsoku/>
        <w:wordWrap/>
        <w:overflowPunct/>
        <w:topLinePunct w:val="0"/>
        <w:autoSpaceDE/>
        <w:autoSpaceDN/>
        <w:bidi w:val="0"/>
        <w:adjustRightInd/>
        <w:snapToGrid/>
        <w:spacing w:line="240" w:lineRule="auto"/>
        <w:ind w:left="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Resnick B, Boltz M, Galik E, et al. Implementation of Function Focused Care for Acute Care Using the Evidence Integration Triangle. J Am Geriatr Soc. 2025;73(5):1388-1397. doi:10.1111/jgs.19334</w:t>
      </w:r>
    </w:p>
    <w:p w14:paraId="3645582E">
      <w:pPr>
        <w:keepNext w:val="0"/>
        <w:keepLines w:val="0"/>
        <w:pageBreakBefore w:val="0"/>
        <w:numPr>
          <w:ilvl w:val="0"/>
          <w:numId w:val="1"/>
        </w:numPr>
        <w:kinsoku/>
        <w:wordWrap/>
        <w:overflowPunct/>
        <w:topLinePunct w:val="0"/>
        <w:autoSpaceDE/>
        <w:autoSpaceDN/>
        <w:bidi w:val="0"/>
        <w:adjustRightInd/>
        <w:snapToGrid/>
        <w:spacing w:line="240" w:lineRule="auto"/>
        <w:ind w:left="480" w:leftChars="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Guadaña J, Oyeneyin B, Moe CF, et al. Publication Trends in Reablement - A Scoping Review. J Multidiscip Healthc. 2023;16:1641-1660. Published 2023 Jun 13. doi:10.2147/JMDH.S407802</w:t>
      </w:r>
    </w:p>
    <w:p w14:paraId="6A96D891">
      <w:pPr>
        <w:keepNext w:val="0"/>
        <w:keepLines w:val="0"/>
        <w:pageBreakBefore w:val="0"/>
        <w:numPr>
          <w:ilvl w:val="0"/>
          <w:numId w:val="1"/>
        </w:numPr>
        <w:kinsoku/>
        <w:wordWrap/>
        <w:overflowPunct/>
        <w:topLinePunct w:val="0"/>
        <w:autoSpaceDE/>
        <w:autoSpaceDN/>
        <w:bidi w:val="0"/>
        <w:adjustRightInd/>
        <w:snapToGrid/>
        <w:spacing w:line="240" w:lineRule="auto"/>
        <w:ind w:left="480" w:leftChars="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Rostgaard T, Parsons J, Tuntland H, eds. Reablement in Long-Term Care for Older People: International Perspectives and Future Directions. Policy Press; 2023.</w:t>
      </w:r>
    </w:p>
    <w:p w14:paraId="6E913F17">
      <w:pPr>
        <w:keepNext w:val="0"/>
        <w:keepLines w:val="0"/>
        <w:pageBreakBefore w:val="0"/>
        <w:numPr>
          <w:ilvl w:val="0"/>
          <w:numId w:val="1"/>
        </w:numPr>
        <w:kinsoku/>
        <w:wordWrap/>
        <w:overflowPunct/>
        <w:topLinePunct w:val="0"/>
        <w:autoSpaceDE/>
        <w:autoSpaceDN/>
        <w:bidi w:val="0"/>
        <w:adjustRightInd/>
        <w:snapToGrid/>
        <w:spacing w:line="240" w:lineRule="auto"/>
        <w:ind w:left="480" w:leftChars="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Buma LE, Vluggen S, Mouchaers I, et al. Feasibility of a Reablement Programme in Community Care in the Netherlands; A Qualitative Study. Int J Integr Care. 2025;25(3):27. Published 2025 Sep 10. doi:10.5334/ijic.9005</w:t>
      </w:r>
    </w:p>
    <w:p w14:paraId="050EE012">
      <w:pPr>
        <w:keepNext w:val="0"/>
        <w:keepLines w:val="0"/>
        <w:pageBreakBefore w:val="0"/>
        <w:numPr>
          <w:ilvl w:val="0"/>
          <w:numId w:val="1"/>
        </w:numPr>
        <w:kinsoku/>
        <w:wordWrap/>
        <w:overflowPunct/>
        <w:topLinePunct w:val="0"/>
        <w:autoSpaceDE/>
        <w:autoSpaceDN/>
        <w:bidi w:val="0"/>
        <w:adjustRightInd/>
        <w:snapToGrid/>
        <w:spacing w:line="240" w:lineRule="auto"/>
        <w:ind w:left="480" w:leftChars="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Bennett C, Allen F, Hodge S, et al. An investigation of Reablement or restorative homecare interventions  and outcome effects: A systematic review of randomised control trials. Health Soc Care Community. 2022;30(6):e6586-e6600. doi:10.1111/hsc.14108</w:t>
      </w:r>
    </w:p>
    <w:p w14:paraId="03881DC5">
      <w:pPr>
        <w:keepNext w:val="0"/>
        <w:keepLines w:val="0"/>
        <w:pageBreakBefore w:val="0"/>
        <w:numPr>
          <w:ilvl w:val="0"/>
          <w:numId w:val="1"/>
        </w:numPr>
        <w:kinsoku/>
        <w:wordWrap/>
        <w:overflowPunct/>
        <w:topLinePunct w:val="0"/>
        <w:autoSpaceDE/>
        <w:autoSpaceDN/>
        <w:bidi w:val="0"/>
        <w:adjustRightInd/>
        <w:snapToGrid/>
        <w:spacing w:line="240" w:lineRule="auto"/>
        <w:ind w:left="480" w:leftChars="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Mugica-Errazquin I, Irazusta J, Kortajarena M, et al. Maintaining daily living activities in older adults: The impact of a functional exercise program in long-term nursing homes. A single-group pre-post intervention. Geriatr Nurs. 2024;60:215-224. doi:10.1016/j.gerinurse.2024.09.003</w:t>
      </w:r>
    </w:p>
    <w:p w14:paraId="51BA281C">
      <w:pPr>
        <w:keepNext w:val="0"/>
        <w:keepLines w:val="0"/>
        <w:pageBreakBefore w:val="0"/>
        <w:numPr>
          <w:ilvl w:val="0"/>
          <w:numId w:val="1"/>
        </w:numPr>
        <w:kinsoku/>
        <w:wordWrap/>
        <w:overflowPunct/>
        <w:topLinePunct w:val="0"/>
        <w:autoSpaceDE/>
        <w:autoSpaceDN/>
        <w:bidi w:val="0"/>
        <w:adjustRightInd/>
        <w:snapToGrid/>
        <w:spacing w:line="240" w:lineRule="auto"/>
        <w:ind w:left="480" w:leftChars="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Jeon YH, Clemson L, Naismith SL, et al. Improving the social health of community-dwelling older people living with dementia through a reablement program. Int Psychogeriatr. 2018;30(6):915-920. doi:10.1017/S1041610217001533</w:t>
      </w:r>
    </w:p>
    <w:p w14:paraId="51ABF73B">
      <w:pPr>
        <w:keepNext w:val="0"/>
        <w:keepLines w:val="0"/>
        <w:pageBreakBefore w:val="0"/>
        <w:numPr>
          <w:ilvl w:val="0"/>
          <w:numId w:val="1"/>
        </w:numPr>
        <w:kinsoku/>
        <w:wordWrap/>
        <w:overflowPunct/>
        <w:topLinePunct w:val="0"/>
        <w:autoSpaceDE/>
        <w:autoSpaceDN/>
        <w:bidi w:val="0"/>
        <w:adjustRightInd/>
        <w:snapToGrid/>
        <w:spacing w:line="240" w:lineRule="auto"/>
        <w:ind w:left="480" w:leftChars="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Jeon YH, Simpson JM, Low LF, et al. A pragmatic randomised controlled trial (RCT) and realist evaluation of the interdisciplinary home-bAsed Reablement program (I-HARP) for improving functional independence of community dwelling older people with dementia: an effectiveness-implementation hybrid design. BMC Geriatr. 2019;19(1):199. Published 2019 Jul 29. doi:10.1186/s12877-019-1216-x</w:t>
      </w:r>
    </w:p>
    <w:p w14:paraId="7F9269D7">
      <w:pPr>
        <w:keepNext w:val="0"/>
        <w:keepLines w:val="0"/>
        <w:pageBreakBefore w:val="0"/>
        <w:numPr>
          <w:ilvl w:val="0"/>
          <w:numId w:val="1"/>
        </w:numPr>
        <w:kinsoku/>
        <w:wordWrap/>
        <w:overflowPunct/>
        <w:topLinePunct w:val="0"/>
        <w:autoSpaceDE/>
        <w:autoSpaceDN/>
        <w:bidi w:val="0"/>
        <w:adjustRightInd/>
        <w:snapToGrid/>
        <w:spacing w:line="240" w:lineRule="auto"/>
        <w:ind w:left="480" w:leftChars="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Bahar-Fuchs A, Clare L, Woods B. Cognitive training and cognitive rehabilitation for mild to moderate Alzheimer's disease and vascular dementia. Cochrane Database Syst Rev. 2013;2013(6):CD003260. Published 2013 Jun 5. doi:10.1002/14651858.CD003260.pub2</w:t>
      </w:r>
    </w:p>
    <w:p w14:paraId="3FA3B539">
      <w:pPr>
        <w:keepNext w:val="0"/>
        <w:keepLines w:val="0"/>
        <w:pageBreakBefore w:val="0"/>
        <w:numPr>
          <w:ilvl w:val="0"/>
          <w:numId w:val="1"/>
        </w:numPr>
        <w:kinsoku/>
        <w:wordWrap/>
        <w:overflowPunct/>
        <w:topLinePunct w:val="0"/>
        <w:autoSpaceDE/>
        <w:autoSpaceDN/>
        <w:bidi w:val="0"/>
        <w:adjustRightInd/>
        <w:snapToGrid/>
        <w:spacing w:line="240" w:lineRule="auto"/>
        <w:ind w:left="480" w:leftChars="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O'Connor CMC, Gresham M, Poulos RG, et al. Translating reablement research for dementia practice: development of a handbook using implementation science. Disabil Rehabil. 2022;44(8):1524-1536. doi:10.1080/09638288.2020.1797910</w:t>
      </w:r>
    </w:p>
    <w:p w14:paraId="4DE8C26D">
      <w:pPr>
        <w:keepNext w:val="0"/>
        <w:keepLines w:val="0"/>
        <w:pageBreakBefore w:val="0"/>
        <w:numPr>
          <w:ilvl w:val="0"/>
          <w:numId w:val="1"/>
        </w:numPr>
        <w:kinsoku/>
        <w:wordWrap/>
        <w:overflowPunct/>
        <w:topLinePunct w:val="0"/>
        <w:autoSpaceDE/>
        <w:autoSpaceDN/>
        <w:bidi w:val="0"/>
        <w:adjustRightInd/>
        <w:snapToGrid/>
        <w:spacing w:line="240" w:lineRule="auto"/>
        <w:ind w:left="480" w:leftChars="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Chiu EC, Chi FC, Chen PT. Investigation of the home-reablement program on rehabilitation outcomes for people with stroke: A pilot study. Medicine (Baltimore). 2021;100(26):e26515. doi:10.1097/MD.0000000000026515</w:t>
      </w:r>
    </w:p>
    <w:p w14:paraId="478E44D8">
      <w:pPr>
        <w:keepNext w:val="0"/>
        <w:keepLines w:val="0"/>
        <w:pageBreakBefore w:val="0"/>
        <w:numPr>
          <w:ilvl w:val="0"/>
          <w:numId w:val="1"/>
        </w:numPr>
        <w:kinsoku/>
        <w:wordWrap/>
        <w:overflowPunct/>
        <w:topLinePunct w:val="0"/>
        <w:autoSpaceDE/>
        <w:autoSpaceDN/>
        <w:bidi w:val="0"/>
        <w:adjustRightInd/>
        <w:snapToGrid/>
        <w:spacing w:line="240" w:lineRule="auto"/>
        <w:ind w:left="480" w:leftChars="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Buma LE, Vluggen S, Zwakhalen S, et al. Effects on clients' daily functioning and common features of reablement interventions: a systematic literature review. Eur J Ageing. 2022;19(4):903-929. Published 2022 May 3. doi:10.1007/s10433-022-00693-3</w:t>
      </w:r>
    </w:p>
    <w:p w14:paraId="6D396BE9">
      <w:pPr>
        <w:keepNext w:val="0"/>
        <w:keepLines w:val="0"/>
        <w:pageBreakBefore w:val="0"/>
        <w:numPr>
          <w:ilvl w:val="0"/>
          <w:numId w:val="1"/>
        </w:numPr>
        <w:kinsoku/>
        <w:wordWrap/>
        <w:overflowPunct/>
        <w:topLinePunct w:val="0"/>
        <w:autoSpaceDE/>
        <w:autoSpaceDN/>
        <w:bidi w:val="0"/>
        <w:adjustRightInd/>
        <w:snapToGrid/>
        <w:spacing w:line="240" w:lineRule="auto"/>
        <w:ind w:left="480" w:leftChars="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Mouchaers I, Verbeek H, Kempen GIJM, et al. Development and content of a community-based reablement programme (I-MANAGE): a co-creation study. BMJ Open. 2023;13(8):e070890. Published 2023 Aug 30. doi:10.1136/bmjopen-2022-070890</w:t>
      </w:r>
    </w:p>
    <w:p w14:paraId="0B5F144A">
      <w:pPr>
        <w:keepNext w:val="0"/>
        <w:keepLines w:val="0"/>
        <w:pageBreakBefore w:val="0"/>
        <w:numPr>
          <w:ilvl w:val="0"/>
          <w:numId w:val="1"/>
        </w:numPr>
        <w:kinsoku/>
        <w:wordWrap/>
        <w:overflowPunct/>
        <w:topLinePunct w:val="0"/>
        <w:autoSpaceDE/>
        <w:autoSpaceDN/>
        <w:bidi w:val="0"/>
        <w:adjustRightInd/>
        <w:snapToGrid/>
        <w:spacing w:line="240" w:lineRule="auto"/>
        <w:ind w:left="480" w:leftChars="0" w:hanging="480" w:hangingChars="200"/>
        <w:jc w:val="left"/>
        <w:textAlignment w:val="auto"/>
        <w:rPr>
          <w:rFonts w:hint="default" w:ascii="Times New Roman Regular" w:hAnsi="Times New Roman Regular" w:cs="Times New Roman Regular"/>
          <w:color w:val="auto"/>
          <w:sz w:val="24"/>
          <w:szCs w:val="24"/>
          <w:lang w:val="en-US" w:eastAsia="zh-CN"/>
        </w:rPr>
      </w:pPr>
      <w:r>
        <w:rPr>
          <w:rFonts w:hint="default" w:ascii="Times New Roman Regular" w:hAnsi="Times New Roman Regular" w:cs="Times New Roman Regular"/>
          <w:color w:val="auto"/>
          <w:sz w:val="24"/>
          <w:szCs w:val="24"/>
          <w:lang w:val="en-US" w:eastAsia="zh-CN"/>
        </w:rPr>
        <w:t>Mjøsund HL, Moe CF, Burton E, et al. Integration of Physical Activity in Reablement for Community Dwelling Older Adults: A Systematic Scoping Review. J Multidiscip Healthc. 2020;13:1291-1315. Published 2020 Oct 29. doi:10.2147/JMDH.S270247</w:t>
      </w:r>
    </w:p>
    <w:p w14:paraId="40A1D382">
      <w:pPr>
        <w:keepNext w:val="0"/>
        <w:keepLines w:val="0"/>
        <w:pageBreakBefore w:val="0"/>
        <w:widowControl/>
        <w:numPr>
          <w:ilvl w:val="0"/>
          <w:numId w:val="1"/>
        </w:numPr>
        <w:kinsoku/>
        <w:wordWrap/>
        <w:overflowPunct/>
        <w:topLinePunct w:val="0"/>
        <w:autoSpaceDE/>
        <w:autoSpaceDN/>
        <w:bidi w:val="0"/>
        <w:adjustRightInd/>
        <w:snapToGrid/>
        <w:spacing w:line="240" w:lineRule="auto"/>
        <w:ind w:left="480" w:leftChars="0" w:hanging="480" w:hangingChars="200"/>
        <w:jc w:val="left"/>
        <w:textAlignment w:val="auto"/>
        <w:outlineLvl w:val="9"/>
        <w:rPr>
          <w:rFonts w:hint="default" w:ascii="Times New Roman Regular" w:hAnsi="Times New Roman Regular" w:cs="Times New Roman Regular"/>
          <w:b w:val="0"/>
          <w:bCs w:val="0"/>
          <w:color w:val="auto"/>
          <w:sz w:val="24"/>
          <w:szCs w:val="24"/>
          <w:lang w:val="en-US" w:eastAsia="zh-CN"/>
        </w:rPr>
      </w:pPr>
      <w:r>
        <w:rPr>
          <w:rFonts w:hint="default" w:ascii="Times New Roman Regular" w:hAnsi="Times New Roman Regular" w:cs="Times New Roman Regular"/>
          <w:color w:val="auto"/>
          <w:sz w:val="24"/>
          <w:szCs w:val="24"/>
          <w:lang w:val="en-US" w:eastAsia="zh-CN"/>
        </w:rPr>
        <w:t>Cochrane A, Furlong M, McGilloway S, et al. Time-limited home-care reablement services for maintaining and improving the functional independence of older adults. Cochrane Database Syst Rev. 2016;10(10):CD010825. Published 2016 Oct 11. doi:10.1002/14651858.CD010825.pub2</w:t>
      </w:r>
    </w:p>
    <w:p w14:paraId="1238C37C">
      <w:pPr>
        <w:keepNext w:val="0"/>
        <w:keepLines w:val="0"/>
        <w:pageBreakBefore w:val="0"/>
        <w:widowControl/>
        <w:numPr>
          <w:ilvl w:val="-1"/>
          <w:numId w:val="0"/>
        </w:numPr>
        <w:kinsoku/>
        <w:wordWrap/>
        <w:overflowPunct/>
        <w:topLinePunct w:val="0"/>
        <w:autoSpaceDE/>
        <w:autoSpaceDN/>
        <w:bidi w:val="0"/>
        <w:adjustRightInd/>
        <w:snapToGrid/>
        <w:spacing w:line="240" w:lineRule="auto"/>
        <w:ind w:left="0" w:leftChars="0" w:firstLine="0" w:firstLineChars="0"/>
        <w:jc w:val="left"/>
        <w:textAlignment w:val="auto"/>
        <w:outlineLvl w:val="9"/>
        <w:rPr>
          <w:rFonts w:hint="default" w:ascii="Times New Roman Bold" w:hAnsi="Times New Roman Bold" w:cs="Times New Roman Bold"/>
          <w:b/>
          <w:bCs w:val="0"/>
          <w:color w:val="auto"/>
          <w:sz w:val="24"/>
          <w:szCs w:val="24"/>
          <w:lang w:val="en-US" w:eastAsia="zh-CN"/>
        </w:rPr>
      </w:pPr>
      <w:r>
        <w:rPr>
          <w:rStyle w:val="14"/>
          <w:rFonts w:ascii="Times New Roman Bold" w:hAnsi="Times New Roman Bold" w:eastAsia="Helvetica Neue" w:cs="Times New Roman Bold"/>
          <w:b/>
          <w:bCs/>
          <w:i w:val="0"/>
          <w:iCs w:val="0"/>
          <w:caps w:val="0"/>
          <w:color w:val="333333"/>
          <w:spacing w:val="0"/>
          <w:kern w:val="0"/>
          <w:sz w:val="24"/>
          <w:szCs w:val="24"/>
          <w:shd w:val="clear" w:fill="FFFFFF"/>
          <w:lang w:val="en-US" w:eastAsia="zh-CN" w:bidi="ar"/>
        </w:rPr>
        <w:t>Conflict of Interest</w:t>
      </w:r>
    </w:p>
    <w:p w14:paraId="520F582A">
      <w:pPr>
        <w:keepNext w:val="0"/>
        <w:keepLines w:val="0"/>
        <w:pageBreakBefore w:val="0"/>
        <w:widowControl/>
        <w:numPr>
          <w:ilvl w:val="-1"/>
          <w:numId w:val="0"/>
        </w:numPr>
        <w:kinsoku/>
        <w:wordWrap/>
        <w:overflowPunct/>
        <w:topLinePunct w:val="0"/>
        <w:autoSpaceDE/>
        <w:autoSpaceDN/>
        <w:bidi w:val="0"/>
        <w:adjustRightInd/>
        <w:snapToGrid/>
        <w:spacing w:line="240" w:lineRule="auto"/>
        <w:ind w:left="-420" w:leftChars="-200" w:firstLine="480" w:firstLineChars="200"/>
        <w:jc w:val="left"/>
        <w:textAlignment w:val="auto"/>
        <w:outlineLvl w:val="9"/>
        <w:rPr>
          <w:rFonts w:hint="default" w:ascii="Times New Roman Regular" w:hAnsi="Times New Roman Regular" w:cs="Times New Roman Regular"/>
          <w:b w:val="0"/>
          <w:bCs w:val="0"/>
          <w:color w:val="auto"/>
          <w:sz w:val="24"/>
          <w:szCs w:val="24"/>
          <w:lang w:val="en-US" w:eastAsia="zh-CN"/>
        </w:rPr>
      </w:pPr>
      <w:r>
        <w:rPr>
          <w:rFonts w:hint="default" w:ascii="Times New Roman Regular" w:hAnsi="Times New Roman Regular" w:cs="Times New Roman Regular"/>
          <w:b w:val="0"/>
          <w:bCs w:val="0"/>
          <w:color w:val="auto"/>
          <w:sz w:val="24"/>
          <w:szCs w:val="24"/>
          <w:lang w:val="en-US" w:eastAsia="zh-CN"/>
        </w:rPr>
        <w:t>No conflict of interest was reported by all authors.</w:t>
      </w:r>
    </w:p>
    <w:p w14:paraId="64B1A1E6">
      <w:pPr>
        <w:keepNext w:val="0"/>
        <w:keepLines w:val="0"/>
        <w:pageBreakBefore w:val="0"/>
        <w:widowControl/>
        <w:numPr>
          <w:ilvl w:val="-1"/>
          <w:numId w:val="0"/>
        </w:numPr>
        <w:kinsoku/>
        <w:wordWrap/>
        <w:overflowPunct/>
        <w:topLinePunct w:val="0"/>
        <w:autoSpaceDE/>
        <w:autoSpaceDN/>
        <w:bidi w:val="0"/>
        <w:adjustRightInd/>
        <w:snapToGrid/>
        <w:spacing w:line="240" w:lineRule="auto"/>
        <w:ind w:left="-420" w:leftChars="-200" w:firstLine="480" w:firstLineChars="200"/>
        <w:jc w:val="left"/>
        <w:textAlignment w:val="auto"/>
        <w:outlineLvl w:val="9"/>
        <w:rPr>
          <w:rFonts w:hint="default" w:ascii="Times New Roman Bold" w:hAnsi="Times New Roman Bold" w:cs="Times New Roman Bold"/>
          <w:b/>
          <w:bCs/>
          <w:color w:val="auto"/>
          <w:sz w:val="24"/>
          <w:szCs w:val="24"/>
          <w:lang w:val="en-US" w:eastAsia="zh-CN"/>
        </w:rPr>
      </w:pPr>
      <w:r>
        <w:rPr>
          <w:rFonts w:hint="default" w:ascii="Times New Roman Bold" w:hAnsi="Times New Roman Bold" w:cs="Times New Roman Bold"/>
          <w:b/>
          <w:bCs/>
          <w:color w:val="auto"/>
          <w:sz w:val="24"/>
          <w:szCs w:val="24"/>
          <w:lang w:val="en-US" w:eastAsia="zh-CN"/>
        </w:rPr>
        <w:t>Funding</w:t>
      </w:r>
    </w:p>
    <w:p w14:paraId="602B1C49">
      <w:pPr>
        <w:keepNext w:val="0"/>
        <w:keepLines w:val="0"/>
        <w:pageBreakBefore w:val="0"/>
        <w:widowControl/>
        <w:numPr>
          <w:ilvl w:val="-1"/>
          <w:numId w:val="0"/>
        </w:numPr>
        <w:kinsoku/>
        <w:wordWrap/>
        <w:overflowPunct/>
        <w:topLinePunct w:val="0"/>
        <w:autoSpaceDE/>
        <w:autoSpaceDN/>
        <w:bidi w:val="0"/>
        <w:adjustRightInd/>
        <w:snapToGrid/>
        <w:spacing w:line="240" w:lineRule="auto"/>
        <w:ind w:left="-420" w:leftChars="-200" w:firstLine="480" w:firstLineChars="200"/>
        <w:jc w:val="left"/>
        <w:textAlignment w:val="auto"/>
        <w:outlineLvl w:val="9"/>
        <w:rPr>
          <w:rFonts w:hint="default" w:ascii="Times New Roman Regular" w:hAnsi="Times New Roman Regular" w:cs="Times New Roman Regular"/>
          <w:b w:val="0"/>
          <w:bCs w:val="0"/>
          <w:color w:val="auto"/>
          <w:sz w:val="24"/>
          <w:szCs w:val="24"/>
          <w:lang w:val="en-US" w:eastAsia="zh-CN"/>
        </w:rPr>
      </w:pPr>
      <w:r>
        <w:rPr>
          <w:rFonts w:hint="default" w:ascii="Times New Roman Regular" w:hAnsi="Times New Roman Regular" w:cs="Times New Roman Regular"/>
          <w:b w:val="0"/>
          <w:bCs w:val="0"/>
          <w:color w:val="auto"/>
          <w:sz w:val="24"/>
          <w:szCs w:val="24"/>
          <w:lang w:val="en-US" w:eastAsia="zh-CN"/>
        </w:rPr>
        <w:t>None.</w:t>
      </w:r>
    </w:p>
    <w:p w14:paraId="323ACF70">
      <w:pPr>
        <w:keepNext w:val="0"/>
        <w:keepLines w:val="0"/>
        <w:pageBreakBefore w:val="0"/>
        <w:widowControl/>
        <w:numPr>
          <w:ilvl w:val="-1"/>
          <w:numId w:val="0"/>
        </w:numPr>
        <w:kinsoku/>
        <w:wordWrap/>
        <w:overflowPunct/>
        <w:topLinePunct w:val="0"/>
        <w:autoSpaceDE/>
        <w:autoSpaceDN/>
        <w:bidi w:val="0"/>
        <w:adjustRightInd/>
        <w:snapToGrid/>
        <w:spacing w:line="240" w:lineRule="auto"/>
        <w:ind w:left="-420" w:leftChars="-200" w:firstLine="480" w:firstLineChars="200"/>
        <w:jc w:val="left"/>
        <w:textAlignment w:val="auto"/>
        <w:outlineLvl w:val="9"/>
        <w:rPr>
          <w:rFonts w:hint="default" w:ascii="Times New Roman Regular" w:hAnsi="Times New Roman Regular" w:cs="Times New Roman Regular"/>
          <w:b w:val="0"/>
          <w:bCs w:val="0"/>
          <w:color w:val="auto"/>
          <w:sz w:val="24"/>
          <w:szCs w:val="24"/>
          <w:lang w:val="en-US" w:eastAsia="zh-CN"/>
        </w:rPr>
      </w:pPr>
      <w:r>
        <w:rPr>
          <w:rFonts w:hint="default" w:ascii="Times New Roman Bold" w:hAnsi="Times New Roman Bold" w:cs="Times New Roman Bold"/>
          <w:b/>
          <w:bCs/>
          <w:color w:val="auto"/>
          <w:sz w:val="24"/>
          <w:szCs w:val="24"/>
          <w:lang w:val="en-US" w:eastAsia="zh-CN"/>
        </w:rPr>
        <w:t xml:space="preserve">Author information </w:t>
      </w:r>
    </w:p>
    <w:p w14:paraId="027B52E0">
      <w:pPr>
        <w:keepNext w:val="0"/>
        <w:keepLines w:val="0"/>
        <w:pageBreakBefore w:val="0"/>
        <w:widowControl/>
        <w:numPr>
          <w:ilvl w:val="-1"/>
          <w:numId w:val="0"/>
        </w:numPr>
        <w:kinsoku/>
        <w:wordWrap/>
        <w:overflowPunct/>
        <w:topLinePunct w:val="0"/>
        <w:autoSpaceDE/>
        <w:autoSpaceDN/>
        <w:bidi w:val="0"/>
        <w:adjustRightInd/>
        <w:snapToGrid/>
        <w:spacing w:line="240" w:lineRule="auto"/>
        <w:ind w:left="0" w:leftChars="0" w:firstLine="0" w:firstLineChars="0"/>
        <w:jc w:val="left"/>
        <w:textAlignment w:val="auto"/>
        <w:outlineLvl w:val="9"/>
        <w:rPr>
          <w:rFonts w:hint="default" w:ascii="Times New Roman Regular" w:hAnsi="Times New Roman Regular" w:cs="Times New Roman Regular"/>
          <w:b w:val="0"/>
          <w:bCs w:val="0"/>
          <w:color w:val="auto"/>
          <w:sz w:val="24"/>
          <w:szCs w:val="24"/>
          <w:lang w:val="en-US" w:eastAsia="zh-CN"/>
        </w:rPr>
      </w:pPr>
      <w:r>
        <w:rPr>
          <w:rFonts w:hint="default" w:ascii="Times New Roman Regular" w:hAnsi="Times New Roman Regular" w:cs="Times New Roman Regular"/>
          <w:b w:val="0"/>
          <w:bCs w:val="0"/>
          <w:color w:val="auto"/>
          <w:sz w:val="24"/>
          <w:szCs w:val="24"/>
          <w:lang w:val="en-US" w:eastAsia="zh-CN"/>
        </w:rPr>
        <w:t>Hongxi Jin 1</w:t>
      </w:r>
      <w:bookmarkStart w:id="0" w:name="_Ref1314168332"/>
      <w:r>
        <w:rPr>
          <w:rStyle w:val="17"/>
          <w:rFonts w:hint="default" w:ascii="Times New Roman Regular" w:hAnsi="Times New Roman Regular" w:cs="Times New Roman Regular"/>
          <w:b w:val="0"/>
          <w:bCs w:val="0"/>
          <w:color w:val="auto"/>
          <w:sz w:val="24"/>
          <w:szCs w:val="24"/>
          <w:lang w:val="en-US" w:eastAsia="zh-CN"/>
        </w:rPr>
        <w:footnoteReference w:id="0"/>
      </w:r>
      <w:bookmarkEnd w:id="0"/>
      <w:r>
        <w:rPr>
          <w:rFonts w:hint="default" w:ascii="Times New Roman Regular" w:hAnsi="Times New Roman Regular" w:cs="Times New Roman Regular"/>
          <w:b w:val="0"/>
          <w:bCs w:val="0"/>
          <w:color w:val="auto"/>
          <w:sz w:val="24"/>
          <w:szCs w:val="24"/>
          <w:lang w:val="en-US" w:eastAsia="zh-CN"/>
        </w:rPr>
        <w:t>, Xiaoyun Yu 2</w:t>
      </w:r>
      <w:r>
        <w:rPr>
          <w:rStyle w:val="17"/>
          <w:rFonts w:hint="default" w:ascii="Times New Roman Regular" w:hAnsi="Times New Roman Regular" w:cs="Times New Roman Regular"/>
          <w:b w:val="0"/>
          <w:bCs w:val="0"/>
          <w:color w:val="auto"/>
          <w:sz w:val="24"/>
          <w:szCs w:val="24"/>
          <w:lang w:val="en-US" w:eastAsia="zh-CN"/>
        </w:rPr>
        <w:footnoteReference w:id="1"/>
      </w:r>
      <w:r>
        <w:rPr>
          <w:rFonts w:hint="default" w:ascii="Times New Roman Regular" w:hAnsi="Times New Roman Regular" w:cs="Times New Roman Regular"/>
          <w:b w:val="0"/>
          <w:bCs w:val="0"/>
          <w:color w:val="auto"/>
          <w:sz w:val="24"/>
          <w:szCs w:val="24"/>
          <w:lang w:val="en-US" w:eastAsia="zh-CN"/>
        </w:rPr>
        <w:t xml:space="preserve">, Ying Qian </w:t>
      </w:r>
      <w:r>
        <w:rPr>
          <w:rFonts w:hint="default" w:ascii="Times New Roman Regular" w:hAnsi="Times New Roman Regular" w:cs="Times New Roman Regular"/>
          <w:b w:val="0"/>
          <w:bCs w:val="0"/>
          <w:color w:val="auto"/>
          <w:sz w:val="24"/>
          <w:szCs w:val="24"/>
          <w:lang w:val="en-US" w:eastAsia="zh-CN"/>
        </w:rPr>
        <w:fldChar w:fldCharType="begin"/>
      </w:r>
      <w:r>
        <w:rPr>
          <w:rFonts w:hint="default" w:ascii="Times New Roman Regular" w:hAnsi="Times New Roman Regular" w:cs="Times New Roman Regular"/>
          <w:b w:val="0"/>
          <w:bCs w:val="0"/>
          <w:color w:val="auto"/>
          <w:sz w:val="24"/>
          <w:szCs w:val="24"/>
          <w:lang w:val="en-US" w:eastAsia="zh-CN"/>
        </w:rPr>
        <w:instrText xml:space="preserve"> NOTEREF _Ref1314168332 \f \h </w:instrText>
      </w:r>
      <w:r>
        <w:rPr>
          <w:rFonts w:hint="default" w:ascii="Times New Roman Regular" w:hAnsi="Times New Roman Regular" w:cs="Times New Roman Regular"/>
          <w:b w:val="0"/>
          <w:bCs w:val="0"/>
          <w:color w:val="auto"/>
          <w:sz w:val="24"/>
          <w:szCs w:val="24"/>
          <w:lang w:val="en-US" w:eastAsia="zh-CN"/>
        </w:rPr>
        <w:fldChar w:fldCharType="separate"/>
      </w:r>
      <w:r>
        <w:rPr>
          <w:rFonts w:hint="default" w:ascii="Times New Roman Regular" w:hAnsi="Times New Roman Regular" w:cs="Times New Roman Regular"/>
          <w:b w:val="0"/>
          <w:bCs w:val="0"/>
          <w:color w:val="auto"/>
          <w:sz w:val="24"/>
          <w:szCs w:val="24"/>
          <w:vertAlign w:val="superscript"/>
          <w:lang w:val="en-US" w:eastAsia="zh-CN"/>
        </w:rPr>
        <w:t>1</w:t>
      </w:r>
      <w:r>
        <w:rPr>
          <w:rFonts w:hint="default" w:ascii="Times New Roman Regular" w:hAnsi="Times New Roman Regular" w:cs="Times New Roman Regular"/>
          <w:b w:val="0"/>
          <w:bCs w:val="0"/>
          <w:color w:val="auto"/>
          <w:sz w:val="24"/>
          <w:szCs w:val="24"/>
          <w:lang w:val="en-US" w:eastAsia="zh-CN"/>
        </w:rPr>
        <w:fldChar w:fldCharType="end"/>
      </w:r>
      <w:r>
        <w:rPr>
          <w:rFonts w:hint="default" w:ascii="Times New Roman Regular" w:hAnsi="Times New Roman Regular" w:cs="Times New Roman Regular"/>
          <w:b w:val="0"/>
          <w:bCs w:val="0"/>
          <w:color w:val="auto"/>
          <w:sz w:val="24"/>
          <w:szCs w:val="24"/>
          <w:lang w:val="en-US" w:eastAsia="zh-CN"/>
        </w:rPr>
        <w:t xml:space="preserve">*, Keying Yang </w:t>
      </w:r>
      <w:r>
        <w:rPr>
          <w:rFonts w:hint="default" w:ascii="Times New Roman Regular" w:hAnsi="Times New Roman Regular" w:cs="Times New Roman Regular"/>
          <w:b w:val="0"/>
          <w:bCs w:val="0"/>
          <w:color w:val="auto"/>
          <w:sz w:val="24"/>
          <w:szCs w:val="24"/>
          <w:lang w:val="en-US" w:eastAsia="zh-CN"/>
        </w:rPr>
        <w:fldChar w:fldCharType="begin"/>
      </w:r>
      <w:r>
        <w:rPr>
          <w:rFonts w:hint="default" w:ascii="Times New Roman Regular" w:hAnsi="Times New Roman Regular" w:cs="Times New Roman Regular"/>
          <w:b w:val="0"/>
          <w:bCs w:val="0"/>
          <w:color w:val="auto"/>
          <w:sz w:val="24"/>
          <w:szCs w:val="24"/>
          <w:lang w:val="en-US" w:eastAsia="zh-CN"/>
        </w:rPr>
        <w:instrText xml:space="preserve"> NOTEREF _Ref1314168332 \f \h </w:instrText>
      </w:r>
      <w:r>
        <w:rPr>
          <w:rFonts w:hint="default" w:ascii="Times New Roman Regular" w:hAnsi="Times New Roman Regular" w:cs="Times New Roman Regular"/>
          <w:b w:val="0"/>
          <w:bCs w:val="0"/>
          <w:color w:val="auto"/>
          <w:sz w:val="24"/>
          <w:szCs w:val="24"/>
          <w:lang w:val="en-US" w:eastAsia="zh-CN"/>
        </w:rPr>
        <w:fldChar w:fldCharType="separate"/>
      </w:r>
      <w:r>
        <w:rPr>
          <w:rFonts w:hint="default" w:ascii="Times New Roman Regular" w:hAnsi="Times New Roman Regular" w:cs="Times New Roman Regular"/>
          <w:b w:val="0"/>
          <w:bCs w:val="0"/>
          <w:color w:val="auto"/>
          <w:sz w:val="24"/>
          <w:szCs w:val="24"/>
          <w:vertAlign w:val="superscript"/>
          <w:lang w:val="en-US" w:eastAsia="zh-CN"/>
        </w:rPr>
        <w:t>1</w:t>
      </w:r>
      <w:r>
        <w:rPr>
          <w:rFonts w:hint="default" w:ascii="Times New Roman Regular" w:hAnsi="Times New Roman Regular" w:cs="Times New Roman Regular"/>
          <w:b w:val="0"/>
          <w:bCs w:val="0"/>
          <w:color w:val="auto"/>
          <w:sz w:val="24"/>
          <w:szCs w:val="24"/>
          <w:lang w:val="en-US" w:eastAsia="zh-CN"/>
        </w:rPr>
        <w:fldChar w:fldCharType="end"/>
      </w:r>
      <w:r>
        <w:rPr>
          <w:rFonts w:hint="default" w:ascii="Times New Roman Regular" w:hAnsi="Times New Roman Regular" w:cs="Times New Roman Regular"/>
          <w:b w:val="0"/>
          <w:bCs w:val="0"/>
          <w:color w:val="auto"/>
          <w:sz w:val="24"/>
          <w:szCs w:val="24"/>
          <w:lang w:val="en-US" w:eastAsia="zh-CN"/>
        </w:rPr>
        <w:t xml:space="preserve">, Minghui Ren </w:t>
      </w:r>
      <w:r>
        <w:rPr>
          <w:rFonts w:hint="default" w:ascii="Times New Roman Regular" w:hAnsi="Times New Roman Regular" w:cs="Times New Roman Regular"/>
          <w:b w:val="0"/>
          <w:bCs w:val="0"/>
          <w:color w:val="auto"/>
          <w:sz w:val="24"/>
          <w:szCs w:val="24"/>
          <w:lang w:val="en-US" w:eastAsia="zh-CN"/>
        </w:rPr>
        <w:fldChar w:fldCharType="begin"/>
      </w:r>
      <w:r>
        <w:rPr>
          <w:rFonts w:hint="default" w:ascii="Times New Roman Regular" w:hAnsi="Times New Roman Regular" w:cs="Times New Roman Regular"/>
          <w:b w:val="0"/>
          <w:bCs w:val="0"/>
          <w:color w:val="auto"/>
          <w:sz w:val="24"/>
          <w:szCs w:val="24"/>
          <w:lang w:val="en-US" w:eastAsia="zh-CN"/>
        </w:rPr>
        <w:instrText xml:space="preserve"> NOTEREF _Ref1314168332 \f \h </w:instrText>
      </w:r>
      <w:r>
        <w:rPr>
          <w:rFonts w:hint="default" w:ascii="Times New Roman Regular" w:hAnsi="Times New Roman Regular" w:cs="Times New Roman Regular"/>
          <w:b w:val="0"/>
          <w:bCs w:val="0"/>
          <w:color w:val="auto"/>
          <w:sz w:val="24"/>
          <w:szCs w:val="24"/>
          <w:lang w:val="en-US" w:eastAsia="zh-CN"/>
        </w:rPr>
        <w:fldChar w:fldCharType="separate"/>
      </w:r>
      <w:r>
        <w:rPr>
          <w:rFonts w:hint="default" w:ascii="Times New Roman Regular" w:hAnsi="Times New Roman Regular" w:cs="Times New Roman Regular"/>
          <w:b w:val="0"/>
          <w:bCs w:val="0"/>
          <w:color w:val="auto"/>
          <w:sz w:val="24"/>
          <w:szCs w:val="24"/>
          <w:vertAlign w:val="superscript"/>
          <w:lang w:val="en-US" w:eastAsia="zh-CN"/>
        </w:rPr>
        <w:t>1</w:t>
      </w:r>
      <w:r>
        <w:rPr>
          <w:rFonts w:hint="default" w:ascii="Times New Roman Regular" w:hAnsi="Times New Roman Regular" w:cs="Times New Roman Regular"/>
          <w:b w:val="0"/>
          <w:bCs w:val="0"/>
          <w:color w:val="auto"/>
          <w:sz w:val="24"/>
          <w:szCs w:val="24"/>
          <w:lang w:val="en-US" w:eastAsia="zh-CN"/>
        </w:rPr>
        <w:fldChar w:fldCharType="end"/>
      </w:r>
      <w:r>
        <w:rPr>
          <w:rFonts w:hint="default" w:ascii="Times New Roman Regular" w:hAnsi="Times New Roman Regular" w:cs="Times New Roman Regular"/>
          <w:b w:val="0"/>
          <w:bCs w:val="0"/>
          <w:color w:val="auto"/>
          <w:sz w:val="24"/>
          <w:szCs w:val="24"/>
          <w:lang w:val="en-US" w:eastAsia="zh-CN"/>
        </w:rPr>
        <w:t xml:space="preserve">, Yifan Qin </w:t>
      </w:r>
      <w:r>
        <w:rPr>
          <w:rFonts w:hint="default" w:ascii="Times New Roman Regular" w:hAnsi="Times New Roman Regular" w:cs="Times New Roman Regular"/>
          <w:b w:val="0"/>
          <w:bCs w:val="0"/>
          <w:color w:val="auto"/>
          <w:sz w:val="24"/>
          <w:szCs w:val="24"/>
          <w:lang w:val="en-US" w:eastAsia="zh-CN"/>
        </w:rPr>
        <w:fldChar w:fldCharType="begin"/>
      </w:r>
      <w:r>
        <w:rPr>
          <w:rFonts w:hint="default" w:ascii="Times New Roman Regular" w:hAnsi="Times New Roman Regular" w:cs="Times New Roman Regular"/>
          <w:b w:val="0"/>
          <w:bCs w:val="0"/>
          <w:color w:val="auto"/>
          <w:sz w:val="24"/>
          <w:szCs w:val="24"/>
          <w:lang w:val="en-US" w:eastAsia="zh-CN"/>
        </w:rPr>
        <w:instrText xml:space="preserve"> NOTEREF _Ref1314168332 \f \h </w:instrText>
      </w:r>
      <w:r>
        <w:rPr>
          <w:rFonts w:hint="default" w:ascii="Times New Roman Regular" w:hAnsi="Times New Roman Regular" w:cs="Times New Roman Regular"/>
          <w:b w:val="0"/>
          <w:bCs w:val="0"/>
          <w:color w:val="auto"/>
          <w:sz w:val="24"/>
          <w:szCs w:val="24"/>
          <w:lang w:val="en-US" w:eastAsia="zh-CN"/>
        </w:rPr>
        <w:fldChar w:fldCharType="separate"/>
      </w:r>
      <w:r>
        <w:rPr>
          <w:rFonts w:hint="default" w:ascii="Times New Roman Regular" w:hAnsi="Times New Roman Regular" w:cs="Times New Roman Regular"/>
          <w:b w:val="0"/>
          <w:bCs w:val="0"/>
          <w:color w:val="auto"/>
          <w:sz w:val="24"/>
          <w:szCs w:val="24"/>
          <w:vertAlign w:val="superscript"/>
          <w:lang w:val="en-US" w:eastAsia="zh-CN"/>
        </w:rPr>
        <w:t>1</w:t>
      </w:r>
      <w:r>
        <w:rPr>
          <w:rFonts w:hint="default" w:ascii="Times New Roman Regular" w:hAnsi="Times New Roman Regular" w:cs="Times New Roman Regular"/>
          <w:b w:val="0"/>
          <w:bCs w:val="0"/>
          <w:color w:val="auto"/>
          <w:sz w:val="24"/>
          <w:szCs w:val="24"/>
          <w:lang w:val="en-US" w:eastAsia="zh-CN"/>
        </w:rPr>
        <w:fldChar w:fldCharType="end"/>
      </w:r>
      <w:r>
        <w:rPr>
          <w:rFonts w:hint="default" w:ascii="Times New Roman Regular" w:hAnsi="Times New Roman Regular" w:cs="Times New Roman Regular"/>
          <w:b w:val="0"/>
          <w:bCs w:val="0"/>
          <w:color w:val="auto"/>
          <w:sz w:val="24"/>
          <w:szCs w:val="24"/>
          <w:lang w:val="en-US" w:eastAsia="zh-CN"/>
        </w:rPr>
        <w:t xml:space="preserve"> </w:t>
      </w:r>
    </w:p>
    <w:p w14:paraId="06A3AAD7">
      <w:pPr>
        <w:keepNext w:val="0"/>
        <w:keepLines w:val="0"/>
        <w:pageBreakBefore w:val="0"/>
        <w:widowControl/>
        <w:numPr>
          <w:ilvl w:val="-1"/>
          <w:numId w:val="0"/>
        </w:numPr>
        <w:kinsoku/>
        <w:wordWrap/>
        <w:overflowPunct/>
        <w:topLinePunct w:val="0"/>
        <w:autoSpaceDE/>
        <w:autoSpaceDN/>
        <w:bidi w:val="0"/>
        <w:adjustRightInd/>
        <w:snapToGrid/>
        <w:spacing w:line="240" w:lineRule="auto"/>
        <w:ind w:left="-420" w:leftChars="-200" w:firstLine="480" w:firstLineChars="200"/>
        <w:jc w:val="left"/>
        <w:textAlignment w:val="auto"/>
        <w:outlineLvl w:val="9"/>
        <w:rPr>
          <w:rFonts w:hint="default" w:ascii="Times New Roman Bold" w:hAnsi="Times New Roman Bold" w:cs="Times New Roman Bold"/>
          <w:b/>
          <w:bCs/>
          <w:color w:val="auto"/>
          <w:sz w:val="24"/>
          <w:szCs w:val="24"/>
          <w:lang w:val="en-US" w:eastAsia="zh-CN"/>
        </w:rPr>
      </w:pPr>
      <w:r>
        <w:rPr>
          <w:rFonts w:hint="default" w:ascii="Times New Roman Bold" w:hAnsi="Times New Roman Bold" w:cs="Times New Roman Bold"/>
          <w:b/>
          <w:bCs/>
          <w:color w:val="auto"/>
          <w:sz w:val="24"/>
          <w:szCs w:val="24"/>
          <w:lang w:val="en-US" w:eastAsia="zh-CN"/>
        </w:rPr>
        <w:t>Contributions</w:t>
      </w:r>
    </w:p>
    <w:p w14:paraId="05F40A89">
      <w:pPr>
        <w:keepNext w:val="0"/>
        <w:keepLines w:val="0"/>
        <w:pageBreakBefore w:val="0"/>
        <w:widowControl/>
        <w:numPr>
          <w:ilvl w:val="-1"/>
          <w:numId w:val="0"/>
        </w:numPr>
        <w:kinsoku/>
        <w:wordWrap/>
        <w:overflowPunct/>
        <w:topLinePunct w:val="0"/>
        <w:autoSpaceDE/>
        <w:autoSpaceDN/>
        <w:bidi w:val="0"/>
        <w:adjustRightInd/>
        <w:snapToGrid/>
        <w:spacing w:line="240" w:lineRule="auto"/>
        <w:ind w:left="0" w:leftChars="0" w:firstLine="0" w:firstLineChars="0"/>
        <w:jc w:val="left"/>
        <w:textAlignment w:val="auto"/>
        <w:outlineLvl w:val="9"/>
        <w:rPr>
          <w:rFonts w:hint="default" w:ascii="Times New Roman Regular" w:hAnsi="Times New Roman Regular" w:cs="Times New Roman Regular"/>
          <w:b w:val="0"/>
          <w:bCs w:val="0"/>
          <w:color w:val="auto"/>
          <w:sz w:val="24"/>
          <w:szCs w:val="24"/>
          <w:lang w:val="en-US" w:eastAsia="zh-CN"/>
        </w:rPr>
      </w:pPr>
      <w:r>
        <w:rPr>
          <w:rFonts w:hint="default" w:ascii="Times New Roman Regular" w:hAnsi="Times New Roman Regular" w:cs="Times New Roman Regular"/>
          <w:b w:val="0"/>
          <w:bCs w:val="0"/>
          <w:color w:val="auto"/>
          <w:sz w:val="24"/>
          <w:szCs w:val="24"/>
          <w:lang w:val="en-US" w:eastAsia="zh-CN"/>
        </w:rPr>
        <w:t>All authors read and approved the final version of the manuscript. HJ started the idea and designed the methodology, as well as manuscript writing; XY did the data analysis and graphics and data interpretation; YQ was responsible for reviewing the manuscript; KY, MR and YQ helped in developing the methodology and enriched the discussion.</w:t>
      </w:r>
    </w:p>
    <w:p w14:paraId="51D233DE">
      <w:pPr>
        <w:keepNext w:val="0"/>
        <w:keepLines w:val="0"/>
        <w:pageBreakBefore w:val="0"/>
        <w:widowControl/>
        <w:numPr>
          <w:ilvl w:val="-1"/>
          <w:numId w:val="0"/>
        </w:numPr>
        <w:kinsoku/>
        <w:wordWrap/>
        <w:overflowPunct/>
        <w:topLinePunct w:val="0"/>
        <w:autoSpaceDE/>
        <w:autoSpaceDN/>
        <w:bidi w:val="0"/>
        <w:adjustRightInd/>
        <w:snapToGrid/>
        <w:spacing w:line="240" w:lineRule="auto"/>
        <w:ind w:left="-420" w:leftChars="-200" w:firstLine="480" w:firstLineChars="200"/>
        <w:jc w:val="left"/>
        <w:textAlignment w:val="auto"/>
        <w:outlineLvl w:val="9"/>
        <w:rPr>
          <w:rFonts w:hint="default" w:ascii="Times New Roman Bold" w:hAnsi="Times New Roman Bold" w:cs="Times New Roman Bold"/>
          <w:b/>
          <w:bCs/>
          <w:color w:val="auto"/>
          <w:sz w:val="24"/>
          <w:szCs w:val="24"/>
          <w:lang w:val="en-US" w:eastAsia="zh-CN"/>
        </w:rPr>
      </w:pPr>
      <w:r>
        <w:rPr>
          <w:rFonts w:hint="default" w:ascii="Times New Roman Bold" w:hAnsi="Times New Roman Bold" w:cs="Times New Roman Bold"/>
          <w:b/>
          <w:bCs/>
          <w:color w:val="auto"/>
          <w:sz w:val="24"/>
          <w:szCs w:val="24"/>
          <w:lang w:val="en-US" w:eastAsia="zh-CN"/>
        </w:rPr>
        <w:t>Corresponding author</w:t>
      </w:r>
    </w:p>
    <w:p w14:paraId="34DC75F3">
      <w:pPr>
        <w:keepNext w:val="0"/>
        <w:keepLines w:val="0"/>
        <w:pageBreakBefore w:val="0"/>
        <w:widowControl/>
        <w:numPr>
          <w:ilvl w:val="-1"/>
          <w:numId w:val="0"/>
        </w:numPr>
        <w:kinsoku/>
        <w:wordWrap/>
        <w:overflowPunct/>
        <w:topLinePunct w:val="0"/>
        <w:autoSpaceDE/>
        <w:autoSpaceDN/>
        <w:bidi w:val="0"/>
        <w:adjustRightInd/>
        <w:snapToGrid/>
        <w:spacing w:line="240" w:lineRule="auto"/>
        <w:ind w:left="-420" w:leftChars="-200" w:firstLine="480" w:firstLineChars="200"/>
        <w:jc w:val="left"/>
        <w:textAlignment w:val="auto"/>
        <w:outlineLvl w:val="9"/>
        <w:rPr>
          <w:rFonts w:hint="default" w:ascii="Times New Roman Regular" w:hAnsi="Times New Roman Regular" w:cs="Times New Roman Regular"/>
          <w:b w:val="0"/>
          <w:bCs w:val="0"/>
          <w:color w:val="auto"/>
          <w:sz w:val="24"/>
          <w:szCs w:val="24"/>
          <w:lang w:val="en-US" w:eastAsia="zh-CN"/>
        </w:rPr>
      </w:pPr>
      <w:r>
        <w:rPr>
          <w:rFonts w:hint="default" w:ascii="Times New Roman Regular" w:hAnsi="Times New Roman Regular" w:cs="Times New Roman Regular"/>
          <w:b w:val="0"/>
          <w:bCs w:val="0"/>
          <w:color w:val="auto"/>
          <w:sz w:val="24"/>
          <w:szCs w:val="24"/>
          <w:lang w:val="en-US" w:eastAsia="zh-CN"/>
        </w:rPr>
        <w:t>Correspondence to Ying Qian.</w:t>
      </w:r>
    </w:p>
    <w:p w14:paraId="13D3F017">
      <w:pPr>
        <w:keepNext w:val="0"/>
        <w:keepLines w:val="0"/>
        <w:pageBreakBefore w:val="0"/>
        <w:widowControl/>
        <w:numPr>
          <w:ilvl w:val="-1"/>
          <w:numId w:val="0"/>
        </w:numPr>
        <w:kinsoku/>
        <w:wordWrap/>
        <w:overflowPunct/>
        <w:topLinePunct w:val="0"/>
        <w:autoSpaceDE/>
        <w:autoSpaceDN/>
        <w:bidi w:val="0"/>
        <w:adjustRightInd/>
        <w:snapToGrid/>
        <w:spacing w:line="240" w:lineRule="auto"/>
        <w:ind w:left="-420" w:leftChars="-200" w:firstLine="480" w:firstLineChars="200"/>
        <w:jc w:val="left"/>
        <w:textAlignment w:val="auto"/>
        <w:outlineLvl w:val="9"/>
        <w:rPr>
          <w:rFonts w:hint="default" w:ascii="Times New Roman Regular" w:hAnsi="Times New Roman Regular" w:cs="Times New Roman Regular"/>
          <w:b w:val="0"/>
          <w:bCs w:val="0"/>
          <w:color w:val="auto"/>
          <w:sz w:val="24"/>
          <w:szCs w:val="24"/>
          <w:lang w:val="en-US" w:eastAsia="zh-CN"/>
        </w:rPr>
      </w:pPr>
      <w:r>
        <w:rPr>
          <w:rFonts w:hint="default" w:ascii="Times New Roman Regular" w:hAnsi="Times New Roman Regular" w:cs="Times New Roman Regular"/>
          <w:b w:val="0"/>
          <w:bCs w:val="0"/>
          <w:color w:val="auto"/>
          <w:sz w:val="24"/>
          <w:szCs w:val="24"/>
          <w:lang w:val="en-US" w:eastAsia="zh-CN"/>
        </w:rPr>
        <w:t>Email: qianying06@163.com</w:t>
      </w:r>
    </w:p>
    <w:p w14:paraId="683F5B3D">
      <w:pPr>
        <w:keepNext w:val="0"/>
        <w:keepLines w:val="0"/>
        <w:pageBreakBefore w:val="0"/>
        <w:widowControl/>
        <w:numPr>
          <w:ilvl w:val="-1"/>
          <w:numId w:val="0"/>
        </w:numPr>
        <w:kinsoku/>
        <w:wordWrap/>
        <w:overflowPunct/>
        <w:topLinePunct w:val="0"/>
        <w:autoSpaceDE/>
        <w:autoSpaceDN/>
        <w:bidi w:val="0"/>
        <w:adjustRightInd/>
        <w:snapToGrid/>
        <w:spacing w:line="240" w:lineRule="auto"/>
        <w:ind w:left="-420" w:leftChars="-200" w:firstLine="480" w:firstLineChars="200"/>
        <w:jc w:val="left"/>
        <w:textAlignment w:val="auto"/>
        <w:outlineLvl w:val="9"/>
        <w:rPr>
          <w:rFonts w:hint="default" w:ascii="Times New Roman Bold" w:hAnsi="Times New Roman Bold" w:cs="Times New Roman Bold"/>
          <w:b/>
          <w:bCs/>
          <w:color w:val="auto"/>
          <w:sz w:val="24"/>
          <w:szCs w:val="24"/>
          <w:lang w:val="en-US" w:eastAsia="zh-CN"/>
        </w:rPr>
      </w:pPr>
      <w:r>
        <w:rPr>
          <w:rFonts w:hint="default" w:ascii="Times New Roman Bold" w:hAnsi="Times New Roman Bold" w:cs="Times New Roman Bold"/>
          <w:b/>
          <w:bCs/>
          <w:color w:val="auto"/>
          <w:sz w:val="24"/>
          <w:szCs w:val="24"/>
          <w:lang w:val="en-US" w:eastAsia="zh-CN"/>
        </w:rPr>
        <w:t>Ethics declarations</w:t>
      </w:r>
    </w:p>
    <w:p w14:paraId="59F08B73">
      <w:pPr>
        <w:keepNext w:val="0"/>
        <w:keepLines w:val="0"/>
        <w:pageBreakBefore w:val="0"/>
        <w:widowControl/>
        <w:numPr>
          <w:ilvl w:val="-1"/>
          <w:numId w:val="0"/>
        </w:numPr>
        <w:kinsoku/>
        <w:wordWrap/>
        <w:overflowPunct/>
        <w:topLinePunct w:val="0"/>
        <w:autoSpaceDE/>
        <w:autoSpaceDN/>
        <w:bidi w:val="0"/>
        <w:adjustRightInd/>
        <w:snapToGrid/>
        <w:spacing w:line="240" w:lineRule="auto"/>
        <w:ind w:left="-420" w:leftChars="-200" w:firstLine="480" w:firstLineChars="200"/>
        <w:jc w:val="left"/>
        <w:textAlignment w:val="auto"/>
        <w:outlineLvl w:val="9"/>
        <w:rPr>
          <w:rFonts w:hint="default" w:ascii="Times New Roman Regular" w:hAnsi="Times New Roman Regular" w:cs="Times New Roman Regular"/>
          <w:b w:val="0"/>
          <w:bCs w:val="0"/>
          <w:color w:val="auto"/>
          <w:sz w:val="24"/>
          <w:szCs w:val="24"/>
          <w:lang w:val="en-US" w:eastAsia="zh-CN"/>
        </w:rPr>
      </w:pPr>
      <w:r>
        <w:rPr>
          <w:rFonts w:hint="default" w:ascii="Times New Roman Regular" w:hAnsi="Times New Roman Regular" w:cs="Times New Roman Regular"/>
          <w:b w:val="0"/>
          <w:bCs w:val="0"/>
          <w:color w:val="auto"/>
          <w:sz w:val="24"/>
          <w:szCs w:val="24"/>
          <w:lang w:val="en-US" w:eastAsia="zh-CN"/>
        </w:rPr>
        <w:t>Not applicable. </w:t>
      </w:r>
    </w:p>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Times New Roman Bold">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PingFang SC">
    <w:panose1 w:val="020B0400000000000000"/>
    <w:charset w:val="86"/>
    <w:family w:val="auto"/>
    <w:pitch w:val="default"/>
    <w:sig w:usb0="A00002FF" w:usb1="7ACFFDFB" w:usb2="00000017" w:usb3="00000000" w:csb0="00040001" w:csb1="00000000"/>
  </w:font>
  <w:font w:name="Times New Roman Italic">
    <w:panose1 w:val="02020503050405090304"/>
    <w:charset w:val="00"/>
    <w:family w:val="auto"/>
    <w:pitch w:val="default"/>
    <w:sig w:usb0="E0000AFF" w:usb1="00007843" w:usb2="00000001" w:usb3="00000000" w:csb0="400001BF" w:csb1="DFF70000"/>
  </w:font>
  <w:font w:name="Georgia">
    <w:panose1 w:val="02040502050405090303"/>
    <w:charset w:val="00"/>
    <w:family w:val="auto"/>
    <w:pitch w:val="default"/>
    <w:sig w:usb0="00000287" w:usb1="00000000" w:usb2="00000000" w:usb3="00000000" w:csb0="2000009F" w:csb1="00000000"/>
  </w:font>
  <w:font w:name="-webkit-standard">
    <w:altName w:val="苹方-简"/>
    <w:panose1 w:val="00000000000000000000"/>
    <w:charset w:val="00"/>
    <w:family w:val="auto"/>
    <w:pitch w:val="default"/>
    <w:sig w:usb0="00000000" w:usb1="00000000"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B02CF">
    <w:pPr>
      <w:pStyle w:val="7"/>
    </w:pPr>
  </w:p>
  <w:p w14:paraId="0E07EF7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72676E">
                          <w:pPr>
                            <w:pStyle w:val="7"/>
                            <w:rPr>
                              <w:color w:val="auto"/>
                            </w:rPr>
                          </w:pPr>
                          <w:r>
                            <w:rPr>
                              <w:color w:val="auto"/>
                            </w:rPr>
                            <w:fldChar w:fldCharType="begin"/>
                          </w:r>
                          <w:r>
                            <w:rPr>
                              <w:color w:val="auto"/>
                            </w:rPr>
                            <w:instrText xml:space="preserve"> PAGE  \* MERGEFORMAT </w:instrText>
                          </w:r>
                          <w:r>
                            <w:rPr>
                              <w:color w:val="auto"/>
                            </w:rPr>
                            <w:fldChar w:fldCharType="separate"/>
                          </w:r>
                          <w:r>
                            <w:rPr>
                              <w:color w:val="auto"/>
                            </w:rPr>
                            <w:t>1</w:t>
                          </w:r>
                          <w:r>
                            <w:rPr>
                              <w:color w:val="auto"/>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V0Ed0BAAC+AwAADgAAAGRycy9lMm9Eb2MueG1srVNBrtMwEN0jcQfL&#10;e5q0Eq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NX/OmROWBn75/u3y49fl51e2&#10;TPL0PlaUdecpD4dXMNDSzP5IzsR6aINNf+LDKE7inq/iqgGZTJfWq/W6pJCk2Hwg/OL+ug8R3yiw&#10;LBk1DzS9LKo4vYs4ps4pqZqDW21MnqBxfzkIM3mK1PvYY7Jw2A8ToT00Z+JDz4DqdBC+cNbTEtTc&#10;0c5zZt460jjty2yE2djPhnCSLtYcORvN1zju1dEHfejypqWmon95ROo0E0htjLWn7misWYJpBdPe&#10;/HnOWffPbv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hVdBHdAQAAvgMAAA4AAAAAAAAA&#10;AQAgAAAAHgEAAGRycy9lMm9Eb2MueG1sUEsFBgAAAAAGAAYAWQEAAG0FAAAAAA==&#10;">
              <v:fill on="f" focussize="0,0"/>
              <v:stroke on="f"/>
              <v:imagedata o:title=""/>
              <o:lock v:ext="edit" aspectratio="f"/>
              <v:textbox inset="0mm,0mm,0mm,0mm" style="mso-fit-shape-to-text:t;">
                <w:txbxContent>
                  <w:p w14:paraId="7872676E">
                    <w:pPr>
                      <w:pStyle w:val="7"/>
                      <w:rPr>
                        <w:color w:val="auto"/>
                      </w:rPr>
                    </w:pPr>
                    <w:r>
                      <w:rPr>
                        <w:color w:val="auto"/>
                      </w:rPr>
                      <w:fldChar w:fldCharType="begin"/>
                    </w:r>
                    <w:r>
                      <w:rPr>
                        <w:color w:val="auto"/>
                      </w:rPr>
                      <w:instrText xml:space="preserve"> PAGE  \* MERGEFORMAT </w:instrText>
                    </w:r>
                    <w:r>
                      <w:rPr>
                        <w:color w:val="auto"/>
                      </w:rPr>
                      <w:fldChar w:fldCharType="separate"/>
                    </w:r>
                    <w:r>
                      <w:rPr>
                        <w:color w:val="auto"/>
                      </w:rPr>
                      <w:t>1</w:t>
                    </w:r>
                    <w:r>
                      <w:rPr>
                        <w:color w:val="auto"/>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6755264F">
      <w:pPr>
        <w:pStyle w:val="9"/>
        <w:snapToGrid w:val="0"/>
        <w:rPr>
          <w:rFonts w:hint="default" w:ascii="Times New Roman Regular" w:hAnsi="Times New Roman Regular" w:cs="Times New Roman Regular"/>
          <w:sz w:val="24"/>
          <w:lang w:val="en-US" w:eastAsia="zh-CN"/>
        </w:rPr>
      </w:pPr>
      <w:r>
        <w:rPr>
          <w:rStyle w:val="17"/>
          <w:rFonts w:ascii="Times New Roman Regular" w:hAnsi="Times New Roman Regular" w:cs="Times New Roman Regular"/>
          <w:sz w:val="24"/>
        </w:rPr>
        <w:footnoteRef/>
      </w:r>
      <w:r>
        <w:rPr>
          <w:rFonts w:ascii="Times New Roman Regular" w:hAnsi="Times New Roman Regular" w:cs="Times New Roman Regular"/>
          <w:sz w:val="24"/>
        </w:rPr>
        <w:t xml:space="preserve"> </w:t>
      </w:r>
      <w:r>
        <w:rPr>
          <w:rFonts w:hint="default" w:ascii="Times New Roman Regular" w:hAnsi="Times New Roman Regular" w:cs="Times New Roman Regular"/>
          <w:sz w:val="24"/>
          <w:lang w:val="en-US" w:eastAsia="zh-CN"/>
        </w:rPr>
        <w:t>School of Public Health and Nursing, Hangzhou Normal University, Hangzhou, China</w:t>
      </w:r>
    </w:p>
    <w:p w14:paraId="464B6BEB">
      <w:pPr>
        <w:pStyle w:val="9"/>
        <w:snapToGrid w:val="0"/>
        <w:rPr>
          <w:rFonts w:ascii="Times New Roman Regular" w:hAnsi="Times New Roman Regular" w:cs="Times New Roman Regular"/>
          <w:sz w:val="24"/>
        </w:rPr>
      </w:pPr>
    </w:p>
  </w:footnote>
  <w:footnote w:id="1">
    <w:p w14:paraId="3E8F3C2C">
      <w:pPr>
        <w:pStyle w:val="9"/>
        <w:snapToGrid w:val="0"/>
        <w:rPr>
          <w:rFonts w:ascii="Times New Roman Regular" w:hAnsi="Times New Roman Regular" w:cs="Times New Roman Regular"/>
          <w:sz w:val="24"/>
        </w:rPr>
      </w:pPr>
      <w:r>
        <w:rPr>
          <w:rStyle w:val="17"/>
          <w:rFonts w:ascii="Times New Roman Regular" w:hAnsi="Times New Roman Regular" w:cs="Times New Roman Regular"/>
          <w:sz w:val="24"/>
        </w:rPr>
        <w:footnoteRef/>
      </w:r>
      <w:r>
        <w:rPr>
          <w:rFonts w:ascii="Times New Roman Regular" w:hAnsi="Times New Roman Regular" w:cs="Times New Roman Regular"/>
          <w:sz w:val="24"/>
        </w:rPr>
        <w:t xml:space="preserve"> </w:t>
      </w:r>
      <w:r>
        <w:rPr>
          <w:rFonts w:hint="default" w:ascii="Times New Roman Regular" w:hAnsi="Times New Roman Regular" w:cs="Times New Roman Regular"/>
          <w:sz w:val="24"/>
        </w:rPr>
        <w:t>Jinhua No. 1 Secondary Vocational School, Jinhua, China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9B8C10"/>
    <w:multiLevelType w:val="singleLevel"/>
    <w:tmpl w:val="189B8C1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4"/>
    <w:footnote w:id="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kNTY4ODk0NGE1ZWRlYjE2YWNjZmViZTIxNDFmZDkifQ=="/>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ttptrsrda0aeea0vpprdrrwvvzxdptrp5v&quot;&gt;My EndNote Library&lt;record-ids&gt;&lt;item&gt;1&lt;/item&gt;&lt;/record-ids&gt;&lt;/item&gt;&lt;/Libraries&gt;"/>
  </w:docVars>
  <w:rsids>
    <w:rsidRoot w:val="00000000"/>
    <w:rsid w:val="00377076"/>
    <w:rsid w:val="003A4DB8"/>
    <w:rsid w:val="00502311"/>
    <w:rsid w:val="007D4070"/>
    <w:rsid w:val="00BD2157"/>
    <w:rsid w:val="00F431B9"/>
    <w:rsid w:val="01045933"/>
    <w:rsid w:val="010B405F"/>
    <w:rsid w:val="01401F5A"/>
    <w:rsid w:val="0177153C"/>
    <w:rsid w:val="019329D2"/>
    <w:rsid w:val="019A31A6"/>
    <w:rsid w:val="01B666C0"/>
    <w:rsid w:val="01CF5E88"/>
    <w:rsid w:val="01D32DCE"/>
    <w:rsid w:val="01DB5407"/>
    <w:rsid w:val="026B74AB"/>
    <w:rsid w:val="03015719"/>
    <w:rsid w:val="03870314"/>
    <w:rsid w:val="038A570F"/>
    <w:rsid w:val="03A762C0"/>
    <w:rsid w:val="03AD764F"/>
    <w:rsid w:val="03B15391"/>
    <w:rsid w:val="03CF243E"/>
    <w:rsid w:val="03D177E1"/>
    <w:rsid w:val="04043713"/>
    <w:rsid w:val="04163446"/>
    <w:rsid w:val="043833BC"/>
    <w:rsid w:val="04675A50"/>
    <w:rsid w:val="047C599F"/>
    <w:rsid w:val="048E56D2"/>
    <w:rsid w:val="04A722F0"/>
    <w:rsid w:val="050D65F7"/>
    <w:rsid w:val="053578FC"/>
    <w:rsid w:val="057E6BBC"/>
    <w:rsid w:val="05E57ADF"/>
    <w:rsid w:val="05EF3F4F"/>
    <w:rsid w:val="06014D9D"/>
    <w:rsid w:val="06093262"/>
    <w:rsid w:val="062067FE"/>
    <w:rsid w:val="063D2F0C"/>
    <w:rsid w:val="06B31420"/>
    <w:rsid w:val="06B86A37"/>
    <w:rsid w:val="06C13B3D"/>
    <w:rsid w:val="06C90C44"/>
    <w:rsid w:val="06E670D4"/>
    <w:rsid w:val="073654E3"/>
    <w:rsid w:val="074570ED"/>
    <w:rsid w:val="0759441E"/>
    <w:rsid w:val="07987687"/>
    <w:rsid w:val="07ED0962"/>
    <w:rsid w:val="081952B3"/>
    <w:rsid w:val="08251F21"/>
    <w:rsid w:val="088766C0"/>
    <w:rsid w:val="08A637F4"/>
    <w:rsid w:val="08BF22FE"/>
    <w:rsid w:val="08D12032"/>
    <w:rsid w:val="09412D13"/>
    <w:rsid w:val="0970184A"/>
    <w:rsid w:val="098A46BA"/>
    <w:rsid w:val="099A2423"/>
    <w:rsid w:val="09A6701A"/>
    <w:rsid w:val="09DE67B4"/>
    <w:rsid w:val="09ED7F48"/>
    <w:rsid w:val="0A15337A"/>
    <w:rsid w:val="0A4A5BF8"/>
    <w:rsid w:val="0A801619"/>
    <w:rsid w:val="0AA7304A"/>
    <w:rsid w:val="0AB614DF"/>
    <w:rsid w:val="0AFC3D4A"/>
    <w:rsid w:val="0B04224A"/>
    <w:rsid w:val="0B9408A3"/>
    <w:rsid w:val="0BD47E6F"/>
    <w:rsid w:val="0C152235"/>
    <w:rsid w:val="0C2D3A23"/>
    <w:rsid w:val="0C4B5C57"/>
    <w:rsid w:val="0C782EF0"/>
    <w:rsid w:val="0C7927C4"/>
    <w:rsid w:val="0C7C37AF"/>
    <w:rsid w:val="0C8A1372"/>
    <w:rsid w:val="0C9870EE"/>
    <w:rsid w:val="0CC32021"/>
    <w:rsid w:val="0CD527B4"/>
    <w:rsid w:val="0D6C2329"/>
    <w:rsid w:val="0D8E6743"/>
    <w:rsid w:val="0E06277D"/>
    <w:rsid w:val="0E737252"/>
    <w:rsid w:val="0EE228A3"/>
    <w:rsid w:val="0F3C37C4"/>
    <w:rsid w:val="0F557518"/>
    <w:rsid w:val="0F5936FC"/>
    <w:rsid w:val="0F753717"/>
    <w:rsid w:val="0F865924"/>
    <w:rsid w:val="0FBF5B1A"/>
    <w:rsid w:val="0FD83CA6"/>
    <w:rsid w:val="0FE16FFE"/>
    <w:rsid w:val="107A08A9"/>
    <w:rsid w:val="10C02F80"/>
    <w:rsid w:val="10CC380A"/>
    <w:rsid w:val="11052878"/>
    <w:rsid w:val="11166833"/>
    <w:rsid w:val="111B209C"/>
    <w:rsid w:val="11274EE5"/>
    <w:rsid w:val="11457119"/>
    <w:rsid w:val="118C4D48"/>
    <w:rsid w:val="11A11224"/>
    <w:rsid w:val="11A55E09"/>
    <w:rsid w:val="11A6405B"/>
    <w:rsid w:val="11AE4CBE"/>
    <w:rsid w:val="11CB3AC2"/>
    <w:rsid w:val="122F28B6"/>
    <w:rsid w:val="12463148"/>
    <w:rsid w:val="128D5F68"/>
    <w:rsid w:val="129C545E"/>
    <w:rsid w:val="12E976F1"/>
    <w:rsid w:val="12EB719A"/>
    <w:rsid w:val="13386F35"/>
    <w:rsid w:val="13B862C8"/>
    <w:rsid w:val="13BE4B26"/>
    <w:rsid w:val="13F35552"/>
    <w:rsid w:val="14264FE0"/>
    <w:rsid w:val="143771ED"/>
    <w:rsid w:val="14777F31"/>
    <w:rsid w:val="149A3C1F"/>
    <w:rsid w:val="14B922F8"/>
    <w:rsid w:val="14E153AA"/>
    <w:rsid w:val="1505553D"/>
    <w:rsid w:val="151637FB"/>
    <w:rsid w:val="15276049"/>
    <w:rsid w:val="15802E15"/>
    <w:rsid w:val="15A05265"/>
    <w:rsid w:val="160C6457"/>
    <w:rsid w:val="164756E1"/>
    <w:rsid w:val="168B1A72"/>
    <w:rsid w:val="16CB6878"/>
    <w:rsid w:val="16CC0C8C"/>
    <w:rsid w:val="175A1C4F"/>
    <w:rsid w:val="177469AA"/>
    <w:rsid w:val="1776627E"/>
    <w:rsid w:val="17BBAF7C"/>
    <w:rsid w:val="183323C1"/>
    <w:rsid w:val="184C5231"/>
    <w:rsid w:val="18621C69"/>
    <w:rsid w:val="188624F1"/>
    <w:rsid w:val="18CA1330"/>
    <w:rsid w:val="18CB43A7"/>
    <w:rsid w:val="18CD44B6"/>
    <w:rsid w:val="18EA3F05"/>
    <w:rsid w:val="18EE4DC1"/>
    <w:rsid w:val="190E24E6"/>
    <w:rsid w:val="19242A5B"/>
    <w:rsid w:val="19516FA3"/>
    <w:rsid w:val="19687E48"/>
    <w:rsid w:val="1991739F"/>
    <w:rsid w:val="19BD0194"/>
    <w:rsid w:val="19E35721"/>
    <w:rsid w:val="19EA2F53"/>
    <w:rsid w:val="19FF4D6B"/>
    <w:rsid w:val="1A3B730B"/>
    <w:rsid w:val="1A951111"/>
    <w:rsid w:val="1AE07076"/>
    <w:rsid w:val="1AEB291A"/>
    <w:rsid w:val="1AF35E37"/>
    <w:rsid w:val="1B436413"/>
    <w:rsid w:val="1B55264E"/>
    <w:rsid w:val="1B8276EF"/>
    <w:rsid w:val="1B8847D2"/>
    <w:rsid w:val="1BF75E3D"/>
    <w:rsid w:val="1C2C7853"/>
    <w:rsid w:val="1C3E1334"/>
    <w:rsid w:val="1CB33AD0"/>
    <w:rsid w:val="1CBB1806"/>
    <w:rsid w:val="1CD35F20"/>
    <w:rsid w:val="1CDF0421"/>
    <w:rsid w:val="1CFF6D16"/>
    <w:rsid w:val="1D0D1432"/>
    <w:rsid w:val="1D28001A"/>
    <w:rsid w:val="1D3604DE"/>
    <w:rsid w:val="1D3E15EC"/>
    <w:rsid w:val="1D7414B2"/>
    <w:rsid w:val="1D743260"/>
    <w:rsid w:val="1D921938"/>
    <w:rsid w:val="1D983DFF"/>
    <w:rsid w:val="1DC51D0D"/>
    <w:rsid w:val="1DEA1774"/>
    <w:rsid w:val="1DED6B6E"/>
    <w:rsid w:val="1DF24184"/>
    <w:rsid w:val="1DF61EC7"/>
    <w:rsid w:val="1E5D1B3F"/>
    <w:rsid w:val="1E7E3C6A"/>
    <w:rsid w:val="1F1F44BE"/>
    <w:rsid w:val="1F462AEA"/>
    <w:rsid w:val="1F574BE7"/>
    <w:rsid w:val="1F953961"/>
    <w:rsid w:val="1FCD0545"/>
    <w:rsid w:val="1FDE0E64"/>
    <w:rsid w:val="1FE65F6B"/>
    <w:rsid w:val="1FFF8C8B"/>
    <w:rsid w:val="20370574"/>
    <w:rsid w:val="207277FE"/>
    <w:rsid w:val="208512E0"/>
    <w:rsid w:val="20895274"/>
    <w:rsid w:val="210B5C89"/>
    <w:rsid w:val="212628C9"/>
    <w:rsid w:val="212E5029"/>
    <w:rsid w:val="213D11FB"/>
    <w:rsid w:val="217750CC"/>
    <w:rsid w:val="21C85928"/>
    <w:rsid w:val="21CA5B44"/>
    <w:rsid w:val="21CC1FFB"/>
    <w:rsid w:val="21DE339D"/>
    <w:rsid w:val="22244596"/>
    <w:rsid w:val="224571AC"/>
    <w:rsid w:val="22C407E5"/>
    <w:rsid w:val="22F56664"/>
    <w:rsid w:val="23566F63"/>
    <w:rsid w:val="236A7C99"/>
    <w:rsid w:val="23737B15"/>
    <w:rsid w:val="23922691"/>
    <w:rsid w:val="23B75C54"/>
    <w:rsid w:val="23CB150D"/>
    <w:rsid w:val="23D22A8E"/>
    <w:rsid w:val="23D74548"/>
    <w:rsid w:val="240D7F6A"/>
    <w:rsid w:val="24174945"/>
    <w:rsid w:val="24436E83"/>
    <w:rsid w:val="24945E4C"/>
    <w:rsid w:val="24D32F62"/>
    <w:rsid w:val="253A46BB"/>
    <w:rsid w:val="253A4D8F"/>
    <w:rsid w:val="25401C79"/>
    <w:rsid w:val="2564005E"/>
    <w:rsid w:val="259D0438"/>
    <w:rsid w:val="25F00723"/>
    <w:rsid w:val="25F95E3E"/>
    <w:rsid w:val="260B672B"/>
    <w:rsid w:val="2610789E"/>
    <w:rsid w:val="26323CB8"/>
    <w:rsid w:val="268169ED"/>
    <w:rsid w:val="268D7140"/>
    <w:rsid w:val="26B50445"/>
    <w:rsid w:val="26D42FC1"/>
    <w:rsid w:val="270C62B7"/>
    <w:rsid w:val="27873B8F"/>
    <w:rsid w:val="2790145B"/>
    <w:rsid w:val="279B588D"/>
    <w:rsid w:val="27A1277C"/>
    <w:rsid w:val="27CB7F20"/>
    <w:rsid w:val="2818512F"/>
    <w:rsid w:val="28A8200F"/>
    <w:rsid w:val="28D2730D"/>
    <w:rsid w:val="290B252C"/>
    <w:rsid w:val="29321889"/>
    <w:rsid w:val="293B2E83"/>
    <w:rsid w:val="29A0362E"/>
    <w:rsid w:val="29E259F5"/>
    <w:rsid w:val="2A2B114A"/>
    <w:rsid w:val="2A32072A"/>
    <w:rsid w:val="2A3C6EB3"/>
    <w:rsid w:val="2A5C57A7"/>
    <w:rsid w:val="2A5F7045"/>
    <w:rsid w:val="2A630092"/>
    <w:rsid w:val="2B11683E"/>
    <w:rsid w:val="2B2F07C6"/>
    <w:rsid w:val="2B6D30FC"/>
    <w:rsid w:val="2BC76AF0"/>
    <w:rsid w:val="2BF95B2E"/>
    <w:rsid w:val="2CA92E4A"/>
    <w:rsid w:val="2CEF3F75"/>
    <w:rsid w:val="2CFE2B46"/>
    <w:rsid w:val="2D03015C"/>
    <w:rsid w:val="2D485B6F"/>
    <w:rsid w:val="2D5B1D46"/>
    <w:rsid w:val="2D7E5A35"/>
    <w:rsid w:val="2D8A43D9"/>
    <w:rsid w:val="2DA37249"/>
    <w:rsid w:val="2DB9081B"/>
    <w:rsid w:val="2DBB27E5"/>
    <w:rsid w:val="2DF22C30"/>
    <w:rsid w:val="2E426A62"/>
    <w:rsid w:val="2E4420C0"/>
    <w:rsid w:val="2E442288"/>
    <w:rsid w:val="2E450300"/>
    <w:rsid w:val="2E8C5F2F"/>
    <w:rsid w:val="2EA02E84"/>
    <w:rsid w:val="2EBC05C2"/>
    <w:rsid w:val="2F063F34"/>
    <w:rsid w:val="2F0B719F"/>
    <w:rsid w:val="2F2443BA"/>
    <w:rsid w:val="2F4223D0"/>
    <w:rsid w:val="2F642A08"/>
    <w:rsid w:val="2F650C5A"/>
    <w:rsid w:val="2F8B2E0E"/>
    <w:rsid w:val="2F8D01B1"/>
    <w:rsid w:val="2FD5B21F"/>
    <w:rsid w:val="2FEF94D1"/>
    <w:rsid w:val="2FFD25CE"/>
    <w:rsid w:val="307D2EEC"/>
    <w:rsid w:val="30986E0D"/>
    <w:rsid w:val="30A25201"/>
    <w:rsid w:val="30AE6631"/>
    <w:rsid w:val="30C10112"/>
    <w:rsid w:val="30E25BAB"/>
    <w:rsid w:val="30EE78EB"/>
    <w:rsid w:val="316D2048"/>
    <w:rsid w:val="31A57A34"/>
    <w:rsid w:val="31D7709E"/>
    <w:rsid w:val="31E0281A"/>
    <w:rsid w:val="31E367AE"/>
    <w:rsid w:val="31FD7870"/>
    <w:rsid w:val="32026C34"/>
    <w:rsid w:val="320E7895"/>
    <w:rsid w:val="32104969"/>
    <w:rsid w:val="323D7C6C"/>
    <w:rsid w:val="32425283"/>
    <w:rsid w:val="324C603A"/>
    <w:rsid w:val="326351F9"/>
    <w:rsid w:val="3276317E"/>
    <w:rsid w:val="329A6499"/>
    <w:rsid w:val="329C3727"/>
    <w:rsid w:val="32BD0DAD"/>
    <w:rsid w:val="32C24615"/>
    <w:rsid w:val="32D103B5"/>
    <w:rsid w:val="32D61E6F"/>
    <w:rsid w:val="32E528B3"/>
    <w:rsid w:val="32FE17E2"/>
    <w:rsid w:val="33134E5F"/>
    <w:rsid w:val="333472C1"/>
    <w:rsid w:val="33370B5F"/>
    <w:rsid w:val="334B460B"/>
    <w:rsid w:val="3370304D"/>
    <w:rsid w:val="33C1328A"/>
    <w:rsid w:val="33E5680D"/>
    <w:rsid w:val="35335357"/>
    <w:rsid w:val="356CC9C6"/>
    <w:rsid w:val="356D3607"/>
    <w:rsid w:val="3578720D"/>
    <w:rsid w:val="35BE0B9F"/>
    <w:rsid w:val="35CA59BA"/>
    <w:rsid w:val="35D97CAC"/>
    <w:rsid w:val="360A60B7"/>
    <w:rsid w:val="36716136"/>
    <w:rsid w:val="373B6744"/>
    <w:rsid w:val="374675C3"/>
    <w:rsid w:val="378D6FA0"/>
    <w:rsid w:val="3801798E"/>
    <w:rsid w:val="383E6E95"/>
    <w:rsid w:val="38422AB1"/>
    <w:rsid w:val="38720B40"/>
    <w:rsid w:val="389237A9"/>
    <w:rsid w:val="38983E4E"/>
    <w:rsid w:val="38995E18"/>
    <w:rsid w:val="38A04AB1"/>
    <w:rsid w:val="38AE362E"/>
    <w:rsid w:val="38B67CF6"/>
    <w:rsid w:val="38CA4224"/>
    <w:rsid w:val="38DB1F8D"/>
    <w:rsid w:val="38FB1A4F"/>
    <w:rsid w:val="38FE5C7B"/>
    <w:rsid w:val="391A0D07"/>
    <w:rsid w:val="392A081F"/>
    <w:rsid w:val="392C3D60"/>
    <w:rsid w:val="393D2C48"/>
    <w:rsid w:val="394D13DA"/>
    <w:rsid w:val="395C1320"/>
    <w:rsid w:val="39A16BE2"/>
    <w:rsid w:val="39C12F31"/>
    <w:rsid w:val="3A4F1B58"/>
    <w:rsid w:val="3A5E4C24"/>
    <w:rsid w:val="3A6A35C8"/>
    <w:rsid w:val="3ACD1DA9"/>
    <w:rsid w:val="3AD43138"/>
    <w:rsid w:val="3ADB9D9B"/>
    <w:rsid w:val="3AE2477A"/>
    <w:rsid w:val="3AED5FA8"/>
    <w:rsid w:val="3B043A1D"/>
    <w:rsid w:val="3B2F95DA"/>
    <w:rsid w:val="3B6774F8"/>
    <w:rsid w:val="3B695F70"/>
    <w:rsid w:val="3B7A5A8D"/>
    <w:rsid w:val="3B9348BB"/>
    <w:rsid w:val="3BA85786"/>
    <w:rsid w:val="3BF05D4F"/>
    <w:rsid w:val="3C251FC4"/>
    <w:rsid w:val="3C333A32"/>
    <w:rsid w:val="3C3C0F95"/>
    <w:rsid w:val="3CE9CC2F"/>
    <w:rsid w:val="3CF47AC1"/>
    <w:rsid w:val="3D000214"/>
    <w:rsid w:val="3D1617E6"/>
    <w:rsid w:val="3D291195"/>
    <w:rsid w:val="3D89645B"/>
    <w:rsid w:val="3D9A7887"/>
    <w:rsid w:val="3DC511E4"/>
    <w:rsid w:val="3DC70D32"/>
    <w:rsid w:val="3DE5B091"/>
    <w:rsid w:val="3DF064DB"/>
    <w:rsid w:val="3DFBD4F8"/>
    <w:rsid w:val="3E582A8A"/>
    <w:rsid w:val="3E7B1856"/>
    <w:rsid w:val="3E881541"/>
    <w:rsid w:val="3EA51073"/>
    <w:rsid w:val="3EE03C15"/>
    <w:rsid w:val="3EE17BD1"/>
    <w:rsid w:val="3EF47905"/>
    <w:rsid w:val="3EF4B24A"/>
    <w:rsid w:val="3EFC2EC8"/>
    <w:rsid w:val="3F00388C"/>
    <w:rsid w:val="3F3D1EB2"/>
    <w:rsid w:val="3F4A39C9"/>
    <w:rsid w:val="3F4B5603"/>
    <w:rsid w:val="3F87319D"/>
    <w:rsid w:val="3F87530D"/>
    <w:rsid w:val="3F9966FE"/>
    <w:rsid w:val="3F9BC825"/>
    <w:rsid w:val="3F9F8CF1"/>
    <w:rsid w:val="3FA94B93"/>
    <w:rsid w:val="3FD373AB"/>
    <w:rsid w:val="3FDE06E3"/>
    <w:rsid w:val="3FFFBFC5"/>
    <w:rsid w:val="40183AC7"/>
    <w:rsid w:val="404E1296"/>
    <w:rsid w:val="40CB28E7"/>
    <w:rsid w:val="40CD665F"/>
    <w:rsid w:val="413C5593"/>
    <w:rsid w:val="41931657"/>
    <w:rsid w:val="41B45A71"/>
    <w:rsid w:val="41C757A4"/>
    <w:rsid w:val="41D61543"/>
    <w:rsid w:val="424961B9"/>
    <w:rsid w:val="42552DB0"/>
    <w:rsid w:val="4283791D"/>
    <w:rsid w:val="42935686"/>
    <w:rsid w:val="42BE6BA7"/>
    <w:rsid w:val="42D26717"/>
    <w:rsid w:val="43052E2A"/>
    <w:rsid w:val="430622FC"/>
    <w:rsid w:val="430A3B9B"/>
    <w:rsid w:val="43283616"/>
    <w:rsid w:val="43744FC8"/>
    <w:rsid w:val="43827BD5"/>
    <w:rsid w:val="43D1290A"/>
    <w:rsid w:val="444961A5"/>
    <w:rsid w:val="44915BF6"/>
    <w:rsid w:val="44EB34FE"/>
    <w:rsid w:val="44F3240C"/>
    <w:rsid w:val="45404E88"/>
    <w:rsid w:val="45637592"/>
    <w:rsid w:val="457B2B2E"/>
    <w:rsid w:val="45A345D5"/>
    <w:rsid w:val="45AF037E"/>
    <w:rsid w:val="45E75A83"/>
    <w:rsid w:val="45FB3C6E"/>
    <w:rsid w:val="45FF815E"/>
    <w:rsid w:val="463E4BFA"/>
    <w:rsid w:val="46893028"/>
    <w:rsid w:val="46BA1434"/>
    <w:rsid w:val="46C67DD9"/>
    <w:rsid w:val="46D41F55"/>
    <w:rsid w:val="46FA5CD4"/>
    <w:rsid w:val="471C3E9C"/>
    <w:rsid w:val="474433F3"/>
    <w:rsid w:val="476870E2"/>
    <w:rsid w:val="47B42476"/>
    <w:rsid w:val="47C562E2"/>
    <w:rsid w:val="481B0B45"/>
    <w:rsid w:val="48621D83"/>
    <w:rsid w:val="486378A9"/>
    <w:rsid w:val="487D4E0F"/>
    <w:rsid w:val="488E0DCA"/>
    <w:rsid w:val="4910358D"/>
    <w:rsid w:val="495C2C76"/>
    <w:rsid w:val="499E6DEB"/>
    <w:rsid w:val="49A85EBB"/>
    <w:rsid w:val="49BF6D61"/>
    <w:rsid w:val="4A0D5FAD"/>
    <w:rsid w:val="4A11580F"/>
    <w:rsid w:val="4A6D7583"/>
    <w:rsid w:val="4A897A9B"/>
    <w:rsid w:val="4AB10DA0"/>
    <w:rsid w:val="4AEC002A"/>
    <w:rsid w:val="4B1D70CA"/>
    <w:rsid w:val="4B294DDA"/>
    <w:rsid w:val="4B401197"/>
    <w:rsid w:val="4B5A31E5"/>
    <w:rsid w:val="4B6C4CC7"/>
    <w:rsid w:val="4BB943B0"/>
    <w:rsid w:val="4BBC79FC"/>
    <w:rsid w:val="4BCB5E91"/>
    <w:rsid w:val="4C577725"/>
    <w:rsid w:val="4C8C3872"/>
    <w:rsid w:val="4CE23D45"/>
    <w:rsid w:val="4D0C6761"/>
    <w:rsid w:val="4D3A595B"/>
    <w:rsid w:val="4D6C7200"/>
    <w:rsid w:val="4DAB41CC"/>
    <w:rsid w:val="4DBC1F35"/>
    <w:rsid w:val="4DE1374A"/>
    <w:rsid w:val="4DF23BA9"/>
    <w:rsid w:val="4E28581D"/>
    <w:rsid w:val="4E296E9F"/>
    <w:rsid w:val="4E3E6DEE"/>
    <w:rsid w:val="4E41068C"/>
    <w:rsid w:val="4E7973A1"/>
    <w:rsid w:val="4E8011B5"/>
    <w:rsid w:val="4E9E163B"/>
    <w:rsid w:val="4EB33338"/>
    <w:rsid w:val="4ED11A10"/>
    <w:rsid w:val="4F920960"/>
    <w:rsid w:val="4FDF604C"/>
    <w:rsid w:val="4FEB19B7"/>
    <w:rsid w:val="500100D3"/>
    <w:rsid w:val="50281B04"/>
    <w:rsid w:val="502A587C"/>
    <w:rsid w:val="502C0B3E"/>
    <w:rsid w:val="50760AC1"/>
    <w:rsid w:val="507A67DC"/>
    <w:rsid w:val="50C86095"/>
    <w:rsid w:val="51382677"/>
    <w:rsid w:val="514C1822"/>
    <w:rsid w:val="51D51818"/>
    <w:rsid w:val="51DA6E2E"/>
    <w:rsid w:val="51DD06CC"/>
    <w:rsid w:val="51E0072A"/>
    <w:rsid w:val="525941F7"/>
    <w:rsid w:val="52B96A43"/>
    <w:rsid w:val="52C629AE"/>
    <w:rsid w:val="530D1C98"/>
    <w:rsid w:val="53132A54"/>
    <w:rsid w:val="535E583D"/>
    <w:rsid w:val="535F896D"/>
    <w:rsid w:val="53FA5BFB"/>
    <w:rsid w:val="54011D6C"/>
    <w:rsid w:val="54187217"/>
    <w:rsid w:val="545F186C"/>
    <w:rsid w:val="54977258"/>
    <w:rsid w:val="549C6362"/>
    <w:rsid w:val="54CA132C"/>
    <w:rsid w:val="54E12281"/>
    <w:rsid w:val="55110DB9"/>
    <w:rsid w:val="554C4A69"/>
    <w:rsid w:val="55A73A3D"/>
    <w:rsid w:val="55FA366B"/>
    <w:rsid w:val="55FB55C5"/>
    <w:rsid w:val="56042774"/>
    <w:rsid w:val="5613290E"/>
    <w:rsid w:val="5619763E"/>
    <w:rsid w:val="56206DD9"/>
    <w:rsid w:val="56293EE0"/>
    <w:rsid w:val="564B3E56"/>
    <w:rsid w:val="567B6838"/>
    <w:rsid w:val="569E667C"/>
    <w:rsid w:val="56B063AF"/>
    <w:rsid w:val="56DE116E"/>
    <w:rsid w:val="570606C5"/>
    <w:rsid w:val="572C012C"/>
    <w:rsid w:val="574C432A"/>
    <w:rsid w:val="579161E1"/>
    <w:rsid w:val="57EA0C4F"/>
    <w:rsid w:val="57FC328C"/>
    <w:rsid w:val="58084289"/>
    <w:rsid w:val="580F5DFE"/>
    <w:rsid w:val="58515970"/>
    <w:rsid w:val="585A02D8"/>
    <w:rsid w:val="58690F0C"/>
    <w:rsid w:val="587D49B7"/>
    <w:rsid w:val="5889335C"/>
    <w:rsid w:val="58950F2B"/>
    <w:rsid w:val="58D44039"/>
    <w:rsid w:val="58E660B8"/>
    <w:rsid w:val="59E051FD"/>
    <w:rsid w:val="5A09562C"/>
    <w:rsid w:val="5A3612C1"/>
    <w:rsid w:val="5A63063A"/>
    <w:rsid w:val="5A660B7B"/>
    <w:rsid w:val="5AAE0E58"/>
    <w:rsid w:val="5AD52888"/>
    <w:rsid w:val="5AD92379"/>
    <w:rsid w:val="5ADD4F41"/>
    <w:rsid w:val="5AF4092C"/>
    <w:rsid w:val="5B1A473F"/>
    <w:rsid w:val="5B3A3C64"/>
    <w:rsid w:val="5B4D241F"/>
    <w:rsid w:val="5B5E63DA"/>
    <w:rsid w:val="5B7200D7"/>
    <w:rsid w:val="5B8B96D0"/>
    <w:rsid w:val="5B94004E"/>
    <w:rsid w:val="5B9938B6"/>
    <w:rsid w:val="5B9FCEA7"/>
    <w:rsid w:val="5BE72873"/>
    <w:rsid w:val="5BEF2E01"/>
    <w:rsid w:val="5BF84A80"/>
    <w:rsid w:val="5C0827EA"/>
    <w:rsid w:val="5C0C4088"/>
    <w:rsid w:val="5C2829C8"/>
    <w:rsid w:val="5C700ABB"/>
    <w:rsid w:val="5C9AA153"/>
    <w:rsid w:val="5CA02A22"/>
    <w:rsid w:val="5CE40B61"/>
    <w:rsid w:val="5D080CF3"/>
    <w:rsid w:val="5D327B1E"/>
    <w:rsid w:val="5D7878DB"/>
    <w:rsid w:val="5D7A99A5"/>
    <w:rsid w:val="5D7FCBCA"/>
    <w:rsid w:val="5D881E34"/>
    <w:rsid w:val="5D9407D9"/>
    <w:rsid w:val="5E1D07CE"/>
    <w:rsid w:val="5E4B5AF5"/>
    <w:rsid w:val="5E59557E"/>
    <w:rsid w:val="5E716BB6"/>
    <w:rsid w:val="5E9A1E1F"/>
    <w:rsid w:val="5EAE5E8D"/>
    <w:rsid w:val="5ECB022A"/>
    <w:rsid w:val="5EEE216B"/>
    <w:rsid w:val="5EFA0B0F"/>
    <w:rsid w:val="5F103E8F"/>
    <w:rsid w:val="5F2D2C93"/>
    <w:rsid w:val="5F4973A1"/>
    <w:rsid w:val="5F7BCBDC"/>
    <w:rsid w:val="5F7E34EF"/>
    <w:rsid w:val="5FA32F55"/>
    <w:rsid w:val="5FA97E40"/>
    <w:rsid w:val="5FBD9CD3"/>
    <w:rsid w:val="5FC353A5"/>
    <w:rsid w:val="5FDA624B"/>
    <w:rsid w:val="5FFF7131"/>
    <w:rsid w:val="604D2EC1"/>
    <w:rsid w:val="60563B24"/>
    <w:rsid w:val="6059529F"/>
    <w:rsid w:val="605B55DE"/>
    <w:rsid w:val="60714E01"/>
    <w:rsid w:val="60A725D1"/>
    <w:rsid w:val="60B8658C"/>
    <w:rsid w:val="60D1764E"/>
    <w:rsid w:val="60F65306"/>
    <w:rsid w:val="61250763"/>
    <w:rsid w:val="61273712"/>
    <w:rsid w:val="61686204"/>
    <w:rsid w:val="61B01959"/>
    <w:rsid w:val="61C6117D"/>
    <w:rsid w:val="61D81C30"/>
    <w:rsid w:val="620121B5"/>
    <w:rsid w:val="62FD798E"/>
    <w:rsid w:val="63224191"/>
    <w:rsid w:val="63755BE2"/>
    <w:rsid w:val="637D1393"/>
    <w:rsid w:val="637D586B"/>
    <w:rsid w:val="6397692D"/>
    <w:rsid w:val="63D47B81"/>
    <w:rsid w:val="63FB62F2"/>
    <w:rsid w:val="64A31AEF"/>
    <w:rsid w:val="64AA08E2"/>
    <w:rsid w:val="64AA2690"/>
    <w:rsid w:val="64B67287"/>
    <w:rsid w:val="65066627"/>
    <w:rsid w:val="652C12F7"/>
    <w:rsid w:val="65442AE4"/>
    <w:rsid w:val="658904F7"/>
    <w:rsid w:val="65FE7137"/>
    <w:rsid w:val="66236B9E"/>
    <w:rsid w:val="66285F62"/>
    <w:rsid w:val="662A47A9"/>
    <w:rsid w:val="664F4F30"/>
    <w:rsid w:val="66724C27"/>
    <w:rsid w:val="66855163"/>
    <w:rsid w:val="669929BC"/>
    <w:rsid w:val="66B924BA"/>
    <w:rsid w:val="66C32BE9"/>
    <w:rsid w:val="66D9CE88"/>
    <w:rsid w:val="66F127F8"/>
    <w:rsid w:val="67492634"/>
    <w:rsid w:val="67550FD9"/>
    <w:rsid w:val="675F457D"/>
    <w:rsid w:val="67627252"/>
    <w:rsid w:val="67BD6138"/>
    <w:rsid w:val="67FA1B80"/>
    <w:rsid w:val="682409AB"/>
    <w:rsid w:val="68591A69"/>
    <w:rsid w:val="68DC1286"/>
    <w:rsid w:val="69112CDD"/>
    <w:rsid w:val="69456E2B"/>
    <w:rsid w:val="69594684"/>
    <w:rsid w:val="69846DB1"/>
    <w:rsid w:val="698E432E"/>
    <w:rsid w:val="69C266CE"/>
    <w:rsid w:val="69C368DE"/>
    <w:rsid w:val="6A182006"/>
    <w:rsid w:val="6A4315BC"/>
    <w:rsid w:val="6A49294B"/>
    <w:rsid w:val="6A576E16"/>
    <w:rsid w:val="6A674B7F"/>
    <w:rsid w:val="6A9242F2"/>
    <w:rsid w:val="6AA45DD3"/>
    <w:rsid w:val="6AC85040"/>
    <w:rsid w:val="6AFD9986"/>
    <w:rsid w:val="6B0845B4"/>
    <w:rsid w:val="6B1C4828"/>
    <w:rsid w:val="6B376C47"/>
    <w:rsid w:val="6B8C7824"/>
    <w:rsid w:val="6BA52FC2"/>
    <w:rsid w:val="6BC04E8F"/>
    <w:rsid w:val="6BCC55E2"/>
    <w:rsid w:val="6BDC63F0"/>
    <w:rsid w:val="6BE06BCF"/>
    <w:rsid w:val="6BF4004E"/>
    <w:rsid w:val="6BFAD471"/>
    <w:rsid w:val="6BFF9269"/>
    <w:rsid w:val="6C134FBF"/>
    <w:rsid w:val="6C1D408F"/>
    <w:rsid w:val="6C2D3EF8"/>
    <w:rsid w:val="6C8732CE"/>
    <w:rsid w:val="6CA4159E"/>
    <w:rsid w:val="6CB665FF"/>
    <w:rsid w:val="6CEDA019"/>
    <w:rsid w:val="6D147240"/>
    <w:rsid w:val="6D1602E9"/>
    <w:rsid w:val="6D282CEC"/>
    <w:rsid w:val="6D2F2148"/>
    <w:rsid w:val="6DAA3701"/>
    <w:rsid w:val="6DDD5884"/>
    <w:rsid w:val="6DDDD888"/>
    <w:rsid w:val="6DE85FD7"/>
    <w:rsid w:val="6E4B4EE4"/>
    <w:rsid w:val="6EBA3E17"/>
    <w:rsid w:val="6EE90259"/>
    <w:rsid w:val="6EEB53B0"/>
    <w:rsid w:val="6EEF1D13"/>
    <w:rsid w:val="6EF966EE"/>
    <w:rsid w:val="6F410095"/>
    <w:rsid w:val="6F7A6104"/>
    <w:rsid w:val="6F9E54E7"/>
    <w:rsid w:val="6FBB7E47"/>
    <w:rsid w:val="6FC34F4E"/>
    <w:rsid w:val="6FD003AB"/>
    <w:rsid w:val="6FE078AE"/>
    <w:rsid w:val="6FEAC080"/>
    <w:rsid w:val="6FEC52F5"/>
    <w:rsid w:val="6FF9271D"/>
    <w:rsid w:val="6FFBA9B7"/>
    <w:rsid w:val="6FFE6F80"/>
    <w:rsid w:val="703E6382"/>
    <w:rsid w:val="706F3082"/>
    <w:rsid w:val="70D6480D"/>
    <w:rsid w:val="70DF66BF"/>
    <w:rsid w:val="71036124"/>
    <w:rsid w:val="710D6480"/>
    <w:rsid w:val="711E068D"/>
    <w:rsid w:val="712D08D1"/>
    <w:rsid w:val="713A123F"/>
    <w:rsid w:val="714E439D"/>
    <w:rsid w:val="717C7162"/>
    <w:rsid w:val="71844269"/>
    <w:rsid w:val="71AD2201"/>
    <w:rsid w:val="71C31235"/>
    <w:rsid w:val="71F621FF"/>
    <w:rsid w:val="71F87130"/>
    <w:rsid w:val="72201C4E"/>
    <w:rsid w:val="7231319C"/>
    <w:rsid w:val="726C3FE3"/>
    <w:rsid w:val="729329B5"/>
    <w:rsid w:val="72AE3C93"/>
    <w:rsid w:val="72CC4119"/>
    <w:rsid w:val="72FF44EF"/>
    <w:rsid w:val="72FF629D"/>
    <w:rsid w:val="73071319"/>
    <w:rsid w:val="732857F3"/>
    <w:rsid w:val="733C304D"/>
    <w:rsid w:val="734C0DB6"/>
    <w:rsid w:val="73577DDE"/>
    <w:rsid w:val="736B1B84"/>
    <w:rsid w:val="7375655F"/>
    <w:rsid w:val="73AF1A71"/>
    <w:rsid w:val="73B9469D"/>
    <w:rsid w:val="73D394CE"/>
    <w:rsid w:val="7450490F"/>
    <w:rsid w:val="74A25132"/>
    <w:rsid w:val="75202715"/>
    <w:rsid w:val="75705230"/>
    <w:rsid w:val="75B01AD0"/>
    <w:rsid w:val="75C15A8B"/>
    <w:rsid w:val="75C8506C"/>
    <w:rsid w:val="75EE3D1A"/>
    <w:rsid w:val="75F77855"/>
    <w:rsid w:val="76283D5C"/>
    <w:rsid w:val="767D4E05"/>
    <w:rsid w:val="768F16E6"/>
    <w:rsid w:val="76A41635"/>
    <w:rsid w:val="7735228D"/>
    <w:rsid w:val="77364257"/>
    <w:rsid w:val="77542E05"/>
    <w:rsid w:val="775D79DD"/>
    <w:rsid w:val="775F44BD"/>
    <w:rsid w:val="77761762"/>
    <w:rsid w:val="778C3F33"/>
    <w:rsid w:val="77A13DC6"/>
    <w:rsid w:val="77AD4519"/>
    <w:rsid w:val="77EC09D4"/>
    <w:rsid w:val="77FBDAF9"/>
    <w:rsid w:val="78544995"/>
    <w:rsid w:val="78574485"/>
    <w:rsid w:val="788D7EA7"/>
    <w:rsid w:val="78A27DF6"/>
    <w:rsid w:val="78CC0089"/>
    <w:rsid w:val="78D855C6"/>
    <w:rsid w:val="7956130F"/>
    <w:rsid w:val="795BCD6B"/>
    <w:rsid w:val="79B53B59"/>
    <w:rsid w:val="79B5979F"/>
    <w:rsid w:val="79CBB3F6"/>
    <w:rsid w:val="79F22F14"/>
    <w:rsid w:val="79F93A46"/>
    <w:rsid w:val="7A6335B5"/>
    <w:rsid w:val="7A924E40"/>
    <w:rsid w:val="7A9E283F"/>
    <w:rsid w:val="7AA17B72"/>
    <w:rsid w:val="7AE5E037"/>
    <w:rsid w:val="7AF5339F"/>
    <w:rsid w:val="7AF59CA6"/>
    <w:rsid w:val="7AFB55DE"/>
    <w:rsid w:val="7B1B0294"/>
    <w:rsid w:val="7B3A7E9B"/>
    <w:rsid w:val="7B675B3A"/>
    <w:rsid w:val="7B735A7A"/>
    <w:rsid w:val="7B7B4C92"/>
    <w:rsid w:val="7B7D06A6"/>
    <w:rsid w:val="7BA23C69"/>
    <w:rsid w:val="7BA33E3A"/>
    <w:rsid w:val="7BA81495"/>
    <w:rsid w:val="7BFC4243"/>
    <w:rsid w:val="7CAD022C"/>
    <w:rsid w:val="7CC12815"/>
    <w:rsid w:val="7CEC0D19"/>
    <w:rsid w:val="7D3D633F"/>
    <w:rsid w:val="7D553689"/>
    <w:rsid w:val="7D9F4A08"/>
    <w:rsid w:val="7DCF4ABD"/>
    <w:rsid w:val="7DFD787D"/>
    <w:rsid w:val="7E2FE017"/>
    <w:rsid w:val="7E7E0E98"/>
    <w:rsid w:val="7E8C1A53"/>
    <w:rsid w:val="7E8E331F"/>
    <w:rsid w:val="7EB443DF"/>
    <w:rsid w:val="7EBB6A76"/>
    <w:rsid w:val="7ED95BF4"/>
    <w:rsid w:val="7EE54289"/>
    <w:rsid w:val="7EEEDE60"/>
    <w:rsid w:val="7EEF6DDD"/>
    <w:rsid w:val="7EF13E2F"/>
    <w:rsid w:val="7EF70770"/>
    <w:rsid w:val="7F3EC3BF"/>
    <w:rsid w:val="7F7EBFC9"/>
    <w:rsid w:val="7F7EDC84"/>
    <w:rsid w:val="7F7F0765"/>
    <w:rsid w:val="7F840255"/>
    <w:rsid w:val="7FB0104A"/>
    <w:rsid w:val="7FBB354B"/>
    <w:rsid w:val="7FD175C3"/>
    <w:rsid w:val="7FDC317A"/>
    <w:rsid w:val="7FFBE8A8"/>
    <w:rsid w:val="7FFE2914"/>
    <w:rsid w:val="97F9E082"/>
    <w:rsid w:val="99FE29A3"/>
    <w:rsid w:val="9E756B45"/>
    <w:rsid w:val="9FFBED13"/>
    <w:rsid w:val="ABE57083"/>
    <w:rsid w:val="AF5B0B28"/>
    <w:rsid w:val="AFEF30F7"/>
    <w:rsid w:val="B6CE395B"/>
    <w:rsid w:val="B7E77B8E"/>
    <w:rsid w:val="BD7F8FD0"/>
    <w:rsid w:val="BF8F47DF"/>
    <w:rsid w:val="C29F4BB9"/>
    <w:rsid w:val="D3FB99AB"/>
    <w:rsid w:val="D7FE4763"/>
    <w:rsid w:val="D7FF9CB7"/>
    <w:rsid w:val="D8CFF04B"/>
    <w:rsid w:val="DF3BD1F6"/>
    <w:rsid w:val="DFF9CDDE"/>
    <w:rsid w:val="DFFBDE0B"/>
    <w:rsid w:val="DFFF23E2"/>
    <w:rsid w:val="DFFF97A5"/>
    <w:rsid w:val="E7E51745"/>
    <w:rsid w:val="EA9FFA39"/>
    <w:rsid w:val="EB111056"/>
    <w:rsid w:val="EBCF6A30"/>
    <w:rsid w:val="EBF519F0"/>
    <w:rsid w:val="EDBD2F68"/>
    <w:rsid w:val="EDFD66B3"/>
    <w:rsid w:val="EEFA77D3"/>
    <w:rsid w:val="EFEBA97B"/>
    <w:rsid w:val="F0DB0A36"/>
    <w:rsid w:val="F3EEC8B4"/>
    <w:rsid w:val="F4B7162B"/>
    <w:rsid w:val="F6D9FC27"/>
    <w:rsid w:val="F6FFE73A"/>
    <w:rsid w:val="F77F18C8"/>
    <w:rsid w:val="F79F86BF"/>
    <w:rsid w:val="F877B054"/>
    <w:rsid w:val="F8DAEB10"/>
    <w:rsid w:val="F93F2C66"/>
    <w:rsid w:val="F9FDE877"/>
    <w:rsid w:val="FC578298"/>
    <w:rsid w:val="FC8C96D2"/>
    <w:rsid w:val="FDEF42C9"/>
    <w:rsid w:val="FDF3453A"/>
    <w:rsid w:val="FE5EAD52"/>
    <w:rsid w:val="FEE1278A"/>
    <w:rsid w:val="FF3E9370"/>
    <w:rsid w:val="FF59CED1"/>
    <w:rsid w:val="FF63355F"/>
    <w:rsid w:val="FF8B7B66"/>
    <w:rsid w:val="FFAF7436"/>
    <w:rsid w:val="FFAFFE91"/>
    <w:rsid w:val="FFF746DA"/>
    <w:rsid w:val="FFFE6C84"/>
    <w:rsid w:val="FFFF853E"/>
    <w:rsid w:val="FFFFB3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13">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annotation text"/>
    <w:basedOn w:val="1"/>
    <w:uiPriority w:val="0"/>
    <w:pPr>
      <w:jc w:val="left"/>
    </w:p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footnote text"/>
    <w:basedOn w:val="1"/>
    <w:uiPriority w:val="0"/>
    <w:pPr>
      <w:snapToGrid w:val="0"/>
      <w:jc w:val="left"/>
    </w:pPr>
    <w:rPr>
      <w:sz w:val="18"/>
    </w:rPr>
  </w:style>
  <w:style w:type="paragraph" w:styleId="10">
    <w:name w:val="Normal (Web)"/>
    <w:basedOn w:val="1"/>
    <w:uiPriority w:val="0"/>
    <w:pPr>
      <w:spacing w:before="100" w:beforeAutospacing="1" w:after="100" w:afterAutospacing="1"/>
      <w:ind w:left="0" w:right="0"/>
      <w:jc w:val="left"/>
    </w:pPr>
    <w:rPr>
      <w:kern w:val="0"/>
      <w:sz w:val="24"/>
      <w:lang w:val="en-US" w:eastAsia="zh-CN" w:bidi="ar"/>
    </w:rPr>
  </w:style>
  <w:style w:type="table" w:styleId="12">
    <w:name w:val="Table Grid"/>
    <w:basedOn w:val="11"/>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Emphasis"/>
    <w:basedOn w:val="13"/>
    <w:qFormat/>
    <w:uiPriority w:val="0"/>
    <w:rPr>
      <w:i/>
    </w:rPr>
  </w:style>
  <w:style w:type="character" w:styleId="16">
    <w:name w:val="Hyperlink"/>
    <w:basedOn w:val="13"/>
    <w:uiPriority w:val="0"/>
    <w:rPr>
      <w:color w:val="0000FF"/>
      <w:u w:val="single"/>
    </w:rPr>
  </w:style>
  <w:style w:type="character" w:styleId="17">
    <w:name w:val="footnote reference"/>
    <w:basedOn w:val="13"/>
    <w:uiPriority w:val="0"/>
    <w:rPr>
      <w:vertAlign w:val="superscript"/>
    </w:rPr>
  </w:style>
  <w:style w:type="paragraph" w:customStyle="1" w:styleId="18">
    <w:name w:val="EndNote Bibliography"/>
    <w:basedOn w:val="1"/>
    <w:qFormat/>
    <w:uiPriority w:val="0"/>
    <w:pPr>
      <w:jc w:val="left"/>
    </w:pPr>
    <w:rPr>
      <w:rFonts w:eastAsia="宋体" w:cs="Calibri"/>
      <w:sz w:val="20"/>
    </w:rPr>
  </w:style>
  <w:style w:type="paragraph" w:customStyle="1" w:styleId="19">
    <w:name w:val="EndNote Bibliography Title"/>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eastAsia="宋体" w:cs="Calibri"/>
      <w:kern w:val="2"/>
      <w:sz w:val="20"/>
      <w:szCs w:val="24"/>
      <w:lang w:val="en-US" w:eastAsia="zh-CN" w:bidi="ar-SA"/>
    </w:rPr>
  </w:style>
  <w:style w:type="paragraph" w:customStyle="1" w:styleId="20">
    <w:name w:val="p1"/>
    <w:basedOn w:val="1"/>
    <w:uiPriority w:val="0"/>
    <w:pPr>
      <w:spacing w:before="0" w:beforeAutospacing="0" w:after="0" w:afterAutospacing="0"/>
      <w:ind w:left="0" w:right="0"/>
      <w:jc w:val="left"/>
    </w:pPr>
    <w:rPr>
      <w:rFonts w:ascii="Helvetica Neue" w:hAnsi="Helvetica Neue" w:eastAsia="Helvetica Neue" w:cs="Helvetica Neue"/>
      <w:kern w:val="0"/>
      <w:sz w:val="26"/>
      <w:szCs w:val="26"/>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303</Words>
  <Characters>1959</Characters>
  <Lines>0</Lines>
  <Paragraphs>0</Paragraphs>
  <TotalTime>5</TotalTime>
  <ScaleCrop>false</ScaleCrop>
  <LinksUpToDate>false</LinksUpToDate>
  <CharactersWithSpaces>2247</CharactersWithSpaces>
  <Application>WPS Office_6.15.2.8936_F1E327BC-269C-435d-A152-05C5408002CA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2014-11-06T12:08:00Z</dcterms:created>
  <dc:creator>ASUS</dc:creator>
  <cp:lastModifiedBy>金泓希</cp:lastModifiedBy>
  <dcterms:modified xsi:type="dcterms:W3CDTF">2026-07-19T10:37:47Z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2052-6.15.2.8936</vt:lpwstr>
  </property>
  <property fmtid="{D5CDD505-2E9C-101B-9397-08002B2CF9AE}" pid="3" name="ICV">
    <vt:lpwstr>F2F61E26338D1F42AE48D169399E2EFA_43</vt:lpwstr>
  </property>
  <property fmtid="{D5CDD505-2E9C-101B-9397-08002B2CF9AE}" pid="4" name="KSOTemplateDocerSaveRecord">
    <vt:lpwstr>eyJoZGlkIjoiN2M0ODQzMTlkNzdjN2JkNDk3NjkwN2M3MzEyN2UxNGQiLCJ1c2VySWQiOiI1MzE1MTAwNzcifQ==</vt:lpwstr>
  </property>
</Properties>
</file>