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D0B65" w14:textId="77777777" w:rsidR="00531C19" w:rsidRPr="00B848ED" w:rsidRDefault="00000000" w:rsidP="001A3712">
      <w:pPr>
        <w:snapToGrid w:val="0"/>
        <w:jc w:val="left"/>
        <w:rPr>
          <w:rFonts w:ascii="Times New Roman" w:hAnsi="Times New Roman" w:cs="Times New Roman"/>
          <w:b/>
          <w:bCs/>
          <w:sz w:val="44"/>
          <w:szCs w:val="44"/>
        </w:rPr>
      </w:pPr>
      <w:r w:rsidRPr="00B848ED">
        <w:rPr>
          <w:rFonts w:ascii="Times New Roman" w:hAnsi="Times New Roman" w:cs="Times New Roman"/>
          <w:b/>
          <w:bCs/>
          <w:sz w:val="44"/>
          <w:szCs w:val="44"/>
        </w:rPr>
        <w:t>Observation on the Effect of Supportive Nursing Intervention in Patients Receiving Home Enteral Nutrition After Esophageal Cancer Surgery</w:t>
      </w:r>
    </w:p>
    <w:p w14:paraId="6E2AED71" w14:textId="77777777" w:rsidR="00531C19" w:rsidRPr="00B848ED" w:rsidRDefault="00000000" w:rsidP="001A3712">
      <w:pPr>
        <w:snapToGrid w:val="0"/>
        <w:rPr>
          <w:rFonts w:ascii="Times New Roman" w:hAnsi="Times New Roman" w:cs="Times New Roman"/>
          <w:b/>
          <w:bCs/>
          <w:sz w:val="24"/>
        </w:rPr>
      </w:pPr>
      <w:r w:rsidRPr="00B848ED">
        <w:rPr>
          <w:rFonts w:ascii="Times New Roman" w:hAnsi="Times New Roman" w:cs="Times New Roman"/>
          <w:b/>
          <w:bCs/>
          <w:sz w:val="24"/>
        </w:rPr>
        <w:t>Jinxiang Yu</w:t>
      </w:r>
      <w:r w:rsidRPr="00B848ED">
        <w:rPr>
          <w:rFonts w:ascii="Times New Roman" w:hAnsi="Times New Roman" w:cs="Times New Roman" w:hint="eastAsia"/>
          <w:b/>
          <w:bCs/>
          <w:sz w:val="24"/>
        </w:rPr>
        <w:t xml:space="preserve">, </w:t>
      </w:r>
      <w:r w:rsidRPr="001A3712">
        <w:rPr>
          <w:rFonts w:ascii="Times New Roman" w:hAnsi="Times New Roman" w:cs="Times New Roman" w:hint="eastAsia"/>
          <w:b/>
          <w:bCs/>
          <w:sz w:val="24"/>
        </w:rPr>
        <w:t>Lu Chen</w:t>
      </w:r>
    </w:p>
    <w:p w14:paraId="7FE3FA63" w14:textId="23DF020D" w:rsidR="00531C19" w:rsidRPr="00B848ED" w:rsidRDefault="00000000" w:rsidP="001A3712">
      <w:pPr>
        <w:snapToGrid w:val="0"/>
        <w:rPr>
          <w:rFonts w:ascii="Times New Roman" w:hAnsi="Times New Roman" w:cs="Times New Roman"/>
          <w:sz w:val="24"/>
        </w:rPr>
      </w:pPr>
      <w:r w:rsidRPr="00B848ED">
        <w:rPr>
          <w:rFonts w:ascii="Times New Roman" w:hAnsi="Times New Roman" w:cs="Times New Roman"/>
          <w:sz w:val="24"/>
        </w:rPr>
        <w:t>Department of Thoracic Surgery, Taizhou Second People</w:t>
      </w:r>
      <w:r w:rsidR="00B848ED">
        <w:rPr>
          <w:rFonts w:ascii="Times New Roman" w:hAnsi="Times New Roman" w:cs="Times New Roman"/>
          <w:sz w:val="24"/>
        </w:rPr>
        <w:t>’</w:t>
      </w:r>
      <w:r w:rsidRPr="00B848ED">
        <w:rPr>
          <w:rFonts w:ascii="Times New Roman" w:hAnsi="Times New Roman" w:cs="Times New Roman"/>
          <w:sz w:val="24"/>
        </w:rPr>
        <w:t>s Hospital, Taizhou</w:t>
      </w:r>
      <w:r w:rsidRPr="00B848ED">
        <w:rPr>
          <w:rFonts w:ascii="Times New Roman" w:hAnsi="Times New Roman" w:cs="Times New Roman" w:hint="eastAsia"/>
          <w:sz w:val="24"/>
        </w:rPr>
        <w:t xml:space="preserve"> </w:t>
      </w:r>
      <w:r w:rsidRPr="00B848ED">
        <w:rPr>
          <w:rFonts w:ascii="Times New Roman" w:hAnsi="Times New Roman" w:cs="Times New Roman"/>
          <w:sz w:val="24"/>
        </w:rPr>
        <w:t xml:space="preserve">225500, Jiangsu, </w:t>
      </w:r>
      <w:r w:rsidRPr="00B848ED">
        <w:rPr>
          <w:rFonts w:ascii="Times New Roman" w:hAnsi="Times New Roman" w:cs="Times New Roman" w:hint="eastAsia"/>
          <w:sz w:val="24"/>
        </w:rPr>
        <w:t>China</w:t>
      </w:r>
    </w:p>
    <w:p w14:paraId="6809AF5C" w14:textId="77777777" w:rsidR="00531C19" w:rsidRDefault="00531C19" w:rsidP="00B848ED">
      <w:pPr>
        <w:snapToGrid w:val="0"/>
        <w:rPr>
          <w:rFonts w:ascii="Times New Roman" w:hAnsi="Times New Roman" w:cs="Times New Roman"/>
          <w:sz w:val="24"/>
        </w:rPr>
      </w:pPr>
    </w:p>
    <w:p w14:paraId="0450142C" w14:textId="77777777" w:rsidR="00B848ED" w:rsidRPr="001A3712" w:rsidRDefault="00B848ED" w:rsidP="00B848ED">
      <w:pPr>
        <w:snapToGrid w:val="0"/>
        <w:rPr>
          <w:rFonts w:ascii="Times New Roman" w:hAnsi="Times New Roman" w:cs="Times New Roman"/>
          <w:sz w:val="20"/>
          <w:szCs w:val="20"/>
        </w:rPr>
      </w:pPr>
      <w:r w:rsidRPr="001A3712">
        <w:rPr>
          <w:rFonts w:ascii="Times New Roman" w:hAnsi="Times New Roman" w:cs="Times New Roman"/>
          <w:b/>
          <w:bCs/>
          <w:sz w:val="20"/>
          <w:szCs w:val="20"/>
        </w:rPr>
        <w:t xml:space="preserve">Copyright: </w:t>
      </w:r>
      <w:r w:rsidRPr="001A3712">
        <w:rPr>
          <w:rFonts w:ascii="Times New Roman" w:hAnsi="Times New Roman" w:cs="Times New Roman"/>
          <w:sz w:val="20"/>
          <w:szCs w:val="20"/>
        </w:rPr>
        <w:t>© 2026 Author(s). This is an open-access article distributed under the terms of the Creative Commons Attribution License (CC BY 4.0), permitting distribution and reproduction in any medium, provided the original work is cited.</w:t>
      </w:r>
    </w:p>
    <w:p w14:paraId="403D7440" w14:textId="77777777" w:rsidR="00B848ED" w:rsidRPr="00B848ED" w:rsidRDefault="00B848ED" w:rsidP="001A3712">
      <w:pPr>
        <w:snapToGrid w:val="0"/>
        <w:rPr>
          <w:rFonts w:ascii="Times New Roman" w:hAnsi="Times New Roman" w:cs="Times New Roman"/>
          <w:sz w:val="24"/>
        </w:rPr>
      </w:pPr>
    </w:p>
    <w:p w14:paraId="56993EF4" w14:textId="56A0A92F" w:rsidR="00531C19" w:rsidRPr="00B848ED" w:rsidRDefault="00000000" w:rsidP="001A3712">
      <w:pPr>
        <w:snapToGrid w:val="0"/>
        <w:rPr>
          <w:rFonts w:ascii="Times New Roman" w:hAnsi="Times New Roman" w:cs="Times New Roman"/>
          <w:sz w:val="24"/>
        </w:rPr>
      </w:pPr>
      <w:r w:rsidRPr="00B848ED">
        <w:rPr>
          <w:rFonts w:ascii="Times New Roman" w:hAnsi="Times New Roman" w:cs="Times New Roman"/>
          <w:b/>
          <w:bCs/>
          <w:sz w:val="24"/>
        </w:rPr>
        <w:t>Abstract:</w:t>
      </w:r>
      <w:r w:rsidRPr="00B848ED">
        <w:rPr>
          <w:rFonts w:ascii="Times New Roman" w:hAnsi="Times New Roman" w:cs="Times New Roman"/>
          <w:sz w:val="24"/>
        </w:rPr>
        <w:t xml:space="preserve"> </w:t>
      </w:r>
      <w:r w:rsidRPr="00B848ED">
        <w:rPr>
          <w:rFonts w:ascii="Times New Roman" w:hAnsi="Times New Roman" w:cs="Times New Roman"/>
          <w:i/>
          <w:iCs/>
          <w:sz w:val="24"/>
        </w:rPr>
        <w:t xml:space="preserve">Objective: </w:t>
      </w:r>
      <w:r w:rsidRPr="00B848ED">
        <w:rPr>
          <w:rFonts w:ascii="Times New Roman" w:hAnsi="Times New Roman" w:cs="Times New Roman"/>
          <w:sz w:val="24"/>
        </w:rPr>
        <w:t xml:space="preserve">To analyze the application effect of supportive nursing intervention in patients receiving home enteral nutrition after esophageal cancer surgery. </w:t>
      </w:r>
      <w:r w:rsidRPr="00B848ED">
        <w:rPr>
          <w:rFonts w:ascii="Times New Roman" w:hAnsi="Times New Roman" w:cs="Times New Roman"/>
          <w:i/>
          <w:iCs/>
          <w:sz w:val="24"/>
        </w:rPr>
        <w:t xml:space="preserve">Methods: </w:t>
      </w:r>
      <w:r w:rsidRPr="00B848ED">
        <w:rPr>
          <w:rFonts w:ascii="Times New Roman" w:hAnsi="Times New Roman" w:cs="Times New Roman"/>
          <w:sz w:val="24"/>
        </w:rPr>
        <w:t>A total of 102 esophageal cancer patients who underwent surgical treatment at Taizhou Second People</w:t>
      </w:r>
      <w:r w:rsidR="00B848ED">
        <w:rPr>
          <w:rFonts w:ascii="Times New Roman" w:hAnsi="Times New Roman" w:cs="Times New Roman"/>
          <w:sz w:val="24"/>
        </w:rPr>
        <w:t>’</w:t>
      </w:r>
      <w:r w:rsidRPr="00B848ED">
        <w:rPr>
          <w:rFonts w:ascii="Times New Roman" w:hAnsi="Times New Roman" w:cs="Times New Roman"/>
          <w:sz w:val="24"/>
        </w:rPr>
        <w:t xml:space="preserve">s Hospital from </w:t>
      </w:r>
      <w:r w:rsidRPr="001A3712">
        <w:rPr>
          <w:rFonts w:ascii="Times New Roman" w:hAnsi="Times New Roman" w:cs="Times New Roman"/>
          <w:sz w:val="24"/>
        </w:rPr>
        <w:t xml:space="preserve">November 2025 to </w:t>
      </w:r>
      <w:r w:rsidRPr="001A3712">
        <w:rPr>
          <w:rFonts w:ascii="Times New Roman" w:hAnsi="Times New Roman" w:cs="Times New Roman" w:hint="eastAsia"/>
          <w:sz w:val="24"/>
        </w:rPr>
        <w:t>March</w:t>
      </w:r>
      <w:r w:rsidRPr="001A3712">
        <w:rPr>
          <w:rFonts w:ascii="Times New Roman" w:hAnsi="Times New Roman" w:cs="Times New Roman"/>
          <w:sz w:val="24"/>
        </w:rPr>
        <w:t xml:space="preserve"> 2026</w:t>
      </w:r>
      <w:r w:rsidRPr="00B848ED">
        <w:rPr>
          <w:rFonts w:ascii="Times New Roman" w:hAnsi="Times New Roman" w:cs="Times New Roman"/>
          <w:sz w:val="24"/>
        </w:rPr>
        <w:t xml:space="preserve"> were selected and divided into a control group (conventional nursing intervention, 51 cases) and an observation group (supportive nursing intervention, 51 cases) based on different postoperative intervention plans. Both groups received interventions until 3 months after discharge. Nutritional status, cellular immune function, and the occurrence of adverse events were compared. </w:t>
      </w:r>
      <w:r w:rsidRPr="00B848ED">
        <w:rPr>
          <w:rFonts w:ascii="Times New Roman" w:hAnsi="Times New Roman" w:cs="Times New Roman"/>
          <w:i/>
          <w:iCs/>
          <w:sz w:val="24"/>
        </w:rPr>
        <w:t xml:space="preserve">Results: </w:t>
      </w:r>
      <w:r w:rsidRPr="00B848ED">
        <w:rPr>
          <w:rFonts w:ascii="Times New Roman" w:hAnsi="Times New Roman" w:cs="Times New Roman"/>
          <w:sz w:val="24"/>
        </w:rPr>
        <w:t>After the intervention, the nutritional status (Hb, ALB, PA, TRF) and cellular immune function (CD4</w:t>
      </w:r>
      <w:r w:rsidRPr="001A3712">
        <w:rPr>
          <w:rFonts w:ascii="Times New Roman" w:hAnsi="Times New Roman" w:cs="Times New Roman"/>
          <w:sz w:val="24"/>
          <w:vertAlign w:val="superscript"/>
        </w:rPr>
        <w:t>+</w:t>
      </w:r>
      <w:r w:rsidRPr="00B848ED">
        <w:rPr>
          <w:rFonts w:ascii="Times New Roman" w:hAnsi="Times New Roman" w:cs="Times New Roman"/>
          <w:sz w:val="24"/>
        </w:rPr>
        <w:t>, CD4</w:t>
      </w:r>
      <w:r w:rsidRPr="001A3712">
        <w:rPr>
          <w:rFonts w:ascii="Times New Roman" w:hAnsi="Times New Roman" w:cs="Times New Roman"/>
          <w:sz w:val="24"/>
          <w:vertAlign w:val="superscript"/>
        </w:rPr>
        <w:t>+</w:t>
      </w:r>
      <w:r w:rsidRPr="00B848ED">
        <w:rPr>
          <w:rFonts w:ascii="Times New Roman" w:hAnsi="Times New Roman" w:cs="Times New Roman"/>
          <w:sz w:val="24"/>
        </w:rPr>
        <w:t>/CD8</w:t>
      </w:r>
      <w:r w:rsidRPr="001A3712">
        <w:rPr>
          <w:rFonts w:ascii="Times New Roman" w:hAnsi="Times New Roman" w:cs="Times New Roman"/>
          <w:sz w:val="24"/>
          <w:vertAlign w:val="superscript"/>
        </w:rPr>
        <w:t>+</w:t>
      </w:r>
      <w:r w:rsidRPr="00B848ED">
        <w:rPr>
          <w:rFonts w:ascii="Times New Roman" w:hAnsi="Times New Roman" w:cs="Times New Roman"/>
          <w:sz w:val="24"/>
        </w:rPr>
        <w:t>, CD8</w:t>
      </w:r>
      <w:r w:rsidRPr="001A3712">
        <w:rPr>
          <w:rFonts w:ascii="Times New Roman" w:hAnsi="Times New Roman" w:cs="Times New Roman"/>
          <w:sz w:val="24"/>
          <w:vertAlign w:val="superscript"/>
        </w:rPr>
        <w:t>+</w:t>
      </w:r>
      <w:r w:rsidRPr="00B848ED">
        <w:rPr>
          <w:rFonts w:ascii="Times New Roman" w:hAnsi="Times New Roman" w:cs="Times New Roman"/>
          <w:sz w:val="24"/>
        </w:rPr>
        <w:t>) levels in both groups improved compared to those before the intervention, and the improvement in the observation group was significantly better than that in the control group. The total incidence of enteral nutrition-related adverse events in the observation group was 1.96%, which was significantly lower than that in the control group (13.73%) (</w:t>
      </w:r>
      <w:r w:rsidR="00B848ED">
        <w:rPr>
          <w:rFonts w:ascii="Times New Roman" w:hAnsi="Times New Roman" w:cs="Times New Roman"/>
          <w:i/>
          <w:iCs/>
          <w:sz w:val="24"/>
        </w:rPr>
        <w:t>p</w:t>
      </w:r>
      <w:r w:rsidR="00B848ED" w:rsidRPr="00B848ED">
        <w:rPr>
          <w:rFonts w:ascii="Times New Roman" w:hAnsi="Times New Roman" w:cs="Times New Roman"/>
          <w:sz w:val="24"/>
        </w:rPr>
        <w:t xml:space="preserve"> </w:t>
      </w:r>
      <w:r w:rsidRPr="00B848ED">
        <w:rPr>
          <w:rFonts w:ascii="Times New Roman" w:hAnsi="Times New Roman" w:cs="Times New Roman"/>
          <w:sz w:val="24"/>
        </w:rPr>
        <w:t xml:space="preserve">&lt; 0.05 for all). </w:t>
      </w:r>
      <w:r w:rsidRPr="00B848ED">
        <w:rPr>
          <w:rFonts w:ascii="Times New Roman" w:hAnsi="Times New Roman" w:cs="Times New Roman"/>
          <w:i/>
          <w:iCs/>
          <w:sz w:val="24"/>
        </w:rPr>
        <w:t>Conclusion:</w:t>
      </w:r>
      <w:r w:rsidRPr="00B848ED">
        <w:rPr>
          <w:rFonts w:ascii="Times New Roman" w:hAnsi="Times New Roman" w:cs="Times New Roman"/>
          <w:sz w:val="24"/>
        </w:rPr>
        <w:t xml:space="preserve"> Implementing supportive nursing intervention in patients receiving home enteral nutrition after esophageal cancer surgery can effectively improve their nutritional status, regulate cellular immune function, and reduce the risk of enteral nutrition-related adverse events such as abdominal pain, diarrhea, tube blockage, and reflux aspiration, demonstrating high clinical application value. </w:t>
      </w:r>
    </w:p>
    <w:p w14:paraId="5010EB02" w14:textId="77777777" w:rsidR="00531C19" w:rsidRPr="00B848ED" w:rsidRDefault="00000000" w:rsidP="001A3712">
      <w:pPr>
        <w:snapToGrid w:val="0"/>
        <w:rPr>
          <w:rFonts w:ascii="Times New Roman" w:hAnsi="Times New Roman" w:cs="Times New Roman"/>
          <w:sz w:val="24"/>
        </w:rPr>
      </w:pPr>
      <w:r w:rsidRPr="00B848ED">
        <w:rPr>
          <w:rFonts w:ascii="Times New Roman" w:hAnsi="Times New Roman" w:cs="Times New Roman"/>
          <w:b/>
          <w:bCs/>
          <w:sz w:val="24"/>
        </w:rPr>
        <w:t xml:space="preserve">Keywords: </w:t>
      </w:r>
      <w:r w:rsidRPr="00B848ED">
        <w:rPr>
          <w:rFonts w:ascii="Times New Roman" w:hAnsi="Times New Roman" w:cs="Times New Roman"/>
          <w:sz w:val="24"/>
        </w:rPr>
        <w:t>Esophageal cancer; Home enteral nutrition; Supportive nursing; Nutritional status; Cellular immune function</w:t>
      </w:r>
    </w:p>
    <w:p w14:paraId="341499CC" w14:textId="77777777" w:rsidR="00531C19" w:rsidRDefault="00531C19" w:rsidP="00B848ED">
      <w:pPr>
        <w:snapToGrid w:val="0"/>
        <w:rPr>
          <w:rFonts w:ascii="Times New Roman" w:hAnsi="Times New Roman" w:cs="Times New Roman"/>
          <w:sz w:val="24"/>
        </w:rPr>
      </w:pPr>
    </w:p>
    <w:p w14:paraId="68547785" w14:textId="3EEBF888" w:rsidR="00B848ED" w:rsidRPr="001A3712" w:rsidRDefault="00B848ED" w:rsidP="00B848ED">
      <w:pPr>
        <w:snapToGrid w:val="0"/>
        <w:rPr>
          <w:rFonts w:ascii="Times New Roman" w:hAnsi="Times New Roman" w:cs="Times New Roman"/>
          <w:b/>
          <w:bCs/>
          <w:sz w:val="24"/>
        </w:rPr>
      </w:pPr>
      <w:r w:rsidRPr="001A3712">
        <w:rPr>
          <w:rFonts w:ascii="Times New Roman" w:hAnsi="Times New Roman" w:cs="Times New Roman"/>
          <w:b/>
          <w:bCs/>
          <w:sz w:val="24"/>
        </w:rPr>
        <w:t>Online publication:</w:t>
      </w:r>
    </w:p>
    <w:p w14:paraId="116B5197" w14:textId="77777777" w:rsidR="00B848ED" w:rsidRPr="00B848ED" w:rsidRDefault="00B848ED" w:rsidP="001A3712">
      <w:pPr>
        <w:snapToGrid w:val="0"/>
        <w:rPr>
          <w:rFonts w:ascii="Times New Roman" w:hAnsi="Times New Roman" w:cs="Times New Roman"/>
          <w:sz w:val="24"/>
        </w:rPr>
      </w:pPr>
    </w:p>
    <w:p w14:paraId="155CFA6F" w14:textId="77777777" w:rsidR="00531C19" w:rsidRPr="00B848ED" w:rsidRDefault="00000000" w:rsidP="001A3712">
      <w:pPr>
        <w:snapToGrid w:val="0"/>
        <w:rPr>
          <w:rFonts w:ascii="Times New Roman" w:hAnsi="Times New Roman" w:cs="Times New Roman"/>
          <w:b/>
          <w:bCs/>
          <w:sz w:val="24"/>
        </w:rPr>
      </w:pPr>
      <w:r w:rsidRPr="00B848ED">
        <w:rPr>
          <w:rFonts w:ascii="Times New Roman" w:hAnsi="Times New Roman" w:cs="Times New Roman" w:hint="eastAsia"/>
          <w:b/>
          <w:bCs/>
          <w:sz w:val="24"/>
        </w:rPr>
        <w:t>1. Introduction</w:t>
      </w:r>
    </w:p>
    <w:p w14:paraId="2B002734" w14:textId="1E7E986C" w:rsidR="00531C19" w:rsidRPr="00B848ED" w:rsidRDefault="00000000" w:rsidP="001A3712">
      <w:pPr>
        <w:snapToGrid w:val="0"/>
        <w:rPr>
          <w:rFonts w:ascii="Times New Roman" w:hAnsi="Times New Roman" w:cs="Times New Roman"/>
          <w:sz w:val="24"/>
        </w:rPr>
      </w:pPr>
      <w:r w:rsidRPr="00B848ED">
        <w:rPr>
          <w:rFonts w:ascii="Times New Roman" w:hAnsi="Times New Roman" w:cs="Times New Roman"/>
          <w:sz w:val="24"/>
        </w:rPr>
        <w:t xml:space="preserve">In recent years, the incidence of esophageal cancer has shown an increasing trend year by year, ranking second in terms of mortality rate, and is more common in people over 40 years old </w:t>
      </w:r>
      <w:r w:rsidRPr="00B848ED">
        <w:rPr>
          <w:rFonts w:ascii="Times New Roman" w:hAnsi="Times New Roman" w:cs="Times New Roman"/>
          <w:sz w:val="24"/>
          <w:vertAlign w:val="superscript"/>
        </w:rPr>
        <w:t>[1]</w:t>
      </w:r>
      <w:r w:rsidRPr="00B848ED">
        <w:rPr>
          <w:rFonts w:ascii="Times New Roman" w:hAnsi="Times New Roman" w:cs="Times New Roman"/>
          <w:sz w:val="24"/>
        </w:rPr>
        <w:t>. The typical symptom of this disease is progressive dysphagia. As the disease progresses, patients</w:t>
      </w:r>
      <w:r w:rsidR="00B848ED">
        <w:rPr>
          <w:rFonts w:ascii="Times New Roman" w:hAnsi="Times New Roman" w:cs="Times New Roman"/>
          <w:sz w:val="24"/>
        </w:rPr>
        <w:t>’</w:t>
      </w:r>
      <w:r w:rsidRPr="00B848ED">
        <w:rPr>
          <w:rFonts w:ascii="Times New Roman" w:hAnsi="Times New Roman" w:cs="Times New Roman"/>
          <w:sz w:val="24"/>
        </w:rPr>
        <w:t xml:space="preserve"> food intake continues to decline, and they may even suffer from varying degrees of malnutrition, further weakening their immune function. Surgery is the preferred radical treatment for early- and mid-stage esophageal cancer, and most patients require the placement of a nutritional tube for enteral nutrition support after surgery. After discharge, they still need long-term home feeding, and the quality of home care directly affects the process of nutritional absorption and postoperative recovery </w:t>
      </w:r>
      <w:r w:rsidRPr="00B848ED">
        <w:rPr>
          <w:rFonts w:ascii="Times New Roman" w:hAnsi="Times New Roman" w:cs="Times New Roman"/>
          <w:sz w:val="24"/>
          <w:vertAlign w:val="superscript"/>
        </w:rPr>
        <w:t>[2]</w:t>
      </w:r>
      <w:r w:rsidRPr="00B848ED">
        <w:rPr>
          <w:rFonts w:ascii="Times New Roman" w:hAnsi="Times New Roman" w:cs="Times New Roman"/>
          <w:sz w:val="24"/>
        </w:rPr>
        <w:t>. Currently, conventional nursing mostly focuses on education during the hospitalization period, leading to a high incidence of home enteral nutrition-related adverse events, which is not conducive to the recovery of the body</w:t>
      </w:r>
      <w:r w:rsidR="00B848ED">
        <w:rPr>
          <w:rFonts w:ascii="Times New Roman" w:hAnsi="Times New Roman" w:cs="Times New Roman"/>
          <w:sz w:val="24"/>
        </w:rPr>
        <w:t>’</w:t>
      </w:r>
      <w:r w:rsidRPr="00B848ED">
        <w:rPr>
          <w:rFonts w:ascii="Times New Roman" w:hAnsi="Times New Roman" w:cs="Times New Roman"/>
          <w:sz w:val="24"/>
        </w:rPr>
        <w:t xml:space="preserve">s nutritional and immune functions </w:t>
      </w:r>
      <w:r w:rsidRPr="00B848ED">
        <w:rPr>
          <w:rFonts w:ascii="Times New Roman" w:hAnsi="Times New Roman" w:cs="Times New Roman"/>
          <w:sz w:val="24"/>
          <w:vertAlign w:val="superscript"/>
        </w:rPr>
        <w:t>[3]</w:t>
      </w:r>
      <w:r w:rsidRPr="00B848ED">
        <w:rPr>
          <w:rFonts w:ascii="Times New Roman" w:hAnsi="Times New Roman" w:cs="Times New Roman"/>
          <w:sz w:val="24"/>
        </w:rPr>
        <w:t xml:space="preserve">. Therefore, implementing scientific and feasible nursing interventions after esophageal cancer surgery is of great significance. Supportive nursing, as an important branch of continuous nursing, encompasses health guidance, practical training, psychological counseling, home follow-up, and complication prevention, breaking through the time and space limitations of in-hospital nursing and providing comprehensive, coherent, and personalized care support for home patients with tubes. Based on this, this study focuses on exploring the impact of supportive nursing intervention on the nutritional status, cellular immunity, and feeding-related </w:t>
      </w:r>
      <w:r w:rsidRPr="00B848ED">
        <w:rPr>
          <w:rFonts w:ascii="Times New Roman" w:hAnsi="Times New Roman" w:cs="Times New Roman"/>
          <w:sz w:val="24"/>
        </w:rPr>
        <w:lastRenderedPageBreak/>
        <w:t>adverse events of patients after esophageal cancer surgery, and the report is as follows.</w:t>
      </w:r>
    </w:p>
    <w:p w14:paraId="3FECB62E" w14:textId="77777777" w:rsidR="00531C19" w:rsidRPr="00B848ED" w:rsidRDefault="00531C19" w:rsidP="001A3712">
      <w:pPr>
        <w:snapToGrid w:val="0"/>
        <w:ind w:firstLineChars="200" w:firstLine="480"/>
        <w:rPr>
          <w:rFonts w:ascii="Times New Roman" w:hAnsi="Times New Roman" w:cs="Times New Roman"/>
          <w:sz w:val="24"/>
        </w:rPr>
      </w:pPr>
    </w:p>
    <w:p w14:paraId="7715D6B4" w14:textId="77777777" w:rsidR="00531C19" w:rsidRPr="00B848ED" w:rsidRDefault="00000000" w:rsidP="001A3712">
      <w:pPr>
        <w:snapToGrid w:val="0"/>
        <w:rPr>
          <w:rFonts w:ascii="Times New Roman" w:hAnsi="Times New Roman" w:cs="Times New Roman"/>
          <w:b/>
          <w:bCs/>
          <w:sz w:val="24"/>
        </w:rPr>
      </w:pPr>
      <w:r w:rsidRPr="00B848ED">
        <w:rPr>
          <w:rFonts w:ascii="Times New Roman" w:hAnsi="Times New Roman" w:cs="Times New Roman" w:hint="eastAsia"/>
          <w:b/>
          <w:bCs/>
          <w:sz w:val="24"/>
        </w:rPr>
        <w:t>2</w:t>
      </w:r>
      <w:r w:rsidRPr="00B848ED">
        <w:rPr>
          <w:rFonts w:ascii="Times New Roman" w:hAnsi="Times New Roman" w:cs="Times New Roman"/>
          <w:b/>
          <w:bCs/>
          <w:sz w:val="24"/>
        </w:rPr>
        <w:t xml:space="preserve">. Materials and </w:t>
      </w:r>
      <w:r w:rsidRPr="00B848ED">
        <w:rPr>
          <w:rFonts w:ascii="Times New Roman" w:hAnsi="Times New Roman" w:cs="Times New Roman" w:hint="eastAsia"/>
          <w:b/>
          <w:bCs/>
          <w:sz w:val="24"/>
        </w:rPr>
        <w:t>m</w:t>
      </w:r>
      <w:r w:rsidRPr="00B848ED">
        <w:rPr>
          <w:rFonts w:ascii="Times New Roman" w:hAnsi="Times New Roman" w:cs="Times New Roman"/>
          <w:b/>
          <w:bCs/>
          <w:sz w:val="24"/>
        </w:rPr>
        <w:t xml:space="preserve">ethods </w:t>
      </w:r>
    </w:p>
    <w:p w14:paraId="1BDAA8FC" w14:textId="77777777" w:rsidR="00531C19" w:rsidRPr="00B848ED" w:rsidRDefault="00000000" w:rsidP="001A3712">
      <w:pPr>
        <w:snapToGrid w:val="0"/>
        <w:rPr>
          <w:rFonts w:ascii="Times New Roman" w:hAnsi="Times New Roman" w:cs="Times New Roman"/>
          <w:b/>
          <w:bCs/>
          <w:sz w:val="24"/>
        </w:rPr>
      </w:pPr>
      <w:r w:rsidRPr="00B848ED">
        <w:rPr>
          <w:rFonts w:ascii="Times New Roman" w:hAnsi="Times New Roman" w:cs="Times New Roman" w:hint="eastAsia"/>
          <w:b/>
          <w:bCs/>
          <w:sz w:val="24"/>
        </w:rPr>
        <w:t>2</w:t>
      </w:r>
      <w:r w:rsidRPr="00B848ED">
        <w:rPr>
          <w:rFonts w:ascii="Times New Roman" w:hAnsi="Times New Roman" w:cs="Times New Roman"/>
          <w:b/>
          <w:bCs/>
          <w:sz w:val="24"/>
        </w:rPr>
        <w:t xml:space="preserve">.1. General </w:t>
      </w:r>
      <w:r w:rsidRPr="00B848ED">
        <w:rPr>
          <w:rFonts w:ascii="Times New Roman" w:hAnsi="Times New Roman" w:cs="Times New Roman" w:hint="eastAsia"/>
          <w:b/>
          <w:bCs/>
          <w:sz w:val="24"/>
        </w:rPr>
        <w:t>i</w:t>
      </w:r>
      <w:r w:rsidRPr="00B848ED">
        <w:rPr>
          <w:rFonts w:ascii="Times New Roman" w:hAnsi="Times New Roman" w:cs="Times New Roman"/>
          <w:b/>
          <w:bCs/>
          <w:sz w:val="24"/>
        </w:rPr>
        <w:t xml:space="preserve">nformation </w:t>
      </w:r>
    </w:p>
    <w:p w14:paraId="2E918D1C" w14:textId="33C25CE3" w:rsidR="00531C19" w:rsidRPr="00B848ED" w:rsidRDefault="00000000" w:rsidP="001A3712">
      <w:pPr>
        <w:snapToGrid w:val="0"/>
        <w:rPr>
          <w:rFonts w:ascii="Times New Roman" w:hAnsi="Times New Roman" w:cs="Times New Roman"/>
          <w:sz w:val="24"/>
        </w:rPr>
      </w:pPr>
      <w:r w:rsidRPr="00B848ED">
        <w:rPr>
          <w:rFonts w:ascii="Times New Roman" w:hAnsi="Times New Roman" w:cs="Times New Roman"/>
          <w:sz w:val="24"/>
        </w:rPr>
        <w:t>A total of 102 patients with esophageal cancer admitted to Taizhou Second People</w:t>
      </w:r>
      <w:r w:rsidR="00B848ED">
        <w:rPr>
          <w:rFonts w:ascii="Times New Roman" w:hAnsi="Times New Roman" w:cs="Times New Roman"/>
          <w:sz w:val="24"/>
        </w:rPr>
        <w:t>’</w:t>
      </w:r>
      <w:r w:rsidRPr="00B848ED">
        <w:rPr>
          <w:rFonts w:ascii="Times New Roman" w:hAnsi="Times New Roman" w:cs="Times New Roman"/>
          <w:sz w:val="24"/>
        </w:rPr>
        <w:t xml:space="preserve">s Hospital from </w:t>
      </w:r>
      <w:r w:rsidRPr="001A3712">
        <w:rPr>
          <w:rFonts w:ascii="Times New Roman" w:hAnsi="Times New Roman" w:cs="Times New Roman"/>
          <w:sz w:val="24"/>
        </w:rPr>
        <w:t xml:space="preserve">November 2025 to </w:t>
      </w:r>
      <w:r w:rsidRPr="001A3712">
        <w:rPr>
          <w:rFonts w:ascii="Times New Roman" w:hAnsi="Times New Roman" w:cs="Times New Roman" w:hint="eastAsia"/>
          <w:sz w:val="24"/>
        </w:rPr>
        <w:t>March</w:t>
      </w:r>
      <w:r w:rsidRPr="001A3712">
        <w:rPr>
          <w:rFonts w:ascii="Times New Roman" w:hAnsi="Times New Roman" w:cs="Times New Roman"/>
          <w:sz w:val="24"/>
        </w:rPr>
        <w:t xml:space="preserve"> 2026</w:t>
      </w:r>
      <w:r w:rsidRPr="00B848ED">
        <w:rPr>
          <w:rFonts w:ascii="Times New Roman" w:hAnsi="Times New Roman" w:cs="Times New Roman"/>
          <w:sz w:val="24"/>
        </w:rPr>
        <w:t xml:space="preserve"> were included in the study. They were divided into a control group and an observation group based on the implementation of postoperative intervention plans, with 51 cases in each group. In the control group, there were 29 males and 22 females, aged 45 to 80 years, with an average age of (65.02 ± 8.70) years; the body mass index ranged from 19.12 to 26.08 kg/m</w:t>
      </w:r>
      <w:r w:rsidR="00B848ED">
        <w:rPr>
          <w:rFonts w:ascii="Times New Roman" w:hAnsi="Times New Roman" w:cs="Times New Roman"/>
          <w:sz w:val="24"/>
          <w:vertAlign w:val="superscript"/>
        </w:rPr>
        <w:t>2</w:t>
      </w:r>
      <w:r w:rsidRPr="00B848ED">
        <w:rPr>
          <w:rFonts w:ascii="Times New Roman" w:hAnsi="Times New Roman" w:cs="Times New Roman"/>
          <w:sz w:val="24"/>
        </w:rPr>
        <w:t>, with an average of (23.05 ± 1.17) kg/m</w:t>
      </w:r>
      <w:r w:rsidR="00B848ED">
        <w:rPr>
          <w:rFonts w:ascii="Times New Roman" w:hAnsi="Times New Roman" w:cs="Times New Roman"/>
          <w:sz w:val="24"/>
          <w:vertAlign w:val="superscript"/>
        </w:rPr>
        <w:t>2</w:t>
      </w:r>
      <w:r w:rsidRPr="00B848ED">
        <w:rPr>
          <w:rFonts w:ascii="Times New Roman" w:hAnsi="Times New Roman" w:cs="Times New Roman"/>
          <w:sz w:val="24"/>
        </w:rPr>
        <w:t>. In the observation group, there were 30 males and 21 females, aged 43 to 78 years, with an average age of (68.11 ± 8.99) years; the body mass index ranged from 19.06 to 26.15 kg/m</w:t>
      </w:r>
      <w:r w:rsidR="00C73156">
        <w:rPr>
          <w:rFonts w:ascii="Times New Roman" w:hAnsi="Times New Roman" w:cs="Times New Roman"/>
          <w:sz w:val="24"/>
          <w:vertAlign w:val="superscript"/>
        </w:rPr>
        <w:t>2</w:t>
      </w:r>
      <w:r w:rsidRPr="00B848ED">
        <w:rPr>
          <w:rFonts w:ascii="Times New Roman" w:hAnsi="Times New Roman" w:cs="Times New Roman"/>
          <w:sz w:val="24"/>
        </w:rPr>
        <w:t>, with an average of (23.11 ± 1.02) kg/m</w:t>
      </w:r>
      <w:r w:rsidR="00B848ED">
        <w:rPr>
          <w:rFonts w:ascii="Times New Roman" w:hAnsi="Times New Roman" w:cs="Times New Roman"/>
          <w:sz w:val="24"/>
          <w:vertAlign w:val="superscript"/>
        </w:rPr>
        <w:t>2</w:t>
      </w:r>
      <w:r w:rsidRPr="00B848ED">
        <w:rPr>
          <w:rFonts w:ascii="Times New Roman" w:hAnsi="Times New Roman" w:cs="Times New Roman"/>
          <w:sz w:val="24"/>
        </w:rPr>
        <w:t>. Comparison of general information between the two groups showed no significant difference (</w:t>
      </w:r>
      <w:r w:rsidR="00B848ED">
        <w:rPr>
          <w:rFonts w:ascii="Times New Roman" w:hAnsi="Times New Roman" w:cs="Times New Roman"/>
          <w:i/>
          <w:iCs/>
          <w:sz w:val="24"/>
        </w:rPr>
        <w:t>p</w:t>
      </w:r>
      <w:r w:rsidRPr="00B848ED">
        <w:rPr>
          <w:rFonts w:ascii="Times New Roman" w:hAnsi="Times New Roman" w:cs="Times New Roman"/>
          <w:sz w:val="24"/>
        </w:rPr>
        <w:t xml:space="preserve"> &gt; 0.05), indicating comparability. This study was approved by the Medical Ethics Committee of Taizhou Second People</w:t>
      </w:r>
      <w:r w:rsidR="00B848ED">
        <w:rPr>
          <w:rFonts w:ascii="Times New Roman" w:hAnsi="Times New Roman" w:cs="Times New Roman"/>
          <w:sz w:val="24"/>
        </w:rPr>
        <w:t>’</w:t>
      </w:r>
      <w:r w:rsidRPr="00B848ED">
        <w:rPr>
          <w:rFonts w:ascii="Times New Roman" w:hAnsi="Times New Roman" w:cs="Times New Roman"/>
          <w:sz w:val="24"/>
        </w:rPr>
        <w:t xml:space="preserve">s Hospital. Inclusion criteria: Meeting the disease diagnostic criteria in the </w:t>
      </w:r>
      <w:r w:rsidR="00B848ED">
        <w:rPr>
          <w:rFonts w:ascii="Times New Roman" w:hAnsi="Times New Roman" w:cs="Times New Roman"/>
          <w:sz w:val="24"/>
        </w:rPr>
        <w:t>“</w:t>
      </w:r>
      <w:r w:rsidRPr="00B848ED">
        <w:rPr>
          <w:rFonts w:ascii="Times New Roman" w:hAnsi="Times New Roman" w:cs="Times New Roman"/>
          <w:sz w:val="24"/>
        </w:rPr>
        <w:t>Diagnostic and Treatment Guidelines for Esophageal Cancer (2018 Edition)</w:t>
      </w:r>
      <w:r w:rsidR="00B848ED">
        <w:rPr>
          <w:rFonts w:ascii="Times New Roman" w:hAnsi="Times New Roman" w:cs="Times New Roman"/>
          <w:sz w:val="24"/>
        </w:rPr>
        <w:t>”</w:t>
      </w:r>
      <w:r w:rsidRPr="00B848ED">
        <w:rPr>
          <w:rFonts w:ascii="Times New Roman" w:hAnsi="Times New Roman" w:cs="Times New Roman"/>
          <w:sz w:val="24"/>
        </w:rPr>
        <w:t>; age ≥ 18 years; voluntarily participating and signing an informed consent form; stable vital signs</w:t>
      </w:r>
      <w:r w:rsidR="00C80E90">
        <w:rPr>
          <w:rFonts w:ascii="Times New Roman" w:hAnsi="Times New Roman" w:cs="Times New Roman"/>
          <w:sz w:val="24"/>
        </w:rPr>
        <w:t xml:space="preserve"> </w:t>
      </w:r>
      <w:r w:rsidR="00C80E90">
        <w:rPr>
          <w:rFonts w:ascii="Times New Roman" w:hAnsi="Times New Roman" w:cs="Times New Roman"/>
          <w:sz w:val="24"/>
          <w:vertAlign w:val="superscript"/>
        </w:rPr>
        <w:t>[4]</w:t>
      </w:r>
      <w:r w:rsidRPr="00B848ED">
        <w:rPr>
          <w:rFonts w:ascii="Times New Roman" w:hAnsi="Times New Roman" w:cs="Times New Roman"/>
          <w:sz w:val="24"/>
        </w:rPr>
        <w:t xml:space="preserve">. Exclusion criteria: Concomitant with other malignant tumors; severe heart, liver, or renal dysfunction; concomitant with other gastrointestinal diseases; concomitant with immune system diseases; concomitant with infectious diseases. </w:t>
      </w:r>
    </w:p>
    <w:p w14:paraId="20DF428A" w14:textId="77777777" w:rsidR="00531C19" w:rsidRPr="00B848ED" w:rsidRDefault="00531C19" w:rsidP="001A3712">
      <w:pPr>
        <w:snapToGrid w:val="0"/>
        <w:rPr>
          <w:rFonts w:ascii="Times New Roman" w:hAnsi="Times New Roman" w:cs="Times New Roman"/>
          <w:sz w:val="24"/>
        </w:rPr>
      </w:pPr>
    </w:p>
    <w:p w14:paraId="30087A08" w14:textId="77777777" w:rsidR="00531C19" w:rsidRPr="00B848ED" w:rsidRDefault="00000000" w:rsidP="001A3712">
      <w:pPr>
        <w:snapToGrid w:val="0"/>
        <w:rPr>
          <w:rFonts w:ascii="Times New Roman" w:hAnsi="Times New Roman" w:cs="Times New Roman"/>
          <w:b/>
          <w:bCs/>
          <w:sz w:val="24"/>
        </w:rPr>
      </w:pPr>
      <w:r w:rsidRPr="00B848ED">
        <w:rPr>
          <w:rFonts w:ascii="Times New Roman" w:hAnsi="Times New Roman" w:cs="Times New Roman" w:hint="eastAsia"/>
          <w:b/>
          <w:bCs/>
          <w:sz w:val="24"/>
        </w:rPr>
        <w:t>2</w:t>
      </w:r>
      <w:r w:rsidRPr="00B848ED">
        <w:rPr>
          <w:rFonts w:ascii="Times New Roman" w:hAnsi="Times New Roman" w:cs="Times New Roman"/>
          <w:b/>
          <w:bCs/>
          <w:sz w:val="24"/>
        </w:rPr>
        <w:t xml:space="preserve">.2. Methods </w:t>
      </w:r>
    </w:p>
    <w:p w14:paraId="011695F9" w14:textId="4DDDDD48" w:rsidR="00531C19" w:rsidRPr="00B848ED" w:rsidRDefault="00000000" w:rsidP="001A3712">
      <w:pPr>
        <w:snapToGrid w:val="0"/>
        <w:rPr>
          <w:rFonts w:ascii="Times New Roman" w:hAnsi="Times New Roman" w:cs="Times New Roman"/>
          <w:sz w:val="24"/>
        </w:rPr>
      </w:pPr>
      <w:r w:rsidRPr="00B848ED">
        <w:rPr>
          <w:rFonts w:ascii="Times New Roman" w:hAnsi="Times New Roman" w:cs="Times New Roman"/>
          <w:sz w:val="24"/>
        </w:rPr>
        <w:t>The control group received conventional nursing intervention, as follows: After surgery, closely monitor vital signs, the patency of thoracic drainage tubes and nutritional tubes; guide the infusion rate and temperature of enteral nutrition solutions according to doctor</w:t>
      </w:r>
      <w:r w:rsidR="00B848ED">
        <w:rPr>
          <w:rFonts w:ascii="Times New Roman" w:hAnsi="Times New Roman" w:cs="Times New Roman"/>
          <w:sz w:val="24"/>
        </w:rPr>
        <w:t>’</w:t>
      </w:r>
      <w:r w:rsidRPr="00B848ED">
        <w:rPr>
          <w:rFonts w:ascii="Times New Roman" w:hAnsi="Times New Roman" w:cs="Times New Roman"/>
          <w:sz w:val="24"/>
        </w:rPr>
        <w:t>s orders; inform patients of home nutrition feeding precautions; uniformly distribute printed health education brochures before discharge and verbally explain tube care, dietary contraindications, and key points for identifying uncomfortable symptoms; reserve a department consultation phone number after discharge for patients to call for advice when problems arise. The observation group received supportive nursing intervention, as follows:</w:t>
      </w:r>
    </w:p>
    <w:p w14:paraId="1FFE52B2" w14:textId="77777777" w:rsidR="00B848ED" w:rsidRDefault="00B848ED" w:rsidP="00B848ED">
      <w:pPr>
        <w:snapToGrid w:val="0"/>
        <w:rPr>
          <w:rFonts w:ascii="Times New Roman" w:hAnsi="Times New Roman" w:cs="Times New Roman"/>
          <w:sz w:val="24"/>
        </w:rPr>
      </w:pPr>
    </w:p>
    <w:p w14:paraId="027217EA" w14:textId="537EE414" w:rsidR="00B848ED" w:rsidRPr="001A3712" w:rsidRDefault="00B848ED" w:rsidP="00B848ED">
      <w:pPr>
        <w:snapToGrid w:val="0"/>
        <w:rPr>
          <w:rFonts w:ascii="Times New Roman" w:hAnsi="Times New Roman" w:cs="Times New Roman"/>
          <w:b/>
          <w:bCs/>
          <w:sz w:val="24"/>
        </w:rPr>
      </w:pPr>
      <w:r w:rsidRPr="001A3712">
        <w:rPr>
          <w:rFonts w:ascii="Times New Roman" w:hAnsi="Times New Roman" w:cs="Times New Roman"/>
          <w:b/>
          <w:bCs/>
          <w:sz w:val="24"/>
        </w:rPr>
        <w:t xml:space="preserve">2.2.1. </w:t>
      </w:r>
      <w:r w:rsidR="00000000" w:rsidRPr="001A3712">
        <w:rPr>
          <w:rFonts w:ascii="Times New Roman" w:hAnsi="Times New Roman" w:cs="Times New Roman"/>
          <w:b/>
          <w:bCs/>
          <w:sz w:val="24"/>
        </w:rPr>
        <w:t>Individualized health education</w:t>
      </w:r>
    </w:p>
    <w:p w14:paraId="49709BB4" w14:textId="23FAAB1A"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 xml:space="preserve">(1) </w:t>
      </w:r>
      <w:r>
        <w:rPr>
          <w:rFonts w:ascii="Times New Roman" w:hAnsi="Times New Roman" w:cs="Times New Roman"/>
          <w:sz w:val="24"/>
        </w:rPr>
        <w:tab/>
      </w:r>
      <w:r w:rsidR="00000000" w:rsidRPr="00B848ED">
        <w:rPr>
          <w:rFonts w:ascii="Times New Roman" w:hAnsi="Times New Roman" w:cs="Times New Roman"/>
          <w:sz w:val="24"/>
        </w:rPr>
        <w:t>Bedside practical teaching during hospitalization</w:t>
      </w:r>
    </w:p>
    <w:p w14:paraId="1B25AFF5" w14:textId="4EEA46F8"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ab/>
      </w:r>
      <w:r w:rsidR="00000000" w:rsidRPr="00B848ED">
        <w:rPr>
          <w:rFonts w:ascii="Times New Roman" w:hAnsi="Times New Roman" w:cs="Times New Roman"/>
          <w:sz w:val="24"/>
        </w:rPr>
        <w:t>The responsible nurse demonstrates the entire process of enteral nutrition pump/gravity infusion, tube flushing, sealing, fixation, and dressing change on a one-on-one basis, encouraging patients and their family members to independently complete the operations twice and providing on-site error correction until the operations are standardized; for elderly family members or those with poor memory, record standard operation short videos and send them to the family members</w:t>
      </w:r>
      <w:r>
        <w:rPr>
          <w:rFonts w:ascii="Times New Roman" w:hAnsi="Times New Roman" w:cs="Times New Roman"/>
          <w:sz w:val="24"/>
        </w:rPr>
        <w:t>’</w:t>
      </w:r>
      <w:r w:rsidR="00000000" w:rsidRPr="00B848ED">
        <w:rPr>
          <w:rFonts w:ascii="Times New Roman" w:hAnsi="Times New Roman" w:cs="Times New Roman"/>
          <w:sz w:val="24"/>
        </w:rPr>
        <w:t xml:space="preserve"> WeChat for retention. </w:t>
      </w:r>
    </w:p>
    <w:p w14:paraId="0460C5F6" w14:textId="0CB18737"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sidR="00000000" w:rsidRPr="00B848ED">
        <w:rPr>
          <w:rFonts w:ascii="Times New Roman" w:hAnsi="Times New Roman" w:cs="Times New Roman"/>
          <w:sz w:val="24"/>
        </w:rPr>
        <w:t>Explanation of nutrition plans</w:t>
      </w:r>
    </w:p>
    <w:p w14:paraId="4AF1D021" w14:textId="59D8689D"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ab/>
      </w:r>
      <w:r w:rsidR="00000000" w:rsidRPr="00B848ED">
        <w:rPr>
          <w:rFonts w:ascii="Times New Roman" w:hAnsi="Times New Roman" w:cs="Times New Roman"/>
          <w:sz w:val="24"/>
        </w:rPr>
        <w:t>Formulate the total daily volume of nutrition solution, the infusion dose per time, and temperature control (38</w:t>
      </w:r>
      <w:r>
        <w:rPr>
          <w:rFonts w:ascii="Times New Roman" w:hAnsi="Times New Roman" w:cs="Times New Roman"/>
          <w:sz w:val="24"/>
        </w:rPr>
        <w:t>–</w:t>
      </w:r>
      <w:r w:rsidR="00000000" w:rsidRPr="00B848ED">
        <w:rPr>
          <w:rFonts w:ascii="Times New Roman" w:hAnsi="Times New Roman" w:cs="Times New Roman"/>
          <w:sz w:val="24"/>
        </w:rPr>
        <w:t>40</w:t>
      </w:r>
      <w:r>
        <w:rPr>
          <w:rFonts w:ascii="Times New Roman" w:hAnsi="Times New Roman" w:cs="Times New Roman"/>
          <w:sz w:val="24"/>
        </w:rPr>
        <w:t xml:space="preserve"> ℃</w:t>
      </w:r>
      <w:r w:rsidR="00000000" w:rsidRPr="00B848ED">
        <w:rPr>
          <w:rFonts w:ascii="Times New Roman" w:hAnsi="Times New Roman" w:cs="Times New Roman"/>
          <w:sz w:val="24"/>
        </w:rPr>
        <w:t>) based on the patient</w:t>
      </w:r>
      <w:r>
        <w:rPr>
          <w:rFonts w:ascii="Times New Roman" w:hAnsi="Times New Roman" w:cs="Times New Roman"/>
          <w:sz w:val="24"/>
        </w:rPr>
        <w:t>’</w:t>
      </w:r>
      <w:r w:rsidR="00000000" w:rsidRPr="00B848ED">
        <w:rPr>
          <w:rFonts w:ascii="Times New Roman" w:hAnsi="Times New Roman" w:cs="Times New Roman"/>
          <w:sz w:val="24"/>
        </w:rPr>
        <w:t xml:space="preserve">s weight, preoperative nutritional indicators, and surgical anastomosis condition; clarify that the infusion duration for a single time should be no less than 2 hours and that rapid injection of nutrition solution is strictly prohibited; distinguish the dilution and dose reduction adjustment plans for nutrition solutions for patients with diarrhea, abdominal distension, and reflux to avoid uniform education. </w:t>
      </w:r>
    </w:p>
    <w:p w14:paraId="0D884055" w14:textId="5E322CC5"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sidR="00000000" w:rsidRPr="00B848ED">
        <w:rPr>
          <w:rFonts w:ascii="Times New Roman" w:hAnsi="Times New Roman" w:cs="Times New Roman"/>
          <w:sz w:val="24"/>
        </w:rPr>
        <w:t>Specialized popularization of complications</w:t>
      </w:r>
    </w:p>
    <w:p w14:paraId="5A8417F8" w14:textId="39375285" w:rsidR="00531C19" w:rsidRPr="00B848ED" w:rsidRDefault="00B848ED" w:rsidP="001A3712">
      <w:pPr>
        <w:snapToGrid w:val="0"/>
        <w:ind w:left="709" w:hanging="709"/>
        <w:rPr>
          <w:rFonts w:ascii="Times New Roman" w:hAnsi="Times New Roman" w:cs="Times New Roman"/>
          <w:sz w:val="24"/>
        </w:rPr>
      </w:pPr>
      <w:r>
        <w:rPr>
          <w:rFonts w:ascii="Times New Roman" w:hAnsi="Times New Roman" w:cs="Times New Roman"/>
          <w:sz w:val="24"/>
        </w:rPr>
        <w:tab/>
      </w:r>
      <w:r w:rsidR="00000000" w:rsidRPr="00B848ED">
        <w:rPr>
          <w:rFonts w:ascii="Times New Roman" w:hAnsi="Times New Roman" w:cs="Times New Roman"/>
          <w:sz w:val="24"/>
        </w:rPr>
        <w:t>Explain the causes of abdominal pain, diarrhea, tube blockage, and reflux aspiration through illustrations and guide home-based simple treatment methods, such as prohibiting violent injection for tube blockage and using 30 m</w:t>
      </w:r>
      <w:r>
        <w:rPr>
          <w:rFonts w:ascii="Times New Roman" w:hAnsi="Times New Roman" w:cs="Times New Roman"/>
          <w:sz w:val="24"/>
        </w:rPr>
        <w:t>L</w:t>
      </w:r>
      <w:r w:rsidR="00000000" w:rsidRPr="00B848ED">
        <w:rPr>
          <w:rFonts w:ascii="Times New Roman" w:hAnsi="Times New Roman" w:cs="Times New Roman"/>
          <w:sz w:val="24"/>
        </w:rPr>
        <w:t xml:space="preserve"> of warm water for repeated pulsatile flushing at a constant temperature; maintaining a semi-reclining position for 30</w:t>
      </w:r>
      <w:r>
        <w:rPr>
          <w:rFonts w:ascii="Times New Roman" w:hAnsi="Times New Roman" w:cs="Times New Roman"/>
          <w:sz w:val="24"/>
        </w:rPr>
        <w:t>–</w:t>
      </w:r>
      <w:r w:rsidR="00000000" w:rsidRPr="00B848ED">
        <w:rPr>
          <w:rFonts w:ascii="Times New Roman" w:hAnsi="Times New Roman" w:cs="Times New Roman"/>
          <w:sz w:val="24"/>
        </w:rPr>
        <w:t xml:space="preserve">60 minutes after meals to prevent reflux. </w:t>
      </w:r>
    </w:p>
    <w:p w14:paraId="7943EA39" w14:textId="77777777" w:rsidR="00B848ED" w:rsidRDefault="00B848ED" w:rsidP="00B848ED">
      <w:pPr>
        <w:snapToGrid w:val="0"/>
        <w:ind w:firstLineChars="200" w:firstLine="480"/>
        <w:rPr>
          <w:rFonts w:ascii="Times New Roman" w:hAnsi="Times New Roman" w:cs="Times New Roman"/>
          <w:sz w:val="24"/>
        </w:rPr>
      </w:pPr>
    </w:p>
    <w:p w14:paraId="2C307763" w14:textId="44D5E384" w:rsidR="00B848ED" w:rsidRPr="001A3712" w:rsidRDefault="00B848ED" w:rsidP="00B848ED">
      <w:pPr>
        <w:snapToGrid w:val="0"/>
        <w:rPr>
          <w:rFonts w:ascii="Times New Roman" w:hAnsi="Times New Roman" w:cs="Times New Roman"/>
          <w:b/>
          <w:bCs/>
          <w:sz w:val="24"/>
        </w:rPr>
      </w:pPr>
      <w:r w:rsidRPr="001A3712">
        <w:rPr>
          <w:rFonts w:ascii="Times New Roman" w:hAnsi="Times New Roman" w:cs="Times New Roman"/>
          <w:b/>
          <w:bCs/>
          <w:sz w:val="24"/>
        </w:rPr>
        <w:lastRenderedPageBreak/>
        <w:t>2.2.2.</w:t>
      </w:r>
      <w:r w:rsidR="00000000" w:rsidRPr="001A3712">
        <w:rPr>
          <w:rFonts w:ascii="Times New Roman" w:hAnsi="Times New Roman" w:cs="Times New Roman"/>
          <w:b/>
          <w:bCs/>
          <w:sz w:val="24"/>
        </w:rPr>
        <w:t xml:space="preserve"> Continuous follow-up</w:t>
      </w:r>
    </w:p>
    <w:p w14:paraId="120F2C9F" w14:textId="5C860E27"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 xml:space="preserve">(1) </w:t>
      </w:r>
      <w:r>
        <w:rPr>
          <w:rFonts w:ascii="Times New Roman" w:hAnsi="Times New Roman" w:cs="Times New Roman"/>
          <w:sz w:val="24"/>
        </w:rPr>
        <w:tab/>
      </w:r>
      <w:r w:rsidR="00000000" w:rsidRPr="00B848ED">
        <w:rPr>
          <w:rFonts w:ascii="Times New Roman" w:hAnsi="Times New Roman" w:cs="Times New Roman"/>
          <w:sz w:val="24"/>
        </w:rPr>
        <w:t>Online WeChat follow-up</w:t>
      </w:r>
    </w:p>
    <w:p w14:paraId="33D4573C" w14:textId="0726D2C7"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ab/>
      </w:r>
      <w:r w:rsidR="00000000" w:rsidRPr="00B848ED">
        <w:rPr>
          <w:rFonts w:ascii="Times New Roman" w:hAnsi="Times New Roman" w:cs="Times New Roman"/>
          <w:sz w:val="24"/>
        </w:rPr>
        <w:t>Open an online consultation window daily to promptly answer family members</w:t>
      </w:r>
      <w:r>
        <w:rPr>
          <w:rFonts w:ascii="Times New Roman" w:hAnsi="Times New Roman" w:cs="Times New Roman"/>
          <w:sz w:val="24"/>
        </w:rPr>
        <w:t>’</w:t>
      </w:r>
      <w:r w:rsidR="00000000" w:rsidRPr="00B848ED">
        <w:rPr>
          <w:rFonts w:ascii="Times New Roman" w:hAnsi="Times New Roman" w:cs="Times New Roman"/>
          <w:sz w:val="24"/>
        </w:rPr>
        <w:t xml:space="preserve"> feeding questions; send one short video on home nutrition care for esophageal cancer per week; collect patients</w:t>
      </w:r>
      <w:r>
        <w:rPr>
          <w:rFonts w:ascii="Times New Roman" w:hAnsi="Times New Roman" w:cs="Times New Roman"/>
          <w:sz w:val="24"/>
        </w:rPr>
        <w:t>’</w:t>
      </w:r>
      <w:r w:rsidR="00000000" w:rsidRPr="00B848ED">
        <w:rPr>
          <w:rFonts w:ascii="Times New Roman" w:hAnsi="Times New Roman" w:cs="Times New Roman"/>
          <w:sz w:val="24"/>
        </w:rPr>
        <w:t xml:space="preserve"> weight and food tolerance information online every month and dynamically adjust the nutrition infusion plan. </w:t>
      </w:r>
    </w:p>
    <w:p w14:paraId="5420D600" w14:textId="7770C307"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sidR="00000000" w:rsidRPr="00B848ED">
        <w:rPr>
          <w:rFonts w:ascii="Times New Roman" w:hAnsi="Times New Roman" w:cs="Times New Roman"/>
          <w:sz w:val="24"/>
        </w:rPr>
        <w:t>Offline home visits</w:t>
      </w:r>
    </w:p>
    <w:p w14:paraId="4D2AC75C" w14:textId="1864EFFB"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ab/>
      </w:r>
      <w:r w:rsidR="00000000" w:rsidRPr="00B848ED">
        <w:rPr>
          <w:rFonts w:ascii="Times New Roman" w:hAnsi="Times New Roman" w:cs="Times New Roman"/>
          <w:sz w:val="24"/>
        </w:rPr>
        <w:t>Conduct one home nursing visit at 1 month and 3 months after discharge, respectively, to check on-site tube fixation, the presence of exudate on dressings, and skin pressure injuries; assess the standardization of family members</w:t>
      </w:r>
      <w:r>
        <w:rPr>
          <w:rFonts w:ascii="Times New Roman" w:hAnsi="Times New Roman" w:cs="Times New Roman"/>
          <w:sz w:val="24"/>
        </w:rPr>
        <w:t>’</w:t>
      </w:r>
      <w:r w:rsidR="00000000" w:rsidRPr="00B848ED">
        <w:rPr>
          <w:rFonts w:ascii="Times New Roman" w:hAnsi="Times New Roman" w:cs="Times New Roman"/>
          <w:sz w:val="24"/>
        </w:rPr>
        <w:t xml:space="preserve"> operations on-site and correct wrong feeding habits; re-measure simple nutritional indicators on-site and record patients</w:t>
      </w:r>
      <w:r>
        <w:rPr>
          <w:rFonts w:ascii="Times New Roman" w:hAnsi="Times New Roman" w:cs="Times New Roman"/>
          <w:sz w:val="24"/>
        </w:rPr>
        <w:t>’</w:t>
      </w:r>
      <w:r w:rsidR="00000000" w:rsidRPr="00B848ED">
        <w:rPr>
          <w:rFonts w:ascii="Times New Roman" w:hAnsi="Times New Roman" w:cs="Times New Roman"/>
          <w:sz w:val="24"/>
        </w:rPr>
        <w:t xml:space="preserve"> uncomfortable symptoms. </w:t>
      </w:r>
    </w:p>
    <w:p w14:paraId="0138976A" w14:textId="73572CCC"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sidR="00000000" w:rsidRPr="00B848ED">
        <w:rPr>
          <w:rFonts w:ascii="Times New Roman" w:hAnsi="Times New Roman" w:cs="Times New Roman"/>
          <w:sz w:val="24"/>
        </w:rPr>
        <w:t>Telephone emergency follow-up</w:t>
      </w:r>
    </w:p>
    <w:p w14:paraId="18986CE0" w14:textId="725E8C49" w:rsidR="00531C19"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ab/>
      </w:r>
      <w:r w:rsidR="00000000" w:rsidRPr="00B848ED">
        <w:rPr>
          <w:rFonts w:ascii="Times New Roman" w:hAnsi="Times New Roman" w:cs="Times New Roman"/>
          <w:sz w:val="24"/>
        </w:rPr>
        <w:t xml:space="preserve">When sudden discomfort such as abdominal pain, vomiting, or tube blockage occurs, the nursing hotline provides real-time guidance on emergency treatment. If the symptoms cannot be relieved, the patient is immediately guided to return to the hospital for treatment. </w:t>
      </w:r>
    </w:p>
    <w:p w14:paraId="6713E8C8" w14:textId="77777777" w:rsidR="00B848ED" w:rsidRPr="00B848ED" w:rsidRDefault="00B848ED" w:rsidP="001A3712">
      <w:pPr>
        <w:snapToGrid w:val="0"/>
        <w:ind w:left="709" w:hanging="709"/>
        <w:rPr>
          <w:rFonts w:ascii="Times New Roman" w:hAnsi="Times New Roman" w:cs="Times New Roman"/>
          <w:sz w:val="24"/>
        </w:rPr>
      </w:pPr>
    </w:p>
    <w:p w14:paraId="2E8C68E1" w14:textId="3038C83A" w:rsidR="00B848ED" w:rsidRPr="001A3712" w:rsidRDefault="00B848ED" w:rsidP="00B848ED">
      <w:pPr>
        <w:snapToGrid w:val="0"/>
        <w:rPr>
          <w:rFonts w:ascii="Times New Roman" w:hAnsi="Times New Roman" w:cs="Times New Roman"/>
          <w:b/>
          <w:bCs/>
          <w:sz w:val="24"/>
        </w:rPr>
      </w:pPr>
      <w:r w:rsidRPr="001A3712">
        <w:rPr>
          <w:rFonts w:ascii="Times New Roman" w:hAnsi="Times New Roman" w:cs="Times New Roman"/>
          <w:b/>
          <w:bCs/>
          <w:sz w:val="24"/>
        </w:rPr>
        <w:t xml:space="preserve">2.2.3. </w:t>
      </w:r>
      <w:r w:rsidR="00000000" w:rsidRPr="001A3712">
        <w:rPr>
          <w:rFonts w:ascii="Times New Roman" w:hAnsi="Times New Roman" w:cs="Times New Roman"/>
          <w:b/>
          <w:bCs/>
          <w:sz w:val="24"/>
        </w:rPr>
        <w:t>Psychological support</w:t>
      </w:r>
    </w:p>
    <w:p w14:paraId="2A957BE8" w14:textId="0D662EB7" w:rsidR="00531C19" w:rsidRPr="00B848ED" w:rsidRDefault="00000000" w:rsidP="001A3712">
      <w:pPr>
        <w:snapToGrid w:val="0"/>
        <w:rPr>
          <w:rFonts w:ascii="Times New Roman" w:hAnsi="Times New Roman" w:cs="Times New Roman"/>
          <w:sz w:val="24"/>
        </w:rPr>
      </w:pPr>
      <w:r w:rsidRPr="00B848ED">
        <w:rPr>
          <w:rFonts w:ascii="Times New Roman" w:hAnsi="Times New Roman" w:cs="Times New Roman"/>
          <w:sz w:val="24"/>
        </w:rPr>
        <w:t xml:space="preserve">Use an anxiety scale to assess emotional states and conduct one-on-one communication with patients with obvious negative emotions, explaining the role of home enteral nutrition in anastomosis healing and immune function recovery, listing well-recovered cases in the same ward to relieve psychological pressure. Actively affirm the care efforts of family members and answer their concerns; encourage family members to participate in nutrition care together to enhance care confidence. </w:t>
      </w:r>
    </w:p>
    <w:p w14:paraId="02555B5F" w14:textId="77777777" w:rsidR="00B848ED" w:rsidRDefault="00B848ED" w:rsidP="00B848ED">
      <w:pPr>
        <w:snapToGrid w:val="0"/>
        <w:ind w:firstLineChars="200" w:firstLine="480"/>
        <w:rPr>
          <w:rFonts w:ascii="Times New Roman" w:hAnsi="Times New Roman" w:cs="Times New Roman"/>
          <w:sz w:val="24"/>
        </w:rPr>
      </w:pPr>
    </w:p>
    <w:p w14:paraId="3B3FD4FC" w14:textId="241AED90" w:rsidR="00B848ED" w:rsidRPr="001A3712" w:rsidRDefault="00B848ED" w:rsidP="00B848ED">
      <w:pPr>
        <w:snapToGrid w:val="0"/>
        <w:rPr>
          <w:rFonts w:ascii="Times New Roman" w:hAnsi="Times New Roman" w:cs="Times New Roman"/>
          <w:b/>
          <w:bCs/>
          <w:sz w:val="24"/>
        </w:rPr>
      </w:pPr>
      <w:r w:rsidRPr="001A3712">
        <w:rPr>
          <w:rFonts w:ascii="Times New Roman" w:hAnsi="Times New Roman" w:cs="Times New Roman"/>
          <w:b/>
          <w:bCs/>
          <w:sz w:val="24"/>
        </w:rPr>
        <w:t>2.2.4.</w:t>
      </w:r>
      <w:r w:rsidR="00000000" w:rsidRPr="001A3712">
        <w:rPr>
          <w:rFonts w:ascii="Times New Roman" w:hAnsi="Times New Roman" w:cs="Times New Roman"/>
          <w:b/>
          <w:bCs/>
          <w:sz w:val="24"/>
        </w:rPr>
        <w:t xml:space="preserve"> Dynamic nutrition monitoring</w:t>
      </w:r>
    </w:p>
    <w:p w14:paraId="53CB7492" w14:textId="1A4BB6CC"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sidR="00000000" w:rsidRPr="00B848ED">
        <w:rPr>
          <w:rFonts w:ascii="Times New Roman" w:hAnsi="Times New Roman" w:cs="Times New Roman"/>
          <w:sz w:val="24"/>
        </w:rPr>
        <w:t>Guidance on indicator monitoring</w:t>
      </w:r>
    </w:p>
    <w:p w14:paraId="2B7BA19F" w14:textId="3F5B8FF4"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ab/>
      </w:r>
      <w:r w:rsidR="00000000" w:rsidRPr="00B848ED">
        <w:rPr>
          <w:rFonts w:ascii="Times New Roman" w:hAnsi="Times New Roman" w:cs="Times New Roman"/>
          <w:sz w:val="24"/>
        </w:rPr>
        <w:t>Inform family members to weigh the patient</w:t>
      </w:r>
      <w:r>
        <w:rPr>
          <w:rFonts w:ascii="Times New Roman" w:hAnsi="Times New Roman" w:cs="Times New Roman"/>
          <w:sz w:val="24"/>
        </w:rPr>
        <w:t>’</w:t>
      </w:r>
      <w:r w:rsidR="00000000" w:rsidRPr="00B848ED">
        <w:rPr>
          <w:rFonts w:ascii="Times New Roman" w:hAnsi="Times New Roman" w:cs="Times New Roman"/>
          <w:sz w:val="24"/>
        </w:rPr>
        <w:t>s fasting weight at a fixed time every week and record the daily tolerance of nutrition solution; uniformly review nutritional status and immune indicators during follow-up and adjust the nutrition solution ratio and total daily calories according to indicator changes.</w:t>
      </w:r>
    </w:p>
    <w:p w14:paraId="4F842017" w14:textId="571A6DD3"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sidR="00000000" w:rsidRPr="00B848ED">
        <w:rPr>
          <w:rFonts w:ascii="Times New Roman" w:hAnsi="Times New Roman" w:cs="Times New Roman"/>
          <w:sz w:val="24"/>
        </w:rPr>
        <w:t>Guidance on dietary transition</w:t>
      </w:r>
    </w:p>
    <w:p w14:paraId="43BF4567" w14:textId="2BF41C48" w:rsidR="00531C19"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ab/>
      </w:r>
      <w:r w:rsidR="00000000" w:rsidRPr="00B848ED">
        <w:rPr>
          <w:rFonts w:ascii="Times New Roman" w:hAnsi="Times New Roman" w:cs="Times New Roman"/>
          <w:sz w:val="24"/>
        </w:rPr>
        <w:t xml:space="preserve">Within 1 month after surgery, mainly use enteral nutrition solutions. According to the recovery of the anastomosis, gradually guide the addition of liquid supplements such as rice soup and vegetable juice, record whether there is abdominal distension and diarrhea after addition, and gradually transition to a semi-liquid diet; prohibit spicy, overly hot, and coarse-fiber irritating foods. </w:t>
      </w:r>
    </w:p>
    <w:p w14:paraId="6FEC7AEE" w14:textId="77777777" w:rsidR="00B848ED" w:rsidRPr="00B848ED" w:rsidRDefault="00B848ED" w:rsidP="001A3712">
      <w:pPr>
        <w:snapToGrid w:val="0"/>
        <w:ind w:left="709" w:hanging="709"/>
        <w:rPr>
          <w:rFonts w:ascii="Times New Roman" w:hAnsi="Times New Roman" w:cs="Times New Roman"/>
          <w:sz w:val="24"/>
        </w:rPr>
      </w:pPr>
    </w:p>
    <w:p w14:paraId="48998C3B" w14:textId="4EEDCDD2" w:rsidR="00B848ED" w:rsidRPr="001A3712" w:rsidRDefault="00B848ED" w:rsidP="00B848ED">
      <w:pPr>
        <w:snapToGrid w:val="0"/>
        <w:rPr>
          <w:rFonts w:ascii="Times New Roman" w:hAnsi="Times New Roman" w:cs="Times New Roman"/>
          <w:b/>
          <w:bCs/>
          <w:sz w:val="24"/>
        </w:rPr>
      </w:pPr>
      <w:r w:rsidRPr="001A3712">
        <w:rPr>
          <w:rFonts w:ascii="Times New Roman" w:hAnsi="Times New Roman" w:cs="Times New Roman"/>
          <w:b/>
          <w:bCs/>
          <w:sz w:val="24"/>
        </w:rPr>
        <w:t>2.2.5.</w:t>
      </w:r>
      <w:r w:rsidR="00000000" w:rsidRPr="001A3712">
        <w:rPr>
          <w:rFonts w:ascii="Times New Roman" w:hAnsi="Times New Roman" w:cs="Times New Roman"/>
          <w:b/>
          <w:bCs/>
          <w:sz w:val="24"/>
        </w:rPr>
        <w:t xml:space="preserve"> Refined home tube care</w:t>
      </w:r>
    </w:p>
    <w:p w14:paraId="353BE5BE" w14:textId="0D632043"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sidR="00000000" w:rsidRPr="00B848ED">
        <w:rPr>
          <w:rFonts w:ascii="Times New Roman" w:hAnsi="Times New Roman" w:cs="Times New Roman"/>
          <w:sz w:val="24"/>
        </w:rPr>
        <w:t>Guidance on tube fixation</w:t>
      </w:r>
    </w:p>
    <w:p w14:paraId="3E2F4AA7" w14:textId="2ED96DB4"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ab/>
      </w:r>
      <w:r w:rsidR="00000000" w:rsidRPr="00B848ED">
        <w:rPr>
          <w:rFonts w:ascii="Times New Roman" w:hAnsi="Times New Roman" w:cs="Times New Roman"/>
          <w:sz w:val="24"/>
        </w:rPr>
        <w:t xml:space="preserve">Guide the use of medical breathable dressings and elastic tapes to properly fix the stoma tube/nasogastric tube, replace the fixed dressing daily, and observe for redness, swelling, or pressure sores on the nasal/abdominal skin; reserve enough tube length when turning over or moving to prevent pulling and dislodgement. </w:t>
      </w:r>
    </w:p>
    <w:p w14:paraId="3A10EC78" w14:textId="6652512E"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sidR="00000000" w:rsidRPr="00B848ED">
        <w:rPr>
          <w:rFonts w:ascii="Times New Roman" w:hAnsi="Times New Roman" w:cs="Times New Roman"/>
          <w:sz w:val="24"/>
        </w:rPr>
        <w:t>Tube maintenance specifications</w:t>
      </w:r>
    </w:p>
    <w:p w14:paraId="1BD65D42" w14:textId="0C5B578F" w:rsidR="00531C19" w:rsidRPr="00B848ED" w:rsidRDefault="00B848ED" w:rsidP="001A3712">
      <w:pPr>
        <w:snapToGrid w:val="0"/>
        <w:ind w:left="709" w:hanging="709"/>
        <w:rPr>
          <w:rFonts w:ascii="Times New Roman" w:hAnsi="Times New Roman" w:cs="Times New Roman"/>
          <w:sz w:val="24"/>
        </w:rPr>
      </w:pPr>
      <w:r>
        <w:rPr>
          <w:rFonts w:ascii="Times New Roman" w:hAnsi="Times New Roman" w:cs="Times New Roman"/>
          <w:sz w:val="24"/>
        </w:rPr>
        <w:tab/>
      </w:r>
      <w:r w:rsidR="00000000" w:rsidRPr="00B848ED">
        <w:rPr>
          <w:rFonts w:ascii="Times New Roman" w:hAnsi="Times New Roman" w:cs="Times New Roman"/>
          <w:sz w:val="24"/>
        </w:rPr>
        <w:t>Use 20</w:t>
      </w:r>
      <w:r>
        <w:rPr>
          <w:rFonts w:ascii="Times New Roman" w:hAnsi="Times New Roman" w:cs="Times New Roman"/>
          <w:sz w:val="24"/>
        </w:rPr>
        <w:t>–</w:t>
      </w:r>
      <w:r w:rsidR="00000000" w:rsidRPr="00B848ED">
        <w:rPr>
          <w:rFonts w:ascii="Times New Roman" w:hAnsi="Times New Roman" w:cs="Times New Roman"/>
          <w:sz w:val="24"/>
        </w:rPr>
        <w:t>30 m</w:t>
      </w:r>
      <w:r>
        <w:rPr>
          <w:rFonts w:ascii="Times New Roman" w:hAnsi="Times New Roman" w:cs="Times New Roman"/>
          <w:sz w:val="24"/>
        </w:rPr>
        <w:t>L</w:t>
      </w:r>
      <w:r w:rsidR="00000000" w:rsidRPr="00B848ED">
        <w:rPr>
          <w:rFonts w:ascii="Times New Roman" w:hAnsi="Times New Roman" w:cs="Times New Roman"/>
          <w:sz w:val="24"/>
        </w:rPr>
        <w:t xml:space="preserve"> of warm water for pulsatile flushing before and after each infusion and seal the tube after infusion; clean the nutrition infusion equipment daily and replace the infusion tube weekly. Immediately replace contaminated or damaged tubes; keep nursing supplies such as warm water for flushing, sterile gauze, and dressings at home. </w:t>
      </w:r>
    </w:p>
    <w:p w14:paraId="7E2363D9" w14:textId="77777777" w:rsidR="00B848ED" w:rsidRDefault="00B848ED" w:rsidP="00B848ED">
      <w:pPr>
        <w:snapToGrid w:val="0"/>
        <w:ind w:firstLineChars="200" w:firstLine="480"/>
        <w:rPr>
          <w:rFonts w:ascii="Times New Roman" w:hAnsi="Times New Roman" w:cs="Times New Roman"/>
          <w:sz w:val="24"/>
        </w:rPr>
      </w:pPr>
    </w:p>
    <w:p w14:paraId="34D6734F" w14:textId="273AB3BC" w:rsidR="00B848ED" w:rsidRPr="001A3712" w:rsidRDefault="00B848ED" w:rsidP="00B848ED">
      <w:pPr>
        <w:snapToGrid w:val="0"/>
        <w:rPr>
          <w:rFonts w:ascii="Times New Roman" w:hAnsi="Times New Roman" w:cs="Times New Roman"/>
          <w:b/>
          <w:bCs/>
          <w:sz w:val="24"/>
        </w:rPr>
      </w:pPr>
      <w:r w:rsidRPr="001A3712">
        <w:rPr>
          <w:rFonts w:ascii="Times New Roman" w:hAnsi="Times New Roman" w:cs="Times New Roman"/>
          <w:b/>
          <w:bCs/>
          <w:sz w:val="24"/>
        </w:rPr>
        <w:t>2.2.6.</w:t>
      </w:r>
      <w:r w:rsidR="00000000" w:rsidRPr="001A3712">
        <w:rPr>
          <w:rFonts w:ascii="Times New Roman" w:hAnsi="Times New Roman" w:cs="Times New Roman"/>
          <w:b/>
          <w:bCs/>
          <w:sz w:val="24"/>
        </w:rPr>
        <w:t xml:space="preserve"> Preventive intervention for adverse events</w:t>
      </w:r>
    </w:p>
    <w:p w14:paraId="09C4627B" w14:textId="3E79FC24" w:rsidR="00531C19" w:rsidRPr="00B848ED" w:rsidRDefault="00000000" w:rsidP="001A3712">
      <w:pPr>
        <w:snapToGrid w:val="0"/>
        <w:rPr>
          <w:rFonts w:ascii="Times New Roman" w:hAnsi="Times New Roman" w:cs="Times New Roman"/>
          <w:sz w:val="24"/>
        </w:rPr>
      </w:pPr>
      <w:r w:rsidRPr="00B848ED">
        <w:rPr>
          <w:rFonts w:ascii="Times New Roman" w:hAnsi="Times New Roman" w:cs="Times New Roman"/>
          <w:sz w:val="24"/>
        </w:rPr>
        <w:t xml:space="preserve">Prepare the nutrition solution for immediate use and do not leave it at room temperature for more than 4 hours to avoid bacterial growth and diarrhea; use the refrigerated prepared solution within 24 </w:t>
      </w:r>
      <w:r w:rsidRPr="00B848ED">
        <w:rPr>
          <w:rFonts w:ascii="Times New Roman" w:hAnsi="Times New Roman" w:cs="Times New Roman"/>
          <w:sz w:val="24"/>
        </w:rPr>
        <w:lastRenderedPageBreak/>
        <w:t>hours and discard it 4 hours after warming; gradually increase the infusion rate from slow to fast for tolerance; raise the head of the bed after each feeding and stop nutrition solution infusion 2 hours before bedtime at night to reduce the risk of nighttime reflux; instruct family members to observe the patient</w:t>
      </w:r>
      <w:r w:rsidR="00B848ED">
        <w:rPr>
          <w:rFonts w:ascii="Times New Roman" w:hAnsi="Times New Roman" w:cs="Times New Roman"/>
          <w:sz w:val="24"/>
        </w:rPr>
        <w:t>’</w:t>
      </w:r>
      <w:r w:rsidRPr="00B848ED">
        <w:rPr>
          <w:rFonts w:ascii="Times New Roman" w:hAnsi="Times New Roman" w:cs="Times New Roman"/>
          <w:sz w:val="24"/>
        </w:rPr>
        <w:t xml:space="preserve">s defecation and abdominal signs daily, slow down the infusion rate when mild abdominal pain occurs, and seek medical attention promptly if the discomfort persists. </w:t>
      </w:r>
    </w:p>
    <w:p w14:paraId="4E02B052" w14:textId="77777777" w:rsidR="00531C19" w:rsidRPr="00B848ED" w:rsidRDefault="00000000" w:rsidP="001A3712">
      <w:pPr>
        <w:snapToGrid w:val="0"/>
        <w:ind w:firstLineChars="200" w:firstLine="480"/>
        <w:rPr>
          <w:rFonts w:ascii="Times New Roman" w:hAnsi="Times New Roman" w:cs="Times New Roman"/>
          <w:sz w:val="24"/>
        </w:rPr>
      </w:pPr>
      <w:r w:rsidRPr="00B848ED">
        <w:rPr>
          <w:rFonts w:ascii="Times New Roman" w:hAnsi="Times New Roman" w:cs="Times New Roman"/>
          <w:sz w:val="24"/>
        </w:rPr>
        <w:t>Note: Both groups received interventions until 3 months after discharge.</w:t>
      </w:r>
    </w:p>
    <w:p w14:paraId="58331700" w14:textId="77777777" w:rsidR="00531C19" w:rsidRPr="00B848ED" w:rsidRDefault="00531C19" w:rsidP="001A3712">
      <w:pPr>
        <w:snapToGrid w:val="0"/>
        <w:ind w:firstLineChars="200" w:firstLine="480"/>
        <w:rPr>
          <w:rFonts w:ascii="Times New Roman" w:hAnsi="Times New Roman" w:cs="Times New Roman"/>
          <w:sz w:val="24"/>
        </w:rPr>
      </w:pPr>
    </w:p>
    <w:p w14:paraId="3B063357" w14:textId="77777777" w:rsidR="00531C19" w:rsidRPr="00B848ED" w:rsidRDefault="00000000" w:rsidP="001A3712">
      <w:pPr>
        <w:snapToGrid w:val="0"/>
        <w:rPr>
          <w:rFonts w:ascii="Times New Roman" w:hAnsi="Times New Roman" w:cs="Times New Roman"/>
          <w:b/>
          <w:bCs/>
          <w:sz w:val="24"/>
        </w:rPr>
      </w:pPr>
      <w:r w:rsidRPr="00B848ED">
        <w:rPr>
          <w:rFonts w:ascii="Times New Roman" w:hAnsi="Times New Roman" w:cs="Times New Roman" w:hint="eastAsia"/>
          <w:b/>
          <w:bCs/>
          <w:sz w:val="24"/>
        </w:rPr>
        <w:t>2</w:t>
      </w:r>
      <w:r w:rsidRPr="00B848ED">
        <w:rPr>
          <w:rFonts w:ascii="Times New Roman" w:hAnsi="Times New Roman" w:cs="Times New Roman"/>
          <w:b/>
          <w:bCs/>
          <w:sz w:val="24"/>
        </w:rPr>
        <w:t xml:space="preserve">.3. Observation </w:t>
      </w:r>
      <w:r w:rsidRPr="00B848ED">
        <w:rPr>
          <w:rFonts w:ascii="Times New Roman" w:hAnsi="Times New Roman" w:cs="Times New Roman" w:hint="eastAsia"/>
          <w:b/>
          <w:bCs/>
          <w:sz w:val="24"/>
        </w:rPr>
        <w:t>i</w:t>
      </w:r>
      <w:r w:rsidRPr="00B848ED">
        <w:rPr>
          <w:rFonts w:ascii="Times New Roman" w:hAnsi="Times New Roman" w:cs="Times New Roman"/>
          <w:b/>
          <w:bCs/>
          <w:sz w:val="24"/>
        </w:rPr>
        <w:t xml:space="preserve">ndicators </w:t>
      </w:r>
    </w:p>
    <w:p w14:paraId="5D449EDD" w14:textId="77777777"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sidR="00000000" w:rsidRPr="00B848ED">
        <w:rPr>
          <w:rFonts w:ascii="Times New Roman" w:hAnsi="Times New Roman" w:cs="Times New Roman"/>
          <w:sz w:val="24"/>
        </w:rPr>
        <w:t>Indicator 1</w:t>
      </w:r>
    </w:p>
    <w:p w14:paraId="5D0FFDBA" w14:textId="34E1ECF9" w:rsidR="00B848ED" w:rsidRPr="00B848ED" w:rsidRDefault="00B848ED" w:rsidP="001A3712">
      <w:pPr>
        <w:snapToGrid w:val="0"/>
        <w:ind w:left="709" w:hanging="709"/>
        <w:rPr>
          <w:rFonts w:ascii="Times New Roman" w:hAnsi="Times New Roman" w:cs="Times New Roman"/>
          <w:sz w:val="24"/>
        </w:rPr>
      </w:pPr>
      <w:r>
        <w:rPr>
          <w:rFonts w:ascii="Times New Roman" w:hAnsi="Times New Roman" w:cs="Times New Roman"/>
          <w:sz w:val="24"/>
        </w:rPr>
        <w:tab/>
      </w:r>
      <w:r w:rsidR="00000000" w:rsidRPr="00B848ED">
        <w:rPr>
          <w:rFonts w:ascii="Times New Roman" w:hAnsi="Times New Roman" w:cs="Times New Roman"/>
          <w:sz w:val="24"/>
        </w:rPr>
        <w:t xml:space="preserve">Nutritional status. Fasting venous blood samples of 3 mL were collected from patients before discharge and 3 months after discharge. These samples were analyzed using an automatic biochemical analyzer to measure hemoglobin (Hb), albumin (ALB), prealbumin (PA), and transferrin (TRF). </w:t>
      </w:r>
    </w:p>
    <w:p w14:paraId="6EEA6DC0" w14:textId="77777777"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sidR="00000000" w:rsidRPr="00B848ED">
        <w:rPr>
          <w:rFonts w:ascii="Times New Roman" w:hAnsi="Times New Roman" w:cs="Times New Roman"/>
          <w:sz w:val="24"/>
        </w:rPr>
        <w:t>Indicator 2</w:t>
      </w:r>
    </w:p>
    <w:p w14:paraId="0DFAB7C2" w14:textId="3D09B5D5" w:rsidR="00B848ED" w:rsidRPr="00B848ED" w:rsidRDefault="00B848ED" w:rsidP="001A3712">
      <w:pPr>
        <w:snapToGrid w:val="0"/>
        <w:ind w:left="709" w:hanging="709"/>
        <w:rPr>
          <w:rFonts w:ascii="Times New Roman" w:hAnsi="Times New Roman" w:cs="Times New Roman"/>
          <w:sz w:val="24"/>
        </w:rPr>
      </w:pPr>
      <w:r>
        <w:rPr>
          <w:rFonts w:ascii="Times New Roman" w:hAnsi="Times New Roman" w:cs="Times New Roman"/>
          <w:sz w:val="24"/>
        </w:rPr>
        <w:tab/>
      </w:r>
      <w:r w:rsidR="00000000" w:rsidRPr="00B848ED">
        <w:rPr>
          <w:rFonts w:ascii="Times New Roman" w:hAnsi="Times New Roman" w:cs="Times New Roman"/>
          <w:sz w:val="24"/>
        </w:rPr>
        <w:t>Cellular immune function. Fasting venous blood samples of 3 mL were collected from patients before discharge and 3 months after discharge. The levels of T lymphocyte subsets CD4</w:t>
      </w:r>
      <w:r w:rsidR="00000000" w:rsidRPr="001A3712">
        <w:rPr>
          <w:rFonts w:ascii="Times New Roman" w:hAnsi="Times New Roman" w:cs="Times New Roman"/>
          <w:sz w:val="24"/>
          <w:vertAlign w:val="superscript"/>
        </w:rPr>
        <w:t>+</w:t>
      </w:r>
      <w:r w:rsidR="00000000" w:rsidRPr="00B848ED">
        <w:rPr>
          <w:rFonts w:ascii="Times New Roman" w:hAnsi="Times New Roman" w:cs="Times New Roman"/>
          <w:sz w:val="24"/>
        </w:rPr>
        <w:t xml:space="preserve"> and CD8</w:t>
      </w:r>
      <w:r w:rsidR="00000000" w:rsidRPr="001A3712">
        <w:rPr>
          <w:rFonts w:ascii="Times New Roman" w:hAnsi="Times New Roman" w:cs="Times New Roman"/>
          <w:sz w:val="24"/>
          <w:vertAlign w:val="superscript"/>
        </w:rPr>
        <w:t>+</w:t>
      </w:r>
      <w:r w:rsidR="00000000" w:rsidRPr="00B848ED">
        <w:rPr>
          <w:rFonts w:ascii="Times New Roman" w:hAnsi="Times New Roman" w:cs="Times New Roman"/>
          <w:sz w:val="24"/>
        </w:rPr>
        <w:t xml:space="preserve"> were measured using the enzyme-linked immunosorbent assay (ELISA), and the CD4</w:t>
      </w:r>
      <w:r w:rsidR="00000000" w:rsidRPr="001A3712">
        <w:rPr>
          <w:rFonts w:ascii="Times New Roman" w:hAnsi="Times New Roman" w:cs="Times New Roman"/>
          <w:sz w:val="24"/>
          <w:vertAlign w:val="superscript"/>
        </w:rPr>
        <w:t>+</w:t>
      </w:r>
      <w:r w:rsidR="00000000" w:rsidRPr="00B848ED">
        <w:rPr>
          <w:rFonts w:ascii="Times New Roman" w:hAnsi="Times New Roman" w:cs="Times New Roman"/>
          <w:sz w:val="24"/>
        </w:rPr>
        <w:t>/CD8</w:t>
      </w:r>
      <w:r w:rsidR="00000000" w:rsidRPr="001A3712">
        <w:rPr>
          <w:rFonts w:ascii="Times New Roman" w:hAnsi="Times New Roman" w:cs="Times New Roman"/>
          <w:sz w:val="24"/>
          <w:vertAlign w:val="superscript"/>
        </w:rPr>
        <w:t>+</w:t>
      </w:r>
      <w:r w:rsidR="00000000" w:rsidRPr="00B848ED">
        <w:rPr>
          <w:rFonts w:ascii="Times New Roman" w:hAnsi="Times New Roman" w:cs="Times New Roman"/>
          <w:sz w:val="24"/>
        </w:rPr>
        <w:t xml:space="preserve"> ratio was calculated. </w:t>
      </w:r>
    </w:p>
    <w:p w14:paraId="4EADD758" w14:textId="77777777" w:rsidR="00B848ED" w:rsidRDefault="00B848ED" w:rsidP="00B848ED">
      <w:pPr>
        <w:snapToGrid w:val="0"/>
        <w:ind w:left="709" w:hanging="709"/>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sidR="00000000" w:rsidRPr="00B848ED">
        <w:rPr>
          <w:rFonts w:ascii="Times New Roman" w:hAnsi="Times New Roman" w:cs="Times New Roman"/>
          <w:sz w:val="24"/>
        </w:rPr>
        <w:t>Indicator 3</w:t>
      </w:r>
    </w:p>
    <w:p w14:paraId="35D2F7D2" w14:textId="38917D4D" w:rsidR="00531C19" w:rsidRPr="00B848ED" w:rsidRDefault="00B848ED" w:rsidP="001A3712">
      <w:pPr>
        <w:snapToGrid w:val="0"/>
        <w:ind w:left="709" w:hanging="709"/>
        <w:rPr>
          <w:rFonts w:ascii="Times New Roman" w:hAnsi="Times New Roman" w:cs="Times New Roman"/>
          <w:sz w:val="24"/>
        </w:rPr>
      </w:pPr>
      <w:r>
        <w:rPr>
          <w:rFonts w:ascii="Times New Roman" w:hAnsi="Times New Roman" w:cs="Times New Roman"/>
          <w:sz w:val="24"/>
        </w:rPr>
        <w:tab/>
      </w:r>
      <w:r w:rsidR="00000000" w:rsidRPr="00B848ED">
        <w:rPr>
          <w:rFonts w:ascii="Times New Roman" w:hAnsi="Times New Roman" w:cs="Times New Roman"/>
          <w:sz w:val="24"/>
        </w:rPr>
        <w:t xml:space="preserve">Incidence of adverse events. Assessed 3 months after discharge, including abdominal pain, diarrhea, tube blockage, and reflux/aspiration. A lower total incidence rate indicates a better postoperative outcome for patients. </w:t>
      </w:r>
    </w:p>
    <w:p w14:paraId="7979FFB6" w14:textId="77777777" w:rsidR="00531C19" w:rsidRPr="00B848ED" w:rsidRDefault="00531C19" w:rsidP="001A3712">
      <w:pPr>
        <w:snapToGrid w:val="0"/>
        <w:rPr>
          <w:rFonts w:ascii="Times New Roman" w:hAnsi="Times New Roman" w:cs="Times New Roman"/>
          <w:sz w:val="24"/>
        </w:rPr>
      </w:pPr>
    </w:p>
    <w:p w14:paraId="5853F3CF" w14:textId="77777777" w:rsidR="00531C19" w:rsidRPr="00B848ED" w:rsidRDefault="00000000" w:rsidP="001A3712">
      <w:pPr>
        <w:snapToGrid w:val="0"/>
        <w:rPr>
          <w:rFonts w:ascii="Times New Roman" w:hAnsi="Times New Roman" w:cs="Times New Roman"/>
          <w:b/>
          <w:bCs/>
          <w:sz w:val="24"/>
        </w:rPr>
      </w:pPr>
      <w:r w:rsidRPr="00B848ED">
        <w:rPr>
          <w:rFonts w:ascii="Times New Roman" w:hAnsi="Times New Roman" w:cs="Times New Roman" w:hint="eastAsia"/>
          <w:b/>
          <w:bCs/>
          <w:sz w:val="24"/>
        </w:rPr>
        <w:t>2</w:t>
      </w:r>
      <w:r w:rsidRPr="00B848ED">
        <w:rPr>
          <w:rFonts w:ascii="Times New Roman" w:hAnsi="Times New Roman" w:cs="Times New Roman"/>
          <w:b/>
          <w:bCs/>
          <w:sz w:val="24"/>
        </w:rPr>
        <w:t>.4</w:t>
      </w:r>
      <w:r w:rsidRPr="00B848ED">
        <w:rPr>
          <w:rFonts w:ascii="Times New Roman" w:hAnsi="Times New Roman" w:cs="Times New Roman" w:hint="eastAsia"/>
          <w:b/>
          <w:bCs/>
          <w:sz w:val="24"/>
        </w:rPr>
        <w:t>.</w:t>
      </w:r>
      <w:r w:rsidRPr="00B848ED">
        <w:rPr>
          <w:rFonts w:ascii="Times New Roman" w:hAnsi="Times New Roman" w:cs="Times New Roman"/>
          <w:b/>
          <w:bCs/>
          <w:sz w:val="24"/>
        </w:rPr>
        <w:t xml:space="preserve"> Statistical </w:t>
      </w:r>
      <w:r w:rsidRPr="00B848ED">
        <w:rPr>
          <w:rFonts w:ascii="Times New Roman" w:hAnsi="Times New Roman" w:cs="Times New Roman" w:hint="eastAsia"/>
          <w:b/>
          <w:bCs/>
          <w:sz w:val="24"/>
        </w:rPr>
        <w:t>m</w:t>
      </w:r>
      <w:r w:rsidRPr="00B848ED">
        <w:rPr>
          <w:rFonts w:ascii="Times New Roman" w:hAnsi="Times New Roman" w:cs="Times New Roman"/>
          <w:b/>
          <w:bCs/>
          <w:sz w:val="24"/>
        </w:rPr>
        <w:t xml:space="preserve">ethods </w:t>
      </w:r>
    </w:p>
    <w:p w14:paraId="27BD2E6F" w14:textId="4080D368" w:rsidR="00531C19" w:rsidRPr="00B848ED" w:rsidRDefault="00000000" w:rsidP="001A3712">
      <w:pPr>
        <w:snapToGrid w:val="0"/>
        <w:rPr>
          <w:rFonts w:ascii="Times New Roman" w:hAnsi="Times New Roman" w:cs="Times New Roman"/>
          <w:sz w:val="24"/>
        </w:rPr>
      </w:pPr>
      <w:r w:rsidRPr="00B848ED">
        <w:rPr>
          <w:rFonts w:ascii="Times New Roman" w:hAnsi="Times New Roman" w:cs="Times New Roman"/>
          <w:sz w:val="24"/>
        </w:rPr>
        <w:t>Data were analyzed using SPSS 27.0 statistical software. Count data were expressed as [number of cases (%)] and tested using the chi-square (</w:t>
      </w:r>
      <w:r w:rsidRPr="00B848ED">
        <w:rPr>
          <w:rFonts w:ascii="Times New Roman" w:eastAsia="SimSun" w:hAnsi="Times New Roman" w:cs="Times New Roman"/>
          <w:sz w:val="24"/>
        </w:rPr>
        <w:t>χ²</w:t>
      </w:r>
      <w:r w:rsidRPr="00B848ED">
        <w:rPr>
          <w:rFonts w:ascii="Times New Roman" w:hAnsi="Times New Roman" w:cs="Times New Roman"/>
          <w:sz w:val="24"/>
        </w:rPr>
        <w:t>) test. Measurement data were expressed as (</w:t>
      </w:r>
      <w:r w:rsidRPr="00B848ED">
        <w:rPr>
          <w:rFonts w:ascii="Times New Roman" w:eastAsia="SimSun" w:hAnsi="Times New Roman" w:cs="Times New Roman"/>
          <w:color w:val="0000FF"/>
          <w:position w:val="-6"/>
          <w:sz w:val="24"/>
        </w:rPr>
        <w:object w:dxaOrig="220" w:dyaOrig="270" w14:anchorId="5E86D7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3.2pt" o:ole="">
            <v:imagedata r:id="rId4" o:title=""/>
          </v:shape>
          <o:OLEObject Type="Embed" ProgID="Equation.DSMT4" ShapeID="_x0000_i1025" DrawAspect="Content" ObjectID="_1846914478" r:id="rId5"/>
        </w:object>
      </w:r>
      <w:r w:rsidRPr="00B848ED">
        <w:rPr>
          <w:rFonts w:ascii="Times New Roman" w:hAnsi="Times New Roman"/>
          <w:sz w:val="24"/>
        </w:rPr>
        <w:t>± s</w:t>
      </w:r>
      <w:r w:rsidRPr="00B848ED">
        <w:rPr>
          <w:rFonts w:ascii="Times New Roman" w:hAnsi="Times New Roman" w:cs="Times New Roman"/>
          <w:sz w:val="24"/>
        </w:rPr>
        <w:t xml:space="preserve">) and tested using the </w:t>
      </w:r>
      <w:r w:rsidRPr="00B848ED">
        <w:rPr>
          <w:rFonts w:ascii="Times New Roman" w:hAnsi="Times New Roman" w:cs="Times New Roman"/>
          <w:i/>
          <w:iCs/>
          <w:sz w:val="24"/>
        </w:rPr>
        <w:t>t</w:t>
      </w:r>
      <w:r w:rsidRPr="00B848ED">
        <w:rPr>
          <w:rFonts w:ascii="Times New Roman" w:hAnsi="Times New Roman" w:cs="Times New Roman"/>
          <w:sz w:val="24"/>
        </w:rPr>
        <w:t xml:space="preserve">-test. A </w:t>
      </w:r>
      <w:r w:rsidR="00717345">
        <w:rPr>
          <w:rFonts w:ascii="Times New Roman" w:hAnsi="Times New Roman" w:cs="Times New Roman"/>
          <w:i/>
          <w:iCs/>
          <w:sz w:val="24"/>
        </w:rPr>
        <w:t>p</w:t>
      </w:r>
      <w:r w:rsidRPr="00B848ED">
        <w:rPr>
          <w:rFonts w:ascii="Times New Roman" w:hAnsi="Times New Roman" w:cs="Times New Roman"/>
          <w:sz w:val="24"/>
        </w:rPr>
        <w:t xml:space="preserve">-value of less than 0.05 was considered statistically significant. </w:t>
      </w:r>
    </w:p>
    <w:p w14:paraId="1FAB10D3" w14:textId="77777777" w:rsidR="00531C19" w:rsidRPr="00B848ED" w:rsidRDefault="00531C19" w:rsidP="001A3712">
      <w:pPr>
        <w:snapToGrid w:val="0"/>
        <w:rPr>
          <w:rFonts w:ascii="Times New Roman" w:hAnsi="Times New Roman" w:cs="Times New Roman"/>
          <w:sz w:val="24"/>
        </w:rPr>
      </w:pPr>
    </w:p>
    <w:p w14:paraId="00B1207C" w14:textId="77777777" w:rsidR="00531C19" w:rsidRPr="00B848ED" w:rsidRDefault="00000000" w:rsidP="001A3712">
      <w:pPr>
        <w:snapToGrid w:val="0"/>
        <w:rPr>
          <w:rFonts w:ascii="Times New Roman" w:hAnsi="Times New Roman" w:cs="Times New Roman"/>
          <w:b/>
          <w:bCs/>
          <w:sz w:val="24"/>
        </w:rPr>
      </w:pPr>
      <w:r w:rsidRPr="00B848ED">
        <w:rPr>
          <w:rFonts w:ascii="Times New Roman" w:hAnsi="Times New Roman" w:cs="Times New Roman" w:hint="eastAsia"/>
          <w:b/>
          <w:bCs/>
          <w:sz w:val="24"/>
        </w:rPr>
        <w:t>3</w:t>
      </w:r>
      <w:r w:rsidRPr="00B848ED">
        <w:rPr>
          <w:rFonts w:ascii="Times New Roman" w:hAnsi="Times New Roman" w:cs="Times New Roman"/>
          <w:b/>
          <w:bCs/>
          <w:sz w:val="24"/>
        </w:rPr>
        <w:t xml:space="preserve">. Results </w:t>
      </w:r>
    </w:p>
    <w:p w14:paraId="2637E082" w14:textId="77777777" w:rsidR="00531C19" w:rsidRPr="00B848ED" w:rsidRDefault="00000000" w:rsidP="001A3712">
      <w:pPr>
        <w:snapToGrid w:val="0"/>
        <w:rPr>
          <w:rFonts w:ascii="Times New Roman" w:hAnsi="Times New Roman" w:cs="Times New Roman"/>
          <w:b/>
          <w:bCs/>
          <w:sz w:val="24"/>
        </w:rPr>
      </w:pPr>
      <w:r w:rsidRPr="00B848ED">
        <w:rPr>
          <w:rFonts w:ascii="Times New Roman" w:hAnsi="Times New Roman" w:cs="Times New Roman" w:hint="eastAsia"/>
          <w:b/>
          <w:bCs/>
          <w:sz w:val="24"/>
        </w:rPr>
        <w:t>3</w:t>
      </w:r>
      <w:r w:rsidRPr="00B848ED">
        <w:rPr>
          <w:rFonts w:ascii="Times New Roman" w:hAnsi="Times New Roman" w:cs="Times New Roman"/>
          <w:b/>
          <w:bCs/>
          <w:sz w:val="24"/>
        </w:rPr>
        <w:t xml:space="preserve">.1. Nutritional </w:t>
      </w:r>
      <w:r w:rsidRPr="00B848ED">
        <w:rPr>
          <w:rFonts w:ascii="Times New Roman" w:hAnsi="Times New Roman" w:cs="Times New Roman" w:hint="eastAsia"/>
          <w:b/>
          <w:bCs/>
          <w:sz w:val="24"/>
        </w:rPr>
        <w:t>s</w:t>
      </w:r>
      <w:r w:rsidRPr="00B848ED">
        <w:rPr>
          <w:rFonts w:ascii="Times New Roman" w:hAnsi="Times New Roman" w:cs="Times New Roman"/>
          <w:b/>
          <w:bCs/>
          <w:sz w:val="24"/>
        </w:rPr>
        <w:t xml:space="preserve">tatus </w:t>
      </w:r>
    </w:p>
    <w:p w14:paraId="48AC9C31" w14:textId="598F5290" w:rsidR="00531C19" w:rsidRPr="00B848ED" w:rsidRDefault="00000000" w:rsidP="001A3712">
      <w:pPr>
        <w:snapToGrid w:val="0"/>
        <w:rPr>
          <w:rFonts w:ascii="Times New Roman" w:hAnsi="Times New Roman" w:cs="Times New Roman"/>
          <w:sz w:val="24"/>
        </w:rPr>
      </w:pPr>
      <w:r w:rsidRPr="00B848ED">
        <w:rPr>
          <w:rFonts w:ascii="Times New Roman" w:hAnsi="Times New Roman" w:cs="Times New Roman"/>
          <w:sz w:val="24"/>
        </w:rPr>
        <w:t>After the intervention, the observation group showed superior improvement in nutritional status (</w:t>
      </w:r>
      <w:r w:rsidR="00717345">
        <w:rPr>
          <w:rFonts w:ascii="Times New Roman" w:hAnsi="Times New Roman" w:cs="Times New Roman"/>
          <w:i/>
          <w:iCs/>
          <w:sz w:val="24"/>
        </w:rPr>
        <w:t>p</w:t>
      </w:r>
      <w:r w:rsidR="00717345" w:rsidRPr="00B848ED">
        <w:rPr>
          <w:rFonts w:ascii="Times New Roman" w:hAnsi="Times New Roman" w:cs="Times New Roman"/>
          <w:sz w:val="24"/>
        </w:rPr>
        <w:t xml:space="preserve"> </w:t>
      </w:r>
      <w:r w:rsidRPr="00B848ED">
        <w:rPr>
          <w:rFonts w:ascii="Times New Roman" w:hAnsi="Times New Roman" w:cs="Times New Roman"/>
          <w:sz w:val="24"/>
        </w:rPr>
        <w:t xml:space="preserve">&lt; 0.05). See </w:t>
      </w:r>
      <w:r w:rsidRPr="00B848ED">
        <w:rPr>
          <w:rFonts w:ascii="Times New Roman" w:hAnsi="Times New Roman" w:cs="Times New Roman"/>
          <w:b/>
          <w:bCs/>
          <w:sz w:val="24"/>
        </w:rPr>
        <w:t>Table 1</w:t>
      </w:r>
      <w:r w:rsidRPr="00B848ED">
        <w:rPr>
          <w:rFonts w:ascii="Times New Roman" w:hAnsi="Times New Roman" w:cs="Times New Roman"/>
          <w:sz w:val="24"/>
        </w:rPr>
        <w:t xml:space="preserve">. </w:t>
      </w:r>
    </w:p>
    <w:p w14:paraId="20F0D54A" w14:textId="77777777" w:rsidR="00531C19" w:rsidRPr="00B848ED" w:rsidRDefault="00531C19" w:rsidP="001A3712">
      <w:pPr>
        <w:snapToGrid w:val="0"/>
        <w:rPr>
          <w:rFonts w:ascii="Times New Roman" w:hAnsi="Times New Roman" w:cs="Times New Roman"/>
          <w:sz w:val="24"/>
        </w:rPr>
      </w:pPr>
    </w:p>
    <w:p w14:paraId="52332CA2" w14:textId="77777777" w:rsidR="00531C19" w:rsidRPr="00B848ED" w:rsidRDefault="00000000" w:rsidP="001A3712">
      <w:pPr>
        <w:snapToGrid w:val="0"/>
        <w:rPr>
          <w:rFonts w:ascii="Times New Roman" w:hAnsi="Times New Roman" w:cs="Times New Roman"/>
          <w:sz w:val="24"/>
        </w:rPr>
      </w:pPr>
      <w:r w:rsidRPr="00B848ED">
        <w:rPr>
          <w:rFonts w:ascii="Times New Roman" w:hAnsi="Times New Roman" w:cs="Times New Roman"/>
          <w:b/>
          <w:bCs/>
          <w:sz w:val="24"/>
        </w:rPr>
        <w:t xml:space="preserve">Table 1. </w:t>
      </w:r>
      <w:r w:rsidRPr="00B848ED">
        <w:rPr>
          <w:rFonts w:ascii="Times New Roman" w:hAnsi="Times New Roman" w:cs="Times New Roman"/>
          <w:sz w:val="24"/>
        </w:rPr>
        <w:t xml:space="preserve">Comparison of </w:t>
      </w:r>
      <w:r w:rsidRPr="00B848ED">
        <w:rPr>
          <w:rFonts w:ascii="Times New Roman" w:hAnsi="Times New Roman" w:cs="Times New Roman" w:hint="eastAsia"/>
          <w:sz w:val="24"/>
        </w:rPr>
        <w:t>n</w:t>
      </w:r>
      <w:r w:rsidRPr="00B848ED">
        <w:rPr>
          <w:rFonts w:ascii="Times New Roman" w:hAnsi="Times New Roman" w:cs="Times New Roman"/>
          <w:sz w:val="24"/>
        </w:rPr>
        <w:t xml:space="preserve">utritional </w:t>
      </w:r>
      <w:r w:rsidRPr="00B848ED">
        <w:rPr>
          <w:rFonts w:ascii="Times New Roman" w:hAnsi="Times New Roman" w:cs="Times New Roman" w:hint="eastAsia"/>
          <w:sz w:val="24"/>
        </w:rPr>
        <w:t>s</w:t>
      </w:r>
      <w:r w:rsidRPr="00B848ED">
        <w:rPr>
          <w:rFonts w:ascii="Times New Roman" w:hAnsi="Times New Roman" w:cs="Times New Roman"/>
          <w:sz w:val="24"/>
        </w:rPr>
        <w:t xml:space="preserve">tatus </w:t>
      </w:r>
      <w:r w:rsidRPr="00B848ED">
        <w:rPr>
          <w:rFonts w:ascii="Times New Roman" w:hAnsi="Times New Roman" w:cs="Times New Roman" w:hint="eastAsia"/>
          <w:sz w:val="24"/>
        </w:rPr>
        <w:t>b</w:t>
      </w:r>
      <w:r w:rsidRPr="00B848ED">
        <w:rPr>
          <w:rFonts w:ascii="Times New Roman" w:hAnsi="Times New Roman" w:cs="Times New Roman"/>
          <w:sz w:val="24"/>
        </w:rPr>
        <w:t xml:space="preserve">etween the </w:t>
      </w:r>
      <w:r w:rsidRPr="00B848ED">
        <w:rPr>
          <w:rFonts w:ascii="Times New Roman" w:hAnsi="Times New Roman" w:cs="Times New Roman" w:hint="eastAsia"/>
          <w:sz w:val="24"/>
        </w:rPr>
        <w:t>t</w:t>
      </w:r>
      <w:r w:rsidRPr="00B848ED">
        <w:rPr>
          <w:rFonts w:ascii="Times New Roman" w:hAnsi="Times New Roman" w:cs="Times New Roman"/>
          <w:sz w:val="24"/>
        </w:rPr>
        <w:t xml:space="preserve">wo </w:t>
      </w:r>
      <w:r w:rsidRPr="00B848ED">
        <w:rPr>
          <w:rFonts w:ascii="Times New Roman" w:hAnsi="Times New Roman" w:cs="Times New Roman" w:hint="eastAsia"/>
          <w:sz w:val="24"/>
        </w:rPr>
        <w:t>g</w:t>
      </w:r>
      <w:r w:rsidRPr="00B848ED">
        <w:rPr>
          <w:rFonts w:ascii="Times New Roman" w:hAnsi="Times New Roman" w:cs="Times New Roman"/>
          <w:sz w:val="24"/>
        </w:rPr>
        <w:t>roups (</w:t>
      </w:r>
      <w:r w:rsidRPr="00B848ED">
        <w:rPr>
          <w:rFonts w:ascii="Times New Roman" w:eastAsia="SimSun" w:hAnsi="Times New Roman" w:cs="Times New Roman"/>
          <w:color w:val="0000FF"/>
          <w:position w:val="-6"/>
          <w:sz w:val="24"/>
        </w:rPr>
        <w:object w:dxaOrig="220" w:dyaOrig="270" w14:anchorId="760D5419">
          <v:shape id="_x0000_i1026" type="#_x0000_t75" style="width:11.25pt;height:13.2pt" o:ole="">
            <v:imagedata r:id="rId4" o:title=""/>
          </v:shape>
          <o:OLEObject Type="Embed" ProgID="Equation.DSMT4" ShapeID="_x0000_i1026" DrawAspect="Content" ObjectID="_1846914479" r:id="rId6"/>
        </w:object>
      </w:r>
      <w:r w:rsidRPr="00B848ED">
        <w:rPr>
          <w:rFonts w:ascii="Times New Roman" w:hAnsi="Times New Roman"/>
          <w:sz w:val="24"/>
        </w:rPr>
        <w:t>± s</w:t>
      </w:r>
      <w:r w:rsidRPr="00B848ED">
        <w:rPr>
          <w:rFonts w:ascii="Times New Roman" w:hAnsi="Times New Roman" w:cs="Times New Roman"/>
          <w:sz w:val="24"/>
        </w:rPr>
        <w:t>)</w:t>
      </w:r>
    </w:p>
    <w:tbl>
      <w:tblPr>
        <w:tblStyle w:val="TableGrid"/>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133"/>
        <w:gridCol w:w="993"/>
        <w:gridCol w:w="1133"/>
        <w:gridCol w:w="993"/>
        <w:gridCol w:w="993"/>
        <w:gridCol w:w="995"/>
        <w:gridCol w:w="995"/>
        <w:gridCol w:w="985"/>
      </w:tblGrid>
      <w:tr w:rsidR="00717345" w:rsidRPr="00B848ED" w14:paraId="4939C6EE" w14:textId="77777777" w:rsidTr="001A3712">
        <w:trPr>
          <w:trHeight w:val="138"/>
          <w:tblHeader/>
          <w:jc w:val="center"/>
        </w:trPr>
        <w:tc>
          <w:tcPr>
            <w:tcW w:w="736" w:type="pct"/>
            <w:vMerge w:val="restart"/>
            <w:tcBorders>
              <w:top w:val="single" w:sz="4" w:space="0" w:color="auto"/>
              <w:bottom w:val="single" w:sz="4" w:space="0" w:color="auto"/>
            </w:tcBorders>
            <w:tcMar>
              <w:top w:w="-1" w:type="dxa"/>
              <w:left w:w="-1" w:type="dxa"/>
              <w:bottom w:w="-1" w:type="dxa"/>
              <w:right w:w="-1" w:type="dxa"/>
            </w:tcMar>
            <w:vAlign w:val="center"/>
          </w:tcPr>
          <w:p w14:paraId="104417E6" w14:textId="77777777" w:rsidR="00717345" w:rsidRPr="00B848ED" w:rsidRDefault="00717345" w:rsidP="001A3712">
            <w:pPr>
              <w:snapToGrid w:val="0"/>
              <w:jc w:val="left"/>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Group</w:t>
            </w:r>
          </w:p>
        </w:tc>
        <w:tc>
          <w:tcPr>
            <w:tcW w:w="1103" w:type="pct"/>
            <w:gridSpan w:val="2"/>
            <w:tcBorders>
              <w:top w:val="single" w:sz="4" w:space="0" w:color="auto"/>
              <w:bottom w:val="single" w:sz="4" w:space="0" w:color="auto"/>
            </w:tcBorders>
            <w:tcMar>
              <w:top w:w="-1" w:type="dxa"/>
              <w:left w:w="-1" w:type="dxa"/>
              <w:bottom w:w="-1" w:type="dxa"/>
              <w:right w:w="-1" w:type="dxa"/>
            </w:tcMar>
            <w:vAlign w:val="center"/>
          </w:tcPr>
          <w:p w14:paraId="1F558C40" w14:textId="77777777" w:rsidR="00717345" w:rsidRPr="00B848ED" w:rsidRDefault="00717345" w:rsidP="00717345">
            <w:pPr>
              <w:snapToGrid w:val="0"/>
              <w:jc w:val="center"/>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Hb (g/L)</w:t>
            </w:r>
          </w:p>
        </w:tc>
        <w:tc>
          <w:tcPr>
            <w:tcW w:w="1103" w:type="pct"/>
            <w:gridSpan w:val="2"/>
            <w:tcBorders>
              <w:top w:val="single" w:sz="4" w:space="0" w:color="auto"/>
              <w:bottom w:val="single" w:sz="4" w:space="0" w:color="auto"/>
            </w:tcBorders>
            <w:tcMar>
              <w:top w:w="-1" w:type="dxa"/>
              <w:left w:w="-1" w:type="dxa"/>
              <w:bottom w:w="-1" w:type="dxa"/>
              <w:right w:w="-1" w:type="dxa"/>
            </w:tcMar>
            <w:vAlign w:val="center"/>
          </w:tcPr>
          <w:p w14:paraId="2FF247D8" w14:textId="77777777" w:rsidR="00717345" w:rsidRPr="00B848ED" w:rsidRDefault="00717345" w:rsidP="00717345">
            <w:pPr>
              <w:snapToGrid w:val="0"/>
              <w:jc w:val="center"/>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ALB (g/L)</w:t>
            </w:r>
          </w:p>
        </w:tc>
        <w:tc>
          <w:tcPr>
            <w:tcW w:w="1031" w:type="pct"/>
            <w:gridSpan w:val="2"/>
            <w:tcBorders>
              <w:top w:val="single" w:sz="4" w:space="0" w:color="auto"/>
              <w:bottom w:val="single" w:sz="4" w:space="0" w:color="auto"/>
            </w:tcBorders>
            <w:tcMar>
              <w:top w:w="-1" w:type="dxa"/>
              <w:left w:w="-1" w:type="dxa"/>
              <w:bottom w:w="-1" w:type="dxa"/>
              <w:right w:w="-1" w:type="dxa"/>
            </w:tcMar>
            <w:vAlign w:val="center"/>
          </w:tcPr>
          <w:p w14:paraId="7CBB0614" w14:textId="77777777" w:rsidR="00717345" w:rsidRPr="00B848ED" w:rsidRDefault="00717345" w:rsidP="00717345">
            <w:pPr>
              <w:snapToGrid w:val="0"/>
              <w:jc w:val="center"/>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PA (mg/L)</w:t>
            </w:r>
          </w:p>
        </w:tc>
        <w:tc>
          <w:tcPr>
            <w:tcW w:w="1027" w:type="pct"/>
            <w:gridSpan w:val="2"/>
            <w:tcBorders>
              <w:top w:val="single" w:sz="4" w:space="0" w:color="auto"/>
              <w:bottom w:val="single" w:sz="4" w:space="0" w:color="auto"/>
            </w:tcBorders>
            <w:tcMar>
              <w:top w:w="-1" w:type="dxa"/>
              <w:left w:w="-1" w:type="dxa"/>
              <w:bottom w:w="-1" w:type="dxa"/>
              <w:right w:w="-1" w:type="dxa"/>
            </w:tcMar>
            <w:vAlign w:val="center"/>
          </w:tcPr>
          <w:p w14:paraId="2DE51A96" w14:textId="77777777" w:rsidR="00717345" w:rsidRPr="00B848ED" w:rsidRDefault="00717345" w:rsidP="00717345">
            <w:pPr>
              <w:snapToGrid w:val="0"/>
              <w:jc w:val="center"/>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TRF (g/L)</w:t>
            </w:r>
          </w:p>
        </w:tc>
      </w:tr>
      <w:tr w:rsidR="00717345" w:rsidRPr="00B848ED" w14:paraId="44115DA8" w14:textId="77777777" w:rsidTr="001A3712">
        <w:trPr>
          <w:tblHeader/>
          <w:jc w:val="center"/>
        </w:trPr>
        <w:tc>
          <w:tcPr>
            <w:tcW w:w="736" w:type="pct"/>
            <w:vMerge/>
            <w:tcBorders>
              <w:top w:val="nil"/>
              <w:bottom w:val="single" w:sz="4" w:space="0" w:color="auto"/>
            </w:tcBorders>
            <w:tcMar>
              <w:top w:w="-1" w:type="dxa"/>
              <w:left w:w="-1" w:type="dxa"/>
              <w:bottom w:w="-1" w:type="dxa"/>
              <w:right w:w="-1" w:type="dxa"/>
            </w:tcMar>
            <w:vAlign w:val="center"/>
          </w:tcPr>
          <w:p w14:paraId="48917B84" w14:textId="77777777" w:rsidR="00717345" w:rsidRPr="00B848ED" w:rsidRDefault="00717345" w:rsidP="001A3712">
            <w:pPr>
              <w:snapToGrid w:val="0"/>
              <w:jc w:val="left"/>
              <w:rPr>
                <w:rFonts w:ascii="Times New Roman" w:hAnsi="Times New Roman" w:cs="Times New Roman"/>
                <w:b/>
                <w:bCs/>
                <w:sz w:val="24"/>
              </w:rPr>
            </w:pPr>
          </w:p>
        </w:tc>
        <w:tc>
          <w:tcPr>
            <w:tcW w:w="588" w:type="pct"/>
            <w:tcBorders>
              <w:top w:val="single" w:sz="4" w:space="0" w:color="auto"/>
              <w:bottom w:val="single" w:sz="4" w:space="0" w:color="auto"/>
            </w:tcBorders>
            <w:tcMar>
              <w:top w:w="-1" w:type="dxa"/>
              <w:left w:w="-1" w:type="dxa"/>
              <w:bottom w:w="-1" w:type="dxa"/>
              <w:right w:w="-1" w:type="dxa"/>
            </w:tcMar>
            <w:vAlign w:val="center"/>
          </w:tcPr>
          <w:p w14:paraId="103C55BE" w14:textId="77777777" w:rsidR="00717345" w:rsidRPr="00B848ED" w:rsidRDefault="00717345" w:rsidP="00717345">
            <w:pPr>
              <w:snapToGrid w:val="0"/>
              <w:jc w:val="center"/>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Pre-intervention</w:t>
            </w:r>
          </w:p>
        </w:tc>
        <w:tc>
          <w:tcPr>
            <w:tcW w:w="515" w:type="pct"/>
            <w:tcBorders>
              <w:top w:val="single" w:sz="4" w:space="0" w:color="auto"/>
              <w:bottom w:val="single" w:sz="4" w:space="0" w:color="auto"/>
            </w:tcBorders>
            <w:tcMar>
              <w:top w:w="-1" w:type="dxa"/>
              <w:left w:w="-1" w:type="dxa"/>
              <w:bottom w:w="-1" w:type="dxa"/>
              <w:right w:w="-1" w:type="dxa"/>
            </w:tcMar>
            <w:vAlign w:val="center"/>
          </w:tcPr>
          <w:p w14:paraId="75B204E1" w14:textId="77777777" w:rsidR="00717345" w:rsidRPr="00B848ED" w:rsidRDefault="00717345" w:rsidP="00717345">
            <w:pPr>
              <w:snapToGrid w:val="0"/>
              <w:jc w:val="center"/>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Post-intervention</w:t>
            </w:r>
          </w:p>
        </w:tc>
        <w:tc>
          <w:tcPr>
            <w:tcW w:w="588" w:type="pct"/>
            <w:tcBorders>
              <w:top w:val="single" w:sz="4" w:space="0" w:color="auto"/>
              <w:bottom w:val="single" w:sz="4" w:space="0" w:color="auto"/>
            </w:tcBorders>
            <w:tcMar>
              <w:top w:w="-1" w:type="dxa"/>
              <w:left w:w="-1" w:type="dxa"/>
              <w:bottom w:w="-1" w:type="dxa"/>
              <w:right w:w="-1" w:type="dxa"/>
            </w:tcMar>
            <w:vAlign w:val="center"/>
          </w:tcPr>
          <w:p w14:paraId="4972280B" w14:textId="77777777" w:rsidR="00717345" w:rsidRPr="00B848ED" w:rsidRDefault="00717345" w:rsidP="00717345">
            <w:pPr>
              <w:snapToGrid w:val="0"/>
              <w:jc w:val="center"/>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Pre-intervention</w:t>
            </w:r>
          </w:p>
        </w:tc>
        <w:tc>
          <w:tcPr>
            <w:tcW w:w="515" w:type="pct"/>
            <w:tcBorders>
              <w:top w:val="single" w:sz="4" w:space="0" w:color="auto"/>
              <w:bottom w:val="single" w:sz="4" w:space="0" w:color="auto"/>
            </w:tcBorders>
            <w:tcMar>
              <w:top w:w="-1" w:type="dxa"/>
              <w:left w:w="-1" w:type="dxa"/>
              <w:bottom w:w="-1" w:type="dxa"/>
              <w:right w:w="-1" w:type="dxa"/>
            </w:tcMar>
            <w:vAlign w:val="center"/>
          </w:tcPr>
          <w:p w14:paraId="3B771506" w14:textId="77777777" w:rsidR="00717345" w:rsidRPr="00B848ED" w:rsidRDefault="00717345" w:rsidP="00717345">
            <w:pPr>
              <w:snapToGrid w:val="0"/>
              <w:jc w:val="center"/>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Post-intervention</w:t>
            </w:r>
          </w:p>
        </w:tc>
        <w:tc>
          <w:tcPr>
            <w:tcW w:w="515" w:type="pct"/>
            <w:tcBorders>
              <w:top w:val="single" w:sz="4" w:space="0" w:color="auto"/>
              <w:bottom w:val="single" w:sz="4" w:space="0" w:color="auto"/>
            </w:tcBorders>
            <w:tcMar>
              <w:top w:w="-1" w:type="dxa"/>
              <w:left w:w="-1" w:type="dxa"/>
              <w:bottom w:w="-1" w:type="dxa"/>
              <w:right w:w="-1" w:type="dxa"/>
            </w:tcMar>
            <w:vAlign w:val="center"/>
          </w:tcPr>
          <w:p w14:paraId="626E57A7" w14:textId="77777777" w:rsidR="00717345" w:rsidRPr="00B848ED" w:rsidRDefault="00717345" w:rsidP="00717345">
            <w:pPr>
              <w:snapToGrid w:val="0"/>
              <w:jc w:val="center"/>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Pre-intervention</w:t>
            </w:r>
          </w:p>
        </w:tc>
        <w:tc>
          <w:tcPr>
            <w:tcW w:w="516" w:type="pct"/>
            <w:tcBorders>
              <w:top w:val="single" w:sz="4" w:space="0" w:color="auto"/>
              <w:bottom w:val="single" w:sz="4" w:space="0" w:color="auto"/>
            </w:tcBorders>
            <w:tcMar>
              <w:top w:w="-1" w:type="dxa"/>
              <w:left w:w="-1" w:type="dxa"/>
              <w:bottom w:w="-1" w:type="dxa"/>
              <w:right w:w="-1" w:type="dxa"/>
            </w:tcMar>
            <w:vAlign w:val="center"/>
          </w:tcPr>
          <w:p w14:paraId="3E257EA8" w14:textId="77777777" w:rsidR="00717345" w:rsidRPr="00B848ED" w:rsidRDefault="00717345" w:rsidP="00717345">
            <w:pPr>
              <w:snapToGrid w:val="0"/>
              <w:jc w:val="center"/>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Post-intervention</w:t>
            </w:r>
          </w:p>
        </w:tc>
        <w:tc>
          <w:tcPr>
            <w:tcW w:w="516" w:type="pct"/>
            <w:tcBorders>
              <w:top w:val="single" w:sz="4" w:space="0" w:color="auto"/>
              <w:bottom w:val="single" w:sz="4" w:space="0" w:color="auto"/>
            </w:tcBorders>
            <w:tcMar>
              <w:top w:w="-1" w:type="dxa"/>
              <w:left w:w="-1" w:type="dxa"/>
              <w:bottom w:w="-1" w:type="dxa"/>
              <w:right w:w="-1" w:type="dxa"/>
            </w:tcMar>
            <w:vAlign w:val="center"/>
          </w:tcPr>
          <w:p w14:paraId="3F78B678" w14:textId="77777777" w:rsidR="00717345" w:rsidRPr="00B848ED" w:rsidRDefault="00717345" w:rsidP="00717345">
            <w:pPr>
              <w:snapToGrid w:val="0"/>
              <w:jc w:val="center"/>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Pre-intervention</w:t>
            </w:r>
          </w:p>
        </w:tc>
        <w:tc>
          <w:tcPr>
            <w:tcW w:w="511" w:type="pct"/>
            <w:tcBorders>
              <w:top w:val="single" w:sz="4" w:space="0" w:color="auto"/>
              <w:bottom w:val="single" w:sz="4" w:space="0" w:color="auto"/>
            </w:tcBorders>
            <w:tcMar>
              <w:top w:w="-1" w:type="dxa"/>
              <w:left w:w="-1" w:type="dxa"/>
              <w:bottom w:w="-1" w:type="dxa"/>
              <w:right w:w="-1" w:type="dxa"/>
            </w:tcMar>
            <w:vAlign w:val="center"/>
          </w:tcPr>
          <w:p w14:paraId="14FCDF5B" w14:textId="77777777" w:rsidR="00717345" w:rsidRPr="00B848ED" w:rsidRDefault="00717345" w:rsidP="00717345">
            <w:pPr>
              <w:snapToGrid w:val="0"/>
              <w:jc w:val="center"/>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Post-intervention</w:t>
            </w:r>
          </w:p>
        </w:tc>
      </w:tr>
      <w:tr w:rsidR="00531C19" w:rsidRPr="00B848ED" w14:paraId="441E2E5E" w14:textId="77777777" w:rsidTr="001A3712">
        <w:trPr>
          <w:tblHeader/>
          <w:jc w:val="center"/>
        </w:trPr>
        <w:tc>
          <w:tcPr>
            <w:tcW w:w="736" w:type="pct"/>
            <w:tcBorders>
              <w:top w:val="single" w:sz="4" w:space="0" w:color="auto"/>
            </w:tcBorders>
            <w:tcMar>
              <w:top w:w="-1" w:type="dxa"/>
              <w:left w:w="-1" w:type="dxa"/>
              <w:bottom w:w="-1" w:type="dxa"/>
              <w:right w:w="-1" w:type="dxa"/>
            </w:tcMar>
            <w:vAlign w:val="center"/>
          </w:tcPr>
          <w:p w14:paraId="6942C754" w14:textId="2B860788" w:rsidR="00531C19" w:rsidRPr="00B848ED" w:rsidRDefault="00000000" w:rsidP="001A3712">
            <w:pPr>
              <w:snapToGrid w:val="0"/>
              <w:jc w:val="left"/>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Observation group (n</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51)</w:t>
            </w:r>
          </w:p>
        </w:tc>
        <w:tc>
          <w:tcPr>
            <w:tcW w:w="588" w:type="pct"/>
            <w:tcBorders>
              <w:top w:val="single" w:sz="4" w:space="0" w:color="auto"/>
            </w:tcBorders>
            <w:tcMar>
              <w:top w:w="-1" w:type="dxa"/>
              <w:left w:w="-1" w:type="dxa"/>
              <w:bottom w:w="-1" w:type="dxa"/>
              <w:right w:w="-1" w:type="dxa"/>
            </w:tcMar>
            <w:vAlign w:val="center"/>
          </w:tcPr>
          <w:p w14:paraId="41E5BE6D" w14:textId="337B3CC3"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99.67</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7.82</w:t>
            </w:r>
          </w:p>
        </w:tc>
        <w:tc>
          <w:tcPr>
            <w:tcW w:w="515" w:type="pct"/>
            <w:tcBorders>
              <w:top w:val="single" w:sz="4" w:space="0" w:color="auto"/>
            </w:tcBorders>
            <w:tcMar>
              <w:top w:w="-1" w:type="dxa"/>
              <w:left w:w="-1" w:type="dxa"/>
              <w:bottom w:w="-1" w:type="dxa"/>
              <w:right w:w="-1" w:type="dxa"/>
            </w:tcMar>
            <w:vAlign w:val="center"/>
          </w:tcPr>
          <w:p w14:paraId="25C73E6E" w14:textId="15ADAF35"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133.62</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10.80</w:t>
            </w:r>
          </w:p>
        </w:tc>
        <w:tc>
          <w:tcPr>
            <w:tcW w:w="588" w:type="pct"/>
            <w:tcBorders>
              <w:top w:val="single" w:sz="4" w:space="0" w:color="auto"/>
            </w:tcBorders>
            <w:tcMar>
              <w:top w:w="-1" w:type="dxa"/>
              <w:left w:w="-1" w:type="dxa"/>
              <w:bottom w:w="-1" w:type="dxa"/>
              <w:right w:w="-1" w:type="dxa"/>
            </w:tcMar>
            <w:vAlign w:val="center"/>
          </w:tcPr>
          <w:p w14:paraId="67B2CBD7" w14:textId="769164A6"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32.82</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3.45</w:t>
            </w:r>
          </w:p>
        </w:tc>
        <w:tc>
          <w:tcPr>
            <w:tcW w:w="515" w:type="pct"/>
            <w:tcBorders>
              <w:top w:val="single" w:sz="4" w:space="0" w:color="auto"/>
            </w:tcBorders>
            <w:tcMar>
              <w:top w:w="-1" w:type="dxa"/>
              <w:left w:w="-1" w:type="dxa"/>
              <w:bottom w:w="-1" w:type="dxa"/>
              <w:right w:w="-1" w:type="dxa"/>
            </w:tcMar>
            <w:vAlign w:val="center"/>
          </w:tcPr>
          <w:p w14:paraId="5142D4B1" w14:textId="49ED7347"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45.97</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3.69</w:t>
            </w:r>
          </w:p>
        </w:tc>
        <w:tc>
          <w:tcPr>
            <w:tcW w:w="515" w:type="pct"/>
            <w:tcBorders>
              <w:top w:val="single" w:sz="4" w:space="0" w:color="auto"/>
            </w:tcBorders>
            <w:tcMar>
              <w:top w:w="-1" w:type="dxa"/>
              <w:left w:w="-1" w:type="dxa"/>
              <w:bottom w:w="-1" w:type="dxa"/>
              <w:right w:w="-1" w:type="dxa"/>
            </w:tcMar>
            <w:vAlign w:val="center"/>
          </w:tcPr>
          <w:p w14:paraId="0BE65F20" w14:textId="48BFF640"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284.22</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19.97</w:t>
            </w:r>
          </w:p>
        </w:tc>
        <w:tc>
          <w:tcPr>
            <w:tcW w:w="516" w:type="pct"/>
            <w:tcBorders>
              <w:top w:val="single" w:sz="4" w:space="0" w:color="auto"/>
            </w:tcBorders>
            <w:tcMar>
              <w:top w:w="-1" w:type="dxa"/>
              <w:left w:w="-1" w:type="dxa"/>
              <w:bottom w:w="-1" w:type="dxa"/>
              <w:right w:w="-1" w:type="dxa"/>
            </w:tcMar>
            <w:vAlign w:val="center"/>
          </w:tcPr>
          <w:p w14:paraId="1FDBF36B" w14:textId="6FA4FF75"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332.50</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25.67</w:t>
            </w:r>
          </w:p>
        </w:tc>
        <w:tc>
          <w:tcPr>
            <w:tcW w:w="516" w:type="pct"/>
            <w:tcBorders>
              <w:top w:val="single" w:sz="4" w:space="0" w:color="auto"/>
            </w:tcBorders>
            <w:tcMar>
              <w:top w:w="-1" w:type="dxa"/>
              <w:left w:w="-1" w:type="dxa"/>
              <w:bottom w:w="-1" w:type="dxa"/>
              <w:right w:w="-1" w:type="dxa"/>
            </w:tcMar>
            <w:vAlign w:val="center"/>
          </w:tcPr>
          <w:p w14:paraId="54160A77" w14:textId="4F4C802D"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1.62</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0.41</w:t>
            </w:r>
          </w:p>
        </w:tc>
        <w:tc>
          <w:tcPr>
            <w:tcW w:w="511" w:type="pct"/>
            <w:tcBorders>
              <w:top w:val="single" w:sz="4" w:space="0" w:color="auto"/>
            </w:tcBorders>
            <w:tcMar>
              <w:top w:w="-1" w:type="dxa"/>
              <w:left w:w="-1" w:type="dxa"/>
              <w:bottom w:w="-1" w:type="dxa"/>
              <w:right w:w="-1" w:type="dxa"/>
            </w:tcMar>
            <w:vAlign w:val="center"/>
          </w:tcPr>
          <w:p w14:paraId="6C9C52B7" w14:textId="3BB4C95C"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2.99</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0.46</w:t>
            </w:r>
          </w:p>
        </w:tc>
      </w:tr>
      <w:tr w:rsidR="00531C19" w:rsidRPr="00B848ED" w14:paraId="0C943DF0" w14:textId="77777777" w:rsidTr="001A3712">
        <w:trPr>
          <w:tblHeader/>
          <w:jc w:val="center"/>
        </w:trPr>
        <w:tc>
          <w:tcPr>
            <w:tcW w:w="736" w:type="pct"/>
            <w:tcMar>
              <w:top w:w="-1" w:type="dxa"/>
              <w:left w:w="-1" w:type="dxa"/>
              <w:bottom w:w="-1" w:type="dxa"/>
              <w:right w:w="-1" w:type="dxa"/>
            </w:tcMar>
            <w:vAlign w:val="center"/>
          </w:tcPr>
          <w:p w14:paraId="54E5979A" w14:textId="4A1A3749" w:rsidR="00531C19" w:rsidRPr="00B848ED" w:rsidRDefault="00000000" w:rsidP="001A3712">
            <w:pPr>
              <w:snapToGrid w:val="0"/>
              <w:jc w:val="left"/>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Control group (n</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51)</w:t>
            </w:r>
          </w:p>
        </w:tc>
        <w:tc>
          <w:tcPr>
            <w:tcW w:w="588" w:type="pct"/>
            <w:tcMar>
              <w:top w:w="-1" w:type="dxa"/>
              <w:left w:w="-1" w:type="dxa"/>
              <w:bottom w:w="-1" w:type="dxa"/>
              <w:right w:w="-1" w:type="dxa"/>
            </w:tcMar>
            <w:vAlign w:val="center"/>
          </w:tcPr>
          <w:p w14:paraId="06F5C56B" w14:textId="501DF5A8"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98.50</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7.51</w:t>
            </w:r>
          </w:p>
        </w:tc>
        <w:tc>
          <w:tcPr>
            <w:tcW w:w="515" w:type="pct"/>
            <w:tcMar>
              <w:top w:w="-1" w:type="dxa"/>
              <w:left w:w="-1" w:type="dxa"/>
              <w:bottom w:w="-1" w:type="dxa"/>
              <w:right w:w="-1" w:type="dxa"/>
            </w:tcMar>
            <w:vAlign w:val="center"/>
          </w:tcPr>
          <w:p w14:paraId="1DA33E83" w14:textId="41BBE700"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118.06</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9.93</w:t>
            </w:r>
          </w:p>
        </w:tc>
        <w:tc>
          <w:tcPr>
            <w:tcW w:w="588" w:type="pct"/>
            <w:tcMar>
              <w:top w:w="-1" w:type="dxa"/>
              <w:left w:w="-1" w:type="dxa"/>
              <w:bottom w:w="-1" w:type="dxa"/>
              <w:right w:w="-1" w:type="dxa"/>
            </w:tcMar>
            <w:vAlign w:val="center"/>
          </w:tcPr>
          <w:p w14:paraId="1AA1FA9D" w14:textId="44739A1C"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32.16</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4.22</w:t>
            </w:r>
          </w:p>
        </w:tc>
        <w:tc>
          <w:tcPr>
            <w:tcW w:w="515" w:type="pct"/>
            <w:tcMar>
              <w:top w:w="-1" w:type="dxa"/>
              <w:left w:w="-1" w:type="dxa"/>
              <w:bottom w:w="-1" w:type="dxa"/>
              <w:right w:w="-1" w:type="dxa"/>
            </w:tcMar>
            <w:vAlign w:val="center"/>
          </w:tcPr>
          <w:p w14:paraId="53181667" w14:textId="09ACF095"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38.15</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3.85</w:t>
            </w:r>
          </w:p>
        </w:tc>
        <w:tc>
          <w:tcPr>
            <w:tcW w:w="515" w:type="pct"/>
            <w:tcMar>
              <w:top w:w="-1" w:type="dxa"/>
              <w:left w:w="-1" w:type="dxa"/>
              <w:bottom w:w="-1" w:type="dxa"/>
              <w:right w:w="-1" w:type="dxa"/>
            </w:tcMar>
            <w:vAlign w:val="center"/>
          </w:tcPr>
          <w:p w14:paraId="5E203E30" w14:textId="49629455"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283.05</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20.18</w:t>
            </w:r>
          </w:p>
        </w:tc>
        <w:tc>
          <w:tcPr>
            <w:tcW w:w="516" w:type="pct"/>
            <w:tcMar>
              <w:top w:w="-1" w:type="dxa"/>
              <w:left w:w="-1" w:type="dxa"/>
              <w:bottom w:w="-1" w:type="dxa"/>
              <w:right w:w="-1" w:type="dxa"/>
            </w:tcMar>
            <w:vAlign w:val="center"/>
          </w:tcPr>
          <w:p w14:paraId="15FEB04D" w14:textId="3D38347A"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302.19</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28.98</w:t>
            </w:r>
          </w:p>
        </w:tc>
        <w:tc>
          <w:tcPr>
            <w:tcW w:w="516" w:type="pct"/>
            <w:tcMar>
              <w:top w:w="-1" w:type="dxa"/>
              <w:left w:w="-1" w:type="dxa"/>
              <w:bottom w:w="-1" w:type="dxa"/>
              <w:right w:w="-1" w:type="dxa"/>
            </w:tcMar>
            <w:vAlign w:val="center"/>
          </w:tcPr>
          <w:p w14:paraId="66BE2CEC" w14:textId="476BA262"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1.65</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0.37</w:t>
            </w:r>
          </w:p>
        </w:tc>
        <w:tc>
          <w:tcPr>
            <w:tcW w:w="511" w:type="pct"/>
            <w:tcMar>
              <w:top w:w="-1" w:type="dxa"/>
              <w:left w:w="-1" w:type="dxa"/>
              <w:bottom w:w="-1" w:type="dxa"/>
              <w:right w:w="-1" w:type="dxa"/>
            </w:tcMar>
            <w:vAlign w:val="center"/>
          </w:tcPr>
          <w:p w14:paraId="28CE475B" w14:textId="77CA4F07"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2.32</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0.70</w:t>
            </w:r>
          </w:p>
        </w:tc>
      </w:tr>
      <w:tr w:rsidR="00531C19" w:rsidRPr="00B848ED" w14:paraId="029C9C1A" w14:textId="77777777" w:rsidTr="001A3712">
        <w:trPr>
          <w:tblHeader/>
          <w:jc w:val="center"/>
        </w:trPr>
        <w:tc>
          <w:tcPr>
            <w:tcW w:w="736" w:type="pct"/>
            <w:tcMar>
              <w:top w:w="-1" w:type="dxa"/>
              <w:left w:w="-1" w:type="dxa"/>
              <w:bottom w:w="-1" w:type="dxa"/>
              <w:right w:w="-1" w:type="dxa"/>
            </w:tcMar>
            <w:vAlign w:val="center"/>
          </w:tcPr>
          <w:p w14:paraId="2E18C56E" w14:textId="77777777" w:rsidR="00531C19" w:rsidRPr="00B848ED" w:rsidRDefault="00000000" w:rsidP="001A3712">
            <w:pPr>
              <w:snapToGrid w:val="0"/>
              <w:jc w:val="left"/>
              <w:rPr>
                <w:rFonts w:ascii="Times New Roman" w:hAnsi="Times New Roman" w:cs="Times New Roman"/>
                <w:sz w:val="24"/>
              </w:rPr>
            </w:pPr>
            <w:r w:rsidRPr="00B848ED">
              <w:rPr>
                <w:rFonts w:ascii="Times New Roman" w:eastAsia="Segoe UI" w:hAnsi="Times New Roman" w:cs="Times New Roman"/>
                <w:i/>
                <w:iCs/>
                <w:color w:val="0F1115"/>
                <w:sz w:val="24"/>
                <w:shd w:val="clear" w:color="auto" w:fill="FFFFFF"/>
              </w:rPr>
              <w:t>t</w:t>
            </w:r>
            <w:r w:rsidRPr="00B848ED">
              <w:rPr>
                <w:rFonts w:ascii="Times New Roman" w:eastAsia="Segoe UI" w:hAnsi="Times New Roman" w:cs="Times New Roman"/>
                <w:color w:val="0F1115"/>
                <w:sz w:val="24"/>
                <w:shd w:val="clear" w:color="auto" w:fill="FFFFFF"/>
              </w:rPr>
              <w:t xml:space="preserve"> </w:t>
            </w:r>
          </w:p>
        </w:tc>
        <w:tc>
          <w:tcPr>
            <w:tcW w:w="588" w:type="pct"/>
            <w:tcMar>
              <w:top w:w="-1" w:type="dxa"/>
              <w:left w:w="-1" w:type="dxa"/>
              <w:bottom w:w="-1" w:type="dxa"/>
              <w:right w:w="-1" w:type="dxa"/>
            </w:tcMar>
            <w:vAlign w:val="center"/>
          </w:tcPr>
          <w:p w14:paraId="075ACB01" w14:textId="77777777"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0.771</w:t>
            </w:r>
          </w:p>
        </w:tc>
        <w:tc>
          <w:tcPr>
            <w:tcW w:w="515" w:type="pct"/>
            <w:tcMar>
              <w:top w:w="-1" w:type="dxa"/>
              <w:left w:w="-1" w:type="dxa"/>
              <w:bottom w:w="-1" w:type="dxa"/>
              <w:right w:w="-1" w:type="dxa"/>
            </w:tcMar>
            <w:vAlign w:val="center"/>
          </w:tcPr>
          <w:p w14:paraId="412AA820" w14:textId="77777777"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7.574</w:t>
            </w:r>
          </w:p>
        </w:tc>
        <w:tc>
          <w:tcPr>
            <w:tcW w:w="588" w:type="pct"/>
            <w:tcMar>
              <w:top w:w="-1" w:type="dxa"/>
              <w:left w:w="-1" w:type="dxa"/>
              <w:bottom w:w="-1" w:type="dxa"/>
              <w:right w:w="-1" w:type="dxa"/>
            </w:tcMar>
            <w:vAlign w:val="center"/>
          </w:tcPr>
          <w:p w14:paraId="1C80A766" w14:textId="77777777"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0.865</w:t>
            </w:r>
          </w:p>
        </w:tc>
        <w:tc>
          <w:tcPr>
            <w:tcW w:w="515" w:type="pct"/>
            <w:tcMar>
              <w:top w:w="-1" w:type="dxa"/>
              <w:left w:w="-1" w:type="dxa"/>
              <w:bottom w:w="-1" w:type="dxa"/>
              <w:right w:w="-1" w:type="dxa"/>
            </w:tcMar>
            <w:vAlign w:val="center"/>
          </w:tcPr>
          <w:p w14:paraId="0EA2AA62" w14:textId="77777777"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10.472</w:t>
            </w:r>
          </w:p>
        </w:tc>
        <w:tc>
          <w:tcPr>
            <w:tcW w:w="515" w:type="pct"/>
            <w:tcMar>
              <w:top w:w="-1" w:type="dxa"/>
              <w:left w:w="-1" w:type="dxa"/>
              <w:bottom w:w="-1" w:type="dxa"/>
              <w:right w:w="-1" w:type="dxa"/>
            </w:tcMar>
            <w:vAlign w:val="center"/>
          </w:tcPr>
          <w:p w14:paraId="116F192B" w14:textId="77777777"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0.294</w:t>
            </w:r>
          </w:p>
        </w:tc>
        <w:tc>
          <w:tcPr>
            <w:tcW w:w="516" w:type="pct"/>
            <w:tcMar>
              <w:top w:w="-1" w:type="dxa"/>
              <w:left w:w="-1" w:type="dxa"/>
              <w:bottom w:w="-1" w:type="dxa"/>
              <w:right w:w="-1" w:type="dxa"/>
            </w:tcMar>
            <w:vAlign w:val="center"/>
          </w:tcPr>
          <w:p w14:paraId="6E25367F" w14:textId="77777777"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5.591</w:t>
            </w:r>
          </w:p>
        </w:tc>
        <w:tc>
          <w:tcPr>
            <w:tcW w:w="516" w:type="pct"/>
            <w:tcMar>
              <w:top w:w="-1" w:type="dxa"/>
              <w:left w:w="-1" w:type="dxa"/>
              <w:bottom w:w="-1" w:type="dxa"/>
              <w:right w:w="-1" w:type="dxa"/>
            </w:tcMar>
            <w:vAlign w:val="center"/>
          </w:tcPr>
          <w:p w14:paraId="24A8A8F7" w14:textId="77777777"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0.388</w:t>
            </w:r>
          </w:p>
        </w:tc>
        <w:tc>
          <w:tcPr>
            <w:tcW w:w="511" w:type="pct"/>
            <w:tcMar>
              <w:top w:w="-1" w:type="dxa"/>
              <w:left w:w="-1" w:type="dxa"/>
              <w:bottom w:w="-1" w:type="dxa"/>
              <w:right w:w="-1" w:type="dxa"/>
            </w:tcMar>
            <w:vAlign w:val="center"/>
          </w:tcPr>
          <w:p w14:paraId="7566C4E6" w14:textId="77777777"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5.712</w:t>
            </w:r>
          </w:p>
        </w:tc>
      </w:tr>
      <w:tr w:rsidR="00531C19" w:rsidRPr="00B848ED" w14:paraId="26FBC014" w14:textId="77777777" w:rsidTr="001A3712">
        <w:trPr>
          <w:tblHeader/>
          <w:jc w:val="center"/>
        </w:trPr>
        <w:tc>
          <w:tcPr>
            <w:tcW w:w="736" w:type="pct"/>
            <w:tcMar>
              <w:top w:w="-1" w:type="dxa"/>
              <w:left w:w="-1" w:type="dxa"/>
              <w:bottom w:w="-1" w:type="dxa"/>
              <w:right w:w="-1" w:type="dxa"/>
            </w:tcMar>
            <w:vAlign w:val="center"/>
          </w:tcPr>
          <w:p w14:paraId="4D1D3E54" w14:textId="6A5F4D81" w:rsidR="00531C19" w:rsidRPr="00B848ED" w:rsidRDefault="00717345" w:rsidP="001A3712">
            <w:pPr>
              <w:snapToGrid w:val="0"/>
              <w:jc w:val="left"/>
              <w:rPr>
                <w:rFonts w:ascii="Times New Roman" w:hAnsi="Times New Roman" w:cs="Times New Roman"/>
                <w:sz w:val="24"/>
              </w:rPr>
            </w:pPr>
            <w:r>
              <w:rPr>
                <w:rFonts w:ascii="Times New Roman" w:eastAsia="Segoe UI" w:hAnsi="Times New Roman" w:cs="Times New Roman"/>
                <w:i/>
                <w:iCs/>
                <w:color w:val="0F1115"/>
                <w:sz w:val="24"/>
                <w:shd w:val="clear" w:color="auto" w:fill="FFFFFF"/>
              </w:rPr>
              <w:t>p</w:t>
            </w:r>
            <w:r w:rsidR="00000000" w:rsidRPr="00B848ED">
              <w:rPr>
                <w:rFonts w:ascii="Times New Roman" w:eastAsia="Segoe UI" w:hAnsi="Times New Roman" w:cs="Times New Roman"/>
                <w:color w:val="0F1115"/>
                <w:sz w:val="24"/>
                <w:shd w:val="clear" w:color="auto" w:fill="FFFFFF"/>
              </w:rPr>
              <w:t xml:space="preserve"> </w:t>
            </w:r>
          </w:p>
        </w:tc>
        <w:tc>
          <w:tcPr>
            <w:tcW w:w="588" w:type="pct"/>
            <w:tcMar>
              <w:top w:w="-1" w:type="dxa"/>
              <w:left w:w="-1" w:type="dxa"/>
              <w:bottom w:w="-1" w:type="dxa"/>
              <w:right w:w="-1" w:type="dxa"/>
            </w:tcMar>
            <w:vAlign w:val="center"/>
          </w:tcPr>
          <w:p w14:paraId="75ECEEC9" w14:textId="77777777"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0.443</w:t>
            </w:r>
          </w:p>
        </w:tc>
        <w:tc>
          <w:tcPr>
            <w:tcW w:w="515" w:type="pct"/>
            <w:tcMar>
              <w:top w:w="-1" w:type="dxa"/>
              <w:left w:w="-1" w:type="dxa"/>
              <w:bottom w:w="-1" w:type="dxa"/>
              <w:right w:w="-1" w:type="dxa"/>
            </w:tcMar>
            <w:vAlign w:val="center"/>
          </w:tcPr>
          <w:p w14:paraId="1D9196CC" w14:textId="4D26623D"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&lt;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0.001</w:t>
            </w:r>
          </w:p>
        </w:tc>
        <w:tc>
          <w:tcPr>
            <w:tcW w:w="588" w:type="pct"/>
            <w:tcMar>
              <w:top w:w="-1" w:type="dxa"/>
              <w:left w:w="-1" w:type="dxa"/>
              <w:bottom w:w="-1" w:type="dxa"/>
              <w:right w:w="-1" w:type="dxa"/>
            </w:tcMar>
            <w:vAlign w:val="center"/>
          </w:tcPr>
          <w:p w14:paraId="7552DAA9" w14:textId="77777777"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0.389</w:t>
            </w:r>
          </w:p>
        </w:tc>
        <w:tc>
          <w:tcPr>
            <w:tcW w:w="515" w:type="pct"/>
            <w:tcMar>
              <w:top w:w="-1" w:type="dxa"/>
              <w:left w:w="-1" w:type="dxa"/>
              <w:bottom w:w="-1" w:type="dxa"/>
              <w:right w:w="-1" w:type="dxa"/>
            </w:tcMar>
            <w:vAlign w:val="center"/>
          </w:tcPr>
          <w:p w14:paraId="069B7B56" w14:textId="263F493F"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&lt;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0.001</w:t>
            </w:r>
          </w:p>
        </w:tc>
        <w:tc>
          <w:tcPr>
            <w:tcW w:w="515" w:type="pct"/>
            <w:tcMar>
              <w:top w:w="-1" w:type="dxa"/>
              <w:left w:w="-1" w:type="dxa"/>
              <w:bottom w:w="-1" w:type="dxa"/>
              <w:right w:w="-1" w:type="dxa"/>
            </w:tcMar>
            <w:vAlign w:val="center"/>
          </w:tcPr>
          <w:p w14:paraId="15D74220" w14:textId="77777777"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0.769</w:t>
            </w:r>
          </w:p>
        </w:tc>
        <w:tc>
          <w:tcPr>
            <w:tcW w:w="516" w:type="pct"/>
            <w:tcMar>
              <w:top w:w="-1" w:type="dxa"/>
              <w:left w:w="-1" w:type="dxa"/>
              <w:bottom w:w="-1" w:type="dxa"/>
              <w:right w:w="-1" w:type="dxa"/>
            </w:tcMar>
            <w:vAlign w:val="center"/>
          </w:tcPr>
          <w:p w14:paraId="7E107BB8" w14:textId="0A4913B1"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&lt;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0.001</w:t>
            </w:r>
          </w:p>
        </w:tc>
        <w:tc>
          <w:tcPr>
            <w:tcW w:w="516" w:type="pct"/>
            <w:tcMar>
              <w:top w:w="-1" w:type="dxa"/>
              <w:left w:w="-1" w:type="dxa"/>
              <w:bottom w:w="-1" w:type="dxa"/>
              <w:right w:w="-1" w:type="dxa"/>
            </w:tcMar>
            <w:vAlign w:val="center"/>
          </w:tcPr>
          <w:p w14:paraId="59674797" w14:textId="77777777"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0.699</w:t>
            </w:r>
          </w:p>
        </w:tc>
        <w:tc>
          <w:tcPr>
            <w:tcW w:w="511" w:type="pct"/>
            <w:tcMar>
              <w:top w:w="-1" w:type="dxa"/>
              <w:left w:w="-1" w:type="dxa"/>
              <w:bottom w:w="-1" w:type="dxa"/>
              <w:right w:w="-1" w:type="dxa"/>
            </w:tcMar>
            <w:vAlign w:val="center"/>
          </w:tcPr>
          <w:p w14:paraId="6A324E89" w14:textId="6DEA4081" w:rsidR="00531C19" w:rsidRPr="00B848ED" w:rsidRDefault="00000000" w:rsidP="00717345">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&lt;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0.001</w:t>
            </w:r>
          </w:p>
        </w:tc>
      </w:tr>
    </w:tbl>
    <w:p w14:paraId="23047EBB" w14:textId="77777777" w:rsidR="00531C19" w:rsidRPr="001A3712" w:rsidRDefault="00531C19" w:rsidP="001A3712">
      <w:pPr>
        <w:snapToGrid w:val="0"/>
        <w:rPr>
          <w:rFonts w:ascii="Times New Roman" w:eastAsia="Segoe UI" w:hAnsi="Times New Roman" w:cs="Times New Roman"/>
          <w:color w:val="0F1115"/>
          <w:sz w:val="24"/>
          <w:shd w:val="clear" w:color="auto" w:fill="FFFFFF"/>
        </w:rPr>
      </w:pPr>
    </w:p>
    <w:p w14:paraId="7E7EA000" w14:textId="77777777" w:rsidR="00531C19" w:rsidRPr="00B848ED" w:rsidRDefault="00000000" w:rsidP="001A3712">
      <w:pPr>
        <w:snapToGrid w:val="0"/>
        <w:rPr>
          <w:rFonts w:ascii="Times New Roman" w:eastAsia="Segoe UI" w:hAnsi="Times New Roman" w:cs="Times New Roman"/>
          <w:b/>
          <w:bCs/>
          <w:color w:val="0F1115"/>
          <w:sz w:val="24"/>
          <w:shd w:val="clear" w:color="auto" w:fill="FFFFFF"/>
        </w:rPr>
      </w:pPr>
      <w:r w:rsidRPr="00B848ED">
        <w:rPr>
          <w:rFonts w:ascii="Times New Roman" w:eastAsia="SimSun" w:hAnsi="Times New Roman" w:cs="Times New Roman" w:hint="eastAsia"/>
          <w:b/>
          <w:bCs/>
          <w:color w:val="0F1115"/>
          <w:sz w:val="24"/>
          <w:shd w:val="clear" w:color="auto" w:fill="FFFFFF"/>
        </w:rPr>
        <w:t>3</w:t>
      </w:r>
      <w:r w:rsidRPr="00B848ED">
        <w:rPr>
          <w:rFonts w:ascii="Times New Roman" w:eastAsia="Segoe UI" w:hAnsi="Times New Roman" w:cs="Times New Roman"/>
          <w:b/>
          <w:bCs/>
          <w:color w:val="0F1115"/>
          <w:sz w:val="24"/>
          <w:shd w:val="clear" w:color="auto" w:fill="FFFFFF"/>
        </w:rPr>
        <w:t>.2</w:t>
      </w:r>
      <w:r w:rsidRPr="00B848ED">
        <w:rPr>
          <w:rFonts w:ascii="Times New Roman" w:eastAsia="SimSun" w:hAnsi="Times New Roman" w:cs="Times New Roman"/>
          <w:b/>
          <w:bCs/>
          <w:color w:val="0F1115"/>
          <w:sz w:val="24"/>
          <w:shd w:val="clear" w:color="auto" w:fill="FFFFFF"/>
        </w:rPr>
        <w:t>.</w:t>
      </w:r>
      <w:r w:rsidRPr="00B848ED">
        <w:rPr>
          <w:rFonts w:ascii="Times New Roman" w:eastAsia="Segoe UI" w:hAnsi="Times New Roman" w:cs="Times New Roman"/>
          <w:b/>
          <w:bCs/>
          <w:color w:val="0F1115"/>
          <w:sz w:val="24"/>
          <w:shd w:val="clear" w:color="auto" w:fill="FFFFFF"/>
        </w:rPr>
        <w:t xml:space="preserve"> Cellular </w:t>
      </w:r>
      <w:r w:rsidRPr="00B848ED">
        <w:rPr>
          <w:rFonts w:ascii="Times New Roman" w:eastAsia="SimSun" w:hAnsi="Times New Roman" w:cs="Times New Roman" w:hint="eastAsia"/>
          <w:b/>
          <w:bCs/>
          <w:color w:val="0F1115"/>
          <w:sz w:val="24"/>
          <w:shd w:val="clear" w:color="auto" w:fill="FFFFFF"/>
        </w:rPr>
        <w:t>i</w:t>
      </w:r>
      <w:r w:rsidRPr="00B848ED">
        <w:rPr>
          <w:rFonts w:ascii="Times New Roman" w:eastAsia="Segoe UI" w:hAnsi="Times New Roman" w:cs="Times New Roman"/>
          <w:b/>
          <w:bCs/>
          <w:color w:val="0F1115"/>
          <w:sz w:val="24"/>
          <w:shd w:val="clear" w:color="auto" w:fill="FFFFFF"/>
        </w:rPr>
        <w:t xml:space="preserve">mmune </w:t>
      </w:r>
      <w:r w:rsidRPr="00B848ED">
        <w:rPr>
          <w:rFonts w:ascii="Times New Roman" w:eastAsia="SimSun" w:hAnsi="Times New Roman" w:cs="Times New Roman" w:hint="eastAsia"/>
          <w:b/>
          <w:bCs/>
          <w:color w:val="0F1115"/>
          <w:sz w:val="24"/>
          <w:shd w:val="clear" w:color="auto" w:fill="FFFFFF"/>
        </w:rPr>
        <w:t>f</w:t>
      </w:r>
      <w:r w:rsidRPr="00B848ED">
        <w:rPr>
          <w:rFonts w:ascii="Times New Roman" w:eastAsia="Segoe UI" w:hAnsi="Times New Roman" w:cs="Times New Roman"/>
          <w:b/>
          <w:bCs/>
          <w:color w:val="0F1115"/>
          <w:sz w:val="24"/>
          <w:shd w:val="clear" w:color="auto" w:fill="FFFFFF"/>
        </w:rPr>
        <w:t xml:space="preserve">unction </w:t>
      </w:r>
    </w:p>
    <w:p w14:paraId="5ACD188F" w14:textId="652D3CFB" w:rsidR="00531C19" w:rsidRPr="00B848ED" w:rsidRDefault="00000000" w:rsidP="001A3712">
      <w:pPr>
        <w:snapToGrid w:val="0"/>
        <w:rPr>
          <w:rFonts w:ascii="Times New Roman" w:eastAsia="Segoe UI" w:hAnsi="Times New Roman" w:cs="Times New Roman"/>
          <w:color w:val="0F1115"/>
          <w:sz w:val="24"/>
          <w:shd w:val="clear" w:color="auto" w:fill="FFFFFF"/>
        </w:rPr>
      </w:pPr>
      <w:r w:rsidRPr="00B848ED">
        <w:rPr>
          <w:rFonts w:ascii="Times New Roman" w:eastAsia="Segoe UI" w:hAnsi="Times New Roman" w:cs="Times New Roman"/>
          <w:color w:val="0F1115"/>
          <w:sz w:val="24"/>
          <w:shd w:val="clear" w:color="auto" w:fill="FFFFFF"/>
        </w:rPr>
        <w:t>After the intervention, the observation group demonstrated superior improvement in cellular immune function (</w:t>
      </w:r>
      <w:r w:rsidR="00717345">
        <w:rPr>
          <w:rFonts w:ascii="Times New Roman" w:eastAsia="Segoe UI" w:hAnsi="Times New Roman" w:cs="Times New Roman"/>
          <w:i/>
          <w:iCs/>
          <w:color w:val="0F1115"/>
          <w:sz w:val="24"/>
          <w:shd w:val="clear" w:color="auto" w:fill="FFFFFF"/>
        </w:rPr>
        <w:t>p</w:t>
      </w:r>
      <w:r w:rsidRPr="00B848ED">
        <w:rPr>
          <w:rFonts w:ascii="Times New Roman" w:eastAsia="Segoe UI" w:hAnsi="Times New Roman" w:cs="Times New Roman"/>
          <w:color w:val="0F1115"/>
          <w:sz w:val="24"/>
          <w:shd w:val="clear" w:color="auto" w:fill="FFFFFF"/>
        </w:rPr>
        <w:t xml:space="preserve"> &lt; 0.05). See </w:t>
      </w:r>
      <w:r w:rsidRPr="00B848ED">
        <w:rPr>
          <w:rFonts w:ascii="Times New Roman" w:eastAsia="Segoe UI" w:hAnsi="Times New Roman" w:cs="Times New Roman"/>
          <w:b/>
          <w:bCs/>
          <w:color w:val="0F1115"/>
          <w:sz w:val="24"/>
          <w:shd w:val="clear" w:color="auto" w:fill="FFFFFF"/>
        </w:rPr>
        <w:t>Table 2</w:t>
      </w:r>
      <w:r w:rsidRPr="00B848ED">
        <w:rPr>
          <w:rFonts w:ascii="Times New Roman" w:eastAsia="Segoe UI" w:hAnsi="Times New Roman" w:cs="Times New Roman"/>
          <w:color w:val="0F1115"/>
          <w:sz w:val="24"/>
          <w:shd w:val="clear" w:color="auto" w:fill="FFFFFF"/>
        </w:rPr>
        <w:t xml:space="preserve">. </w:t>
      </w:r>
    </w:p>
    <w:p w14:paraId="093409D5" w14:textId="77777777" w:rsidR="00531C19" w:rsidRPr="00B848ED" w:rsidRDefault="00531C19" w:rsidP="001A3712">
      <w:pPr>
        <w:snapToGrid w:val="0"/>
        <w:rPr>
          <w:rFonts w:ascii="Times New Roman" w:eastAsia="Segoe UI" w:hAnsi="Times New Roman" w:cs="Times New Roman"/>
          <w:b/>
          <w:bCs/>
          <w:color w:val="0F1115"/>
          <w:sz w:val="24"/>
          <w:shd w:val="clear" w:color="auto" w:fill="FFFFFF"/>
        </w:rPr>
      </w:pPr>
    </w:p>
    <w:p w14:paraId="2C69E8BA" w14:textId="092443B1" w:rsidR="00531C19" w:rsidRPr="00B848ED" w:rsidRDefault="00000000" w:rsidP="001A3712">
      <w:pPr>
        <w:snapToGrid w:val="0"/>
        <w:rPr>
          <w:rFonts w:ascii="Times New Roman" w:eastAsia="Segoe UI" w:hAnsi="Times New Roman" w:cs="Times New Roman"/>
          <w:color w:val="0F1115"/>
          <w:sz w:val="24"/>
          <w:shd w:val="clear" w:color="auto" w:fill="FFFFFF"/>
        </w:rPr>
      </w:pPr>
      <w:r w:rsidRPr="00B848ED">
        <w:rPr>
          <w:rFonts w:ascii="Times New Roman" w:eastAsia="Segoe UI" w:hAnsi="Times New Roman" w:cs="Times New Roman"/>
          <w:b/>
          <w:bCs/>
          <w:color w:val="0F1115"/>
          <w:sz w:val="24"/>
          <w:shd w:val="clear" w:color="auto" w:fill="FFFFFF"/>
        </w:rPr>
        <w:t>Table 2</w:t>
      </w:r>
      <w:r w:rsidRPr="00B848ED">
        <w:rPr>
          <w:rFonts w:ascii="Times New Roman" w:eastAsia="SimSun" w:hAnsi="Times New Roman" w:cs="Times New Roman"/>
          <w:b/>
          <w:bCs/>
          <w:color w:val="0F1115"/>
          <w:sz w:val="24"/>
          <w:shd w:val="clear" w:color="auto" w:fill="FFFFFF"/>
        </w:rPr>
        <w:t>.</w:t>
      </w:r>
      <w:r w:rsidRPr="00B848ED">
        <w:rPr>
          <w:rFonts w:ascii="Times New Roman" w:eastAsia="Segoe UI" w:hAnsi="Times New Roman" w:cs="Times New Roman"/>
          <w:b/>
          <w:bCs/>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 xml:space="preserve">Comparison of </w:t>
      </w:r>
      <w:r w:rsidRPr="00B848ED">
        <w:rPr>
          <w:rFonts w:ascii="Times New Roman" w:eastAsia="SimSun" w:hAnsi="Times New Roman" w:cs="Times New Roman" w:hint="eastAsia"/>
          <w:color w:val="0F1115"/>
          <w:sz w:val="24"/>
          <w:shd w:val="clear" w:color="auto" w:fill="FFFFFF"/>
        </w:rPr>
        <w:t>c</w:t>
      </w:r>
      <w:r w:rsidRPr="00B848ED">
        <w:rPr>
          <w:rFonts w:ascii="Times New Roman" w:eastAsia="Segoe UI" w:hAnsi="Times New Roman" w:cs="Times New Roman"/>
          <w:color w:val="0F1115"/>
          <w:sz w:val="24"/>
          <w:shd w:val="clear" w:color="auto" w:fill="FFFFFF"/>
        </w:rPr>
        <w:t xml:space="preserve">ellular </w:t>
      </w:r>
      <w:r w:rsidRPr="00B848ED">
        <w:rPr>
          <w:rFonts w:ascii="Times New Roman" w:eastAsia="SimSun" w:hAnsi="Times New Roman" w:cs="Times New Roman" w:hint="eastAsia"/>
          <w:color w:val="0F1115"/>
          <w:sz w:val="24"/>
          <w:shd w:val="clear" w:color="auto" w:fill="FFFFFF"/>
        </w:rPr>
        <w:t>i</w:t>
      </w:r>
      <w:r w:rsidRPr="00B848ED">
        <w:rPr>
          <w:rFonts w:ascii="Times New Roman" w:eastAsia="Segoe UI" w:hAnsi="Times New Roman" w:cs="Times New Roman"/>
          <w:color w:val="0F1115"/>
          <w:sz w:val="24"/>
          <w:shd w:val="clear" w:color="auto" w:fill="FFFFFF"/>
        </w:rPr>
        <w:t xml:space="preserve">mmune </w:t>
      </w:r>
      <w:r w:rsidRPr="00B848ED">
        <w:rPr>
          <w:rFonts w:ascii="Times New Roman" w:eastAsia="SimSun" w:hAnsi="Times New Roman" w:cs="Times New Roman" w:hint="eastAsia"/>
          <w:color w:val="0F1115"/>
          <w:sz w:val="24"/>
          <w:shd w:val="clear" w:color="auto" w:fill="FFFFFF"/>
        </w:rPr>
        <w:t>f</w:t>
      </w:r>
      <w:r w:rsidRPr="00B848ED">
        <w:rPr>
          <w:rFonts w:ascii="Times New Roman" w:eastAsia="Segoe UI" w:hAnsi="Times New Roman" w:cs="Times New Roman"/>
          <w:color w:val="0F1115"/>
          <w:sz w:val="24"/>
          <w:shd w:val="clear" w:color="auto" w:fill="FFFFFF"/>
        </w:rPr>
        <w:t xml:space="preserve">unction </w:t>
      </w:r>
      <w:r w:rsidRPr="00B848ED">
        <w:rPr>
          <w:rFonts w:ascii="Times New Roman" w:eastAsia="SimSun" w:hAnsi="Times New Roman" w:cs="Times New Roman" w:hint="eastAsia"/>
          <w:color w:val="0F1115"/>
          <w:sz w:val="24"/>
          <w:shd w:val="clear" w:color="auto" w:fill="FFFFFF"/>
        </w:rPr>
        <w:t>b</w:t>
      </w:r>
      <w:r w:rsidRPr="00B848ED">
        <w:rPr>
          <w:rFonts w:ascii="Times New Roman" w:eastAsia="Segoe UI" w:hAnsi="Times New Roman" w:cs="Times New Roman"/>
          <w:color w:val="0F1115"/>
          <w:sz w:val="24"/>
          <w:shd w:val="clear" w:color="auto" w:fill="FFFFFF"/>
        </w:rPr>
        <w:t xml:space="preserve">etween the </w:t>
      </w:r>
      <w:r w:rsidRPr="00B848ED">
        <w:rPr>
          <w:rFonts w:ascii="Times New Roman" w:eastAsia="SimSun" w:hAnsi="Times New Roman" w:cs="Times New Roman" w:hint="eastAsia"/>
          <w:color w:val="0F1115"/>
          <w:sz w:val="24"/>
          <w:shd w:val="clear" w:color="auto" w:fill="FFFFFF"/>
        </w:rPr>
        <w:t>t</w:t>
      </w:r>
      <w:r w:rsidRPr="00B848ED">
        <w:rPr>
          <w:rFonts w:ascii="Times New Roman" w:eastAsia="Segoe UI" w:hAnsi="Times New Roman" w:cs="Times New Roman"/>
          <w:color w:val="0F1115"/>
          <w:sz w:val="24"/>
          <w:shd w:val="clear" w:color="auto" w:fill="FFFFFF"/>
        </w:rPr>
        <w:t xml:space="preserve">wo </w:t>
      </w:r>
      <w:r w:rsidRPr="00B848ED">
        <w:rPr>
          <w:rFonts w:ascii="Times New Roman" w:eastAsia="SimSun" w:hAnsi="Times New Roman" w:cs="Times New Roman" w:hint="eastAsia"/>
          <w:color w:val="0F1115"/>
          <w:sz w:val="24"/>
          <w:shd w:val="clear" w:color="auto" w:fill="FFFFFF"/>
        </w:rPr>
        <w:t>g</w:t>
      </w:r>
      <w:r w:rsidRPr="00B848ED">
        <w:rPr>
          <w:rFonts w:ascii="Times New Roman" w:eastAsia="Segoe UI" w:hAnsi="Times New Roman" w:cs="Times New Roman"/>
          <w:color w:val="0F1115"/>
          <w:sz w:val="24"/>
          <w:shd w:val="clear" w:color="auto" w:fill="FFFFFF"/>
        </w:rPr>
        <w:t>roups (</w:t>
      </w:r>
      <w:r w:rsidRPr="00B848ED">
        <w:rPr>
          <w:rFonts w:ascii="Times New Roman" w:eastAsia="SimSun" w:hAnsi="Times New Roman" w:cs="Times New Roman"/>
          <w:color w:val="0000FF"/>
          <w:position w:val="-6"/>
          <w:sz w:val="24"/>
        </w:rPr>
        <w:object w:dxaOrig="220" w:dyaOrig="270" w14:anchorId="78604920">
          <v:shape id="_x0000_i1027" type="#_x0000_t75" style="width:11.25pt;height:13.2pt" o:ole="">
            <v:imagedata r:id="rId4" o:title=""/>
          </v:shape>
          <o:OLEObject Type="Embed" ProgID="Equation.DSMT4" ShapeID="_x0000_i1027" DrawAspect="Content" ObjectID="_1846914480" r:id="rId7"/>
        </w:object>
      </w:r>
      <w:r w:rsidRPr="00B848ED">
        <w:rPr>
          <w:rFonts w:ascii="Times New Roman" w:hAnsi="Times New Roman"/>
          <w:sz w:val="24"/>
        </w:rPr>
        <w:t>± s</w:t>
      </w:r>
      <w:r w:rsidRPr="00B848ED">
        <w:rPr>
          <w:rFonts w:ascii="Times New Roman" w:eastAsia="Segoe UI" w:hAnsi="Times New Roman" w:cs="Times New Roman"/>
          <w:color w:val="0F1115"/>
          <w:sz w:val="24"/>
          <w:shd w:val="clear" w:color="auto" w:fill="FFFFFF"/>
        </w:rPr>
        <w:t>)</w:t>
      </w:r>
    </w:p>
    <w:tbl>
      <w:tblPr>
        <w:tblStyle w:val="TableGrid"/>
        <w:tblW w:w="499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4"/>
        <w:gridCol w:w="1379"/>
        <w:gridCol w:w="1440"/>
        <w:gridCol w:w="1379"/>
        <w:gridCol w:w="1441"/>
        <w:gridCol w:w="1380"/>
        <w:gridCol w:w="1441"/>
      </w:tblGrid>
      <w:tr w:rsidR="00531C19" w:rsidRPr="00B848ED" w14:paraId="3169B7D4" w14:textId="77777777" w:rsidTr="001A3712">
        <w:trPr>
          <w:tblHeader/>
          <w:jc w:val="center"/>
        </w:trPr>
        <w:tc>
          <w:tcPr>
            <w:tcW w:w="534" w:type="pct"/>
            <w:tcBorders>
              <w:top w:val="single" w:sz="4" w:space="0" w:color="auto"/>
              <w:bottom w:val="single" w:sz="4" w:space="0" w:color="auto"/>
            </w:tcBorders>
            <w:tcMar>
              <w:top w:w="-1" w:type="dxa"/>
              <w:left w:w="-1" w:type="dxa"/>
              <w:bottom w:w="-1" w:type="dxa"/>
              <w:right w:w="-1" w:type="dxa"/>
            </w:tcMar>
            <w:vAlign w:val="center"/>
          </w:tcPr>
          <w:p w14:paraId="7611F1D2" w14:textId="77777777" w:rsidR="00531C19" w:rsidRPr="00B848ED" w:rsidRDefault="00000000" w:rsidP="001A3712">
            <w:pPr>
              <w:pStyle w:val="NormalWeb"/>
              <w:keepNext/>
              <w:widowControl/>
              <w:snapToGrid w:val="0"/>
              <w:jc w:val="left"/>
              <w:rPr>
                <w:rFonts w:ascii="Times New Roman" w:hAnsi="Times New Roman" w:cs="Times New Roman"/>
                <w:b/>
                <w:bCs/>
              </w:rPr>
            </w:pPr>
            <w:r w:rsidRPr="00B848ED">
              <w:rPr>
                <w:rFonts w:ascii="Times New Roman" w:eastAsia="Segoe UI" w:hAnsi="Times New Roman" w:cs="Times New Roman"/>
                <w:b/>
                <w:bCs/>
                <w:color w:val="0F1115"/>
                <w:shd w:val="clear" w:color="auto" w:fill="FFFFFF"/>
              </w:rPr>
              <w:lastRenderedPageBreak/>
              <w:t>Group</w:t>
            </w:r>
          </w:p>
        </w:tc>
        <w:tc>
          <w:tcPr>
            <w:tcW w:w="728" w:type="pct"/>
            <w:tcBorders>
              <w:top w:val="single" w:sz="4" w:space="0" w:color="auto"/>
              <w:bottom w:val="single" w:sz="4" w:space="0" w:color="auto"/>
            </w:tcBorders>
            <w:tcMar>
              <w:top w:w="-1" w:type="dxa"/>
              <w:left w:w="-1" w:type="dxa"/>
              <w:bottom w:w="-1" w:type="dxa"/>
              <w:right w:w="-1" w:type="dxa"/>
            </w:tcMar>
            <w:vAlign w:val="center"/>
          </w:tcPr>
          <w:p w14:paraId="297705B8" w14:textId="77777777" w:rsidR="00531C19" w:rsidRPr="00B848ED" w:rsidRDefault="00000000" w:rsidP="00B848ED">
            <w:pPr>
              <w:pStyle w:val="NormalWeb"/>
              <w:keepNext/>
              <w:widowControl/>
              <w:snapToGrid w:val="0"/>
              <w:jc w:val="center"/>
              <w:rPr>
                <w:rFonts w:ascii="Times New Roman" w:hAnsi="Times New Roman" w:cs="Times New Roman"/>
                <w:b/>
                <w:bCs/>
              </w:rPr>
            </w:pPr>
            <w:r w:rsidRPr="00B848ED">
              <w:rPr>
                <w:rFonts w:ascii="Times New Roman" w:eastAsia="Segoe UI" w:hAnsi="Times New Roman" w:cs="Times New Roman"/>
                <w:b/>
                <w:bCs/>
                <w:color w:val="0F1115"/>
                <w:shd w:val="clear" w:color="auto" w:fill="FFFFFF"/>
              </w:rPr>
              <w:t>CD4</w:t>
            </w:r>
            <w:r w:rsidRPr="001A3712">
              <w:rPr>
                <w:rFonts w:ascii="Times New Roman" w:eastAsia="Segoe UI" w:hAnsi="Times New Roman" w:cs="Times New Roman"/>
                <w:b/>
                <w:bCs/>
                <w:color w:val="0F1115"/>
                <w:shd w:val="clear" w:color="auto" w:fill="FFFFFF"/>
                <w:vertAlign w:val="superscript"/>
              </w:rPr>
              <w:t>+</w:t>
            </w:r>
            <w:r w:rsidRPr="00B848ED">
              <w:rPr>
                <w:rFonts w:ascii="Times New Roman" w:eastAsia="Segoe UI" w:hAnsi="Times New Roman" w:cs="Times New Roman"/>
                <w:b/>
                <w:bCs/>
                <w:color w:val="0F1115"/>
                <w:shd w:val="clear" w:color="auto" w:fill="FFFFFF"/>
              </w:rPr>
              <w:t xml:space="preserve"> pre-intervention</w:t>
            </w:r>
          </w:p>
        </w:tc>
        <w:tc>
          <w:tcPr>
            <w:tcW w:w="760" w:type="pct"/>
            <w:tcBorders>
              <w:top w:val="single" w:sz="4" w:space="0" w:color="auto"/>
              <w:bottom w:val="single" w:sz="4" w:space="0" w:color="auto"/>
            </w:tcBorders>
            <w:tcMar>
              <w:top w:w="-1" w:type="dxa"/>
              <w:left w:w="-1" w:type="dxa"/>
              <w:bottom w:w="-1" w:type="dxa"/>
              <w:right w:w="-1" w:type="dxa"/>
            </w:tcMar>
            <w:vAlign w:val="center"/>
          </w:tcPr>
          <w:p w14:paraId="56232435" w14:textId="77777777" w:rsidR="00531C19" w:rsidRPr="00B848ED" w:rsidRDefault="00000000" w:rsidP="00B848ED">
            <w:pPr>
              <w:pStyle w:val="NormalWeb"/>
              <w:keepNext/>
              <w:widowControl/>
              <w:snapToGrid w:val="0"/>
              <w:jc w:val="center"/>
              <w:rPr>
                <w:rFonts w:ascii="Times New Roman" w:hAnsi="Times New Roman" w:cs="Times New Roman"/>
                <w:b/>
                <w:bCs/>
              </w:rPr>
            </w:pPr>
            <w:r w:rsidRPr="00B848ED">
              <w:rPr>
                <w:rFonts w:ascii="Times New Roman" w:eastAsia="Segoe UI" w:hAnsi="Times New Roman" w:cs="Times New Roman"/>
                <w:b/>
                <w:bCs/>
                <w:color w:val="0F1115"/>
                <w:shd w:val="clear" w:color="auto" w:fill="FFFFFF"/>
              </w:rPr>
              <w:t>CD4</w:t>
            </w:r>
            <w:r w:rsidRPr="001A3712">
              <w:rPr>
                <w:rFonts w:ascii="Times New Roman" w:eastAsia="Segoe UI" w:hAnsi="Times New Roman" w:cs="Times New Roman"/>
                <w:b/>
                <w:bCs/>
                <w:color w:val="0F1115"/>
                <w:shd w:val="clear" w:color="auto" w:fill="FFFFFF"/>
                <w:vertAlign w:val="superscript"/>
              </w:rPr>
              <w:t>+</w:t>
            </w:r>
            <w:r w:rsidRPr="00B848ED">
              <w:rPr>
                <w:rFonts w:ascii="Times New Roman" w:eastAsia="Segoe UI" w:hAnsi="Times New Roman" w:cs="Times New Roman"/>
                <w:b/>
                <w:bCs/>
                <w:color w:val="0F1115"/>
                <w:shd w:val="clear" w:color="auto" w:fill="FFFFFF"/>
              </w:rPr>
              <w:t xml:space="preserve"> post-intervention</w:t>
            </w:r>
          </w:p>
        </w:tc>
        <w:tc>
          <w:tcPr>
            <w:tcW w:w="728" w:type="pct"/>
            <w:tcBorders>
              <w:top w:val="single" w:sz="4" w:space="0" w:color="auto"/>
              <w:bottom w:val="single" w:sz="4" w:space="0" w:color="auto"/>
            </w:tcBorders>
            <w:tcMar>
              <w:top w:w="-1" w:type="dxa"/>
              <w:left w:w="-1" w:type="dxa"/>
              <w:bottom w:w="-1" w:type="dxa"/>
              <w:right w:w="-1" w:type="dxa"/>
            </w:tcMar>
            <w:vAlign w:val="center"/>
          </w:tcPr>
          <w:p w14:paraId="1D30E038" w14:textId="77777777" w:rsidR="00531C19" w:rsidRPr="00B848ED" w:rsidRDefault="00000000" w:rsidP="00B848ED">
            <w:pPr>
              <w:pStyle w:val="NormalWeb"/>
              <w:keepNext/>
              <w:widowControl/>
              <w:snapToGrid w:val="0"/>
              <w:jc w:val="center"/>
              <w:rPr>
                <w:rFonts w:ascii="Times New Roman" w:hAnsi="Times New Roman" w:cs="Times New Roman"/>
                <w:b/>
                <w:bCs/>
              </w:rPr>
            </w:pPr>
            <w:r w:rsidRPr="00B848ED">
              <w:rPr>
                <w:rFonts w:ascii="Times New Roman" w:eastAsia="Segoe UI" w:hAnsi="Times New Roman" w:cs="Times New Roman"/>
                <w:b/>
                <w:bCs/>
                <w:color w:val="0F1115"/>
                <w:shd w:val="clear" w:color="auto" w:fill="FFFFFF"/>
              </w:rPr>
              <w:t>CD8</w:t>
            </w:r>
            <w:r w:rsidRPr="001A3712">
              <w:rPr>
                <w:rFonts w:ascii="Times New Roman" w:eastAsia="Segoe UI" w:hAnsi="Times New Roman" w:cs="Times New Roman"/>
                <w:b/>
                <w:bCs/>
                <w:color w:val="0F1115"/>
                <w:shd w:val="clear" w:color="auto" w:fill="FFFFFF"/>
                <w:vertAlign w:val="superscript"/>
              </w:rPr>
              <w:t>+</w:t>
            </w:r>
            <w:r w:rsidRPr="00B848ED">
              <w:rPr>
                <w:rFonts w:ascii="Times New Roman" w:eastAsia="Segoe UI" w:hAnsi="Times New Roman" w:cs="Times New Roman"/>
                <w:b/>
                <w:bCs/>
                <w:color w:val="0F1115"/>
                <w:shd w:val="clear" w:color="auto" w:fill="FFFFFF"/>
              </w:rPr>
              <w:t xml:space="preserve"> pre-intervention</w:t>
            </w:r>
          </w:p>
        </w:tc>
        <w:tc>
          <w:tcPr>
            <w:tcW w:w="760" w:type="pct"/>
            <w:tcBorders>
              <w:top w:val="single" w:sz="4" w:space="0" w:color="auto"/>
              <w:bottom w:val="single" w:sz="4" w:space="0" w:color="auto"/>
            </w:tcBorders>
            <w:tcMar>
              <w:top w:w="-1" w:type="dxa"/>
              <w:left w:w="-1" w:type="dxa"/>
              <w:bottom w:w="-1" w:type="dxa"/>
              <w:right w:w="-1" w:type="dxa"/>
            </w:tcMar>
            <w:vAlign w:val="center"/>
          </w:tcPr>
          <w:p w14:paraId="77168B73" w14:textId="77777777" w:rsidR="00531C19" w:rsidRPr="00B848ED" w:rsidRDefault="00000000" w:rsidP="00B848ED">
            <w:pPr>
              <w:pStyle w:val="NormalWeb"/>
              <w:keepNext/>
              <w:widowControl/>
              <w:snapToGrid w:val="0"/>
              <w:jc w:val="center"/>
              <w:rPr>
                <w:rFonts w:ascii="Times New Roman" w:hAnsi="Times New Roman" w:cs="Times New Roman"/>
                <w:b/>
                <w:bCs/>
              </w:rPr>
            </w:pPr>
            <w:r w:rsidRPr="00B848ED">
              <w:rPr>
                <w:rFonts w:ascii="Times New Roman" w:eastAsia="Segoe UI" w:hAnsi="Times New Roman" w:cs="Times New Roman"/>
                <w:b/>
                <w:bCs/>
                <w:color w:val="0F1115"/>
                <w:shd w:val="clear" w:color="auto" w:fill="FFFFFF"/>
              </w:rPr>
              <w:t>CD8</w:t>
            </w:r>
            <w:r w:rsidRPr="001A3712">
              <w:rPr>
                <w:rFonts w:ascii="Times New Roman" w:eastAsia="Segoe UI" w:hAnsi="Times New Roman" w:cs="Times New Roman"/>
                <w:b/>
                <w:bCs/>
                <w:color w:val="0F1115"/>
                <w:shd w:val="clear" w:color="auto" w:fill="FFFFFF"/>
                <w:vertAlign w:val="superscript"/>
              </w:rPr>
              <w:t>+</w:t>
            </w:r>
            <w:r w:rsidRPr="00B848ED">
              <w:rPr>
                <w:rFonts w:ascii="Times New Roman" w:eastAsia="Segoe UI" w:hAnsi="Times New Roman" w:cs="Times New Roman"/>
                <w:b/>
                <w:bCs/>
                <w:color w:val="0F1115"/>
                <w:shd w:val="clear" w:color="auto" w:fill="FFFFFF"/>
              </w:rPr>
              <w:t xml:space="preserve"> post-intervention</w:t>
            </w:r>
          </w:p>
        </w:tc>
        <w:tc>
          <w:tcPr>
            <w:tcW w:w="728" w:type="pct"/>
            <w:tcBorders>
              <w:top w:val="single" w:sz="4" w:space="0" w:color="auto"/>
              <w:bottom w:val="single" w:sz="4" w:space="0" w:color="auto"/>
            </w:tcBorders>
            <w:tcMar>
              <w:top w:w="-1" w:type="dxa"/>
              <w:left w:w="-1" w:type="dxa"/>
              <w:bottom w:w="-1" w:type="dxa"/>
              <w:right w:w="-1" w:type="dxa"/>
            </w:tcMar>
            <w:vAlign w:val="center"/>
          </w:tcPr>
          <w:p w14:paraId="36F0A314" w14:textId="77777777" w:rsidR="00531C19" w:rsidRPr="00B848ED" w:rsidRDefault="00000000" w:rsidP="00B848ED">
            <w:pPr>
              <w:pStyle w:val="NormalWeb"/>
              <w:keepNext/>
              <w:widowControl/>
              <w:snapToGrid w:val="0"/>
              <w:jc w:val="center"/>
              <w:rPr>
                <w:rFonts w:ascii="Times New Roman" w:hAnsi="Times New Roman" w:cs="Times New Roman"/>
                <w:b/>
                <w:bCs/>
              </w:rPr>
            </w:pPr>
            <w:r w:rsidRPr="00B848ED">
              <w:rPr>
                <w:rFonts w:ascii="Times New Roman" w:eastAsia="Segoe UI" w:hAnsi="Times New Roman" w:cs="Times New Roman"/>
                <w:b/>
                <w:bCs/>
                <w:color w:val="0F1115"/>
                <w:shd w:val="clear" w:color="auto" w:fill="FFFFFF"/>
              </w:rPr>
              <w:t>CD4</w:t>
            </w:r>
            <w:r w:rsidRPr="001A3712">
              <w:rPr>
                <w:rFonts w:ascii="Times New Roman" w:eastAsia="Segoe UI" w:hAnsi="Times New Roman" w:cs="Times New Roman"/>
                <w:b/>
                <w:bCs/>
                <w:color w:val="0F1115"/>
                <w:shd w:val="clear" w:color="auto" w:fill="FFFFFF"/>
                <w:vertAlign w:val="superscript"/>
              </w:rPr>
              <w:t>+</w:t>
            </w:r>
            <w:r w:rsidRPr="00B848ED">
              <w:rPr>
                <w:rFonts w:ascii="Times New Roman" w:eastAsia="Segoe UI" w:hAnsi="Times New Roman" w:cs="Times New Roman"/>
                <w:b/>
                <w:bCs/>
                <w:color w:val="0F1115"/>
                <w:shd w:val="clear" w:color="auto" w:fill="FFFFFF"/>
              </w:rPr>
              <w:t>/CD8</w:t>
            </w:r>
            <w:r w:rsidRPr="001A3712">
              <w:rPr>
                <w:rFonts w:ascii="Times New Roman" w:eastAsia="Segoe UI" w:hAnsi="Times New Roman" w:cs="Times New Roman"/>
                <w:b/>
                <w:bCs/>
                <w:color w:val="0F1115"/>
                <w:shd w:val="clear" w:color="auto" w:fill="FFFFFF"/>
                <w:vertAlign w:val="superscript"/>
              </w:rPr>
              <w:t>+</w:t>
            </w:r>
            <w:r w:rsidRPr="00B848ED">
              <w:rPr>
                <w:rFonts w:ascii="Times New Roman" w:eastAsia="Segoe UI" w:hAnsi="Times New Roman" w:cs="Times New Roman"/>
                <w:b/>
                <w:bCs/>
                <w:color w:val="0F1115"/>
                <w:shd w:val="clear" w:color="auto" w:fill="FFFFFF"/>
              </w:rPr>
              <w:t xml:space="preserve"> pre-intervention</w:t>
            </w:r>
          </w:p>
        </w:tc>
        <w:tc>
          <w:tcPr>
            <w:tcW w:w="760" w:type="pct"/>
            <w:tcBorders>
              <w:top w:val="single" w:sz="4" w:space="0" w:color="auto"/>
              <w:bottom w:val="single" w:sz="4" w:space="0" w:color="auto"/>
            </w:tcBorders>
            <w:tcMar>
              <w:top w:w="-1" w:type="dxa"/>
              <w:left w:w="-1" w:type="dxa"/>
              <w:bottom w:w="-1" w:type="dxa"/>
              <w:right w:w="-1" w:type="dxa"/>
            </w:tcMar>
            <w:vAlign w:val="center"/>
          </w:tcPr>
          <w:p w14:paraId="48AD0A1C" w14:textId="77777777" w:rsidR="00531C19" w:rsidRPr="00B848ED" w:rsidRDefault="00000000" w:rsidP="00B848ED">
            <w:pPr>
              <w:pStyle w:val="NormalWeb"/>
              <w:keepNext/>
              <w:widowControl/>
              <w:snapToGrid w:val="0"/>
              <w:jc w:val="center"/>
              <w:rPr>
                <w:rFonts w:ascii="Times New Roman" w:hAnsi="Times New Roman" w:cs="Times New Roman"/>
                <w:b/>
                <w:bCs/>
              </w:rPr>
            </w:pPr>
            <w:r w:rsidRPr="00B848ED">
              <w:rPr>
                <w:rFonts w:ascii="Times New Roman" w:eastAsia="Segoe UI" w:hAnsi="Times New Roman" w:cs="Times New Roman"/>
                <w:b/>
                <w:bCs/>
                <w:color w:val="0F1115"/>
                <w:shd w:val="clear" w:color="auto" w:fill="FFFFFF"/>
              </w:rPr>
              <w:t>CD4</w:t>
            </w:r>
            <w:r w:rsidRPr="001A3712">
              <w:rPr>
                <w:rFonts w:ascii="Times New Roman" w:eastAsia="Segoe UI" w:hAnsi="Times New Roman" w:cs="Times New Roman"/>
                <w:b/>
                <w:bCs/>
                <w:color w:val="0F1115"/>
                <w:shd w:val="clear" w:color="auto" w:fill="FFFFFF"/>
                <w:vertAlign w:val="superscript"/>
              </w:rPr>
              <w:t>+</w:t>
            </w:r>
            <w:r w:rsidRPr="00B848ED">
              <w:rPr>
                <w:rFonts w:ascii="Times New Roman" w:eastAsia="Segoe UI" w:hAnsi="Times New Roman" w:cs="Times New Roman"/>
                <w:b/>
                <w:bCs/>
                <w:color w:val="0F1115"/>
                <w:shd w:val="clear" w:color="auto" w:fill="FFFFFF"/>
              </w:rPr>
              <w:t>/CD8</w:t>
            </w:r>
            <w:r w:rsidRPr="001A3712">
              <w:rPr>
                <w:rFonts w:ascii="Times New Roman" w:eastAsia="Segoe UI" w:hAnsi="Times New Roman" w:cs="Times New Roman"/>
                <w:b/>
                <w:bCs/>
                <w:color w:val="0F1115"/>
                <w:shd w:val="clear" w:color="auto" w:fill="FFFFFF"/>
                <w:vertAlign w:val="superscript"/>
              </w:rPr>
              <w:t>+</w:t>
            </w:r>
            <w:r w:rsidRPr="00B848ED">
              <w:rPr>
                <w:rFonts w:ascii="Times New Roman" w:eastAsia="Segoe UI" w:hAnsi="Times New Roman" w:cs="Times New Roman"/>
                <w:b/>
                <w:bCs/>
                <w:color w:val="0F1115"/>
                <w:shd w:val="clear" w:color="auto" w:fill="FFFFFF"/>
              </w:rPr>
              <w:t xml:space="preserve"> post-intervention</w:t>
            </w:r>
          </w:p>
        </w:tc>
      </w:tr>
      <w:tr w:rsidR="00531C19" w:rsidRPr="00B848ED" w14:paraId="6315FEFA" w14:textId="77777777" w:rsidTr="001A3712">
        <w:trPr>
          <w:tblHeader/>
          <w:jc w:val="center"/>
        </w:trPr>
        <w:tc>
          <w:tcPr>
            <w:tcW w:w="534" w:type="pct"/>
            <w:tcBorders>
              <w:top w:val="single" w:sz="4" w:space="0" w:color="auto"/>
            </w:tcBorders>
            <w:tcMar>
              <w:top w:w="-1" w:type="dxa"/>
              <w:left w:w="-1" w:type="dxa"/>
              <w:bottom w:w="-1" w:type="dxa"/>
              <w:right w:w="-1" w:type="dxa"/>
            </w:tcMar>
            <w:vAlign w:val="center"/>
          </w:tcPr>
          <w:p w14:paraId="3FBE09D2" w14:textId="3D84E510" w:rsidR="00531C19" w:rsidRPr="00B848ED" w:rsidRDefault="00000000" w:rsidP="001A3712">
            <w:pPr>
              <w:pStyle w:val="NormalWeb"/>
              <w:keepNext/>
              <w:widowControl/>
              <w:snapToGrid w:val="0"/>
              <w:jc w:val="left"/>
              <w:rPr>
                <w:rFonts w:ascii="Times New Roman" w:hAnsi="Times New Roman" w:cs="Times New Roman"/>
              </w:rPr>
            </w:pPr>
            <w:r w:rsidRPr="00B848ED">
              <w:rPr>
                <w:rFonts w:ascii="Times New Roman" w:eastAsia="Segoe UI" w:hAnsi="Times New Roman" w:cs="Times New Roman"/>
                <w:color w:val="0F1115"/>
                <w:shd w:val="clear" w:color="auto" w:fill="FFFFFF"/>
              </w:rPr>
              <w:t>Observation group (n</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51)</w:t>
            </w:r>
          </w:p>
        </w:tc>
        <w:tc>
          <w:tcPr>
            <w:tcW w:w="728" w:type="pct"/>
            <w:tcBorders>
              <w:top w:val="single" w:sz="4" w:space="0" w:color="auto"/>
            </w:tcBorders>
            <w:tcMar>
              <w:top w:w="-1" w:type="dxa"/>
              <w:left w:w="-1" w:type="dxa"/>
              <w:bottom w:w="-1" w:type="dxa"/>
              <w:right w:w="-1" w:type="dxa"/>
            </w:tcMar>
            <w:vAlign w:val="center"/>
          </w:tcPr>
          <w:p w14:paraId="788B93E7" w14:textId="7A668956"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45.92</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4.66</w:t>
            </w:r>
          </w:p>
        </w:tc>
        <w:tc>
          <w:tcPr>
            <w:tcW w:w="760" w:type="pct"/>
            <w:tcBorders>
              <w:top w:val="single" w:sz="4" w:space="0" w:color="auto"/>
            </w:tcBorders>
            <w:tcMar>
              <w:top w:w="-1" w:type="dxa"/>
              <w:left w:w="-1" w:type="dxa"/>
              <w:bottom w:w="-1" w:type="dxa"/>
              <w:right w:w="-1" w:type="dxa"/>
            </w:tcMar>
            <w:vAlign w:val="center"/>
          </w:tcPr>
          <w:p w14:paraId="1DB60439" w14:textId="4DE2B5E3"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40.52</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4.06</w:t>
            </w:r>
          </w:p>
        </w:tc>
        <w:tc>
          <w:tcPr>
            <w:tcW w:w="728" w:type="pct"/>
            <w:tcBorders>
              <w:top w:val="single" w:sz="4" w:space="0" w:color="auto"/>
            </w:tcBorders>
            <w:tcMar>
              <w:top w:w="-1" w:type="dxa"/>
              <w:left w:w="-1" w:type="dxa"/>
              <w:bottom w:w="-1" w:type="dxa"/>
              <w:right w:w="-1" w:type="dxa"/>
            </w:tcMar>
            <w:vAlign w:val="center"/>
          </w:tcPr>
          <w:p w14:paraId="6ACCC98F" w14:textId="37ED05B1"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31.22</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5.31</w:t>
            </w:r>
          </w:p>
        </w:tc>
        <w:tc>
          <w:tcPr>
            <w:tcW w:w="760" w:type="pct"/>
            <w:tcBorders>
              <w:top w:val="single" w:sz="4" w:space="0" w:color="auto"/>
            </w:tcBorders>
            <w:tcMar>
              <w:top w:w="-1" w:type="dxa"/>
              <w:left w:w="-1" w:type="dxa"/>
              <w:bottom w:w="-1" w:type="dxa"/>
              <w:right w:w="-1" w:type="dxa"/>
            </w:tcMar>
            <w:vAlign w:val="center"/>
          </w:tcPr>
          <w:p w14:paraId="4D5D5E65" w14:textId="14F21EBD"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19.67</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2.06</w:t>
            </w:r>
          </w:p>
        </w:tc>
        <w:tc>
          <w:tcPr>
            <w:tcW w:w="728" w:type="pct"/>
            <w:tcBorders>
              <w:top w:val="single" w:sz="4" w:space="0" w:color="auto"/>
            </w:tcBorders>
            <w:tcMar>
              <w:top w:w="-1" w:type="dxa"/>
              <w:left w:w="-1" w:type="dxa"/>
              <w:bottom w:w="-1" w:type="dxa"/>
              <w:right w:w="-1" w:type="dxa"/>
            </w:tcMar>
            <w:vAlign w:val="center"/>
          </w:tcPr>
          <w:p w14:paraId="11FB34D1" w14:textId="374FA2C0"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1.42</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0.21</w:t>
            </w:r>
          </w:p>
        </w:tc>
        <w:tc>
          <w:tcPr>
            <w:tcW w:w="760" w:type="pct"/>
            <w:tcBorders>
              <w:top w:val="single" w:sz="4" w:space="0" w:color="auto"/>
            </w:tcBorders>
            <w:tcMar>
              <w:top w:w="-1" w:type="dxa"/>
              <w:left w:w="-1" w:type="dxa"/>
              <w:bottom w:w="-1" w:type="dxa"/>
              <w:right w:w="-1" w:type="dxa"/>
            </w:tcMar>
            <w:vAlign w:val="center"/>
          </w:tcPr>
          <w:p w14:paraId="6D25ED85" w14:textId="19C6EFF3"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2.08</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0.22</w:t>
            </w:r>
          </w:p>
        </w:tc>
      </w:tr>
      <w:tr w:rsidR="00531C19" w:rsidRPr="00B848ED" w14:paraId="05CFC648" w14:textId="77777777" w:rsidTr="001A3712">
        <w:trPr>
          <w:tblHeader/>
          <w:jc w:val="center"/>
        </w:trPr>
        <w:tc>
          <w:tcPr>
            <w:tcW w:w="534" w:type="pct"/>
            <w:tcMar>
              <w:top w:w="-1" w:type="dxa"/>
              <w:left w:w="-1" w:type="dxa"/>
              <w:bottom w:w="-1" w:type="dxa"/>
              <w:right w:w="-1" w:type="dxa"/>
            </w:tcMar>
            <w:vAlign w:val="center"/>
          </w:tcPr>
          <w:p w14:paraId="5DE399CE" w14:textId="12EAC170" w:rsidR="00531C19" w:rsidRPr="00B848ED" w:rsidRDefault="00000000" w:rsidP="001A3712">
            <w:pPr>
              <w:pStyle w:val="NormalWeb"/>
              <w:keepNext/>
              <w:widowControl/>
              <w:snapToGrid w:val="0"/>
              <w:jc w:val="left"/>
              <w:rPr>
                <w:rFonts w:ascii="Times New Roman" w:hAnsi="Times New Roman" w:cs="Times New Roman"/>
              </w:rPr>
            </w:pPr>
            <w:r w:rsidRPr="00B848ED">
              <w:rPr>
                <w:rFonts w:ascii="Times New Roman" w:eastAsia="Segoe UI" w:hAnsi="Times New Roman" w:cs="Times New Roman"/>
                <w:color w:val="0F1115"/>
                <w:shd w:val="clear" w:color="auto" w:fill="FFFFFF"/>
              </w:rPr>
              <w:t>Control group (n</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51)</w:t>
            </w:r>
          </w:p>
        </w:tc>
        <w:tc>
          <w:tcPr>
            <w:tcW w:w="728" w:type="pct"/>
            <w:tcMar>
              <w:top w:w="-1" w:type="dxa"/>
              <w:left w:w="-1" w:type="dxa"/>
              <w:bottom w:w="-1" w:type="dxa"/>
              <w:right w:w="-1" w:type="dxa"/>
            </w:tcMar>
            <w:vAlign w:val="center"/>
          </w:tcPr>
          <w:p w14:paraId="7F905DA2" w14:textId="01ACF394"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45.75</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4.17</w:t>
            </w:r>
          </w:p>
        </w:tc>
        <w:tc>
          <w:tcPr>
            <w:tcW w:w="760" w:type="pct"/>
            <w:tcMar>
              <w:top w:w="-1" w:type="dxa"/>
              <w:left w:w="-1" w:type="dxa"/>
              <w:bottom w:w="-1" w:type="dxa"/>
              <w:right w:w="-1" w:type="dxa"/>
            </w:tcMar>
            <w:vAlign w:val="center"/>
          </w:tcPr>
          <w:p w14:paraId="6064FBF9" w14:textId="08273B67"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37.20</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3.98</w:t>
            </w:r>
          </w:p>
        </w:tc>
        <w:tc>
          <w:tcPr>
            <w:tcW w:w="728" w:type="pct"/>
            <w:tcMar>
              <w:top w:w="-1" w:type="dxa"/>
              <w:left w:w="-1" w:type="dxa"/>
              <w:bottom w:w="-1" w:type="dxa"/>
              <w:right w:w="-1" w:type="dxa"/>
            </w:tcMar>
            <w:vAlign w:val="center"/>
          </w:tcPr>
          <w:p w14:paraId="1D235D7F" w14:textId="25424744"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30.50</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6.08</w:t>
            </w:r>
          </w:p>
        </w:tc>
        <w:tc>
          <w:tcPr>
            <w:tcW w:w="760" w:type="pct"/>
            <w:tcMar>
              <w:top w:w="-1" w:type="dxa"/>
              <w:left w:w="-1" w:type="dxa"/>
              <w:bottom w:w="-1" w:type="dxa"/>
              <w:right w:w="-1" w:type="dxa"/>
            </w:tcMar>
            <w:vAlign w:val="center"/>
          </w:tcPr>
          <w:p w14:paraId="70C68309" w14:textId="282FAFB4"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21.83</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1.87</w:t>
            </w:r>
          </w:p>
        </w:tc>
        <w:tc>
          <w:tcPr>
            <w:tcW w:w="728" w:type="pct"/>
            <w:tcMar>
              <w:top w:w="-1" w:type="dxa"/>
              <w:left w:w="-1" w:type="dxa"/>
              <w:bottom w:w="-1" w:type="dxa"/>
              <w:right w:w="-1" w:type="dxa"/>
            </w:tcMar>
            <w:vAlign w:val="center"/>
          </w:tcPr>
          <w:p w14:paraId="0A9DEF6D" w14:textId="0D0AEB34"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1.45</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0.16</w:t>
            </w:r>
          </w:p>
        </w:tc>
        <w:tc>
          <w:tcPr>
            <w:tcW w:w="760" w:type="pct"/>
            <w:tcMar>
              <w:top w:w="-1" w:type="dxa"/>
              <w:left w:w="-1" w:type="dxa"/>
              <w:bottom w:w="-1" w:type="dxa"/>
              <w:right w:w="-1" w:type="dxa"/>
            </w:tcMar>
            <w:vAlign w:val="center"/>
          </w:tcPr>
          <w:p w14:paraId="67F6E583" w14:textId="1EBB5C0E"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1.79</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0.18</w:t>
            </w:r>
          </w:p>
        </w:tc>
      </w:tr>
      <w:tr w:rsidR="00531C19" w:rsidRPr="00B848ED" w14:paraId="56DBFF9D" w14:textId="77777777" w:rsidTr="001A3712">
        <w:trPr>
          <w:tblHeader/>
          <w:jc w:val="center"/>
        </w:trPr>
        <w:tc>
          <w:tcPr>
            <w:tcW w:w="534" w:type="pct"/>
            <w:tcMar>
              <w:top w:w="-1" w:type="dxa"/>
              <w:left w:w="-1" w:type="dxa"/>
              <w:bottom w:w="-1" w:type="dxa"/>
              <w:right w:w="-1" w:type="dxa"/>
            </w:tcMar>
            <w:vAlign w:val="center"/>
          </w:tcPr>
          <w:p w14:paraId="0EF67D05" w14:textId="77777777" w:rsidR="00531C19" w:rsidRPr="00B848ED" w:rsidRDefault="00000000" w:rsidP="001A3712">
            <w:pPr>
              <w:pStyle w:val="NormalWeb"/>
              <w:keepNext/>
              <w:widowControl/>
              <w:snapToGrid w:val="0"/>
              <w:jc w:val="left"/>
              <w:rPr>
                <w:rFonts w:ascii="Times New Roman" w:hAnsi="Times New Roman" w:cs="Times New Roman"/>
              </w:rPr>
            </w:pPr>
            <w:r w:rsidRPr="00B848ED">
              <w:rPr>
                <w:rFonts w:ascii="Times New Roman" w:eastAsia="Segoe UI" w:hAnsi="Times New Roman" w:cs="Times New Roman"/>
                <w:i/>
                <w:iCs/>
                <w:color w:val="0F1115"/>
                <w:shd w:val="clear" w:color="auto" w:fill="FFFFFF"/>
              </w:rPr>
              <w:t>t</w:t>
            </w:r>
            <w:r w:rsidRPr="00B848ED">
              <w:rPr>
                <w:rFonts w:ascii="Times New Roman" w:eastAsia="Segoe UI" w:hAnsi="Times New Roman" w:cs="Times New Roman"/>
                <w:color w:val="0F1115"/>
                <w:shd w:val="clear" w:color="auto" w:fill="FFFFFF"/>
              </w:rPr>
              <w:t xml:space="preserve"> </w:t>
            </w:r>
          </w:p>
        </w:tc>
        <w:tc>
          <w:tcPr>
            <w:tcW w:w="728" w:type="pct"/>
            <w:tcMar>
              <w:top w:w="-1" w:type="dxa"/>
              <w:left w:w="-1" w:type="dxa"/>
              <w:bottom w:w="-1" w:type="dxa"/>
              <w:right w:w="-1" w:type="dxa"/>
            </w:tcMar>
            <w:vAlign w:val="center"/>
          </w:tcPr>
          <w:p w14:paraId="2126D986" w14:textId="77777777"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0.194</w:t>
            </w:r>
          </w:p>
        </w:tc>
        <w:tc>
          <w:tcPr>
            <w:tcW w:w="760" w:type="pct"/>
            <w:tcMar>
              <w:top w:w="-1" w:type="dxa"/>
              <w:left w:w="-1" w:type="dxa"/>
              <w:bottom w:w="-1" w:type="dxa"/>
              <w:right w:w="-1" w:type="dxa"/>
            </w:tcMar>
            <w:vAlign w:val="center"/>
          </w:tcPr>
          <w:p w14:paraId="6A739FB3" w14:textId="77777777"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4.170</w:t>
            </w:r>
          </w:p>
        </w:tc>
        <w:tc>
          <w:tcPr>
            <w:tcW w:w="728" w:type="pct"/>
            <w:tcMar>
              <w:top w:w="-1" w:type="dxa"/>
              <w:left w:w="-1" w:type="dxa"/>
              <w:bottom w:w="-1" w:type="dxa"/>
              <w:right w:w="-1" w:type="dxa"/>
            </w:tcMar>
            <w:vAlign w:val="center"/>
          </w:tcPr>
          <w:p w14:paraId="70C294CE" w14:textId="77777777"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0.637</w:t>
            </w:r>
          </w:p>
        </w:tc>
        <w:tc>
          <w:tcPr>
            <w:tcW w:w="760" w:type="pct"/>
            <w:tcMar>
              <w:top w:w="-1" w:type="dxa"/>
              <w:left w:w="-1" w:type="dxa"/>
              <w:bottom w:w="-1" w:type="dxa"/>
              <w:right w:w="-1" w:type="dxa"/>
            </w:tcMar>
            <w:vAlign w:val="center"/>
          </w:tcPr>
          <w:p w14:paraId="73D3898F" w14:textId="77777777"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5.544</w:t>
            </w:r>
          </w:p>
        </w:tc>
        <w:tc>
          <w:tcPr>
            <w:tcW w:w="728" w:type="pct"/>
            <w:tcMar>
              <w:top w:w="-1" w:type="dxa"/>
              <w:left w:w="-1" w:type="dxa"/>
              <w:bottom w:w="-1" w:type="dxa"/>
              <w:right w:w="-1" w:type="dxa"/>
            </w:tcMar>
            <w:vAlign w:val="center"/>
          </w:tcPr>
          <w:p w14:paraId="1551345A" w14:textId="77777777"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0.812</w:t>
            </w:r>
          </w:p>
        </w:tc>
        <w:tc>
          <w:tcPr>
            <w:tcW w:w="760" w:type="pct"/>
            <w:tcMar>
              <w:top w:w="-1" w:type="dxa"/>
              <w:left w:w="-1" w:type="dxa"/>
              <w:bottom w:w="-1" w:type="dxa"/>
              <w:right w:w="-1" w:type="dxa"/>
            </w:tcMar>
            <w:vAlign w:val="center"/>
          </w:tcPr>
          <w:p w14:paraId="67522ED8" w14:textId="77777777"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7.286</w:t>
            </w:r>
          </w:p>
        </w:tc>
      </w:tr>
      <w:tr w:rsidR="00531C19" w:rsidRPr="00B848ED" w14:paraId="0C5147D1" w14:textId="77777777" w:rsidTr="001A3712">
        <w:trPr>
          <w:tblHeader/>
          <w:jc w:val="center"/>
        </w:trPr>
        <w:tc>
          <w:tcPr>
            <w:tcW w:w="534" w:type="pct"/>
            <w:tcBorders>
              <w:bottom w:val="single" w:sz="4" w:space="0" w:color="auto"/>
            </w:tcBorders>
            <w:tcMar>
              <w:top w:w="-1" w:type="dxa"/>
              <w:left w:w="-1" w:type="dxa"/>
              <w:bottom w:w="-1" w:type="dxa"/>
              <w:right w:w="-1" w:type="dxa"/>
            </w:tcMar>
            <w:vAlign w:val="center"/>
          </w:tcPr>
          <w:p w14:paraId="50EA207F" w14:textId="16021627" w:rsidR="00531C19" w:rsidRPr="00B848ED" w:rsidRDefault="00717345" w:rsidP="001A3712">
            <w:pPr>
              <w:pStyle w:val="NormalWeb"/>
              <w:keepNext/>
              <w:widowControl/>
              <w:snapToGrid w:val="0"/>
              <w:jc w:val="left"/>
              <w:rPr>
                <w:rFonts w:ascii="Times New Roman" w:hAnsi="Times New Roman" w:cs="Times New Roman"/>
              </w:rPr>
            </w:pPr>
            <w:r>
              <w:rPr>
                <w:rFonts w:ascii="Times New Roman" w:eastAsia="Segoe UI" w:hAnsi="Times New Roman" w:cs="Times New Roman"/>
                <w:i/>
                <w:iCs/>
                <w:color w:val="0F1115"/>
                <w:shd w:val="clear" w:color="auto" w:fill="FFFFFF"/>
              </w:rPr>
              <w:t>p</w:t>
            </w:r>
            <w:r w:rsidRPr="00B848ED">
              <w:rPr>
                <w:rFonts w:ascii="Times New Roman" w:eastAsia="Segoe UI" w:hAnsi="Times New Roman" w:cs="Times New Roman"/>
                <w:color w:val="0F1115"/>
                <w:shd w:val="clear" w:color="auto" w:fill="FFFFFF"/>
              </w:rPr>
              <w:t xml:space="preserve"> </w:t>
            </w:r>
          </w:p>
        </w:tc>
        <w:tc>
          <w:tcPr>
            <w:tcW w:w="728" w:type="pct"/>
            <w:tcBorders>
              <w:bottom w:val="single" w:sz="4" w:space="0" w:color="auto"/>
            </w:tcBorders>
            <w:tcMar>
              <w:top w:w="-1" w:type="dxa"/>
              <w:left w:w="-1" w:type="dxa"/>
              <w:bottom w:w="-1" w:type="dxa"/>
              <w:right w:w="-1" w:type="dxa"/>
            </w:tcMar>
            <w:vAlign w:val="center"/>
          </w:tcPr>
          <w:p w14:paraId="40ED88A5" w14:textId="77777777"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0.847</w:t>
            </w:r>
          </w:p>
        </w:tc>
        <w:tc>
          <w:tcPr>
            <w:tcW w:w="760" w:type="pct"/>
            <w:tcBorders>
              <w:bottom w:val="single" w:sz="4" w:space="0" w:color="auto"/>
            </w:tcBorders>
            <w:tcMar>
              <w:top w:w="-1" w:type="dxa"/>
              <w:left w:w="-1" w:type="dxa"/>
              <w:bottom w:w="-1" w:type="dxa"/>
              <w:right w:w="-1" w:type="dxa"/>
            </w:tcMar>
            <w:vAlign w:val="center"/>
          </w:tcPr>
          <w:p w14:paraId="739FF9FB" w14:textId="666BF4B8"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&lt;</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0.001</w:t>
            </w:r>
          </w:p>
        </w:tc>
        <w:tc>
          <w:tcPr>
            <w:tcW w:w="728" w:type="pct"/>
            <w:tcBorders>
              <w:bottom w:val="single" w:sz="4" w:space="0" w:color="auto"/>
            </w:tcBorders>
            <w:tcMar>
              <w:top w:w="-1" w:type="dxa"/>
              <w:left w:w="-1" w:type="dxa"/>
              <w:bottom w:w="-1" w:type="dxa"/>
              <w:right w:w="-1" w:type="dxa"/>
            </w:tcMar>
            <w:vAlign w:val="center"/>
          </w:tcPr>
          <w:p w14:paraId="5B45FC6E" w14:textId="77777777"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0.526</w:t>
            </w:r>
          </w:p>
        </w:tc>
        <w:tc>
          <w:tcPr>
            <w:tcW w:w="760" w:type="pct"/>
            <w:tcBorders>
              <w:bottom w:val="single" w:sz="4" w:space="0" w:color="auto"/>
            </w:tcBorders>
            <w:tcMar>
              <w:top w:w="-1" w:type="dxa"/>
              <w:left w:w="-1" w:type="dxa"/>
              <w:bottom w:w="-1" w:type="dxa"/>
              <w:right w:w="-1" w:type="dxa"/>
            </w:tcMar>
            <w:vAlign w:val="center"/>
          </w:tcPr>
          <w:p w14:paraId="26F1F7AE" w14:textId="37C9EBAE"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&lt;</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0.001</w:t>
            </w:r>
          </w:p>
        </w:tc>
        <w:tc>
          <w:tcPr>
            <w:tcW w:w="728" w:type="pct"/>
            <w:tcBorders>
              <w:bottom w:val="single" w:sz="4" w:space="0" w:color="auto"/>
            </w:tcBorders>
            <w:tcMar>
              <w:top w:w="-1" w:type="dxa"/>
              <w:left w:w="-1" w:type="dxa"/>
              <w:bottom w:w="-1" w:type="dxa"/>
              <w:right w:w="-1" w:type="dxa"/>
            </w:tcMar>
            <w:vAlign w:val="center"/>
          </w:tcPr>
          <w:p w14:paraId="2BB7A162" w14:textId="77777777"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0.419</w:t>
            </w:r>
          </w:p>
        </w:tc>
        <w:tc>
          <w:tcPr>
            <w:tcW w:w="760" w:type="pct"/>
            <w:tcBorders>
              <w:bottom w:val="single" w:sz="4" w:space="0" w:color="auto"/>
            </w:tcBorders>
            <w:tcMar>
              <w:top w:w="-1" w:type="dxa"/>
              <w:left w:w="-1" w:type="dxa"/>
              <w:bottom w:w="-1" w:type="dxa"/>
              <w:right w:w="-1" w:type="dxa"/>
            </w:tcMar>
            <w:vAlign w:val="center"/>
          </w:tcPr>
          <w:p w14:paraId="3EB6F7E8" w14:textId="7511362A" w:rsidR="00531C19" w:rsidRPr="00B848ED" w:rsidRDefault="00000000" w:rsidP="00B848ED">
            <w:pPr>
              <w:pStyle w:val="NormalWeb"/>
              <w:keepNext/>
              <w:widowControl/>
              <w:snapToGrid w:val="0"/>
              <w:jc w:val="center"/>
              <w:rPr>
                <w:rFonts w:ascii="Times New Roman" w:hAnsi="Times New Roman" w:cs="Times New Roman"/>
              </w:rPr>
            </w:pPr>
            <w:r w:rsidRPr="00B848ED">
              <w:rPr>
                <w:rFonts w:ascii="Times New Roman" w:eastAsia="Segoe UI" w:hAnsi="Times New Roman" w:cs="Times New Roman"/>
                <w:color w:val="0F1115"/>
                <w:shd w:val="clear" w:color="auto" w:fill="FFFFFF"/>
              </w:rPr>
              <w:t>&lt;</w:t>
            </w:r>
            <w:r w:rsidR="00717345">
              <w:rPr>
                <w:rFonts w:ascii="Times New Roman" w:eastAsia="Segoe UI" w:hAnsi="Times New Roman" w:cs="Times New Roman"/>
                <w:color w:val="0F1115"/>
                <w:shd w:val="clear" w:color="auto" w:fill="FFFFFF"/>
              </w:rPr>
              <w:t xml:space="preserve"> </w:t>
            </w:r>
            <w:r w:rsidRPr="00B848ED">
              <w:rPr>
                <w:rFonts w:ascii="Times New Roman" w:eastAsia="Segoe UI" w:hAnsi="Times New Roman" w:cs="Times New Roman"/>
                <w:color w:val="0F1115"/>
                <w:shd w:val="clear" w:color="auto" w:fill="FFFFFF"/>
              </w:rPr>
              <w:t>0.001</w:t>
            </w:r>
          </w:p>
        </w:tc>
      </w:tr>
    </w:tbl>
    <w:p w14:paraId="253CC9CF" w14:textId="77777777" w:rsidR="00531C19" w:rsidRPr="00B848ED" w:rsidRDefault="00531C19" w:rsidP="001A3712">
      <w:pPr>
        <w:snapToGrid w:val="0"/>
        <w:rPr>
          <w:rFonts w:ascii="Times New Roman" w:eastAsia="Segoe UI" w:hAnsi="Times New Roman" w:cs="Times New Roman"/>
          <w:color w:val="0F1115"/>
          <w:sz w:val="24"/>
          <w:shd w:val="clear" w:color="auto" w:fill="FFFFFF"/>
        </w:rPr>
      </w:pPr>
    </w:p>
    <w:p w14:paraId="2816DC79" w14:textId="77777777" w:rsidR="00531C19" w:rsidRPr="00B848ED" w:rsidRDefault="00000000" w:rsidP="001A3712">
      <w:pPr>
        <w:snapToGrid w:val="0"/>
        <w:rPr>
          <w:rFonts w:ascii="Times New Roman" w:eastAsia="Segoe UI" w:hAnsi="Times New Roman" w:cs="Times New Roman"/>
          <w:b/>
          <w:bCs/>
          <w:color w:val="0F1115"/>
          <w:sz w:val="24"/>
          <w:shd w:val="clear" w:color="auto" w:fill="FFFFFF"/>
        </w:rPr>
      </w:pPr>
      <w:r w:rsidRPr="00B848ED">
        <w:rPr>
          <w:rFonts w:ascii="Times New Roman" w:eastAsia="SimSun" w:hAnsi="Times New Roman" w:cs="Times New Roman" w:hint="eastAsia"/>
          <w:b/>
          <w:bCs/>
          <w:color w:val="0F1115"/>
          <w:sz w:val="24"/>
          <w:shd w:val="clear" w:color="auto" w:fill="FFFFFF"/>
        </w:rPr>
        <w:t>3</w:t>
      </w:r>
      <w:r w:rsidRPr="00B848ED">
        <w:rPr>
          <w:rFonts w:ascii="Times New Roman" w:eastAsia="Segoe UI" w:hAnsi="Times New Roman" w:cs="Times New Roman"/>
          <w:b/>
          <w:bCs/>
          <w:color w:val="0F1115"/>
          <w:sz w:val="24"/>
          <w:shd w:val="clear" w:color="auto" w:fill="FFFFFF"/>
        </w:rPr>
        <w:t>.3</w:t>
      </w:r>
      <w:r w:rsidRPr="00B848ED">
        <w:rPr>
          <w:rFonts w:ascii="Times New Roman" w:eastAsia="SimSun" w:hAnsi="Times New Roman" w:cs="Times New Roman"/>
          <w:b/>
          <w:bCs/>
          <w:color w:val="0F1115"/>
          <w:sz w:val="24"/>
          <w:shd w:val="clear" w:color="auto" w:fill="FFFFFF"/>
        </w:rPr>
        <w:t>.</w:t>
      </w:r>
      <w:r w:rsidRPr="00B848ED">
        <w:rPr>
          <w:rFonts w:ascii="Times New Roman" w:eastAsia="Segoe UI" w:hAnsi="Times New Roman" w:cs="Times New Roman"/>
          <w:b/>
          <w:bCs/>
          <w:color w:val="0F1115"/>
          <w:sz w:val="24"/>
          <w:shd w:val="clear" w:color="auto" w:fill="FFFFFF"/>
        </w:rPr>
        <w:t xml:space="preserve"> Incidence of </w:t>
      </w:r>
      <w:r w:rsidRPr="00B848ED">
        <w:rPr>
          <w:rFonts w:ascii="Times New Roman" w:eastAsia="SimSun" w:hAnsi="Times New Roman" w:cs="Times New Roman" w:hint="eastAsia"/>
          <w:b/>
          <w:bCs/>
          <w:color w:val="0F1115"/>
          <w:sz w:val="24"/>
          <w:shd w:val="clear" w:color="auto" w:fill="FFFFFF"/>
        </w:rPr>
        <w:t>a</w:t>
      </w:r>
      <w:r w:rsidRPr="00B848ED">
        <w:rPr>
          <w:rFonts w:ascii="Times New Roman" w:eastAsia="Segoe UI" w:hAnsi="Times New Roman" w:cs="Times New Roman"/>
          <w:b/>
          <w:bCs/>
          <w:color w:val="0F1115"/>
          <w:sz w:val="24"/>
          <w:shd w:val="clear" w:color="auto" w:fill="FFFFFF"/>
        </w:rPr>
        <w:t xml:space="preserve">dverse </w:t>
      </w:r>
      <w:r w:rsidRPr="00B848ED">
        <w:rPr>
          <w:rFonts w:ascii="Times New Roman" w:eastAsia="SimSun" w:hAnsi="Times New Roman" w:cs="Times New Roman" w:hint="eastAsia"/>
          <w:b/>
          <w:bCs/>
          <w:color w:val="0F1115"/>
          <w:sz w:val="24"/>
          <w:shd w:val="clear" w:color="auto" w:fill="FFFFFF"/>
        </w:rPr>
        <w:t>e</w:t>
      </w:r>
      <w:r w:rsidRPr="00B848ED">
        <w:rPr>
          <w:rFonts w:ascii="Times New Roman" w:eastAsia="Segoe UI" w:hAnsi="Times New Roman" w:cs="Times New Roman"/>
          <w:b/>
          <w:bCs/>
          <w:color w:val="0F1115"/>
          <w:sz w:val="24"/>
          <w:shd w:val="clear" w:color="auto" w:fill="FFFFFF"/>
        </w:rPr>
        <w:t xml:space="preserve">vents </w:t>
      </w:r>
    </w:p>
    <w:p w14:paraId="1014D25F" w14:textId="69189BB3" w:rsidR="00531C19" w:rsidRPr="00B848ED" w:rsidRDefault="00000000" w:rsidP="001A3712">
      <w:pPr>
        <w:snapToGrid w:val="0"/>
        <w:rPr>
          <w:rFonts w:ascii="Times New Roman" w:eastAsia="Segoe UI" w:hAnsi="Times New Roman" w:cs="Times New Roman"/>
          <w:color w:val="0F1115"/>
          <w:sz w:val="24"/>
          <w:shd w:val="clear" w:color="auto" w:fill="FFFFFF"/>
        </w:rPr>
      </w:pPr>
      <w:r w:rsidRPr="00B848ED">
        <w:rPr>
          <w:rFonts w:ascii="Times New Roman" w:eastAsia="Segoe UI" w:hAnsi="Times New Roman" w:cs="Times New Roman"/>
          <w:color w:val="0F1115"/>
          <w:sz w:val="24"/>
          <w:shd w:val="clear" w:color="auto" w:fill="FFFFFF"/>
        </w:rPr>
        <w:t>After the intervention, the observation group had a lower total incidence rate of adverse events (</w:t>
      </w:r>
      <w:r w:rsidR="00C80E90">
        <w:rPr>
          <w:rFonts w:ascii="Times New Roman" w:eastAsia="Segoe UI" w:hAnsi="Times New Roman" w:cs="Times New Roman"/>
          <w:i/>
          <w:iCs/>
          <w:color w:val="0F1115"/>
          <w:sz w:val="24"/>
          <w:shd w:val="clear" w:color="auto" w:fill="FFFFFF"/>
        </w:rPr>
        <w:t>p</w:t>
      </w:r>
      <w:r w:rsidRPr="00B848ED">
        <w:rPr>
          <w:rFonts w:ascii="Times New Roman" w:eastAsia="Segoe UI" w:hAnsi="Times New Roman" w:cs="Times New Roman"/>
          <w:color w:val="0F1115"/>
          <w:sz w:val="24"/>
          <w:shd w:val="clear" w:color="auto" w:fill="FFFFFF"/>
        </w:rPr>
        <w:t xml:space="preserve"> &lt; 0.05). See </w:t>
      </w:r>
      <w:r w:rsidRPr="00B848ED">
        <w:rPr>
          <w:rFonts w:ascii="Times New Roman" w:eastAsia="Segoe UI" w:hAnsi="Times New Roman" w:cs="Times New Roman"/>
          <w:b/>
          <w:bCs/>
          <w:color w:val="0F1115"/>
          <w:sz w:val="24"/>
          <w:shd w:val="clear" w:color="auto" w:fill="FFFFFF"/>
        </w:rPr>
        <w:t>Table 3</w:t>
      </w:r>
      <w:r w:rsidRPr="00B848ED">
        <w:rPr>
          <w:rFonts w:ascii="Times New Roman" w:eastAsia="Segoe UI" w:hAnsi="Times New Roman" w:cs="Times New Roman"/>
          <w:color w:val="0F1115"/>
          <w:sz w:val="24"/>
          <w:shd w:val="clear" w:color="auto" w:fill="FFFFFF"/>
        </w:rPr>
        <w:t xml:space="preserve">. </w:t>
      </w:r>
    </w:p>
    <w:p w14:paraId="09D733C6" w14:textId="77777777" w:rsidR="00531C19" w:rsidRPr="00B848ED" w:rsidRDefault="00531C19" w:rsidP="001A3712">
      <w:pPr>
        <w:snapToGrid w:val="0"/>
        <w:rPr>
          <w:rFonts w:ascii="Times New Roman" w:eastAsia="Segoe UI" w:hAnsi="Times New Roman" w:cs="Times New Roman"/>
          <w:color w:val="0F1115"/>
          <w:sz w:val="24"/>
          <w:shd w:val="clear" w:color="auto" w:fill="FFFFFF"/>
        </w:rPr>
      </w:pPr>
    </w:p>
    <w:p w14:paraId="1FE9DB51" w14:textId="77777777" w:rsidR="00531C19" w:rsidRPr="00B848ED" w:rsidRDefault="00000000" w:rsidP="001A3712">
      <w:pPr>
        <w:snapToGrid w:val="0"/>
        <w:rPr>
          <w:rFonts w:ascii="Times New Roman" w:eastAsia="Segoe UI" w:hAnsi="Times New Roman" w:cs="Times New Roman"/>
          <w:color w:val="0F1115"/>
          <w:sz w:val="24"/>
          <w:shd w:val="clear" w:color="auto" w:fill="FFFFFF"/>
        </w:rPr>
      </w:pPr>
      <w:r w:rsidRPr="00B848ED">
        <w:rPr>
          <w:rFonts w:ascii="Times New Roman" w:eastAsia="Segoe UI" w:hAnsi="Times New Roman" w:cs="Times New Roman"/>
          <w:b/>
          <w:bCs/>
          <w:color w:val="0F1115"/>
          <w:sz w:val="24"/>
          <w:shd w:val="clear" w:color="auto" w:fill="FFFFFF"/>
        </w:rPr>
        <w:t>Table 3</w:t>
      </w:r>
      <w:r w:rsidRPr="00B848ED">
        <w:rPr>
          <w:rFonts w:ascii="Times New Roman" w:eastAsia="SimSun" w:hAnsi="Times New Roman" w:cs="Times New Roman"/>
          <w:b/>
          <w:bCs/>
          <w:color w:val="0F1115"/>
          <w:sz w:val="24"/>
          <w:shd w:val="clear" w:color="auto" w:fill="FFFFFF"/>
        </w:rPr>
        <w:t>.</w:t>
      </w:r>
      <w:r w:rsidRPr="00B848ED">
        <w:rPr>
          <w:rFonts w:ascii="Times New Roman" w:eastAsia="Segoe UI" w:hAnsi="Times New Roman" w:cs="Times New Roman"/>
          <w:color w:val="0F1115"/>
          <w:sz w:val="24"/>
          <w:shd w:val="clear" w:color="auto" w:fill="FFFFFF"/>
        </w:rPr>
        <w:t xml:space="preserve"> Comparison of the </w:t>
      </w:r>
      <w:r w:rsidRPr="00B848ED">
        <w:rPr>
          <w:rFonts w:ascii="Times New Roman" w:eastAsia="SimSun" w:hAnsi="Times New Roman" w:cs="Times New Roman" w:hint="eastAsia"/>
          <w:color w:val="0F1115"/>
          <w:sz w:val="24"/>
          <w:shd w:val="clear" w:color="auto" w:fill="FFFFFF"/>
        </w:rPr>
        <w:t>i</w:t>
      </w:r>
      <w:r w:rsidRPr="00B848ED">
        <w:rPr>
          <w:rFonts w:ascii="Times New Roman" w:eastAsia="Segoe UI" w:hAnsi="Times New Roman" w:cs="Times New Roman"/>
          <w:color w:val="0F1115"/>
          <w:sz w:val="24"/>
          <w:shd w:val="clear" w:color="auto" w:fill="FFFFFF"/>
        </w:rPr>
        <w:t xml:space="preserve">ncidence of </w:t>
      </w:r>
      <w:r w:rsidRPr="00B848ED">
        <w:rPr>
          <w:rFonts w:ascii="Times New Roman" w:eastAsia="SimSun" w:hAnsi="Times New Roman" w:cs="Times New Roman" w:hint="eastAsia"/>
          <w:color w:val="0F1115"/>
          <w:sz w:val="24"/>
          <w:shd w:val="clear" w:color="auto" w:fill="FFFFFF"/>
        </w:rPr>
        <w:t>a</w:t>
      </w:r>
      <w:r w:rsidRPr="00B848ED">
        <w:rPr>
          <w:rFonts w:ascii="Times New Roman" w:eastAsia="Segoe UI" w:hAnsi="Times New Roman" w:cs="Times New Roman"/>
          <w:color w:val="0F1115"/>
          <w:sz w:val="24"/>
          <w:shd w:val="clear" w:color="auto" w:fill="FFFFFF"/>
        </w:rPr>
        <w:t xml:space="preserve">dverse </w:t>
      </w:r>
      <w:r w:rsidRPr="00B848ED">
        <w:rPr>
          <w:rFonts w:ascii="Times New Roman" w:eastAsia="SimSun" w:hAnsi="Times New Roman" w:cs="Times New Roman" w:hint="eastAsia"/>
          <w:color w:val="0F1115"/>
          <w:sz w:val="24"/>
          <w:shd w:val="clear" w:color="auto" w:fill="FFFFFF"/>
        </w:rPr>
        <w:t>e</w:t>
      </w:r>
      <w:r w:rsidRPr="00B848ED">
        <w:rPr>
          <w:rFonts w:ascii="Times New Roman" w:eastAsia="Segoe UI" w:hAnsi="Times New Roman" w:cs="Times New Roman"/>
          <w:color w:val="0F1115"/>
          <w:sz w:val="24"/>
          <w:shd w:val="clear" w:color="auto" w:fill="FFFFFF"/>
        </w:rPr>
        <w:t xml:space="preserve">vents </w:t>
      </w:r>
      <w:r w:rsidRPr="00B848ED">
        <w:rPr>
          <w:rFonts w:ascii="Times New Roman" w:eastAsia="SimSun" w:hAnsi="Times New Roman" w:cs="Times New Roman" w:hint="eastAsia"/>
          <w:color w:val="0F1115"/>
          <w:sz w:val="24"/>
          <w:shd w:val="clear" w:color="auto" w:fill="FFFFFF"/>
        </w:rPr>
        <w:t>b</w:t>
      </w:r>
      <w:r w:rsidRPr="00B848ED">
        <w:rPr>
          <w:rFonts w:ascii="Times New Roman" w:eastAsia="Segoe UI" w:hAnsi="Times New Roman" w:cs="Times New Roman"/>
          <w:color w:val="0F1115"/>
          <w:sz w:val="24"/>
          <w:shd w:val="clear" w:color="auto" w:fill="FFFFFF"/>
        </w:rPr>
        <w:t xml:space="preserve">etween the </w:t>
      </w:r>
      <w:r w:rsidRPr="00B848ED">
        <w:rPr>
          <w:rFonts w:ascii="Times New Roman" w:eastAsia="SimSun" w:hAnsi="Times New Roman" w:cs="Times New Roman" w:hint="eastAsia"/>
          <w:color w:val="0F1115"/>
          <w:sz w:val="24"/>
          <w:shd w:val="clear" w:color="auto" w:fill="FFFFFF"/>
        </w:rPr>
        <w:t>t</w:t>
      </w:r>
      <w:r w:rsidRPr="00B848ED">
        <w:rPr>
          <w:rFonts w:ascii="Times New Roman" w:eastAsia="Segoe UI" w:hAnsi="Times New Roman" w:cs="Times New Roman"/>
          <w:color w:val="0F1115"/>
          <w:sz w:val="24"/>
          <w:shd w:val="clear" w:color="auto" w:fill="FFFFFF"/>
        </w:rPr>
        <w:t xml:space="preserve">wo </w:t>
      </w:r>
      <w:r w:rsidRPr="00B848ED">
        <w:rPr>
          <w:rFonts w:ascii="Times New Roman" w:eastAsia="SimSun" w:hAnsi="Times New Roman" w:cs="Times New Roman" w:hint="eastAsia"/>
          <w:color w:val="0F1115"/>
          <w:sz w:val="24"/>
          <w:shd w:val="clear" w:color="auto" w:fill="FFFFFF"/>
        </w:rPr>
        <w:t>g</w:t>
      </w:r>
      <w:r w:rsidRPr="00B848ED">
        <w:rPr>
          <w:rFonts w:ascii="Times New Roman" w:eastAsia="Segoe UI" w:hAnsi="Times New Roman" w:cs="Times New Roman"/>
          <w:color w:val="0F1115"/>
          <w:sz w:val="24"/>
          <w:shd w:val="clear" w:color="auto" w:fill="FFFFFF"/>
        </w:rPr>
        <w:t>roups [</w:t>
      </w:r>
      <w:r w:rsidRPr="00B848ED">
        <w:rPr>
          <w:rFonts w:ascii="Times New Roman" w:eastAsia="SimSun" w:hAnsi="Times New Roman" w:cs="Times New Roman" w:hint="eastAsia"/>
          <w:color w:val="0F1115"/>
          <w:sz w:val="24"/>
          <w:shd w:val="clear" w:color="auto" w:fill="FFFFFF"/>
        </w:rPr>
        <w:t>n</w:t>
      </w:r>
      <w:r w:rsidRPr="00B848ED">
        <w:rPr>
          <w:rFonts w:ascii="Times New Roman" w:eastAsia="Segoe UI" w:hAnsi="Times New Roman" w:cs="Times New Roman"/>
          <w:color w:val="0F1115"/>
          <w:sz w:val="24"/>
          <w:shd w:val="clear" w:color="auto" w:fill="FFFFFF"/>
        </w:rPr>
        <w:t xml:space="preserve">umber of </w:t>
      </w:r>
      <w:r w:rsidRPr="00B848ED">
        <w:rPr>
          <w:rFonts w:ascii="Times New Roman" w:eastAsia="SimSun" w:hAnsi="Times New Roman" w:cs="Times New Roman" w:hint="eastAsia"/>
          <w:color w:val="0F1115"/>
          <w:sz w:val="24"/>
          <w:shd w:val="clear" w:color="auto" w:fill="FFFFFF"/>
        </w:rPr>
        <w:t>c</w:t>
      </w:r>
      <w:r w:rsidRPr="00B848ED">
        <w:rPr>
          <w:rFonts w:ascii="Times New Roman" w:eastAsia="Segoe UI" w:hAnsi="Times New Roman" w:cs="Times New Roman"/>
          <w:color w:val="0F1115"/>
          <w:sz w:val="24"/>
          <w:shd w:val="clear" w:color="auto" w:fill="FFFFFF"/>
        </w:rPr>
        <w:t>ases (%)]</w:t>
      </w:r>
    </w:p>
    <w:tbl>
      <w:tblPr>
        <w:tblStyle w:val="TableGrid"/>
        <w:tblW w:w="500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2930"/>
        <w:gridCol w:w="1182"/>
        <w:gridCol w:w="1241"/>
        <w:gridCol w:w="1180"/>
        <w:gridCol w:w="1806"/>
        <w:gridCol w:w="1299"/>
      </w:tblGrid>
      <w:tr w:rsidR="00531C19" w:rsidRPr="00B848ED" w14:paraId="1D2A3352" w14:textId="77777777" w:rsidTr="001A3712">
        <w:trPr>
          <w:tblHeader/>
          <w:jc w:val="center"/>
        </w:trPr>
        <w:tc>
          <w:tcPr>
            <w:tcW w:w="1520" w:type="pct"/>
            <w:tcBorders>
              <w:top w:val="single" w:sz="4" w:space="0" w:color="auto"/>
              <w:left w:val="nil"/>
              <w:bottom w:val="nil"/>
              <w:right w:val="nil"/>
            </w:tcBorders>
            <w:tcMar>
              <w:top w:w="-1" w:type="dxa"/>
              <w:left w:w="-1" w:type="dxa"/>
              <w:bottom w:w="-1" w:type="dxa"/>
              <w:right w:w="-1" w:type="dxa"/>
            </w:tcMar>
            <w:vAlign w:val="center"/>
          </w:tcPr>
          <w:p w14:paraId="698F8897" w14:textId="77777777" w:rsidR="00531C19" w:rsidRPr="00B848ED" w:rsidRDefault="00000000" w:rsidP="001A3712">
            <w:pPr>
              <w:snapToGrid w:val="0"/>
              <w:jc w:val="left"/>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Group</w:t>
            </w:r>
          </w:p>
        </w:tc>
        <w:tc>
          <w:tcPr>
            <w:tcW w:w="613" w:type="pct"/>
            <w:tcBorders>
              <w:top w:val="single" w:sz="4" w:space="0" w:color="auto"/>
              <w:left w:val="nil"/>
              <w:bottom w:val="nil"/>
              <w:right w:val="nil"/>
            </w:tcBorders>
            <w:tcMar>
              <w:top w:w="-1" w:type="dxa"/>
              <w:left w:w="-1" w:type="dxa"/>
              <w:bottom w:w="-1" w:type="dxa"/>
              <w:right w:w="-1" w:type="dxa"/>
            </w:tcMar>
            <w:vAlign w:val="center"/>
          </w:tcPr>
          <w:p w14:paraId="427804B6" w14:textId="77777777" w:rsidR="00531C19" w:rsidRPr="00B848ED" w:rsidRDefault="00000000" w:rsidP="00B848ED">
            <w:pPr>
              <w:snapToGrid w:val="0"/>
              <w:jc w:val="center"/>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Abdominal pain</w:t>
            </w:r>
          </w:p>
        </w:tc>
        <w:tc>
          <w:tcPr>
            <w:tcW w:w="644" w:type="pct"/>
            <w:tcBorders>
              <w:top w:val="single" w:sz="4" w:space="0" w:color="auto"/>
              <w:left w:val="nil"/>
              <w:bottom w:val="nil"/>
              <w:right w:val="nil"/>
            </w:tcBorders>
            <w:tcMar>
              <w:top w:w="-1" w:type="dxa"/>
              <w:left w:w="-1" w:type="dxa"/>
              <w:bottom w:w="-1" w:type="dxa"/>
              <w:right w:w="-1" w:type="dxa"/>
            </w:tcMar>
            <w:vAlign w:val="center"/>
          </w:tcPr>
          <w:p w14:paraId="11599DA0" w14:textId="77777777" w:rsidR="00531C19" w:rsidRPr="00B848ED" w:rsidRDefault="00000000" w:rsidP="00B848ED">
            <w:pPr>
              <w:snapToGrid w:val="0"/>
              <w:jc w:val="center"/>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Diarrhea</w:t>
            </w:r>
          </w:p>
        </w:tc>
        <w:tc>
          <w:tcPr>
            <w:tcW w:w="612" w:type="pct"/>
            <w:tcBorders>
              <w:top w:val="single" w:sz="4" w:space="0" w:color="auto"/>
              <w:left w:val="nil"/>
              <w:bottom w:val="nil"/>
              <w:right w:val="nil"/>
            </w:tcBorders>
            <w:tcMar>
              <w:top w:w="-1" w:type="dxa"/>
              <w:left w:w="-1" w:type="dxa"/>
              <w:bottom w:w="-1" w:type="dxa"/>
              <w:right w:w="-1" w:type="dxa"/>
            </w:tcMar>
            <w:vAlign w:val="center"/>
          </w:tcPr>
          <w:p w14:paraId="3600BEFE" w14:textId="77777777" w:rsidR="00531C19" w:rsidRPr="00B848ED" w:rsidRDefault="00000000" w:rsidP="00B848ED">
            <w:pPr>
              <w:snapToGrid w:val="0"/>
              <w:jc w:val="center"/>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Tube blockage</w:t>
            </w:r>
          </w:p>
        </w:tc>
        <w:tc>
          <w:tcPr>
            <w:tcW w:w="937" w:type="pct"/>
            <w:tcBorders>
              <w:top w:val="single" w:sz="4" w:space="0" w:color="auto"/>
              <w:left w:val="nil"/>
              <w:bottom w:val="nil"/>
              <w:right w:val="nil"/>
            </w:tcBorders>
            <w:tcMar>
              <w:top w:w="-1" w:type="dxa"/>
              <w:left w:w="-1" w:type="dxa"/>
              <w:bottom w:w="-1" w:type="dxa"/>
              <w:right w:w="-1" w:type="dxa"/>
            </w:tcMar>
            <w:vAlign w:val="center"/>
          </w:tcPr>
          <w:p w14:paraId="55ABF522" w14:textId="77777777" w:rsidR="00531C19" w:rsidRPr="00B848ED" w:rsidRDefault="00000000" w:rsidP="00B848ED">
            <w:pPr>
              <w:snapToGrid w:val="0"/>
              <w:jc w:val="center"/>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Reflux/aspiration</w:t>
            </w:r>
          </w:p>
        </w:tc>
        <w:tc>
          <w:tcPr>
            <w:tcW w:w="674" w:type="pct"/>
            <w:tcBorders>
              <w:top w:val="single" w:sz="4" w:space="0" w:color="auto"/>
              <w:left w:val="nil"/>
              <w:bottom w:val="nil"/>
              <w:right w:val="nil"/>
            </w:tcBorders>
            <w:tcMar>
              <w:top w:w="-1" w:type="dxa"/>
              <w:left w:w="-1" w:type="dxa"/>
              <w:bottom w:w="-1" w:type="dxa"/>
              <w:right w:w="-1" w:type="dxa"/>
            </w:tcMar>
            <w:vAlign w:val="center"/>
          </w:tcPr>
          <w:p w14:paraId="40E7F18B" w14:textId="77777777" w:rsidR="00531C19" w:rsidRPr="00B848ED" w:rsidRDefault="00000000" w:rsidP="00B848ED">
            <w:pPr>
              <w:snapToGrid w:val="0"/>
              <w:jc w:val="center"/>
              <w:rPr>
                <w:rFonts w:ascii="Times New Roman" w:hAnsi="Times New Roman" w:cs="Times New Roman"/>
                <w:b/>
                <w:bCs/>
                <w:sz w:val="24"/>
              </w:rPr>
            </w:pPr>
            <w:r w:rsidRPr="00B848ED">
              <w:rPr>
                <w:rFonts w:ascii="Times New Roman" w:eastAsia="Segoe UI" w:hAnsi="Times New Roman" w:cs="Times New Roman"/>
                <w:b/>
                <w:bCs/>
                <w:color w:val="0F1115"/>
                <w:sz w:val="24"/>
                <w:shd w:val="clear" w:color="auto" w:fill="FFFFFF"/>
              </w:rPr>
              <w:t>Total incidence</w:t>
            </w:r>
          </w:p>
        </w:tc>
      </w:tr>
      <w:tr w:rsidR="00531C19" w:rsidRPr="00B848ED" w14:paraId="41F7D135" w14:textId="77777777" w:rsidTr="001A3712">
        <w:trPr>
          <w:tblHeader/>
          <w:jc w:val="center"/>
        </w:trPr>
        <w:tc>
          <w:tcPr>
            <w:tcW w:w="1520" w:type="pct"/>
            <w:tcBorders>
              <w:top w:val="single" w:sz="4" w:space="0" w:color="auto"/>
              <w:left w:val="nil"/>
              <w:bottom w:val="nil"/>
              <w:right w:val="nil"/>
            </w:tcBorders>
            <w:tcMar>
              <w:top w:w="-1" w:type="dxa"/>
              <w:left w:w="-1" w:type="dxa"/>
              <w:bottom w:w="-1" w:type="dxa"/>
              <w:right w:w="-1" w:type="dxa"/>
            </w:tcMar>
            <w:vAlign w:val="center"/>
          </w:tcPr>
          <w:p w14:paraId="76FF91C0" w14:textId="2C8DC6AB" w:rsidR="00531C19" w:rsidRPr="00B848ED" w:rsidRDefault="00000000" w:rsidP="001A3712">
            <w:pPr>
              <w:snapToGrid w:val="0"/>
              <w:jc w:val="left"/>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Observation group (n</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51)</w:t>
            </w:r>
          </w:p>
        </w:tc>
        <w:tc>
          <w:tcPr>
            <w:tcW w:w="613" w:type="pct"/>
            <w:tcBorders>
              <w:top w:val="single" w:sz="4" w:space="0" w:color="auto"/>
              <w:left w:val="nil"/>
              <w:bottom w:val="nil"/>
              <w:right w:val="nil"/>
            </w:tcBorders>
            <w:tcMar>
              <w:top w:w="-1" w:type="dxa"/>
              <w:left w:w="-1" w:type="dxa"/>
              <w:bottom w:w="-1" w:type="dxa"/>
              <w:right w:w="-1" w:type="dxa"/>
            </w:tcMar>
            <w:vAlign w:val="center"/>
          </w:tcPr>
          <w:p w14:paraId="45875F19" w14:textId="331C2013" w:rsidR="00531C19" w:rsidRPr="00B848ED" w:rsidRDefault="00000000" w:rsidP="00B848ED">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1</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1.96</w:t>
            </w:r>
            <w:r w:rsidR="00717345">
              <w:rPr>
                <w:rFonts w:ascii="Times New Roman" w:eastAsia="Segoe UI" w:hAnsi="Times New Roman" w:cs="Times New Roman"/>
                <w:color w:val="0F1115"/>
                <w:sz w:val="24"/>
                <w:shd w:val="clear" w:color="auto" w:fill="FFFFFF"/>
              </w:rPr>
              <w:t>)</w:t>
            </w:r>
          </w:p>
        </w:tc>
        <w:tc>
          <w:tcPr>
            <w:tcW w:w="644" w:type="pct"/>
            <w:tcBorders>
              <w:top w:val="single" w:sz="4" w:space="0" w:color="auto"/>
              <w:left w:val="nil"/>
              <w:bottom w:val="nil"/>
              <w:right w:val="nil"/>
            </w:tcBorders>
            <w:tcMar>
              <w:top w:w="-1" w:type="dxa"/>
              <w:left w:w="-1" w:type="dxa"/>
              <w:bottom w:w="-1" w:type="dxa"/>
              <w:right w:w="-1" w:type="dxa"/>
            </w:tcMar>
            <w:vAlign w:val="center"/>
          </w:tcPr>
          <w:p w14:paraId="75580EBB" w14:textId="77777777" w:rsidR="00531C19" w:rsidRPr="00B848ED" w:rsidRDefault="00000000" w:rsidP="00B848ED">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0</w:t>
            </w:r>
          </w:p>
        </w:tc>
        <w:tc>
          <w:tcPr>
            <w:tcW w:w="612" w:type="pct"/>
            <w:tcBorders>
              <w:top w:val="single" w:sz="4" w:space="0" w:color="auto"/>
              <w:left w:val="nil"/>
              <w:bottom w:val="nil"/>
              <w:right w:val="nil"/>
            </w:tcBorders>
            <w:tcMar>
              <w:top w:w="-1" w:type="dxa"/>
              <w:left w:w="-1" w:type="dxa"/>
              <w:bottom w:w="-1" w:type="dxa"/>
              <w:right w:w="-1" w:type="dxa"/>
            </w:tcMar>
            <w:vAlign w:val="center"/>
          </w:tcPr>
          <w:p w14:paraId="4E3A152B" w14:textId="77777777" w:rsidR="00531C19" w:rsidRPr="00B848ED" w:rsidRDefault="00000000" w:rsidP="00B848ED">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0</w:t>
            </w:r>
          </w:p>
        </w:tc>
        <w:tc>
          <w:tcPr>
            <w:tcW w:w="937" w:type="pct"/>
            <w:tcBorders>
              <w:top w:val="single" w:sz="4" w:space="0" w:color="auto"/>
              <w:left w:val="nil"/>
              <w:bottom w:val="nil"/>
              <w:right w:val="nil"/>
            </w:tcBorders>
            <w:tcMar>
              <w:top w:w="-1" w:type="dxa"/>
              <w:left w:w="-1" w:type="dxa"/>
              <w:bottom w:w="-1" w:type="dxa"/>
              <w:right w:w="-1" w:type="dxa"/>
            </w:tcMar>
            <w:vAlign w:val="center"/>
          </w:tcPr>
          <w:p w14:paraId="254AE891" w14:textId="77777777" w:rsidR="00531C19" w:rsidRPr="00B848ED" w:rsidRDefault="00000000" w:rsidP="00B848ED">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0</w:t>
            </w:r>
          </w:p>
        </w:tc>
        <w:tc>
          <w:tcPr>
            <w:tcW w:w="674" w:type="pct"/>
            <w:tcBorders>
              <w:top w:val="single" w:sz="4" w:space="0" w:color="auto"/>
              <w:left w:val="nil"/>
              <w:bottom w:val="nil"/>
              <w:right w:val="nil"/>
            </w:tcBorders>
            <w:tcMar>
              <w:top w:w="-1" w:type="dxa"/>
              <w:left w:w="-1" w:type="dxa"/>
              <w:bottom w:w="-1" w:type="dxa"/>
              <w:right w:w="-1" w:type="dxa"/>
            </w:tcMar>
            <w:vAlign w:val="center"/>
          </w:tcPr>
          <w:p w14:paraId="45C8C344" w14:textId="094E9114" w:rsidR="00531C19" w:rsidRPr="00B848ED" w:rsidRDefault="00000000" w:rsidP="00B848ED">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1</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1.96</w:t>
            </w:r>
            <w:r w:rsidR="00717345">
              <w:rPr>
                <w:rFonts w:ascii="Times New Roman" w:eastAsia="Segoe UI" w:hAnsi="Times New Roman" w:cs="Times New Roman"/>
                <w:color w:val="0F1115"/>
                <w:sz w:val="24"/>
                <w:shd w:val="clear" w:color="auto" w:fill="FFFFFF"/>
              </w:rPr>
              <w:t>)</w:t>
            </w:r>
          </w:p>
        </w:tc>
      </w:tr>
      <w:tr w:rsidR="00531C19" w:rsidRPr="00B848ED" w14:paraId="5F065192" w14:textId="77777777" w:rsidTr="001A3712">
        <w:trPr>
          <w:tblHeader/>
          <w:jc w:val="center"/>
        </w:trPr>
        <w:tc>
          <w:tcPr>
            <w:tcW w:w="1520" w:type="pct"/>
            <w:tcBorders>
              <w:top w:val="nil"/>
              <w:left w:val="nil"/>
              <w:bottom w:val="nil"/>
              <w:right w:val="nil"/>
            </w:tcBorders>
            <w:tcMar>
              <w:top w:w="-1" w:type="dxa"/>
              <w:left w:w="-1" w:type="dxa"/>
              <w:bottom w:w="-1" w:type="dxa"/>
              <w:right w:w="-1" w:type="dxa"/>
            </w:tcMar>
            <w:vAlign w:val="center"/>
          </w:tcPr>
          <w:p w14:paraId="5B21BF5C" w14:textId="15A07F6E" w:rsidR="00531C19" w:rsidRPr="00B848ED" w:rsidRDefault="00000000" w:rsidP="001A3712">
            <w:pPr>
              <w:snapToGrid w:val="0"/>
              <w:jc w:val="left"/>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Control group (n</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51)</w:t>
            </w:r>
          </w:p>
        </w:tc>
        <w:tc>
          <w:tcPr>
            <w:tcW w:w="613" w:type="pct"/>
            <w:tcBorders>
              <w:top w:val="nil"/>
              <w:left w:val="nil"/>
              <w:bottom w:val="nil"/>
              <w:right w:val="nil"/>
            </w:tcBorders>
            <w:tcMar>
              <w:top w:w="-1" w:type="dxa"/>
              <w:left w:w="-1" w:type="dxa"/>
              <w:bottom w:w="-1" w:type="dxa"/>
              <w:right w:w="-1" w:type="dxa"/>
            </w:tcMar>
            <w:vAlign w:val="center"/>
          </w:tcPr>
          <w:p w14:paraId="38B715D9" w14:textId="42E90EFD" w:rsidR="00531C19" w:rsidRPr="00B848ED" w:rsidRDefault="00000000" w:rsidP="00B848ED">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3</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5.88</w:t>
            </w:r>
            <w:r w:rsidR="00717345">
              <w:rPr>
                <w:rFonts w:ascii="Times New Roman" w:eastAsia="Segoe UI" w:hAnsi="Times New Roman" w:cs="Times New Roman"/>
                <w:color w:val="0F1115"/>
                <w:sz w:val="24"/>
                <w:shd w:val="clear" w:color="auto" w:fill="FFFFFF"/>
              </w:rPr>
              <w:t>)</w:t>
            </w:r>
          </w:p>
        </w:tc>
        <w:tc>
          <w:tcPr>
            <w:tcW w:w="644" w:type="pct"/>
            <w:tcBorders>
              <w:top w:val="nil"/>
              <w:left w:val="nil"/>
              <w:bottom w:val="nil"/>
              <w:right w:val="nil"/>
            </w:tcBorders>
            <w:tcMar>
              <w:top w:w="-1" w:type="dxa"/>
              <w:left w:w="-1" w:type="dxa"/>
              <w:bottom w:w="-1" w:type="dxa"/>
              <w:right w:w="-1" w:type="dxa"/>
            </w:tcMar>
            <w:vAlign w:val="center"/>
          </w:tcPr>
          <w:p w14:paraId="62CDEF1C" w14:textId="103A6849" w:rsidR="00531C19" w:rsidRPr="00B848ED" w:rsidRDefault="00000000" w:rsidP="00B848ED">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2</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3.92</w:t>
            </w:r>
            <w:r w:rsidR="00717345">
              <w:rPr>
                <w:rFonts w:ascii="Times New Roman" w:eastAsia="Segoe UI" w:hAnsi="Times New Roman" w:cs="Times New Roman"/>
                <w:color w:val="0F1115"/>
                <w:sz w:val="24"/>
                <w:shd w:val="clear" w:color="auto" w:fill="FFFFFF"/>
              </w:rPr>
              <w:t>)</w:t>
            </w:r>
          </w:p>
        </w:tc>
        <w:tc>
          <w:tcPr>
            <w:tcW w:w="612" w:type="pct"/>
            <w:tcBorders>
              <w:top w:val="nil"/>
              <w:left w:val="nil"/>
              <w:bottom w:val="nil"/>
              <w:right w:val="nil"/>
            </w:tcBorders>
            <w:tcMar>
              <w:top w:w="-1" w:type="dxa"/>
              <w:left w:w="-1" w:type="dxa"/>
              <w:bottom w:w="-1" w:type="dxa"/>
              <w:right w:w="-1" w:type="dxa"/>
            </w:tcMar>
            <w:vAlign w:val="center"/>
          </w:tcPr>
          <w:p w14:paraId="115AF7BE" w14:textId="6CC999D7" w:rsidR="00531C19" w:rsidRPr="00B848ED" w:rsidRDefault="00000000" w:rsidP="00B848ED">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1</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1.96</w:t>
            </w:r>
            <w:r w:rsidR="00717345">
              <w:rPr>
                <w:rFonts w:ascii="Times New Roman" w:eastAsia="Segoe UI" w:hAnsi="Times New Roman" w:cs="Times New Roman"/>
                <w:color w:val="0F1115"/>
                <w:sz w:val="24"/>
                <w:shd w:val="clear" w:color="auto" w:fill="FFFFFF"/>
              </w:rPr>
              <w:t>)</w:t>
            </w:r>
          </w:p>
        </w:tc>
        <w:tc>
          <w:tcPr>
            <w:tcW w:w="937" w:type="pct"/>
            <w:tcBorders>
              <w:top w:val="nil"/>
              <w:left w:val="nil"/>
              <w:bottom w:val="nil"/>
              <w:right w:val="nil"/>
            </w:tcBorders>
            <w:tcMar>
              <w:top w:w="-1" w:type="dxa"/>
              <w:left w:w="-1" w:type="dxa"/>
              <w:bottom w:w="-1" w:type="dxa"/>
              <w:right w:w="-1" w:type="dxa"/>
            </w:tcMar>
            <w:vAlign w:val="center"/>
          </w:tcPr>
          <w:p w14:paraId="69DEDD15" w14:textId="14F7E559" w:rsidR="00531C19" w:rsidRPr="00B848ED" w:rsidRDefault="00000000" w:rsidP="00B848ED">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1</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1.96</w:t>
            </w:r>
            <w:r w:rsidR="00717345">
              <w:rPr>
                <w:rFonts w:ascii="Times New Roman" w:eastAsia="Segoe UI" w:hAnsi="Times New Roman" w:cs="Times New Roman"/>
                <w:color w:val="0F1115"/>
                <w:sz w:val="24"/>
                <w:shd w:val="clear" w:color="auto" w:fill="FFFFFF"/>
              </w:rPr>
              <w:t>)</w:t>
            </w:r>
          </w:p>
        </w:tc>
        <w:tc>
          <w:tcPr>
            <w:tcW w:w="674" w:type="pct"/>
            <w:tcBorders>
              <w:top w:val="nil"/>
              <w:left w:val="nil"/>
              <w:bottom w:val="nil"/>
              <w:right w:val="nil"/>
            </w:tcBorders>
            <w:tcMar>
              <w:top w:w="-1" w:type="dxa"/>
              <w:left w:w="-1" w:type="dxa"/>
              <w:bottom w:w="-1" w:type="dxa"/>
              <w:right w:w="-1" w:type="dxa"/>
            </w:tcMar>
            <w:vAlign w:val="center"/>
          </w:tcPr>
          <w:p w14:paraId="25D45D26" w14:textId="274901C3" w:rsidR="00531C19" w:rsidRPr="00B848ED" w:rsidRDefault="00000000" w:rsidP="00B848ED">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7</w:t>
            </w:r>
            <w:r w:rsidR="00717345">
              <w:rPr>
                <w:rFonts w:ascii="Times New Roman" w:eastAsia="Segoe UI" w:hAnsi="Times New Roman" w:cs="Times New Roman"/>
                <w:color w:val="0F1115"/>
                <w:sz w:val="24"/>
                <w:shd w:val="clear" w:color="auto" w:fill="FFFFFF"/>
              </w:rPr>
              <w:t xml:space="preserve"> (</w:t>
            </w:r>
            <w:r w:rsidRPr="00B848ED">
              <w:rPr>
                <w:rFonts w:ascii="Times New Roman" w:eastAsia="Segoe UI" w:hAnsi="Times New Roman" w:cs="Times New Roman"/>
                <w:color w:val="0F1115"/>
                <w:sz w:val="24"/>
                <w:shd w:val="clear" w:color="auto" w:fill="FFFFFF"/>
              </w:rPr>
              <w:t>13.73</w:t>
            </w:r>
            <w:r w:rsidR="00717345">
              <w:rPr>
                <w:rFonts w:ascii="Times New Roman" w:eastAsia="Segoe UI" w:hAnsi="Times New Roman" w:cs="Times New Roman"/>
                <w:color w:val="0F1115"/>
                <w:sz w:val="24"/>
                <w:shd w:val="clear" w:color="auto" w:fill="FFFFFF"/>
              </w:rPr>
              <w:t>)</w:t>
            </w:r>
          </w:p>
        </w:tc>
      </w:tr>
      <w:tr w:rsidR="00531C19" w:rsidRPr="00B848ED" w14:paraId="53915818" w14:textId="77777777" w:rsidTr="001A3712">
        <w:trPr>
          <w:tblHeader/>
          <w:jc w:val="center"/>
        </w:trPr>
        <w:tc>
          <w:tcPr>
            <w:tcW w:w="1520" w:type="pct"/>
            <w:tcBorders>
              <w:top w:val="nil"/>
              <w:left w:val="nil"/>
              <w:bottom w:val="nil"/>
              <w:right w:val="nil"/>
            </w:tcBorders>
            <w:tcMar>
              <w:top w:w="-1" w:type="dxa"/>
              <w:left w:w="-1" w:type="dxa"/>
              <w:bottom w:w="-1" w:type="dxa"/>
              <w:right w:w="-1" w:type="dxa"/>
            </w:tcMar>
            <w:vAlign w:val="center"/>
          </w:tcPr>
          <w:p w14:paraId="107434EB" w14:textId="36D54C63" w:rsidR="00531C19" w:rsidRPr="00B848ED" w:rsidRDefault="00000000" w:rsidP="001A3712">
            <w:pPr>
              <w:snapToGrid w:val="0"/>
              <w:jc w:val="left"/>
              <w:rPr>
                <w:rFonts w:ascii="Times New Roman" w:hAnsi="Times New Roman" w:cs="Times New Roman"/>
                <w:sz w:val="24"/>
              </w:rPr>
            </w:pPr>
            <w:r w:rsidRPr="00B848ED">
              <w:rPr>
                <w:rFonts w:ascii="Times New Roman" w:eastAsia="SimSun" w:hAnsi="Times New Roman" w:cs="Times New Roman"/>
                <w:sz w:val="24"/>
              </w:rPr>
              <w:t>χ</w:t>
            </w:r>
            <w:r w:rsidR="00717345">
              <w:rPr>
                <w:rFonts w:ascii="Times New Roman" w:eastAsia="SimSun" w:hAnsi="Times New Roman" w:cs="Times New Roman"/>
                <w:sz w:val="24"/>
                <w:vertAlign w:val="superscript"/>
              </w:rPr>
              <w:t>2</w:t>
            </w:r>
            <w:r w:rsidRPr="00B848ED">
              <w:rPr>
                <w:rFonts w:ascii="Times New Roman" w:eastAsia="SimSun" w:hAnsi="Times New Roman" w:cs="Times New Roman" w:hint="eastAsia"/>
                <w:sz w:val="24"/>
              </w:rPr>
              <w:t xml:space="preserve"> </w:t>
            </w:r>
          </w:p>
        </w:tc>
        <w:tc>
          <w:tcPr>
            <w:tcW w:w="613" w:type="pct"/>
            <w:tcBorders>
              <w:top w:val="nil"/>
              <w:left w:val="nil"/>
              <w:bottom w:val="nil"/>
              <w:right w:val="nil"/>
            </w:tcBorders>
            <w:tcMar>
              <w:top w:w="-1" w:type="dxa"/>
              <w:left w:w="-1" w:type="dxa"/>
              <w:bottom w:w="-1" w:type="dxa"/>
              <w:right w:w="-1" w:type="dxa"/>
            </w:tcMar>
            <w:vAlign w:val="center"/>
          </w:tcPr>
          <w:p w14:paraId="551EDDE8" w14:textId="77777777" w:rsidR="00531C19" w:rsidRPr="00B848ED" w:rsidRDefault="00531C19" w:rsidP="00B848ED">
            <w:pPr>
              <w:snapToGrid w:val="0"/>
              <w:jc w:val="center"/>
              <w:rPr>
                <w:rFonts w:ascii="Times New Roman" w:hAnsi="Times New Roman" w:cs="Times New Roman"/>
                <w:sz w:val="24"/>
              </w:rPr>
            </w:pPr>
          </w:p>
        </w:tc>
        <w:tc>
          <w:tcPr>
            <w:tcW w:w="644" w:type="pct"/>
            <w:tcBorders>
              <w:top w:val="nil"/>
              <w:left w:val="nil"/>
              <w:bottom w:val="nil"/>
              <w:right w:val="nil"/>
            </w:tcBorders>
            <w:tcMar>
              <w:top w:w="-1" w:type="dxa"/>
              <w:left w:w="-1" w:type="dxa"/>
              <w:bottom w:w="-1" w:type="dxa"/>
              <w:right w:w="-1" w:type="dxa"/>
            </w:tcMar>
            <w:vAlign w:val="center"/>
          </w:tcPr>
          <w:p w14:paraId="1C33F283" w14:textId="77777777" w:rsidR="00531C19" w:rsidRPr="00B848ED" w:rsidRDefault="00531C19" w:rsidP="00B848ED">
            <w:pPr>
              <w:snapToGrid w:val="0"/>
              <w:jc w:val="center"/>
              <w:rPr>
                <w:rFonts w:ascii="Times New Roman" w:hAnsi="Times New Roman" w:cs="Times New Roman"/>
                <w:sz w:val="24"/>
              </w:rPr>
            </w:pPr>
          </w:p>
        </w:tc>
        <w:tc>
          <w:tcPr>
            <w:tcW w:w="612" w:type="pct"/>
            <w:tcBorders>
              <w:top w:val="nil"/>
              <w:left w:val="nil"/>
              <w:bottom w:val="nil"/>
              <w:right w:val="nil"/>
            </w:tcBorders>
            <w:tcMar>
              <w:top w:w="-1" w:type="dxa"/>
              <w:left w:w="-1" w:type="dxa"/>
              <w:bottom w:w="-1" w:type="dxa"/>
              <w:right w:w="-1" w:type="dxa"/>
            </w:tcMar>
            <w:vAlign w:val="center"/>
          </w:tcPr>
          <w:p w14:paraId="0FEB4E47" w14:textId="77777777" w:rsidR="00531C19" w:rsidRPr="00B848ED" w:rsidRDefault="00531C19" w:rsidP="00B848ED">
            <w:pPr>
              <w:snapToGrid w:val="0"/>
              <w:jc w:val="center"/>
              <w:rPr>
                <w:rFonts w:ascii="Times New Roman" w:hAnsi="Times New Roman" w:cs="Times New Roman"/>
                <w:sz w:val="24"/>
              </w:rPr>
            </w:pPr>
          </w:p>
        </w:tc>
        <w:tc>
          <w:tcPr>
            <w:tcW w:w="937" w:type="pct"/>
            <w:tcBorders>
              <w:top w:val="nil"/>
              <w:left w:val="nil"/>
              <w:bottom w:val="nil"/>
              <w:right w:val="nil"/>
            </w:tcBorders>
            <w:tcMar>
              <w:top w:w="-1" w:type="dxa"/>
              <w:left w:w="-1" w:type="dxa"/>
              <w:bottom w:w="-1" w:type="dxa"/>
              <w:right w:w="-1" w:type="dxa"/>
            </w:tcMar>
            <w:vAlign w:val="center"/>
          </w:tcPr>
          <w:p w14:paraId="5126C698" w14:textId="77777777" w:rsidR="00531C19" w:rsidRPr="00B848ED" w:rsidRDefault="00531C19" w:rsidP="00B848ED">
            <w:pPr>
              <w:snapToGrid w:val="0"/>
              <w:jc w:val="center"/>
              <w:rPr>
                <w:rFonts w:ascii="Times New Roman" w:hAnsi="Times New Roman" w:cs="Times New Roman"/>
                <w:sz w:val="24"/>
              </w:rPr>
            </w:pPr>
          </w:p>
        </w:tc>
        <w:tc>
          <w:tcPr>
            <w:tcW w:w="674" w:type="pct"/>
            <w:tcBorders>
              <w:top w:val="nil"/>
              <w:left w:val="nil"/>
              <w:bottom w:val="nil"/>
              <w:right w:val="nil"/>
            </w:tcBorders>
            <w:tcMar>
              <w:top w:w="-1" w:type="dxa"/>
              <w:left w:w="-1" w:type="dxa"/>
              <w:bottom w:w="-1" w:type="dxa"/>
              <w:right w:w="-1" w:type="dxa"/>
            </w:tcMar>
            <w:vAlign w:val="center"/>
          </w:tcPr>
          <w:p w14:paraId="579D9606" w14:textId="77777777" w:rsidR="00531C19" w:rsidRPr="00B848ED" w:rsidRDefault="00000000" w:rsidP="00B848ED">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4.883</w:t>
            </w:r>
          </w:p>
        </w:tc>
      </w:tr>
      <w:tr w:rsidR="00531C19" w:rsidRPr="00B848ED" w14:paraId="5FCCE00E" w14:textId="77777777" w:rsidTr="001A3712">
        <w:trPr>
          <w:tblHeader/>
          <w:jc w:val="center"/>
        </w:trPr>
        <w:tc>
          <w:tcPr>
            <w:tcW w:w="1520" w:type="pct"/>
            <w:tcBorders>
              <w:top w:val="nil"/>
              <w:left w:val="nil"/>
              <w:bottom w:val="single" w:sz="4" w:space="0" w:color="auto"/>
              <w:right w:val="nil"/>
            </w:tcBorders>
            <w:tcMar>
              <w:top w:w="-1" w:type="dxa"/>
              <w:left w:w="-1" w:type="dxa"/>
              <w:bottom w:w="-1" w:type="dxa"/>
              <w:right w:w="-1" w:type="dxa"/>
            </w:tcMar>
            <w:vAlign w:val="center"/>
          </w:tcPr>
          <w:p w14:paraId="09ED6A7D" w14:textId="4C21DFFD" w:rsidR="00531C19" w:rsidRPr="00B848ED" w:rsidRDefault="00717345" w:rsidP="001A3712">
            <w:pPr>
              <w:snapToGrid w:val="0"/>
              <w:jc w:val="left"/>
              <w:rPr>
                <w:rFonts w:ascii="Times New Roman" w:eastAsia="SimSun" w:hAnsi="Times New Roman" w:cs="Times New Roman"/>
                <w:sz w:val="24"/>
              </w:rPr>
            </w:pPr>
            <w:r>
              <w:rPr>
                <w:rFonts w:ascii="Times New Roman" w:eastAsia="Segoe UI" w:hAnsi="Times New Roman" w:cs="Times New Roman"/>
                <w:i/>
                <w:iCs/>
                <w:color w:val="0F1115"/>
                <w:sz w:val="24"/>
                <w:shd w:val="clear" w:color="auto" w:fill="FFFFFF"/>
              </w:rPr>
              <w:t>p</w:t>
            </w:r>
            <w:r w:rsidRPr="00B848ED">
              <w:rPr>
                <w:rFonts w:ascii="Times New Roman" w:eastAsia="SimSun" w:hAnsi="Times New Roman" w:cs="Times New Roman" w:hint="eastAsia"/>
                <w:i/>
                <w:iCs/>
                <w:color w:val="0F1115"/>
                <w:sz w:val="24"/>
                <w:shd w:val="clear" w:color="auto" w:fill="FFFFFF"/>
              </w:rPr>
              <w:t xml:space="preserve"> </w:t>
            </w:r>
          </w:p>
        </w:tc>
        <w:tc>
          <w:tcPr>
            <w:tcW w:w="613" w:type="pct"/>
            <w:tcBorders>
              <w:top w:val="nil"/>
              <w:left w:val="nil"/>
              <w:bottom w:val="single" w:sz="4" w:space="0" w:color="auto"/>
              <w:right w:val="nil"/>
            </w:tcBorders>
            <w:tcMar>
              <w:top w:w="-1" w:type="dxa"/>
              <w:left w:w="-1" w:type="dxa"/>
              <w:bottom w:w="-1" w:type="dxa"/>
              <w:right w:w="-1" w:type="dxa"/>
            </w:tcMar>
            <w:vAlign w:val="center"/>
          </w:tcPr>
          <w:p w14:paraId="741AE1BF" w14:textId="77777777" w:rsidR="00531C19" w:rsidRPr="00B848ED" w:rsidRDefault="00531C19" w:rsidP="00B848ED">
            <w:pPr>
              <w:snapToGrid w:val="0"/>
              <w:jc w:val="center"/>
              <w:rPr>
                <w:rFonts w:ascii="Times New Roman" w:hAnsi="Times New Roman" w:cs="Times New Roman"/>
                <w:sz w:val="24"/>
              </w:rPr>
            </w:pPr>
          </w:p>
        </w:tc>
        <w:tc>
          <w:tcPr>
            <w:tcW w:w="644" w:type="pct"/>
            <w:tcBorders>
              <w:top w:val="nil"/>
              <w:left w:val="nil"/>
              <w:bottom w:val="single" w:sz="4" w:space="0" w:color="auto"/>
              <w:right w:val="nil"/>
            </w:tcBorders>
            <w:tcMar>
              <w:top w:w="-1" w:type="dxa"/>
              <w:left w:w="-1" w:type="dxa"/>
              <w:bottom w:w="-1" w:type="dxa"/>
              <w:right w:w="-1" w:type="dxa"/>
            </w:tcMar>
            <w:vAlign w:val="center"/>
          </w:tcPr>
          <w:p w14:paraId="46536043" w14:textId="77777777" w:rsidR="00531C19" w:rsidRPr="00B848ED" w:rsidRDefault="00531C19" w:rsidP="00B848ED">
            <w:pPr>
              <w:snapToGrid w:val="0"/>
              <w:jc w:val="center"/>
              <w:rPr>
                <w:rFonts w:ascii="Times New Roman" w:hAnsi="Times New Roman" w:cs="Times New Roman"/>
                <w:sz w:val="24"/>
              </w:rPr>
            </w:pPr>
          </w:p>
        </w:tc>
        <w:tc>
          <w:tcPr>
            <w:tcW w:w="612" w:type="pct"/>
            <w:tcBorders>
              <w:top w:val="nil"/>
              <w:left w:val="nil"/>
              <w:bottom w:val="single" w:sz="4" w:space="0" w:color="auto"/>
              <w:right w:val="nil"/>
            </w:tcBorders>
            <w:tcMar>
              <w:top w:w="-1" w:type="dxa"/>
              <w:left w:w="-1" w:type="dxa"/>
              <w:bottom w:w="-1" w:type="dxa"/>
              <w:right w:w="-1" w:type="dxa"/>
            </w:tcMar>
            <w:vAlign w:val="center"/>
          </w:tcPr>
          <w:p w14:paraId="07A0B832" w14:textId="77777777" w:rsidR="00531C19" w:rsidRPr="00B848ED" w:rsidRDefault="00531C19" w:rsidP="00B848ED">
            <w:pPr>
              <w:snapToGrid w:val="0"/>
              <w:jc w:val="center"/>
              <w:rPr>
                <w:rFonts w:ascii="Times New Roman" w:hAnsi="Times New Roman" w:cs="Times New Roman"/>
                <w:sz w:val="24"/>
              </w:rPr>
            </w:pPr>
          </w:p>
        </w:tc>
        <w:tc>
          <w:tcPr>
            <w:tcW w:w="937" w:type="pct"/>
            <w:tcBorders>
              <w:top w:val="nil"/>
              <w:left w:val="nil"/>
              <w:bottom w:val="single" w:sz="4" w:space="0" w:color="auto"/>
              <w:right w:val="nil"/>
            </w:tcBorders>
            <w:tcMar>
              <w:top w:w="-1" w:type="dxa"/>
              <w:left w:w="-1" w:type="dxa"/>
              <w:bottom w:w="-1" w:type="dxa"/>
              <w:right w:w="-1" w:type="dxa"/>
            </w:tcMar>
            <w:vAlign w:val="center"/>
          </w:tcPr>
          <w:p w14:paraId="3BC6FF13" w14:textId="77777777" w:rsidR="00531C19" w:rsidRPr="00B848ED" w:rsidRDefault="00531C19" w:rsidP="00B848ED">
            <w:pPr>
              <w:snapToGrid w:val="0"/>
              <w:jc w:val="center"/>
              <w:rPr>
                <w:rFonts w:ascii="Times New Roman" w:hAnsi="Times New Roman" w:cs="Times New Roman"/>
                <w:sz w:val="24"/>
              </w:rPr>
            </w:pPr>
          </w:p>
        </w:tc>
        <w:tc>
          <w:tcPr>
            <w:tcW w:w="674" w:type="pct"/>
            <w:tcBorders>
              <w:top w:val="nil"/>
              <w:left w:val="nil"/>
              <w:bottom w:val="single" w:sz="4" w:space="0" w:color="auto"/>
              <w:right w:val="nil"/>
            </w:tcBorders>
            <w:tcMar>
              <w:top w:w="-1" w:type="dxa"/>
              <w:left w:w="-1" w:type="dxa"/>
              <w:bottom w:w="-1" w:type="dxa"/>
              <w:right w:w="-1" w:type="dxa"/>
            </w:tcMar>
            <w:vAlign w:val="center"/>
          </w:tcPr>
          <w:p w14:paraId="5C345C7C" w14:textId="77777777" w:rsidR="00531C19" w:rsidRPr="00B848ED" w:rsidRDefault="00000000" w:rsidP="00B848ED">
            <w:pPr>
              <w:snapToGrid w:val="0"/>
              <w:jc w:val="center"/>
              <w:rPr>
                <w:rFonts w:ascii="Times New Roman" w:hAnsi="Times New Roman" w:cs="Times New Roman"/>
                <w:sz w:val="24"/>
              </w:rPr>
            </w:pPr>
            <w:r w:rsidRPr="00B848ED">
              <w:rPr>
                <w:rFonts w:ascii="Times New Roman" w:eastAsia="Segoe UI" w:hAnsi="Times New Roman" w:cs="Times New Roman"/>
                <w:color w:val="0F1115"/>
                <w:sz w:val="24"/>
                <w:shd w:val="clear" w:color="auto" w:fill="FFFFFF"/>
              </w:rPr>
              <w:t>0.027</w:t>
            </w:r>
          </w:p>
        </w:tc>
      </w:tr>
    </w:tbl>
    <w:p w14:paraId="51BC5F36" w14:textId="77777777" w:rsidR="00531C19" w:rsidRPr="00B848ED" w:rsidRDefault="00531C19" w:rsidP="001A3712">
      <w:pPr>
        <w:snapToGrid w:val="0"/>
        <w:rPr>
          <w:rFonts w:ascii="Times New Roman" w:eastAsia="Segoe UI" w:hAnsi="Times New Roman" w:cs="Times New Roman"/>
          <w:color w:val="0F1115"/>
          <w:sz w:val="24"/>
          <w:shd w:val="clear" w:color="auto" w:fill="FFFFFF"/>
        </w:rPr>
      </w:pPr>
    </w:p>
    <w:p w14:paraId="429D8A8F" w14:textId="77777777" w:rsidR="00531C19" w:rsidRPr="00B848ED" w:rsidRDefault="00000000" w:rsidP="001A3712">
      <w:pPr>
        <w:snapToGrid w:val="0"/>
        <w:rPr>
          <w:rFonts w:ascii="Times New Roman" w:eastAsia="Segoe UI" w:hAnsi="Times New Roman" w:cs="Times New Roman"/>
          <w:b/>
          <w:bCs/>
          <w:color w:val="0F1115"/>
          <w:sz w:val="24"/>
          <w:shd w:val="clear" w:color="auto" w:fill="FFFFFF"/>
        </w:rPr>
      </w:pPr>
      <w:r w:rsidRPr="00B848ED">
        <w:rPr>
          <w:rFonts w:ascii="Times New Roman" w:eastAsia="SimSun" w:hAnsi="Times New Roman" w:cs="Times New Roman" w:hint="eastAsia"/>
          <w:b/>
          <w:bCs/>
          <w:color w:val="0F1115"/>
          <w:sz w:val="24"/>
          <w:shd w:val="clear" w:color="auto" w:fill="FFFFFF"/>
        </w:rPr>
        <w:t>4</w:t>
      </w:r>
      <w:r w:rsidRPr="00B848ED">
        <w:rPr>
          <w:rFonts w:ascii="Times New Roman" w:eastAsia="SimSun" w:hAnsi="Times New Roman" w:cs="Times New Roman"/>
          <w:b/>
          <w:bCs/>
          <w:color w:val="0F1115"/>
          <w:sz w:val="24"/>
          <w:shd w:val="clear" w:color="auto" w:fill="FFFFFF"/>
        </w:rPr>
        <w:t>.</w:t>
      </w:r>
      <w:r w:rsidRPr="00B848ED">
        <w:rPr>
          <w:rFonts w:ascii="Times New Roman" w:eastAsia="Segoe UI" w:hAnsi="Times New Roman" w:cs="Times New Roman"/>
          <w:b/>
          <w:bCs/>
          <w:color w:val="0F1115"/>
          <w:sz w:val="24"/>
          <w:shd w:val="clear" w:color="auto" w:fill="FFFFFF"/>
        </w:rPr>
        <w:t xml:space="preserve"> Discussion</w:t>
      </w:r>
    </w:p>
    <w:p w14:paraId="30D97807" w14:textId="41170828" w:rsidR="00531C19" w:rsidRPr="00B848ED" w:rsidRDefault="00000000" w:rsidP="001A3712">
      <w:pPr>
        <w:snapToGrid w:val="0"/>
        <w:rPr>
          <w:rFonts w:ascii="Times New Roman" w:eastAsia="Segoe UI" w:hAnsi="Times New Roman" w:cs="Times New Roman"/>
          <w:color w:val="0F1115"/>
          <w:sz w:val="24"/>
          <w:shd w:val="clear" w:color="auto" w:fill="FFFFFF"/>
        </w:rPr>
      </w:pPr>
      <w:r w:rsidRPr="00B848ED">
        <w:rPr>
          <w:rFonts w:ascii="Times New Roman" w:eastAsia="Segoe UI" w:hAnsi="Times New Roman" w:cs="Times New Roman"/>
          <w:color w:val="0F1115"/>
          <w:sz w:val="24"/>
          <w:shd w:val="clear" w:color="auto" w:fill="FFFFFF"/>
        </w:rPr>
        <w:t xml:space="preserve">Esophageal cancer is a commonly encountered malignant tumor in the clinical digestive system, with a higher prevalence in males than in females </w:t>
      </w:r>
      <w:r w:rsidRPr="00B848ED">
        <w:rPr>
          <w:rFonts w:ascii="Times New Roman" w:eastAsia="Segoe UI" w:hAnsi="Times New Roman" w:cs="Times New Roman"/>
          <w:color w:val="0F1115"/>
          <w:sz w:val="24"/>
          <w:shd w:val="clear" w:color="auto" w:fill="FFFFFF"/>
          <w:vertAlign w:val="superscript"/>
        </w:rPr>
        <w:t>[5</w:t>
      </w:r>
      <w:r w:rsidR="00C80E90">
        <w:rPr>
          <w:rFonts w:ascii="Times New Roman" w:eastAsia="Segoe UI" w:hAnsi="Times New Roman" w:cs="Times New Roman"/>
          <w:color w:val="0F1115"/>
          <w:sz w:val="24"/>
          <w:shd w:val="clear" w:color="auto" w:fill="FFFFFF"/>
          <w:vertAlign w:val="superscript"/>
        </w:rPr>
        <w:t>,</w:t>
      </w:r>
      <w:r w:rsidRPr="00B848ED">
        <w:rPr>
          <w:rFonts w:ascii="Times New Roman" w:eastAsia="Segoe UI" w:hAnsi="Times New Roman" w:cs="Times New Roman"/>
          <w:color w:val="0F1115"/>
          <w:sz w:val="24"/>
          <w:shd w:val="clear" w:color="auto" w:fill="FFFFFF"/>
          <w:vertAlign w:val="superscript"/>
        </w:rPr>
        <w:t>6]</w:t>
      </w:r>
      <w:r w:rsidRPr="00B848ED">
        <w:rPr>
          <w:rFonts w:ascii="Times New Roman" w:eastAsia="Segoe UI" w:hAnsi="Times New Roman" w:cs="Times New Roman"/>
          <w:color w:val="0F1115"/>
          <w:sz w:val="24"/>
          <w:shd w:val="clear" w:color="auto" w:fill="FFFFFF"/>
        </w:rPr>
        <w:t>. Surgical treatment can completely remove the lesion, but it disrupts the continuity of the esophagus and digestive tract, temporarily impairing the postoperative feeding pathway. Consequently, patients are unable to eat normally by mouth in the short term and must rely on home enteral nutrition to supply the body</w:t>
      </w:r>
      <w:r w:rsidR="00B848ED">
        <w:rPr>
          <w:rFonts w:ascii="Times New Roman" w:eastAsia="SimSun" w:hAnsi="Times New Roman" w:cs="Times New Roman"/>
          <w:color w:val="0F1115"/>
          <w:sz w:val="24"/>
          <w:shd w:val="clear" w:color="auto" w:fill="FFFFFF"/>
        </w:rPr>
        <w:t>’</w:t>
      </w:r>
      <w:r w:rsidRPr="00B848ED">
        <w:rPr>
          <w:rFonts w:ascii="Times New Roman" w:eastAsia="Segoe UI" w:hAnsi="Times New Roman" w:cs="Times New Roman"/>
          <w:color w:val="0F1115"/>
          <w:sz w:val="24"/>
          <w:shd w:val="clear" w:color="auto" w:fill="FFFFFF"/>
        </w:rPr>
        <w:t xml:space="preserve">s energy needs </w:t>
      </w:r>
      <w:r w:rsidRPr="00B848ED">
        <w:rPr>
          <w:rFonts w:ascii="Times New Roman" w:eastAsia="Segoe UI" w:hAnsi="Times New Roman" w:cs="Times New Roman"/>
          <w:color w:val="0F1115"/>
          <w:sz w:val="24"/>
          <w:shd w:val="clear" w:color="auto" w:fill="FFFFFF"/>
          <w:vertAlign w:val="superscript"/>
        </w:rPr>
        <w:t>[7]</w:t>
      </w:r>
      <w:r w:rsidRPr="00B848ED">
        <w:rPr>
          <w:rFonts w:ascii="Times New Roman" w:eastAsia="Segoe UI" w:hAnsi="Times New Roman" w:cs="Times New Roman"/>
          <w:color w:val="0F1115"/>
          <w:sz w:val="24"/>
          <w:shd w:val="clear" w:color="auto" w:fill="FFFFFF"/>
        </w:rPr>
        <w:t xml:space="preserve">. Supportive nursing intervention is a novel comprehensive nursing approach that emphasizes the combination of in-hospital practical teaching with post-discharge continuous follow-up </w:t>
      </w:r>
      <w:r w:rsidRPr="00B848ED">
        <w:rPr>
          <w:rFonts w:ascii="Times New Roman" w:eastAsia="Segoe UI" w:hAnsi="Times New Roman" w:cs="Times New Roman"/>
          <w:color w:val="0F1115"/>
          <w:sz w:val="24"/>
          <w:shd w:val="clear" w:color="auto" w:fill="FFFFFF"/>
          <w:vertAlign w:val="superscript"/>
        </w:rPr>
        <w:t>[8]</w:t>
      </w:r>
      <w:r w:rsidRPr="00B848ED">
        <w:rPr>
          <w:rFonts w:ascii="Times New Roman" w:eastAsia="Segoe UI" w:hAnsi="Times New Roman" w:cs="Times New Roman"/>
          <w:color w:val="0F1115"/>
          <w:sz w:val="24"/>
          <w:shd w:val="clear" w:color="auto" w:fill="FFFFFF"/>
        </w:rPr>
        <w:t>. Specifically, for patients undergoing long-term home enteral nutrition after esophageal cancer surgery, this model can continuously correct improper feeding practices by family members, dynamically adjust the infusion plan of nutritional solutions based on the patient</w:t>
      </w:r>
      <w:r w:rsidR="00B848ED">
        <w:rPr>
          <w:rFonts w:ascii="Times New Roman" w:eastAsia="SimSun" w:hAnsi="Times New Roman" w:cs="Times New Roman"/>
          <w:color w:val="0F1115"/>
          <w:sz w:val="24"/>
          <w:shd w:val="clear" w:color="auto" w:fill="FFFFFF"/>
        </w:rPr>
        <w:t>’</w:t>
      </w:r>
      <w:r w:rsidRPr="00B848ED">
        <w:rPr>
          <w:rFonts w:ascii="Times New Roman" w:eastAsia="Segoe UI" w:hAnsi="Times New Roman" w:cs="Times New Roman"/>
          <w:color w:val="0F1115"/>
          <w:sz w:val="24"/>
          <w:shd w:val="clear" w:color="auto" w:fill="FFFFFF"/>
        </w:rPr>
        <w:t>s nutritional and immune indicators, promptly alleviate anxiety and negative emotions caused by long-term tube placement, effectively reduce the risk of adverse events related to home feeding, and facilitate rapid improvement in nutritional status and restoration of immune function.</w:t>
      </w:r>
    </w:p>
    <w:p w14:paraId="21DE637C" w14:textId="5211E1E6" w:rsidR="00531C19" w:rsidRPr="00B848ED" w:rsidRDefault="00000000" w:rsidP="001A3712">
      <w:pPr>
        <w:snapToGrid w:val="0"/>
        <w:ind w:firstLineChars="200" w:firstLine="480"/>
        <w:rPr>
          <w:rFonts w:ascii="Times New Roman" w:eastAsia="Segoe UI" w:hAnsi="Times New Roman" w:cs="Times New Roman"/>
          <w:color w:val="0F1115"/>
          <w:sz w:val="24"/>
          <w:shd w:val="clear" w:color="auto" w:fill="FFFFFF"/>
        </w:rPr>
      </w:pPr>
      <w:r w:rsidRPr="00B848ED">
        <w:rPr>
          <w:rFonts w:ascii="Times New Roman" w:eastAsia="Segoe UI" w:hAnsi="Times New Roman" w:cs="Times New Roman"/>
          <w:color w:val="0F1115"/>
          <w:sz w:val="24"/>
          <w:shd w:val="clear" w:color="auto" w:fill="FFFFFF"/>
        </w:rPr>
        <w:t>The results of this study indicate that the observation group demonstrated superior improvements in nutritional status and cellular immune function after intervention, and also had a lower overall incidence of adverse events (</w:t>
      </w:r>
      <w:r w:rsidR="00717345">
        <w:rPr>
          <w:rFonts w:ascii="Times New Roman" w:eastAsia="Segoe UI" w:hAnsi="Times New Roman" w:cs="Times New Roman"/>
          <w:i/>
          <w:iCs/>
          <w:color w:val="0F1115"/>
          <w:sz w:val="24"/>
          <w:shd w:val="clear" w:color="auto" w:fill="FFFFFF"/>
        </w:rPr>
        <w:t>p</w:t>
      </w:r>
      <w:r w:rsidRPr="00B848ED">
        <w:rPr>
          <w:rFonts w:ascii="Times New Roman" w:eastAsia="Segoe UI" w:hAnsi="Times New Roman" w:cs="Times New Roman"/>
          <w:color w:val="0F1115"/>
          <w:sz w:val="24"/>
          <w:shd w:val="clear" w:color="auto" w:fill="FFFFFF"/>
        </w:rPr>
        <w:t xml:space="preserve"> &lt; 0.05). The reasons for this are as follows: conventional nursing can only provide basic in-hospital monitoring and one-time oral education, which is prone to inducing complications such as diarrhea, tube blockage, and reflux. Additionally, the long-term fixed nutritional solution supply model is difficult to match the postoperative recovery needs of the patient</w:t>
      </w:r>
      <w:r w:rsidR="00B848ED">
        <w:rPr>
          <w:rFonts w:ascii="Times New Roman" w:eastAsia="SimSun" w:hAnsi="Times New Roman" w:cs="Times New Roman"/>
          <w:color w:val="0F1115"/>
          <w:sz w:val="24"/>
          <w:shd w:val="clear" w:color="auto" w:fill="FFFFFF"/>
        </w:rPr>
        <w:t>’</w:t>
      </w:r>
      <w:r w:rsidRPr="00B848ED">
        <w:rPr>
          <w:rFonts w:ascii="Times New Roman" w:eastAsia="Segoe UI" w:hAnsi="Times New Roman" w:cs="Times New Roman"/>
          <w:color w:val="0F1115"/>
          <w:sz w:val="24"/>
          <w:shd w:val="clear" w:color="auto" w:fill="FFFFFF"/>
        </w:rPr>
        <w:t>s body, and persistent malnutrition can inhibit the proliferation and differentiation of T lymphocytes, leading to severe imbalance in immune function cells. In contrast, the application of supportive nursing in the observation group integrates multiple measures such as practical training, multi-channel continuous follow-up, and dynamic nutritional adjustments, reducing various enteral nutrition-related adverse events from the source, as well as minimizing additional bodily consumption caused by complications, thereby promoting nutritional absorption and cellular immune function recovery in both directions.</w:t>
      </w:r>
    </w:p>
    <w:p w14:paraId="6B9B55B3" w14:textId="77777777" w:rsidR="00531C19" w:rsidRPr="00B848ED" w:rsidRDefault="00531C19" w:rsidP="001A3712">
      <w:pPr>
        <w:snapToGrid w:val="0"/>
        <w:ind w:firstLineChars="200" w:firstLine="480"/>
        <w:rPr>
          <w:rFonts w:ascii="Times New Roman" w:eastAsia="Segoe UI" w:hAnsi="Times New Roman" w:cs="Times New Roman"/>
          <w:color w:val="0F1115"/>
          <w:sz w:val="24"/>
          <w:shd w:val="clear" w:color="auto" w:fill="FFFFFF"/>
        </w:rPr>
      </w:pPr>
    </w:p>
    <w:p w14:paraId="4133A312" w14:textId="77777777" w:rsidR="00531C19" w:rsidRPr="00B848ED" w:rsidRDefault="00000000" w:rsidP="001A3712">
      <w:pPr>
        <w:snapToGrid w:val="0"/>
        <w:rPr>
          <w:rFonts w:ascii="Times New Roman" w:eastAsia="SimSun" w:hAnsi="Times New Roman" w:cs="Times New Roman"/>
          <w:b/>
          <w:bCs/>
          <w:color w:val="0F1115"/>
          <w:sz w:val="24"/>
          <w:shd w:val="clear" w:color="auto" w:fill="FFFFFF"/>
        </w:rPr>
      </w:pPr>
      <w:r w:rsidRPr="00B848ED">
        <w:rPr>
          <w:rFonts w:ascii="Times New Roman" w:eastAsia="SimSun" w:hAnsi="Times New Roman" w:cs="Times New Roman" w:hint="eastAsia"/>
          <w:b/>
          <w:bCs/>
          <w:color w:val="0F1115"/>
          <w:sz w:val="24"/>
          <w:shd w:val="clear" w:color="auto" w:fill="FFFFFF"/>
        </w:rPr>
        <w:t>5. Conclusion</w:t>
      </w:r>
    </w:p>
    <w:p w14:paraId="7503CADE" w14:textId="05078151" w:rsidR="00531C19" w:rsidRPr="00B848ED" w:rsidRDefault="00000000" w:rsidP="001A3712">
      <w:pPr>
        <w:snapToGrid w:val="0"/>
        <w:rPr>
          <w:rFonts w:ascii="Times New Roman" w:eastAsia="Segoe UI" w:hAnsi="Times New Roman" w:cs="Times New Roman"/>
          <w:color w:val="0F1115"/>
          <w:sz w:val="24"/>
          <w:shd w:val="clear" w:color="auto" w:fill="FFFFFF"/>
        </w:rPr>
      </w:pPr>
      <w:r w:rsidRPr="00B848ED">
        <w:rPr>
          <w:rFonts w:ascii="Times New Roman" w:eastAsia="Segoe UI" w:hAnsi="Times New Roman" w:cs="Times New Roman"/>
          <w:color w:val="0F1115"/>
          <w:sz w:val="24"/>
          <w:shd w:val="clear" w:color="auto" w:fill="FFFFFF"/>
        </w:rPr>
        <w:t>In summary, implementing supportive nursing intervention for patients receiving home enteral nutrition after esophageal cancer surgery can significantly improve their nutritional levels, enhance cellular immune function, and reduce adverse events related to home feeding, demonstrating a definite effect of nursing intervention. However, this study has certain limitations: it only selected samples from a single center, resulting in a single source of samples; the follow-up period was only set at 3 months post-surgery, lacking long-term tracking of patients</w:t>
      </w:r>
      <w:r w:rsidR="00B848ED">
        <w:rPr>
          <w:rFonts w:ascii="Times New Roman" w:eastAsia="Segoe UI" w:hAnsi="Times New Roman" w:cs="Times New Roman"/>
          <w:color w:val="0F1115"/>
          <w:sz w:val="24"/>
          <w:shd w:val="clear" w:color="auto" w:fill="FFFFFF"/>
        </w:rPr>
        <w:t>’</w:t>
      </w:r>
      <w:r w:rsidRPr="00B848ED">
        <w:rPr>
          <w:rFonts w:ascii="Times New Roman" w:eastAsia="Segoe UI" w:hAnsi="Times New Roman" w:cs="Times New Roman"/>
          <w:color w:val="0F1115"/>
          <w:sz w:val="24"/>
          <w:shd w:val="clear" w:color="auto" w:fill="FFFFFF"/>
        </w:rPr>
        <w:t xml:space="preserve"> nutritional, immune, and quality of life outcomes. Subsequent studies can conduct multi-center, large-sample controlled trials, extend the follow-up observation period, and incorporate multiple indicators such as patients</w:t>
      </w:r>
      <w:r w:rsidR="00B848ED">
        <w:rPr>
          <w:rFonts w:ascii="Times New Roman" w:eastAsia="Segoe UI" w:hAnsi="Times New Roman" w:cs="Times New Roman"/>
          <w:color w:val="0F1115"/>
          <w:sz w:val="24"/>
          <w:shd w:val="clear" w:color="auto" w:fill="FFFFFF"/>
        </w:rPr>
        <w:t>’</w:t>
      </w:r>
      <w:r w:rsidRPr="00B848ED">
        <w:rPr>
          <w:rFonts w:ascii="Times New Roman" w:eastAsia="Segoe UI" w:hAnsi="Times New Roman" w:cs="Times New Roman"/>
          <w:color w:val="0F1115"/>
          <w:sz w:val="24"/>
          <w:shd w:val="clear" w:color="auto" w:fill="FFFFFF"/>
        </w:rPr>
        <w:t xml:space="preserve"> quality of life and psychological scores to further refine the home enteral nutrition supportive nursing intervention system, thereby providing more precise clinical reference evidence for the development of standardized continuity of care plans after esophageal cancer surgery.</w:t>
      </w:r>
    </w:p>
    <w:p w14:paraId="2D8AA4FB" w14:textId="77777777" w:rsidR="00531C19" w:rsidRPr="00B848ED" w:rsidRDefault="00531C19" w:rsidP="001A3712">
      <w:pPr>
        <w:snapToGrid w:val="0"/>
        <w:rPr>
          <w:rFonts w:ascii="Times New Roman" w:eastAsia="Segoe UI" w:hAnsi="Times New Roman" w:cs="Times New Roman"/>
          <w:color w:val="0F1115"/>
          <w:sz w:val="24"/>
          <w:shd w:val="clear" w:color="auto" w:fill="FFFFFF"/>
        </w:rPr>
      </w:pPr>
    </w:p>
    <w:p w14:paraId="3AE7EE40" w14:textId="77777777" w:rsidR="00531C19" w:rsidRPr="001A3712" w:rsidRDefault="00000000" w:rsidP="001A3712">
      <w:pPr>
        <w:snapToGrid w:val="0"/>
        <w:rPr>
          <w:rFonts w:ascii="Times New Roman" w:eastAsia="SimSun" w:hAnsi="Times New Roman" w:cs="Times New Roman"/>
          <w:b/>
          <w:bCs/>
          <w:color w:val="0F1115"/>
          <w:sz w:val="24"/>
          <w:shd w:val="clear" w:color="auto" w:fill="FFFFFF"/>
        </w:rPr>
      </w:pPr>
      <w:r w:rsidRPr="001A3712">
        <w:rPr>
          <w:rFonts w:ascii="Times New Roman" w:eastAsia="SimSun" w:hAnsi="Times New Roman" w:cs="Times New Roman" w:hint="eastAsia"/>
          <w:b/>
          <w:bCs/>
          <w:color w:val="0F1115"/>
          <w:sz w:val="24"/>
          <w:shd w:val="clear" w:color="auto" w:fill="FFFFFF"/>
        </w:rPr>
        <w:t>Funding</w:t>
      </w:r>
    </w:p>
    <w:p w14:paraId="6EABE883" w14:textId="0BF8A512" w:rsidR="00531C19" w:rsidRPr="001A3712" w:rsidRDefault="00000000" w:rsidP="001A3712">
      <w:pPr>
        <w:snapToGrid w:val="0"/>
        <w:rPr>
          <w:rFonts w:ascii="Times New Roman" w:eastAsia="SimSun" w:hAnsi="Times New Roman" w:cs="Times New Roman"/>
          <w:color w:val="0F1115"/>
          <w:sz w:val="24"/>
          <w:shd w:val="clear" w:color="auto" w:fill="FFFFFF"/>
        </w:rPr>
      </w:pPr>
      <w:r w:rsidRPr="001A3712">
        <w:rPr>
          <w:rFonts w:ascii="Times New Roman" w:eastAsia="SimSun" w:hAnsi="Times New Roman" w:cs="Times New Roman"/>
          <w:color w:val="0F1115"/>
          <w:sz w:val="24"/>
          <w:shd w:val="clear" w:color="auto" w:fill="FFFFFF"/>
        </w:rPr>
        <w:t>2025 Nanjing Medical University Kangda College Research Development Fund Project: Investigation of the Current Status and Analysis of Influencing Factors of Quality of Life Related to Home Enteral Nutrition in Patients After Esophageal Cancer Surgery</w:t>
      </w:r>
      <w:r w:rsidR="00717345">
        <w:rPr>
          <w:rFonts w:ascii="Times New Roman" w:eastAsia="SimSun" w:hAnsi="Times New Roman" w:cs="Times New Roman"/>
          <w:color w:val="0F1115"/>
          <w:sz w:val="24"/>
          <w:shd w:val="clear" w:color="auto" w:fill="FFFFFF"/>
        </w:rPr>
        <w:t xml:space="preserve"> </w:t>
      </w:r>
      <w:r w:rsidRPr="001A3712">
        <w:rPr>
          <w:rFonts w:ascii="Times New Roman" w:eastAsia="SimSun" w:hAnsi="Times New Roman" w:cs="Times New Roman" w:hint="eastAsia"/>
          <w:color w:val="0F1115"/>
          <w:sz w:val="24"/>
          <w:shd w:val="clear" w:color="auto" w:fill="FFFFFF"/>
        </w:rPr>
        <w:t>(</w:t>
      </w:r>
      <w:r w:rsidRPr="001A3712">
        <w:rPr>
          <w:rFonts w:ascii="Times New Roman" w:eastAsia="SimSun" w:hAnsi="Times New Roman" w:cs="Times New Roman"/>
          <w:color w:val="0F1115"/>
          <w:sz w:val="24"/>
          <w:shd w:val="clear" w:color="auto" w:fill="FFFFFF"/>
        </w:rPr>
        <w:t>Project No.</w:t>
      </w:r>
      <w:r w:rsidR="00717345">
        <w:rPr>
          <w:rFonts w:ascii="Times New Roman" w:eastAsia="SimSun" w:hAnsi="Times New Roman" w:cs="Times New Roman"/>
          <w:color w:val="0F1115"/>
          <w:sz w:val="24"/>
          <w:shd w:val="clear" w:color="auto" w:fill="FFFFFF"/>
        </w:rPr>
        <w:t>:</w:t>
      </w:r>
      <w:r w:rsidRPr="001A3712">
        <w:rPr>
          <w:rFonts w:ascii="Times New Roman" w:eastAsia="SimSun" w:hAnsi="Times New Roman" w:cs="Times New Roman"/>
          <w:color w:val="0F1115"/>
          <w:sz w:val="24"/>
          <w:shd w:val="clear" w:color="auto" w:fill="FFFFFF"/>
        </w:rPr>
        <w:t xml:space="preserve"> KD2025KYJJ203</w:t>
      </w:r>
      <w:r w:rsidRPr="001A3712">
        <w:rPr>
          <w:rFonts w:ascii="Times New Roman" w:eastAsia="SimSun" w:hAnsi="Times New Roman" w:cs="Times New Roman" w:hint="eastAsia"/>
          <w:color w:val="0F1115"/>
          <w:sz w:val="24"/>
          <w:shd w:val="clear" w:color="auto" w:fill="FFFFFF"/>
        </w:rPr>
        <w:t>)</w:t>
      </w:r>
    </w:p>
    <w:p w14:paraId="5403CC92" w14:textId="77777777" w:rsidR="00531C19" w:rsidRPr="00B848ED" w:rsidRDefault="00531C19" w:rsidP="001A3712">
      <w:pPr>
        <w:snapToGrid w:val="0"/>
        <w:rPr>
          <w:rFonts w:ascii="Times New Roman" w:eastAsia="Segoe UI" w:hAnsi="Times New Roman" w:cs="Times New Roman"/>
          <w:color w:val="0F1115"/>
          <w:sz w:val="24"/>
          <w:shd w:val="clear" w:color="auto" w:fill="FFFFFF"/>
        </w:rPr>
      </w:pPr>
    </w:p>
    <w:p w14:paraId="30CBD4EE" w14:textId="77777777" w:rsidR="00531C19" w:rsidRPr="00B848ED" w:rsidRDefault="00000000" w:rsidP="001A3712">
      <w:pPr>
        <w:snapToGrid w:val="0"/>
        <w:rPr>
          <w:rFonts w:ascii="Times New Roman" w:hAnsi="Times New Roman"/>
          <w:b/>
          <w:bCs/>
          <w:sz w:val="24"/>
        </w:rPr>
      </w:pPr>
      <w:bookmarkStart w:id="0" w:name="_Hlk181689731"/>
      <w:r w:rsidRPr="00B848ED">
        <w:rPr>
          <w:rFonts w:ascii="Times New Roman" w:hAnsi="Times New Roman"/>
          <w:b/>
          <w:bCs/>
          <w:sz w:val="24"/>
        </w:rPr>
        <w:t>Disclosure statement</w:t>
      </w:r>
    </w:p>
    <w:p w14:paraId="16B48AC7" w14:textId="5CE16730" w:rsidR="00531C19" w:rsidRPr="00B848ED" w:rsidRDefault="00000000" w:rsidP="001A3712">
      <w:pPr>
        <w:snapToGrid w:val="0"/>
        <w:rPr>
          <w:rFonts w:ascii="Times New Roman" w:hAnsi="Times New Roman"/>
          <w:sz w:val="24"/>
        </w:rPr>
      </w:pPr>
      <w:r w:rsidRPr="00B848ED">
        <w:rPr>
          <w:rFonts w:ascii="Times New Roman" w:hAnsi="Times New Roman"/>
          <w:sz w:val="24"/>
        </w:rPr>
        <w:t>The author</w:t>
      </w:r>
      <w:r w:rsidR="00717345">
        <w:rPr>
          <w:rFonts w:ascii="Times New Roman" w:hAnsi="Times New Roman"/>
          <w:sz w:val="24"/>
        </w:rPr>
        <w:t>s</w:t>
      </w:r>
      <w:r w:rsidRPr="00B848ED">
        <w:rPr>
          <w:rFonts w:ascii="Times New Roman" w:hAnsi="Times New Roman"/>
          <w:sz w:val="24"/>
        </w:rPr>
        <w:t xml:space="preserve"> declare no conflict of interest. </w:t>
      </w:r>
    </w:p>
    <w:bookmarkEnd w:id="0"/>
    <w:p w14:paraId="273C9F61" w14:textId="77777777" w:rsidR="00531C19" w:rsidRPr="00B848ED" w:rsidRDefault="00531C19" w:rsidP="001A3712">
      <w:pPr>
        <w:snapToGrid w:val="0"/>
        <w:rPr>
          <w:rFonts w:ascii="Times New Roman" w:eastAsia="Segoe UI" w:hAnsi="Times New Roman" w:cs="Times New Roman"/>
          <w:color w:val="0F1115"/>
          <w:sz w:val="24"/>
          <w:shd w:val="clear" w:color="auto" w:fill="FFFFFF"/>
        </w:rPr>
      </w:pPr>
    </w:p>
    <w:p w14:paraId="5BBB10B9" w14:textId="77777777" w:rsidR="00531C19" w:rsidRPr="00B848ED" w:rsidRDefault="00000000" w:rsidP="001A3712">
      <w:pPr>
        <w:snapToGrid w:val="0"/>
        <w:rPr>
          <w:rFonts w:ascii="Times New Roman" w:eastAsia="Segoe UI" w:hAnsi="Times New Roman" w:cs="Times New Roman"/>
          <w:b/>
          <w:bCs/>
          <w:color w:val="0F1115"/>
          <w:sz w:val="24"/>
          <w:shd w:val="clear" w:color="auto" w:fill="FFFFFF"/>
        </w:rPr>
      </w:pPr>
      <w:r w:rsidRPr="00B848ED">
        <w:rPr>
          <w:rFonts w:ascii="Times New Roman" w:eastAsia="Segoe UI" w:hAnsi="Times New Roman" w:cs="Times New Roman"/>
          <w:b/>
          <w:bCs/>
          <w:color w:val="0F1115"/>
          <w:sz w:val="24"/>
          <w:shd w:val="clear" w:color="auto" w:fill="FFFFFF"/>
        </w:rPr>
        <w:t>References</w:t>
      </w:r>
    </w:p>
    <w:p w14:paraId="7DA179AA" w14:textId="7069D141" w:rsidR="00717345" w:rsidRDefault="00717345" w:rsidP="00717345">
      <w:pPr>
        <w:snapToGrid w:val="0"/>
        <w:ind w:left="709" w:hanging="709"/>
        <w:rPr>
          <w:rFonts w:ascii="Times New Roman" w:eastAsia="Segoe UI" w:hAnsi="Times New Roman" w:cs="Times New Roman"/>
          <w:color w:val="0F1115"/>
          <w:sz w:val="24"/>
          <w:shd w:val="clear" w:color="auto" w:fill="FFFFFF"/>
          <w:lang w:val="en-MY"/>
        </w:rPr>
      </w:pPr>
      <w:r w:rsidRPr="00717345">
        <w:rPr>
          <w:rFonts w:ascii="Times New Roman" w:eastAsia="Segoe UI" w:hAnsi="Times New Roman" w:cs="Times New Roman"/>
          <w:color w:val="0F1115"/>
          <w:sz w:val="24"/>
          <w:shd w:val="clear" w:color="auto" w:fill="FFFFFF"/>
          <w:lang w:val="en-MY"/>
        </w:rPr>
        <w:t xml:space="preserve">[1] </w:t>
      </w:r>
      <w:r>
        <w:rPr>
          <w:rFonts w:ascii="Times New Roman" w:eastAsia="Segoe UI" w:hAnsi="Times New Roman" w:cs="Times New Roman"/>
          <w:color w:val="0F1115"/>
          <w:sz w:val="24"/>
          <w:shd w:val="clear" w:color="auto" w:fill="FFFFFF"/>
          <w:lang w:val="en-MY"/>
        </w:rPr>
        <w:tab/>
      </w:r>
      <w:r w:rsidRPr="00717345">
        <w:rPr>
          <w:rFonts w:ascii="Times New Roman" w:eastAsia="Segoe UI" w:hAnsi="Times New Roman" w:cs="Times New Roman"/>
          <w:color w:val="0F1115"/>
          <w:sz w:val="24"/>
          <w:shd w:val="clear" w:color="auto" w:fill="FFFFFF"/>
          <w:lang w:val="en-MY"/>
        </w:rPr>
        <w:t>Zhu Q, 2020, The Impact of Early Nutritional Support Combined with Nursing Intervention on Postoperative Nutritional Status and Gastrointestinal Function Recovery in Patients with Esophageal Cancer. Shanxi Medical Journal, 49(3): 363–365.</w:t>
      </w:r>
    </w:p>
    <w:p w14:paraId="2CFA9435" w14:textId="77777777" w:rsidR="00717345" w:rsidRDefault="00717345" w:rsidP="00717345">
      <w:pPr>
        <w:snapToGrid w:val="0"/>
        <w:ind w:left="709" w:hanging="709"/>
        <w:rPr>
          <w:rFonts w:ascii="Times New Roman" w:eastAsia="Segoe UI" w:hAnsi="Times New Roman" w:cs="Times New Roman"/>
          <w:color w:val="0F1115"/>
          <w:sz w:val="24"/>
          <w:shd w:val="clear" w:color="auto" w:fill="FFFFFF"/>
          <w:lang w:val="en-MY"/>
        </w:rPr>
      </w:pPr>
      <w:r w:rsidRPr="00717345">
        <w:rPr>
          <w:rFonts w:ascii="Times New Roman" w:eastAsia="Segoe UI" w:hAnsi="Times New Roman" w:cs="Times New Roman"/>
          <w:color w:val="0F1115"/>
          <w:sz w:val="24"/>
          <w:shd w:val="clear" w:color="auto" w:fill="FFFFFF"/>
          <w:lang w:val="en-MY"/>
        </w:rPr>
        <w:t xml:space="preserve">[2] </w:t>
      </w:r>
      <w:r>
        <w:rPr>
          <w:rFonts w:ascii="Times New Roman" w:eastAsia="Segoe UI" w:hAnsi="Times New Roman" w:cs="Times New Roman"/>
          <w:color w:val="0F1115"/>
          <w:sz w:val="24"/>
          <w:shd w:val="clear" w:color="auto" w:fill="FFFFFF"/>
          <w:lang w:val="en-MY"/>
        </w:rPr>
        <w:tab/>
      </w:r>
      <w:r w:rsidRPr="00717345">
        <w:rPr>
          <w:rFonts w:ascii="Times New Roman" w:eastAsia="Segoe UI" w:hAnsi="Times New Roman" w:cs="Times New Roman"/>
          <w:color w:val="0F1115"/>
          <w:sz w:val="24"/>
          <w:shd w:val="clear" w:color="auto" w:fill="FFFFFF"/>
          <w:lang w:val="en-MY"/>
        </w:rPr>
        <w:t>Li Y, Zhao Q, Song L, et al., 2021, The Impact of Early Enteral and Parenteral Nutrition Support and Nursing Intervention Under the Integrated Medical-Nursing Model on the Nutritional Status of Patients Undergoing Radical Resection of Esophageal Cancer. Chinese Journal of New Drugs and Clinical Remedies, 21(16): 2902–2903.</w:t>
      </w:r>
    </w:p>
    <w:p w14:paraId="572A135C" w14:textId="77777777" w:rsidR="00717345" w:rsidRDefault="00717345" w:rsidP="00717345">
      <w:pPr>
        <w:snapToGrid w:val="0"/>
        <w:ind w:left="709" w:hanging="709"/>
        <w:rPr>
          <w:rFonts w:ascii="Times New Roman" w:eastAsia="Segoe UI" w:hAnsi="Times New Roman" w:cs="Times New Roman"/>
          <w:color w:val="0F1115"/>
          <w:sz w:val="24"/>
          <w:shd w:val="clear" w:color="auto" w:fill="FFFFFF"/>
          <w:lang w:val="en-MY"/>
        </w:rPr>
      </w:pPr>
      <w:r w:rsidRPr="00717345">
        <w:rPr>
          <w:rFonts w:ascii="Times New Roman" w:eastAsia="Segoe UI" w:hAnsi="Times New Roman" w:cs="Times New Roman"/>
          <w:color w:val="0F1115"/>
          <w:sz w:val="24"/>
          <w:shd w:val="clear" w:color="auto" w:fill="FFFFFF"/>
          <w:lang w:val="en-MY"/>
        </w:rPr>
        <w:t xml:space="preserve">[3] </w:t>
      </w:r>
      <w:r>
        <w:rPr>
          <w:rFonts w:ascii="Times New Roman" w:eastAsia="Segoe UI" w:hAnsi="Times New Roman" w:cs="Times New Roman"/>
          <w:color w:val="0F1115"/>
          <w:sz w:val="24"/>
          <w:shd w:val="clear" w:color="auto" w:fill="FFFFFF"/>
          <w:lang w:val="en-MY"/>
        </w:rPr>
        <w:tab/>
      </w:r>
      <w:r w:rsidRPr="00717345">
        <w:rPr>
          <w:rFonts w:ascii="Times New Roman" w:eastAsia="Segoe UI" w:hAnsi="Times New Roman" w:cs="Times New Roman"/>
          <w:color w:val="0F1115"/>
          <w:sz w:val="24"/>
          <w:shd w:val="clear" w:color="auto" w:fill="FFFFFF"/>
          <w:lang w:val="en-MY"/>
        </w:rPr>
        <w:t>Zhou J, 2022, The Application and Nursing Evaluation of Integrated Protein Nutritional Preparations in Home Enteral Nutrition Therapy for Patients with Esophageal Cancer. Health Warning, 16(12): 162–164 + 171.</w:t>
      </w:r>
    </w:p>
    <w:p w14:paraId="2CE50EE2" w14:textId="77777777" w:rsidR="00717345" w:rsidRDefault="00717345" w:rsidP="00717345">
      <w:pPr>
        <w:snapToGrid w:val="0"/>
        <w:ind w:left="709" w:hanging="709"/>
        <w:rPr>
          <w:rFonts w:ascii="Times New Roman" w:eastAsia="Segoe UI" w:hAnsi="Times New Roman" w:cs="Times New Roman"/>
          <w:color w:val="0F1115"/>
          <w:sz w:val="24"/>
          <w:shd w:val="clear" w:color="auto" w:fill="FFFFFF"/>
          <w:lang w:val="en-MY"/>
        </w:rPr>
      </w:pPr>
      <w:r w:rsidRPr="00717345">
        <w:rPr>
          <w:rFonts w:ascii="Times New Roman" w:eastAsia="Segoe UI" w:hAnsi="Times New Roman" w:cs="Times New Roman"/>
          <w:color w:val="0F1115"/>
          <w:sz w:val="24"/>
          <w:shd w:val="clear" w:color="auto" w:fill="FFFFFF"/>
          <w:lang w:val="en-MY"/>
        </w:rPr>
        <w:t xml:space="preserve">[4] </w:t>
      </w:r>
      <w:r>
        <w:rPr>
          <w:rFonts w:ascii="Times New Roman" w:eastAsia="Segoe UI" w:hAnsi="Times New Roman" w:cs="Times New Roman"/>
          <w:color w:val="0F1115"/>
          <w:sz w:val="24"/>
          <w:shd w:val="clear" w:color="auto" w:fill="FFFFFF"/>
          <w:lang w:val="en-MY"/>
        </w:rPr>
        <w:tab/>
      </w:r>
      <w:r w:rsidRPr="00717345">
        <w:rPr>
          <w:rFonts w:ascii="Times New Roman" w:eastAsia="Segoe UI" w:hAnsi="Times New Roman" w:cs="Times New Roman"/>
          <w:color w:val="0F1115"/>
          <w:sz w:val="24"/>
          <w:shd w:val="clear" w:color="auto" w:fill="FFFFFF"/>
          <w:lang w:val="en-MY"/>
        </w:rPr>
        <w:t>National Health Commission, 2019, Diagnostic and Treatment Guidelines for Esophageal Cancer (2018 Edition). Chinese Journal of Digestive Diseases and Imaging (Electronic Edition), 9(4): 158–192.</w:t>
      </w:r>
    </w:p>
    <w:p w14:paraId="5795095B" w14:textId="77777777" w:rsidR="00717345" w:rsidRDefault="00717345" w:rsidP="00717345">
      <w:pPr>
        <w:snapToGrid w:val="0"/>
        <w:ind w:left="709" w:hanging="709"/>
        <w:rPr>
          <w:rFonts w:ascii="Times New Roman" w:eastAsia="Segoe UI" w:hAnsi="Times New Roman" w:cs="Times New Roman"/>
          <w:color w:val="0F1115"/>
          <w:sz w:val="24"/>
          <w:shd w:val="clear" w:color="auto" w:fill="FFFFFF"/>
          <w:lang w:val="en-MY"/>
        </w:rPr>
      </w:pPr>
      <w:r w:rsidRPr="00717345">
        <w:rPr>
          <w:rFonts w:ascii="Times New Roman" w:eastAsia="Segoe UI" w:hAnsi="Times New Roman" w:cs="Times New Roman"/>
          <w:color w:val="0F1115"/>
          <w:sz w:val="24"/>
          <w:shd w:val="clear" w:color="auto" w:fill="FFFFFF"/>
          <w:lang w:val="en-MY"/>
        </w:rPr>
        <w:t xml:space="preserve">[5] </w:t>
      </w:r>
      <w:r>
        <w:rPr>
          <w:rFonts w:ascii="Times New Roman" w:eastAsia="Segoe UI" w:hAnsi="Times New Roman" w:cs="Times New Roman"/>
          <w:color w:val="0F1115"/>
          <w:sz w:val="24"/>
          <w:shd w:val="clear" w:color="auto" w:fill="FFFFFF"/>
          <w:lang w:val="en-MY"/>
        </w:rPr>
        <w:tab/>
      </w:r>
      <w:r w:rsidRPr="00717345">
        <w:rPr>
          <w:rFonts w:ascii="Times New Roman" w:eastAsia="Segoe UI" w:hAnsi="Times New Roman" w:cs="Times New Roman"/>
          <w:color w:val="0F1115"/>
          <w:sz w:val="24"/>
          <w:shd w:val="clear" w:color="auto" w:fill="FFFFFF"/>
          <w:lang w:val="en-MY"/>
        </w:rPr>
        <w:t>Ge Y, 2022, Observation of the Effect of Comprehensive Nursing Intervention on Patients with Esophageal Cancer Undergoing Early Enteral Nutrition After Surgery. Modern Health Care (Lower Half-Monthly Edition), 22(8): 1387–1389.</w:t>
      </w:r>
    </w:p>
    <w:p w14:paraId="734F9BFF" w14:textId="77777777" w:rsidR="00717345" w:rsidRDefault="00717345" w:rsidP="00717345">
      <w:pPr>
        <w:snapToGrid w:val="0"/>
        <w:ind w:left="709" w:hanging="709"/>
        <w:rPr>
          <w:rFonts w:ascii="Times New Roman" w:eastAsia="Segoe UI" w:hAnsi="Times New Roman" w:cs="Times New Roman"/>
          <w:color w:val="0F1115"/>
          <w:sz w:val="24"/>
          <w:shd w:val="clear" w:color="auto" w:fill="FFFFFF"/>
          <w:lang w:val="en-MY"/>
        </w:rPr>
      </w:pPr>
      <w:r w:rsidRPr="00717345">
        <w:rPr>
          <w:rFonts w:ascii="Times New Roman" w:eastAsia="Segoe UI" w:hAnsi="Times New Roman" w:cs="Times New Roman"/>
          <w:color w:val="0F1115"/>
          <w:sz w:val="24"/>
          <w:shd w:val="clear" w:color="auto" w:fill="FFFFFF"/>
          <w:lang w:val="en-MY"/>
        </w:rPr>
        <w:t xml:space="preserve">[6] </w:t>
      </w:r>
      <w:r>
        <w:rPr>
          <w:rFonts w:ascii="Times New Roman" w:eastAsia="Segoe UI" w:hAnsi="Times New Roman" w:cs="Times New Roman"/>
          <w:color w:val="0F1115"/>
          <w:sz w:val="24"/>
          <w:shd w:val="clear" w:color="auto" w:fill="FFFFFF"/>
          <w:lang w:val="en-MY"/>
        </w:rPr>
        <w:tab/>
      </w:r>
      <w:r w:rsidRPr="00717345">
        <w:rPr>
          <w:rFonts w:ascii="Times New Roman" w:eastAsia="Segoe UI" w:hAnsi="Times New Roman" w:cs="Times New Roman"/>
          <w:color w:val="0F1115"/>
          <w:sz w:val="24"/>
          <w:shd w:val="clear" w:color="auto" w:fill="FFFFFF"/>
          <w:lang w:val="en-MY"/>
        </w:rPr>
        <w:t>Zhao Y, 2023, Construction and Application Research of an Early Enteral Nutrition Plan for Patients Undergoing Laparoscopic Radical Resection of Esophageal Cancer Based on the ERAS Concept</w:t>
      </w:r>
      <w:r>
        <w:rPr>
          <w:rFonts w:ascii="Times New Roman" w:eastAsia="Segoe UI" w:hAnsi="Times New Roman" w:cs="Times New Roman"/>
          <w:color w:val="0F1115"/>
          <w:sz w:val="24"/>
          <w:shd w:val="clear" w:color="auto" w:fill="FFFFFF"/>
          <w:lang w:val="en-MY"/>
        </w:rPr>
        <w:t>,</w:t>
      </w:r>
      <w:r w:rsidRPr="00717345">
        <w:rPr>
          <w:rFonts w:ascii="Times New Roman" w:eastAsia="Segoe UI" w:hAnsi="Times New Roman" w:cs="Times New Roman"/>
          <w:color w:val="0F1115"/>
          <w:sz w:val="24"/>
          <w:shd w:val="clear" w:color="auto" w:fill="FFFFFF"/>
          <w:lang w:val="en-MY"/>
        </w:rPr>
        <w:t xml:space="preserve"> thesis, Henan University.</w:t>
      </w:r>
    </w:p>
    <w:p w14:paraId="42A37DD6" w14:textId="77777777" w:rsidR="00717345" w:rsidRDefault="00717345" w:rsidP="00717345">
      <w:pPr>
        <w:snapToGrid w:val="0"/>
        <w:ind w:left="709" w:hanging="709"/>
        <w:rPr>
          <w:rFonts w:ascii="Times New Roman" w:eastAsia="Segoe UI" w:hAnsi="Times New Roman" w:cs="Times New Roman"/>
          <w:color w:val="0F1115"/>
          <w:sz w:val="24"/>
          <w:shd w:val="clear" w:color="auto" w:fill="FFFFFF"/>
          <w:lang w:val="en-MY"/>
        </w:rPr>
      </w:pPr>
      <w:r w:rsidRPr="00717345">
        <w:rPr>
          <w:rFonts w:ascii="Times New Roman" w:eastAsia="Segoe UI" w:hAnsi="Times New Roman" w:cs="Times New Roman"/>
          <w:color w:val="0F1115"/>
          <w:sz w:val="24"/>
          <w:shd w:val="clear" w:color="auto" w:fill="FFFFFF"/>
          <w:lang w:val="en-MY"/>
        </w:rPr>
        <w:t xml:space="preserve">[7] </w:t>
      </w:r>
      <w:r>
        <w:rPr>
          <w:rFonts w:ascii="Times New Roman" w:eastAsia="Segoe UI" w:hAnsi="Times New Roman" w:cs="Times New Roman"/>
          <w:color w:val="0F1115"/>
          <w:sz w:val="24"/>
          <w:shd w:val="clear" w:color="auto" w:fill="FFFFFF"/>
          <w:lang w:val="en-MY"/>
        </w:rPr>
        <w:tab/>
      </w:r>
      <w:r w:rsidRPr="00717345">
        <w:rPr>
          <w:rFonts w:ascii="Times New Roman" w:eastAsia="Segoe UI" w:hAnsi="Times New Roman" w:cs="Times New Roman"/>
          <w:color w:val="0F1115"/>
          <w:sz w:val="24"/>
          <w:shd w:val="clear" w:color="auto" w:fill="FFFFFF"/>
          <w:lang w:val="en-MY"/>
        </w:rPr>
        <w:t>Wang J, Zhang Z, Liu F, 2024, Meta-Analysis of the Impact of Enteral Nutrition Support on the Quality of Life of Patients After Esophageal Cancer Surgery. Journal of Preventive Medicine Information, 40(3): 330–336.</w:t>
      </w:r>
    </w:p>
    <w:p w14:paraId="513DC2C1" w14:textId="09E7B1E5" w:rsidR="00717345" w:rsidRPr="00717345" w:rsidRDefault="00717345" w:rsidP="001A3712">
      <w:pPr>
        <w:snapToGrid w:val="0"/>
        <w:ind w:left="709" w:hanging="709"/>
        <w:rPr>
          <w:rFonts w:ascii="Times New Roman" w:eastAsia="Segoe UI" w:hAnsi="Times New Roman" w:cs="Times New Roman"/>
          <w:color w:val="0F1115"/>
          <w:sz w:val="24"/>
          <w:shd w:val="clear" w:color="auto" w:fill="FFFFFF"/>
          <w:lang w:val="en-MY"/>
        </w:rPr>
      </w:pPr>
      <w:r w:rsidRPr="00717345">
        <w:rPr>
          <w:rFonts w:ascii="Times New Roman" w:eastAsia="Segoe UI" w:hAnsi="Times New Roman" w:cs="Times New Roman"/>
          <w:color w:val="0F1115"/>
          <w:sz w:val="24"/>
          <w:shd w:val="clear" w:color="auto" w:fill="FFFFFF"/>
          <w:lang w:val="en-MY"/>
        </w:rPr>
        <w:t xml:space="preserve">[8] </w:t>
      </w:r>
      <w:r>
        <w:rPr>
          <w:rFonts w:ascii="Times New Roman" w:eastAsia="Segoe UI" w:hAnsi="Times New Roman" w:cs="Times New Roman"/>
          <w:color w:val="0F1115"/>
          <w:sz w:val="24"/>
          <w:shd w:val="clear" w:color="auto" w:fill="FFFFFF"/>
          <w:lang w:val="en-MY"/>
        </w:rPr>
        <w:tab/>
      </w:r>
      <w:r w:rsidRPr="00717345">
        <w:rPr>
          <w:rFonts w:ascii="Times New Roman" w:eastAsia="Segoe UI" w:hAnsi="Times New Roman" w:cs="Times New Roman"/>
          <w:color w:val="0F1115"/>
          <w:sz w:val="24"/>
          <w:shd w:val="clear" w:color="auto" w:fill="FFFFFF"/>
          <w:lang w:val="en-MY"/>
        </w:rPr>
        <w:t>Lin Q, Dai T, Wang S, et al., 2023, The Application of Supportive Nursing Intervention in Patients Receiving Home Enteral Nutrition After Esophageal Cancer Surgery. Qilu Nursing Journal, 29(24): 79–82.</w:t>
      </w:r>
    </w:p>
    <w:p w14:paraId="087DAA3D" w14:textId="77777777" w:rsidR="00717345" w:rsidRDefault="00717345" w:rsidP="00717345">
      <w:pPr>
        <w:snapToGrid w:val="0"/>
        <w:rPr>
          <w:rFonts w:ascii="Times New Roman" w:eastAsia="Segoe UI" w:hAnsi="Times New Roman" w:cs="Times New Roman"/>
          <w:color w:val="0F1115"/>
          <w:sz w:val="24"/>
          <w:shd w:val="clear" w:color="auto" w:fill="FFFFFF"/>
        </w:rPr>
      </w:pPr>
    </w:p>
    <w:p w14:paraId="6926A4D7" w14:textId="77777777" w:rsidR="00717345" w:rsidRPr="001A3712" w:rsidRDefault="00717345" w:rsidP="00717345">
      <w:pPr>
        <w:snapToGrid w:val="0"/>
        <w:rPr>
          <w:rFonts w:ascii="Times New Roman" w:eastAsia="Segoe UI" w:hAnsi="Times New Roman" w:cs="Times New Roman"/>
          <w:b/>
          <w:bCs/>
          <w:color w:val="0F1115"/>
          <w:sz w:val="20"/>
          <w:szCs w:val="20"/>
          <w:shd w:val="clear" w:color="auto" w:fill="FFFFFF"/>
        </w:rPr>
      </w:pPr>
      <w:r w:rsidRPr="001A3712">
        <w:rPr>
          <w:rFonts w:ascii="Times New Roman" w:eastAsia="Segoe UI" w:hAnsi="Times New Roman" w:cs="Times New Roman"/>
          <w:b/>
          <w:bCs/>
          <w:color w:val="0F1115"/>
          <w:sz w:val="20"/>
          <w:szCs w:val="20"/>
          <w:shd w:val="clear" w:color="auto" w:fill="FFFFFF"/>
        </w:rPr>
        <w:t>Publisher’s note</w:t>
      </w:r>
    </w:p>
    <w:p w14:paraId="0A8EA9C5" w14:textId="77777777" w:rsidR="00717345" w:rsidRPr="001A3712" w:rsidRDefault="00717345" w:rsidP="00717345">
      <w:pPr>
        <w:snapToGrid w:val="0"/>
        <w:rPr>
          <w:rFonts w:ascii="Times New Roman" w:eastAsia="Segoe UI" w:hAnsi="Times New Roman" w:cs="Times New Roman"/>
          <w:color w:val="0F1115"/>
          <w:sz w:val="20"/>
          <w:szCs w:val="20"/>
          <w:shd w:val="clear" w:color="auto" w:fill="FFFFFF"/>
        </w:rPr>
      </w:pPr>
      <w:r w:rsidRPr="001A3712">
        <w:rPr>
          <w:rFonts w:ascii="Times New Roman" w:eastAsia="Segoe UI" w:hAnsi="Times New Roman" w:cs="Times New Roman"/>
          <w:color w:val="0F1115"/>
          <w:sz w:val="20"/>
          <w:szCs w:val="20"/>
          <w:shd w:val="clear" w:color="auto" w:fill="FFFFFF"/>
        </w:rPr>
        <w:t>Bio-Byword Scientific Publishing remains neutral with regard to jurisdictional claims in published maps and institutional affiliations</w:t>
      </w:r>
    </w:p>
    <w:p w14:paraId="44C084AC" w14:textId="77777777" w:rsidR="00717345" w:rsidRDefault="00717345" w:rsidP="001A3712">
      <w:pPr>
        <w:snapToGrid w:val="0"/>
        <w:rPr>
          <w:rFonts w:ascii="Times New Roman" w:eastAsia="Segoe UI" w:hAnsi="Times New Roman" w:cs="Times New Roman"/>
          <w:color w:val="0F1115"/>
          <w:sz w:val="24"/>
          <w:shd w:val="clear" w:color="auto" w:fill="FFFFFF"/>
        </w:rPr>
      </w:pPr>
    </w:p>
    <w:sectPr w:rsidR="00717345" w:rsidSect="001A3712">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TrueTypeFonts/>
  <w:saveSubset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CD2599B"/>
    <w:rsid w:val="001A3712"/>
    <w:rsid w:val="00531C19"/>
    <w:rsid w:val="00717345"/>
    <w:rsid w:val="00721F93"/>
    <w:rsid w:val="00B848ED"/>
    <w:rsid w:val="00C73156"/>
    <w:rsid w:val="00C80E90"/>
    <w:rsid w:val="0E9C725F"/>
    <w:rsid w:val="4A8C2E94"/>
    <w:rsid w:val="51044D44"/>
    <w:rsid w:val="575326D1"/>
    <w:rsid w:val="5CD2599B"/>
    <w:rsid w:val="66AD0431"/>
    <w:rsid w:val="6ED45D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31F52B"/>
  <w15:docId w15:val="{B2C90727-EDB7-4858-A5EC-E71EB4CCF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NormalWeb">
    <w:name w:val="Normal (Web)"/>
    <w:basedOn w:val="Normal"/>
    <w:qFormat/>
    <w:rPr>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B848ED"/>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3.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5" Type="http://schemas.openxmlformats.org/officeDocument/2006/relationships/oleObject" Target="embeddings/oleObject1.bin"/><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3140</Words>
  <Characters>17899</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NB1</cp:lastModifiedBy>
  <cp:revision>3</cp:revision>
  <dcterms:created xsi:type="dcterms:W3CDTF">2026-07-30T03:01:00Z</dcterms:created>
  <dcterms:modified xsi:type="dcterms:W3CDTF">2026-07-30T03:01:00Z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EAB3FA35418742DC9E42FFD91910BA89_11</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a587b77f-492a-48f8-85d5-6b5d22699076</vt:lpwstr>
  </property>
</Properties>
</file>