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7B41F" w14:textId="77777777" w:rsidR="00C51E3A" w:rsidRDefault="004C7185" w:rsidP="00847528">
      <w:pPr>
        <w:snapToGrid w:val="0"/>
        <w:jc w:val="left"/>
        <w:rPr>
          <w:rFonts w:ascii="Times New Roman" w:hAnsi="Times New Roman" w:cs="Times New Roman"/>
          <w:b/>
          <w:bCs/>
          <w:sz w:val="44"/>
          <w:szCs w:val="44"/>
        </w:rPr>
      </w:pPr>
      <w:r>
        <w:rPr>
          <w:rFonts w:ascii="Times New Roman" w:hAnsi="Times New Roman" w:cs="Times New Roman"/>
          <w:b/>
          <w:bCs/>
          <w:sz w:val="44"/>
          <w:szCs w:val="44"/>
        </w:rPr>
        <w:t xml:space="preserve">Analysis of the Application Value of Integrated Nursing for Specific Diseases in Nutritional Status Management and Quality of Life Improvement in Patients with Liver Cirrhosis </w:t>
      </w:r>
    </w:p>
    <w:p w14:paraId="2645E9D9" w14:textId="77777777" w:rsidR="00C51E3A" w:rsidRDefault="004C7185" w:rsidP="00847528">
      <w:pPr>
        <w:snapToGrid w:val="0"/>
        <w:rPr>
          <w:rFonts w:ascii="Times New Roman" w:hAnsi="Times New Roman" w:cs="Times New Roman"/>
          <w:b/>
          <w:bCs/>
          <w:sz w:val="24"/>
        </w:rPr>
      </w:pPr>
      <w:r>
        <w:rPr>
          <w:rFonts w:ascii="Times New Roman" w:hAnsi="Times New Roman" w:cs="Times New Roman"/>
          <w:b/>
          <w:bCs/>
          <w:sz w:val="24"/>
        </w:rPr>
        <w:t>Fang</w:t>
      </w:r>
      <w:r>
        <w:rPr>
          <w:rFonts w:ascii="Times New Roman" w:hAnsi="Times New Roman" w:cs="Times New Roman" w:hint="eastAsia"/>
          <w:b/>
          <w:bCs/>
          <w:sz w:val="24"/>
        </w:rPr>
        <w:t xml:space="preserve"> </w:t>
      </w:r>
      <w:r>
        <w:rPr>
          <w:rFonts w:ascii="Times New Roman" w:hAnsi="Times New Roman" w:cs="Times New Roman"/>
          <w:b/>
          <w:bCs/>
          <w:sz w:val="24"/>
        </w:rPr>
        <w:t>Cheng, Yanting</w:t>
      </w:r>
      <w:r>
        <w:rPr>
          <w:rFonts w:ascii="Times New Roman" w:hAnsi="Times New Roman" w:cs="Times New Roman" w:hint="eastAsia"/>
          <w:b/>
          <w:bCs/>
          <w:sz w:val="24"/>
        </w:rPr>
        <w:t xml:space="preserve"> </w:t>
      </w:r>
      <w:r>
        <w:rPr>
          <w:rFonts w:ascii="Times New Roman" w:hAnsi="Times New Roman" w:cs="Times New Roman"/>
          <w:b/>
          <w:bCs/>
          <w:sz w:val="24"/>
        </w:rPr>
        <w:t>Wu, Zhilan</w:t>
      </w:r>
      <w:r>
        <w:rPr>
          <w:rFonts w:ascii="Times New Roman" w:hAnsi="Times New Roman" w:cs="Times New Roman" w:hint="eastAsia"/>
          <w:b/>
          <w:bCs/>
          <w:sz w:val="24"/>
        </w:rPr>
        <w:t xml:space="preserve"> </w:t>
      </w:r>
      <w:r>
        <w:rPr>
          <w:rFonts w:ascii="Times New Roman" w:hAnsi="Times New Roman" w:cs="Times New Roman"/>
          <w:b/>
          <w:bCs/>
          <w:sz w:val="24"/>
        </w:rPr>
        <w:t>Yang, Chunxia</w:t>
      </w:r>
      <w:r>
        <w:rPr>
          <w:rFonts w:ascii="Times New Roman" w:hAnsi="Times New Roman" w:cs="Times New Roman" w:hint="eastAsia"/>
          <w:b/>
          <w:bCs/>
          <w:sz w:val="24"/>
        </w:rPr>
        <w:t xml:space="preserve"> </w:t>
      </w:r>
      <w:r>
        <w:rPr>
          <w:rFonts w:ascii="Times New Roman" w:hAnsi="Times New Roman" w:cs="Times New Roman"/>
          <w:b/>
          <w:bCs/>
          <w:sz w:val="24"/>
        </w:rPr>
        <w:t>Yue, Yingchun</w:t>
      </w:r>
      <w:r>
        <w:rPr>
          <w:rFonts w:ascii="Times New Roman" w:hAnsi="Times New Roman" w:cs="Times New Roman" w:hint="eastAsia"/>
          <w:b/>
          <w:bCs/>
          <w:sz w:val="24"/>
        </w:rPr>
        <w:t xml:space="preserve"> </w:t>
      </w:r>
      <w:r>
        <w:rPr>
          <w:rFonts w:ascii="Times New Roman" w:hAnsi="Times New Roman" w:cs="Times New Roman"/>
          <w:b/>
          <w:bCs/>
          <w:sz w:val="24"/>
        </w:rPr>
        <w:t xml:space="preserve">Yan  </w:t>
      </w:r>
    </w:p>
    <w:p w14:paraId="6328E27A" w14:textId="77777777" w:rsidR="00C51E3A" w:rsidRDefault="004C7185" w:rsidP="00847528">
      <w:pPr>
        <w:snapToGrid w:val="0"/>
        <w:rPr>
          <w:rFonts w:ascii="Times New Roman" w:hAnsi="Times New Roman" w:cs="Times New Roman"/>
          <w:sz w:val="24"/>
        </w:rPr>
      </w:pPr>
      <w:r>
        <w:rPr>
          <w:rFonts w:ascii="Times New Roman" w:hAnsi="Times New Roman" w:cs="Times New Roman"/>
          <w:sz w:val="24"/>
        </w:rPr>
        <w:t>Peking University Shenzhen Hospital, Shenzhen</w:t>
      </w:r>
      <w:r>
        <w:rPr>
          <w:rFonts w:ascii="Times New Roman" w:hAnsi="Times New Roman" w:cs="Times New Roman" w:hint="eastAsia"/>
          <w:sz w:val="24"/>
        </w:rPr>
        <w:t xml:space="preserve"> 518000</w:t>
      </w:r>
      <w:r>
        <w:rPr>
          <w:rFonts w:ascii="Times New Roman" w:hAnsi="Times New Roman" w:cs="Times New Roman"/>
          <w:sz w:val="24"/>
        </w:rPr>
        <w:t>, Guangdong</w:t>
      </w:r>
      <w:r>
        <w:rPr>
          <w:rFonts w:ascii="Times New Roman" w:hAnsi="Times New Roman" w:cs="Times New Roman" w:hint="eastAsia"/>
          <w:sz w:val="24"/>
        </w:rPr>
        <w:t>, China</w:t>
      </w:r>
      <w:r>
        <w:rPr>
          <w:rFonts w:ascii="Times New Roman" w:hAnsi="Times New Roman" w:cs="Times New Roman"/>
          <w:sz w:val="24"/>
        </w:rPr>
        <w:t xml:space="preserve"> </w:t>
      </w:r>
    </w:p>
    <w:p w14:paraId="32854873" w14:textId="77777777" w:rsidR="00C51E3A" w:rsidRPr="00D806BD" w:rsidRDefault="00C51E3A" w:rsidP="00D806BD">
      <w:pPr>
        <w:snapToGrid w:val="0"/>
        <w:rPr>
          <w:rFonts w:ascii="Times New Roman" w:hAnsi="Times New Roman" w:cs="Times New Roman"/>
          <w:sz w:val="24"/>
        </w:rPr>
      </w:pPr>
    </w:p>
    <w:p w14:paraId="66875E9C" w14:textId="77777777" w:rsidR="00D806BD" w:rsidRPr="00847528" w:rsidRDefault="00D806BD" w:rsidP="00847528">
      <w:pPr>
        <w:snapToGrid w:val="0"/>
        <w:rPr>
          <w:rFonts w:ascii="Times New Roman" w:hAnsi="Times New Roman" w:cs="Times New Roman"/>
          <w:sz w:val="20"/>
          <w:szCs w:val="20"/>
        </w:rPr>
      </w:pPr>
      <w:r w:rsidRPr="00847528">
        <w:rPr>
          <w:rFonts w:ascii="Times New Roman" w:hAnsi="Times New Roman" w:cs="Times New Roman"/>
          <w:b/>
          <w:bCs/>
          <w:sz w:val="20"/>
          <w:szCs w:val="20"/>
        </w:rPr>
        <w:t>Copyright:</w:t>
      </w:r>
      <w:r w:rsidRPr="00847528">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03122976" w14:textId="77777777" w:rsidR="00D806BD" w:rsidRDefault="00D806BD" w:rsidP="00847528">
      <w:pPr>
        <w:snapToGrid w:val="0"/>
        <w:rPr>
          <w:rFonts w:ascii="Times New Roman" w:hAnsi="Times New Roman" w:cs="Times New Roman"/>
          <w:sz w:val="24"/>
        </w:rPr>
      </w:pPr>
    </w:p>
    <w:p w14:paraId="3E392D5B" w14:textId="7E9B2972" w:rsidR="00C51E3A" w:rsidRDefault="004C7185" w:rsidP="00847528">
      <w:pPr>
        <w:snapToGrid w:val="0"/>
        <w:rPr>
          <w:rFonts w:ascii="Times New Roman" w:hAnsi="Times New Roman" w:cs="Times New Roman"/>
          <w:sz w:val="24"/>
        </w:rPr>
      </w:pPr>
      <w:r>
        <w:rPr>
          <w:rFonts w:ascii="Times New Roman" w:hAnsi="Times New Roman" w:cs="Times New Roman"/>
          <w:b/>
          <w:bCs/>
          <w:sz w:val="24"/>
        </w:rPr>
        <w:t xml:space="preserve">Abstract: </w:t>
      </w:r>
      <w:r>
        <w:rPr>
          <w:rFonts w:ascii="Times New Roman" w:hAnsi="Times New Roman" w:cs="Times New Roman"/>
          <w:i/>
          <w:iCs/>
          <w:sz w:val="24"/>
        </w:rPr>
        <w:t>Objective</w:t>
      </w:r>
      <w:r>
        <w:rPr>
          <w:rFonts w:ascii="Times New Roman" w:hAnsi="Times New Roman" w:cs="Times New Roman"/>
          <w:sz w:val="24"/>
        </w:rPr>
        <w:t>:</w:t>
      </w:r>
      <w:r>
        <w:rPr>
          <w:rFonts w:ascii="Times New Roman" w:hAnsi="Times New Roman" w:cs="Times New Roman"/>
          <w:sz w:val="24"/>
        </w:rPr>
        <w:t xml:space="preserve"> To explore the application effect of integrated nursing for specific diseases in nutritional status management and quality of life improvement in patients with liver cirrhosis, providing a reference for optimizing clinical nursing plans for liver cirrhosis. </w:t>
      </w:r>
      <w:r>
        <w:rPr>
          <w:rFonts w:ascii="Times New Roman" w:hAnsi="Times New Roman" w:cs="Times New Roman"/>
          <w:i/>
          <w:iCs/>
          <w:sz w:val="24"/>
        </w:rPr>
        <w:t>Methods</w:t>
      </w:r>
      <w:r>
        <w:rPr>
          <w:rFonts w:ascii="Times New Roman" w:hAnsi="Times New Roman" w:cs="Times New Roman" w:hint="eastAsia"/>
          <w:sz w:val="24"/>
        </w:rPr>
        <w:t>:</w:t>
      </w:r>
      <w:r>
        <w:rPr>
          <w:rFonts w:ascii="Times New Roman" w:hAnsi="Times New Roman" w:cs="Times New Roman"/>
          <w:sz w:val="24"/>
        </w:rPr>
        <w:t xml:space="preserve"> A total of 70 patients with liver cirrhosis admitted to the hospital from January 2023 to December 2024 were selected as the study subjects. They were randomly divided into a study group (35 cases, receiving integrated nursing for spe</w:t>
      </w:r>
      <w:r>
        <w:rPr>
          <w:rFonts w:ascii="Times New Roman" w:hAnsi="Times New Roman" w:cs="Times New Roman"/>
          <w:sz w:val="24"/>
        </w:rPr>
        <w:t xml:space="preserve">cific diseases) and a control group (35 cases, receiving conventional nursing) using the random number table method. Nutritional status indicators [body mass index (BMI), hemoglobin (Hb), albumin (ALB), total protein (TP)], quality of life scores (physical pain, physiological function, emotional role, mental state), and liver function indicators [total bilirubin (TBil), alanine aminotransferase (ALT), aspartate aminotransferase (AST)] were compared between the two groups before and after the intervention. </w:t>
      </w:r>
      <w:r>
        <w:rPr>
          <w:rFonts w:ascii="Times New Roman" w:hAnsi="Times New Roman" w:cs="Times New Roman"/>
          <w:i/>
          <w:iCs/>
          <w:sz w:val="24"/>
        </w:rPr>
        <w:t>R</w:t>
      </w:r>
      <w:r>
        <w:rPr>
          <w:rFonts w:ascii="Times New Roman" w:hAnsi="Times New Roman" w:cs="Times New Roman"/>
          <w:i/>
          <w:iCs/>
          <w:sz w:val="24"/>
        </w:rPr>
        <w:t>esults</w:t>
      </w:r>
      <w:r>
        <w:rPr>
          <w:rFonts w:ascii="Times New Roman" w:hAnsi="Times New Roman" w:cs="Times New Roman" w:hint="eastAsia"/>
          <w:sz w:val="24"/>
        </w:rPr>
        <w:t>:</w:t>
      </w:r>
      <w:r>
        <w:rPr>
          <w:rFonts w:ascii="Times New Roman" w:hAnsi="Times New Roman" w:cs="Times New Roman"/>
          <w:sz w:val="24"/>
        </w:rPr>
        <w:t xml:space="preserve"> Before the intervention, there were no statistically significant differences in BMI, Hb, ALB, TP, scores in each dimension of the SF-36 scale, and levels of TBil, ALT, and AST between the two groups (</w:t>
      </w:r>
      <w:r w:rsidR="00D806BD">
        <w:rPr>
          <w:rFonts w:ascii="Times New Roman" w:hAnsi="Times New Roman" w:cs="Times New Roman"/>
          <w:i/>
          <w:iCs/>
          <w:sz w:val="24"/>
        </w:rPr>
        <w:t>p</w:t>
      </w:r>
      <w:r>
        <w:rPr>
          <w:rFonts w:ascii="Times New Roman" w:hAnsi="Times New Roman" w:cs="Times New Roman"/>
          <w:sz w:val="24"/>
        </w:rPr>
        <w:t xml:space="preserve"> &gt; 0.05). After the intervention, the study group had higher BMI, Hb, ALB, and TP than the control group; higher scores in physical pain, physiological function, emotional role, and mental state in the SF-36 scale than the control group; and lower TBil, ALT, and AST levels than the control group, with all differences being statistically significant (</w:t>
      </w:r>
      <w:r w:rsidR="00D806BD">
        <w:rPr>
          <w:rFonts w:ascii="Times New Roman" w:hAnsi="Times New Roman" w:cs="Times New Roman"/>
          <w:i/>
          <w:iCs/>
          <w:sz w:val="24"/>
        </w:rPr>
        <w:t>p</w:t>
      </w:r>
      <w:r w:rsidR="00D806BD">
        <w:rPr>
          <w:rFonts w:ascii="Times New Roman" w:hAnsi="Times New Roman" w:cs="Times New Roman"/>
          <w:sz w:val="24"/>
        </w:rPr>
        <w:t xml:space="preserve"> </w:t>
      </w:r>
      <w:r>
        <w:rPr>
          <w:rFonts w:ascii="Times New Roman" w:hAnsi="Times New Roman" w:cs="Times New Roman"/>
          <w:sz w:val="24"/>
        </w:rPr>
        <w:t xml:space="preserve">&lt; 0.05). </w:t>
      </w:r>
      <w:r>
        <w:rPr>
          <w:rFonts w:ascii="Times New Roman" w:hAnsi="Times New Roman" w:cs="Times New Roman"/>
          <w:i/>
          <w:iCs/>
          <w:sz w:val="24"/>
        </w:rPr>
        <w:t>Conclusion</w:t>
      </w:r>
      <w:r>
        <w:rPr>
          <w:rFonts w:ascii="Times New Roman" w:hAnsi="Times New Roman" w:cs="Times New Roman" w:hint="eastAsia"/>
          <w:sz w:val="24"/>
        </w:rPr>
        <w:t>:</w:t>
      </w:r>
      <w:r>
        <w:rPr>
          <w:rFonts w:ascii="Times New Roman" w:hAnsi="Times New Roman" w:cs="Times New Roman"/>
          <w:sz w:val="24"/>
        </w:rPr>
        <w:t xml:space="preserve"> Integrated nursing for specific diseases can effectively improve the nutritional status and quality of life of patients with liver cirrhosis and assist in improving liver function, demonstrating high clinical application value.</w:t>
      </w:r>
    </w:p>
    <w:p w14:paraId="328DE423" w14:textId="77777777" w:rsidR="00C51E3A" w:rsidRDefault="004C7185" w:rsidP="00847528">
      <w:pPr>
        <w:snapToGrid w:val="0"/>
        <w:rPr>
          <w:rFonts w:ascii="Times New Roman" w:hAnsi="Times New Roman" w:cs="Times New Roman"/>
          <w:sz w:val="24"/>
        </w:rPr>
      </w:pPr>
      <w:r>
        <w:rPr>
          <w:rFonts w:ascii="Times New Roman" w:hAnsi="Times New Roman" w:cs="Times New Roman"/>
          <w:b/>
          <w:bCs/>
          <w:sz w:val="24"/>
        </w:rPr>
        <w:t xml:space="preserve">Keywords: </w:t>
      </w:r>
      <w:r>
        <w:rPr>
          <w:rFonts w:ascii="Times New Roman" w:hAnsi="Times New Roman" w:cs="Times New Roman" w:hint="eastAsia"/>
          <w:sz w:val="24"/>
        </w:rPr>
        <w:t>L</w:t>
      </w:r>
      <w:r>
        <w:rPr>
          <w:rFonts w:ascii="Times New Roman" w:hAnsi="Times New Roman" w:cs="Times New Roman"/>
          <w:sz w:val="24"/>
        </w:rPr>
        <w:t xml:space="preserve">iver cirrhosis; </w:t>
      </w:r>
      <w:r>
        <w:rPr>
          <w:rFonts w:ascii="Times New Roman" w:hAnsi="Times New Roman" w:cs="Times New Roman" w:hint="eastAsia"/>
          <w:sz w:val="24"/>
        </w:rPr>
        <w:t>I</w:t>
      </w:r>
      <w:r>
        <w:rPr>
          <w:rFonts w:ascii="Times New Roman" w:hAnsi="Times New Roman" w:cs="Times New Roman"/>
          <w:sz w:val="24"/>
        </w:rPr>
        <w:t xml:space="preserve">ntegrated nursing for specific diseases; </w:t>
      </w:r>
      <w:r>
        <w:rPr>
          <w:rFonts w:ascii="Times New Roman" w:hAnsi="Times New Roman" w:cs="Times New Roman" w:hint="eastAsia"/>
          <w:sz w:val="24"/>
        </w:rPr>
        <w:t>N</w:t>
      </w:r>
      <w:r>
        <w:rPr>
          <w:rFonts w:ascii="Times New Roman" w:hAnsi="Times New Roman" w:cs="Times New Roman"/>
          <w:sz w:val="24"/>
        </w:rPr>
        <w:t xml:space="preserve">utritional status; </w:t>
      </w:r>
      <w:r>
        <w:rPr>
          <w:rFonts w:ascii="Times New Roman" w:hAnsi="Times New Roman" w:cs="Times New Roman" w:hint="eastAsia"/>
          <w:sz w:val="24"/>
        </w:rPr>
        <w:t>Q</w:t>
      </w:r>
      <w:r>
        <w:rPr>
          <w:rFonts w:ascii="Times New Roman" w:hAnsi="Times New Roman" w:cs="Times New Roman"/>
          <w:sz w:val="24"/>
        </w:rPr>
        <w:t xml:space="preserve">uality of life; </w:t>
      </w:r>
      <w:r>
        <w:rPr>
          <w:rFonts w:ascii="Times New Roman" w:hAnsi="Times New Roman" w:cs="Times New Roman" w:hint="eastAsia"/>
          <w:sz w:val="24"/>
        </w:rPr>
        <w:t>L</w:t>
      </w:r>
      <w:r>
        <w:rPr>
          <w:rFonts w:ascii="Times New Roman" w:hAnsi="Times New Roman" w:cs="Times New Roman"/>
          <w:sz w:val="24"/>
        </w:rPr>
        <w:t>iver function; SF-36 scale</w:t>
      </w:r>
    </w:p>
    <w:p w14:paraId="0875D1A9" w14:textId="77777777" w:rsidR="00C51E3A" w:rsidRDefault="00C51E3A" w:rsidP="00D806BD">
      <w:pPr>
        <w:snapToGrid w:val="0"/>
        <w:rPr>
          <w:rFonts w:ascii="Times New Roman" w:hAnsi="Times New Roman" w:cs="Times New Roman"/>
          <w:sz w:val="24"/>
        </w:rPr>
      </w:pPr>
    </w:p>
    <w:p w14:paraId="06080CA6" w14:textId="77BACD19" w:rsidR="00D806BD" w:rsidRPr="00847528" w:rsidRDefault="00D806BD" w:rsidP="00D806BD">
      <w:pPr>
        <w:snapToGrid w:val="0"/>
        <w:rPr>
          <w:rFonts w:ascii="Times New Roman" w:hAnsi="Times New Roman" w:cs="Times New Roman"/>
          <w:b/>
          <w:bCs/>
          <w:sz w:val="24"/>
        </w:rPr>
      </w:pPr>
      <w:r w:rsidRPr="00847528">
        <w:rPr>
          <w:rFonts w:ascii="Times New Roman" w:hAnsi="Times New Roman" w:cs="Times New Roman"/>
          <w:b/>
          <w:bCs/>
          <w:sz w:val="24"/>
        </w:rPr>
        <w:t>Online publication:</w:t>
      </w:r>
    </w:p>
    <w:p w14:paraId="4BB60CD1" w14:textId="77777777" w:rsidR="00D806BD" w:rsidRDefault="00D806BD" w:rsidP="00847528">
      <w:pPr>
        <w:snapToGrid w:val="0"/>
        <w:rPr>
          <w:rFonts w:ascii="Times New Roman" w:hAnsi="Times New Roman" w:cs="Times New Roman"/>
          <w:sz w:val="24"/>
        </w:rPr>
      </w:pPr>
    </w:p>
    <w:p w14:paraId="2AF8E3B0" w14:textId="77777777"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1. Introduction</w:t>
      </w:r>
    </w:p>
    <w:p w14:paraId="29439F9F" w14:textId="4CD5CAD1" w:rsidR="00C51E3A" w:rsidRDefault="004C7185" w:rsidP="00847528">
      <w:pPr>
        <w:snapToGrid w:val="0"/>
        <w:rPr>
          <w:rFonts w:ascii="Times New Roman" w:hAnsi="Times New Roman" w:cs="Times New Roman"/>
          <w:sz w:val="24"/>
        </w:rPr>
      </w:pPr>
      <w:r>
        <w:rPr>
          <w:rFonts w:ascii="Times New Roman" w:hAnsi="Times New Roman" w:cs="Times New Roman"/>
          <w:sz w:val="24"/>
        </w:rPr>
        <w:t xml:space="preserve">Liver cirrhosis is an end-stage liver disease that progresses from chronic liver diseases, with a global incidence rate of approximately 1.5% to 2.0%. Patients often suffer from nutritional metabolic disorders due to damaged liver cells. About 60% to 80% of patients with liver cirrhosis have varying degrees of malnutrition, manifested as hypoproteinemia and anemia, which further exacerbate liver function damage and form a vicious cycle of </w:t>
      </w:r>
      <w:r w:rsidR="00D806BD">
        <w:rPr>
          <w:rFonts w:ascii="Times New Roman" w:hAnsi="Times New Roman" w:cs="Times New Roman"/>
          <w:sz w:val="24"/>
        </w:rPr>
        <w:t>“</w:t>
      </w:r>
      <w:r>
        <w:rPr>
          <w:rFonts w:ascii="Times New Roman" w:hAnsi="Times New Roman" w:cs="Times New Roman"/>
          <w:sz w:val="24"/>
        </w:rPr>
        <w:t>malnutrition-liver function deterioration</w:t>
      </w:r>
      <w:r w:rsidR="00D806B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vertAlign w:val="superscript"/>
        </w:rPr>
        <w:t>[1]</w:t>
      </w:r>
      <w:r>
        <w:rPr>
          <w:rFonts w:ascii="Times New Roman" w:hAnsi="Times New Roman" w:cs="Times New Roman"/>
          <w:sz w:val="24"/>
        </w:rPr>
        <w:t>. Meanwhile, factors such as recurrent disease and a high risk of complications lead to a significant decline in patients</w:t>
      </w:r>
      <w:r w:rsidR="00D806BD">
        <w:rPr>
          <w:rFonts w:ascii="Times New Roman" w:hAnsi="Times New Roman" w:cs="Times New Roman"/>
          <w:sz w:val="24"/>
        </w:rPr>
        <w:t>’</w:t>
      </w:r>
      <w:r>
        <w:rPr>
          <w:rFonts w:ascii="Times New Roman" w:hAnsi="Times New Roman" w:cs="Times New Roman"/>
          <w:sz w:val="24"/>
        </w:rPr>
        <w:t xml:space="preserve"> quality of life. Conventional nursing mainly focuses on disease monitoring and basic nursing, lacking systematic integration of nutritional management, psychological support, and continuous intervention, making it difficult to meet patients</w:t>
      </w:r>
      <w:r w:rsidR="00D806BD">
        <w:rPr>
          <w:rFonts w:ascii="Times New Roman" w:hAnsi="Times New Roman" w:cs="Times New Roman"/>
          <w:sz w:val="24"/>
        </w:rPr>
        <w:t>’</w:t>
      </w:r>
      <w:r>
        <w:rPr>
          <w:rFonts w:ascii="Times New Roman" w:hAnsi="Times New Roman" w:cs="Times New Roman"/>
          <w:sz w:val="24"/>
        </w:rPr>
        <w:t xml:space="preserve"> comprehensive needs </w:t>
      </w:r>
      <w:r>
        <w:rPr>
          <w:rFonts w:ascii="Times New Roman" w:hAnsi="Times New Roman" w:cs="Times New Roman"/>
          <w:sz w:val="24"/>
          <w:vertAlign w:val="superscript"/>
        </w:rPr>
        <w:t>[2</w:t>
      </w:r>
      <w:r w:rsidR="00D806BD">
        <w:rPr>
          <w:rFonts w:ascii="Times New Roman" w:hAnsi="Times New Roman" w:cs="Times New Roman"/>
          <w:sz w:val="24"/>
          <w:vertAlign w:val="superscript"/>
        </w:rPr>
        <w:t>,</w:t>
      </w:r>
      <w:r>
        <w:rPr>
          <w:rFonts w:ascii="Times New Roman" w:hAnsi="Times New Roman" w:cs="Times New Roman"/>
          <w:sz w:val="24"/>
          <w:vertAlign w:val="superscript"/>
        </w:rPr>
        <w:t>3]</w:t>
      </w:r>
      <w:r>
        <w:rPr>
          <w:rFonts w:ascii="Times New Roman" w:hAnsi="Times New Roman" w:cs="Times New Roman"/>
          <w:sz w:val="24"/>
        </w:rPr>
        <w:t xml:space="preserve">. Integrated nursing for specific diseases takes </w:t>
      </w:r>
      <w:r w:rsidR="00D806BD">
        <w:rPr>
          <w:rFonts w:ascii="Times New Roman" w:hAnsi="Times New Roman" w:cs="Times New Roman"/>
          <w:sz w:val="24"/>
        </w:rPr>
        <w:t>“</w:t>
      </w:r>
      <w:r>
        <w:rPr>
          <w:rFonts w:ascii="Times New Roman" w:hAnsi="Times New Roman" w:cs="Times New Roman"/>
          <w:sz w:val="24"/>
        </w:rPr>
        <w:t>specialized treatment for specific diseases and whole-course management</w:t>
      </w:r>
      <w:r w:rsidR="00D806BD">
        <w:rPr>
          <w:rFonts w:ascii="Times New Roman" w:hAnsi="Times New Roman" w:cs="Times New Roman"/>
          <w:sz w:val="24"/>
        </w:rPr>
        <w:t>”</w:t>
      </w:r>
      <w:r>
        <w:rPr>
          <w:rFonts w:ascii="Times New Roman" w:hAnsi="Times New Roman" w:cs="Times New Roman"/>
          <w:sz w:val="24"/>
        </w:rPr>
        <w:t xml:space="preserve"> as its core. By integrating multidimensional nursing measures, it specifically addresses the nutritional problems and quality of life pain points of patients with liver cirrhosis. This study compares the effects of integrated nursing for specific diseases and conventional nursing to clarify its </w:t>
      </w:r>
      <w:r>
        <w:rPr>
          <w:rFonts w:ascii="Times New Roman" w:hAnsi="Times New Roman" w:cs="Times New Roman"/>
          <w:sz w:val="24"/>
        </w:rPr>
        <w:lastRenderedPageBreak/>
        <w:t xml:space="preserve">application value in the nursing of patients with liver cirrhosis and provide a basis for optimizing clinical nursing plans. </w:t>
      </w:r>
    </w:p>
    <w:p w14:paraId="224F5195" w14:textId="77777777" w:rsidR="00C51E3A" w:rsidRDefault="00C51E3A" w:rsidP="00847528">
      <w:pPr>
        <w:snapToGrid w:val="0"/>
        <w:rPr>
          <w:rFonts w:ascii="Times New Roman" w:hAnsi="Times New Roman" w:cs="Times New Roman"/>
          <w:sz w:val="24"/>
        </w:rPr>
      </w:pPr>
    </w:p>
    <w:p w14:paraId="57F98B28" w14:textId="40D29C4D"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 xml:space="preserve"> Materials and </w:t>
      </w:r>
      <w:r w:rsidR="00D806BD">
        <w:rPr>
          <w:rFonts w:ascii="Times New Roman" w:hAnsi="Times New Roman" w:cs="Times New Roman"/>
          <w:b/>
          <w:bCs/>
          <w:sz w:val="24"/>
        </w:rPr>
        <w:t>m</w:t>
      </w:r>
      <w:r w:rsidR="00D806BD">
        <w:rPr>
          <w:rFonts w:ascii="Times New Roman" w:hAnsi="Times New Roman" w:cs="Times New Roman"/>
          <w:b/>
          <w:bCs/>
          <w:sz w:val="24"/>
        </w:rPr>
        <w:t xml:space="preserve">ethods </w:t>
      </w:r>
    </w:p>
    <w:p w14:paraId="1B5C690E" w14:textId="6AC310C9"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General </w:t>
      </w:r>
      <w:r w:rsidR="00D806BD">
        <w:rPr>
          <w:rFonts w:ascii="Times New Roman" w:hAnsi="Times New Roman" w:cs="Times New Roman"/>
          <w:b/>
          <w:bCs/>
          <w:sz w:val="24"/>
        </w:rPr>
        <w:t>i</w:t>
      </w:r>
      <w:r w:rsidR="00D806BD">
        <w:rPr>
          <w:rFonts w:ascii="Times New Roman" w:hAnsi="Times New Roman" w:cs="Times New Roman"/>
          <w:b/>
          <w:bCs/>
          <w:sz w:val="24"/>
        </w:rPr>
        <w:t xml:space="preserve">nformation </w:t>
      </w:r>
    </w:p>
    <w:p w14:paraId="43370AAA" w14:textId="216BE7C4" w:rsidR="00C51E3A" w:rsidRDefault="004C7185" w:rsidP="00847528">
      <w:pPr>
        <w:snapToGrid w:val="0"/>
        <w:rPr>
          <w:rFonts w:ascii="Times New Roman" w:hAnsi="Times New Roman" w:cs="Times New Roman"/>
          <w:sz w:val="24"/>
        </w:rPr>
      </w:pPr>
      <w:r>
        <w:rPr>
          <w:rFonts w:ascii="Times New Roman" w:hAnsi="Times New Roman" w:cs="Times New Roman"/>
          <w:sz w:val="24"/>
        </w:rPr>
        <w:t>A total of 70 patients with liver cirrhosis admitted to the Department of Infectious Diseases of our hospital from January 2023 to December 2024 were selected as the study subjects. They were randomly divided into a study group (35 cases) and a control group (35 cases) using the random number table method. In the study group, there were 20 males and 15 females, aged 42 to 68 years, with an average age of (54.68 ± 6.26) years. The causes of liver cirrhosis were hepatitis B virus infection in 13 cases, hepati</w:t>
      </w:r>
      <w:r>
        <w:rPr>
          <w:rFonts w:ascii="Times New Roman" w:hAnsi="Times New Roman" w:cs="Times New Roman"/>
          <w:sz w:val="24"/>
        </w:rPr>
        <w:t>tis C virus infection in 8 cases, alcoholic liver disease in 7 cases, and others in 7 cases. According to the Child-Pugh classification, there were 13 cases of grade A, 15 cases of grade B, and 7 cases of grade C. In the control group, there were 18 males and 17 females, aged 40 to 69 years, with an average age of (54.43 ± 6.56) years. The causes of liver cirrhosis were hepatitis B virus infection in 13 cases, hepatitis C virus infection in 8 cases, alcoholic liver disease in 7 cases, and others in 7 cases.</w:t>
      </w:r>
      <w:r>
        <w:rPr>
          <w:rFonts w:ascii="Times New Roman" w:hAnsi="Times New Roman" w:cs="Times New Roman"/>
          <w:sz w:val="24"/>
        </w:rPr>
        <w:t xml:space="preserve"> According to the Child-Pugh classification, there were 13 cases of grade A, 15 cases of grade B, and 7 cases of grade C. There were no statistically significant differences in general information</w:t>
      </w:r>
      <w:r w:rsidR="00D806BD">
        <w:rPr>
          <w:rFonts w:ascii="Times New Roman" w:hAnsi="Times New Roman" w:cs="Times New Roman"/>
          <w:sz w:val="24"/>
        </w:rPr>
        <w:t>, such as gender, age, cause, and Child-Pugh classification,</w:t>
      </w:r>
      <w:r>
        <w:rPr>
          <w:rFonts w:ascii="Times New Roman" w:hAnsi="Times New Roman" w:cs="Times New Roman"/>
          <w:sz w:val="24"/>
        </w:rPr>
        <w:t xml:space="preserve"> between the two groups (</w:t>
      </w:r>
      <w:r w:rsidR="00D806BD">
        <w:rPr>
          <w:rFonts w:ascii="Times New Roman" w:hAnsi="Times New Roman" w:cs="Times New Roman"/>
          <w:i/>
          <w:iCs/>
          <w:sz w:val="24"/>
        </w:rPr>
        <w:t>p</w:t>
      </w:r>
      <w:r w:rsidR="00D806BD">
        <w:rPr>
          <w:rFonts w:ascii="Times New Roman" w:hAnsi="Times New Roman" w:cs="Times New Roman"/>
          <w:sz w:val="24"/>
        </w:rPr>
        <w:t xml:space="preserve"> </w:t>
      </w:r>
      <w:r>
        <w:rPr>
          <w:rFonts w:ascii="Times New Roman" w:hAnsi="Times New Roman" w:cs="Times New Roman"/>
          <w:sz w:val="24"/>
        </w:rPr>
        <w:t xml:space="preserve">&gt; 0.05), indicating comparability. </w:t>
      </w:r>
    </w:p>
    <w:p w14:paraId="31A0E7A9" w14:textId="77777777" w:rsidR="00C51E3A" w:rsidRDefault="00C51E3A" w:rsidP="00847528">
      <w:pPr>
        <w:snapToGrid w:val="0"/>
        <w:rPr>
          <w:rFonts w:ascii="Times New Roman" w:hAnsi="Times New Roman" w:cs="Times New Roman"/>
          <w:sz w:val="24"/>
        </w:rPr>
      </w:pPr>
    </w:p>
    <w:p w14:paraId="04E41850" w14:textId="7D1BD74E"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Inclusion and </w:t>
      </w:r>
      <w:r w:rsidR="00D806BD">
        <w:rPr>
          <w:rFonts w:ascii="Times New Roman" w:hAnsi="Times New Roman" w:cs="Times New Roman"/>
          <w:b/>
          <w:bCs/>
          <w:sz w:val="24"/>
        </w:rPr>
        <w:t>e</w:t>
      </w:r>
      <w:r w:rsidR="00D806BD">
        <w:rPr>
          <w:rFonts w:ascii="Times New Roman" w:hAnsi="Times New Roman" w:cs="Times New Roman"/>
          <w:b/>
          <w:bCs/>
          <w:sz w:val="24"/>
        </w:rPr>
        <w:t xml:space="preserve">xclusion </w:t>
      </w:r>
      <w:r w:rsidR="00D806BD">
        <w:rPr>
          <w:rFonts w:ascii="Times New Roman" w:hAnsi="Times New Roman" w:cs="Times New Roman"/>
          <w:b/>
          <w:bCs/>
          <w:sz w:val="24"/>
        </w:rPr>
        <w:t>c</w:t>
      </w:r>
      <w:r w:rsidR="00D806BD">
        <w:rPr>
          <w:rFonts w:ascii="Times New Roman" w:hAnsi="Times New Roman" w:cs="Times New Roman"/>
          <w:b/>
          <w:bCs/>
          <w:sz w:val="24"/>
        </w:rPr>
        <w:t xml:space="preserve">riteria </w:t>
      </w:r>
    </w:p>
    <w:p w14:paraId="3F855895" w14:textId="77777777" w:rsidR="00D806BD" w:rsidRPr="00847528" w:rsidRDefault="00D806BD" w:rsidP="00D806BD">
      <w:pPr>
        <w:snapToGrid w:val="0"/>
        <w:rPr>
          <w:rFonts w:ascii="Times New Roman" w:hAnsi="Times New Roman" w:cs="Times New Roman"/>
          <w:b/>
          <w:bCs/>
          <w:sz w:val="24"/>
        </w:rPr>
      </w:pPr>
      <w:r w:rsidRPr="00847528">
        <w:rPr>
          <w:rFonts w:ascii="Times New Roman" w:hAnsi="Times New Roman" w:cs="Times New Roman"/>
          <w:b/>
          <w:bCs/>
          <w:sz w:val="24"/>
        </w:rPr>
        <w:t xml:space="preserve">2.2.1. </w:t>
      </w:r>
      <w:r w:rsidR="004C7185" w:rsidRPr="00847528">
        <w:rPr>
          <w:rFonts w:ascii="Times New Roman" w:hAnsi="Times New Roman" w:cs="Times New Roman"/>
          <w:b/>
          <w:bCs/>
          <w:sz w:val="24"/>
        </w:rPr>
        <w:t>Inclusion criteria</w:t>
      </w:r>
    </w:p>
    <w:p w14:paraId="51C575D4" w14:textId="66639399" w:rsidR="00D806BD" w:rsidRDefault="004C7185" w:rsidP="00D806BD">
      <w:pPr>
        <w:snapToGrid w:val="0"/>
        <w:rPr>
          <w:rFonts w:ascii="Times New Roman" w:hAnsi="Times New Roman" w:cs="Times New Roman"/>
          <w:sz w:val="24"/>
        </w:rPr>
      </w:pPr>
      <w:r>
        <w:rPr>
          <w:rFonts w:ascii="Times New Roman" w:hAnsi="Times New Roman" w:cs="Times New Roman"/>
          <w:sz w:val="24"/>
        </w:rPr>
        <w:t xml:space="preserve">Patients who met the diagnostic criteria for liver cirrhosis in the </w:t>
      </w:r>
      <w:r w:rsidR="00D806BD">
        <w:rPr>
          <w:rFonts w:ascii="Times New Roman" w:hAnsi="Times New Roman" w:cs="Times New Roman"/>
          <w:sz w:val="24"/>
        </w:rPr>
        <w:t>“</w:t>
      </w:r>
      <w:r>
        <w:rPr>
          <w:rFonts w:ascii="Times New Roman" w:hAnsi="Times New Roman" w:cs="Times New Roman"/>
          <w:sz w:val="24"/>
        </w:rPr>
        <w:t>Guidelines for the Diagnosis and Treatment of Liver Cirrhosis</w:t>
      </w:r>
      <w:r w:rsidR="00D806B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vertAlign w:val="superscript"/>
        </w:rPr>
        <w:t>[4]</w:t>
      </w:r>
      <w:r w:rsidR="00D806BD">
        <w:rPr>
          <w:rFonts w:ascii="Times New Roman" w:hAnsi="Times New Roman" w:cs="Times New Roman"/>
          <w:sz w:val="24"/>
        </w:rPr>
        <w:t>. C</w:t>
      </w:r>
      <w:r>
        <w:rPr>
          <w:rFonts w:ascii="Times New Roman" w:hAnsi="Times New Roman" w:cs="Times New Roman"/>
          <w:sz w:val="24"/>
        </w:rPr>
        <w:t xml:space="preserve">onfirmed by liver function tests, abdominal ultrasound, or CT; aged 18 to 70 years; conscious and able to cooperate in completing nursing interventions and indicator evaluations; voluntarily participated in this study and signed an informed consent form. </w:t>
      </w:r>
    </w:p>
    <w:p w14:paraId="68F213AF" w14:textId="77777777" w:rsidR="00D806BD" w:rsidRDefault="00D806BD" w:rsidP="00D806BD">
      <w:pPr>
        <w:snapToGrid w:val="0"/>
        <w:rPr>
          <w:rFonts w:ascii="Times New Roman" w:hAnsi="Times New Roman" w:cs="Times New Roman"/>
          <w:sz w:val="24"/>
        </w:rPr>
      </w:pPr>
    </w:p>
    <w:p w14:paraId="371A0083" w14:textId="77777777" w:rsidR="00D806BD" w:rsidRPr="00847528" w:rsidRDefault="00D806BD" w:rsidP="00D806BD">
      <w:pPr>
        <w:snapToGrid w:val="0"/>
        <w:rPr>
          <w:rFonts w:ascii="Times New Roman" w:hAnsi="Times New Roman" w:cs="Times New Roman"/>
          <w:b/>
          <w:bCs/>
          <w:sz w:val="24"/>
        </w:rPr>
      </w:pPr>
      <w:r w:rsidRPr="00847528">
        <w:rPr>
          <w:rFonts w:ascii="Times New Roman" w:hAnsi="Times New Roman" w:cs="Times New Roman"/>
          <w:b/>
          <w:bCs/>
          <w:sz w:val="24"/>
        </w:rPr>
        <w:t xml:space="preserve">2.2.2. </w:t>
      </w:r>
      <w:r w:rsidR="004C7185" w:rsidRPr="00847528">
        <w:rPr>
          <w:rFonts w:ascii="Times New Roman" w:hAnsi="Times New Roman" w:cs="Times New Roman"/>
          <w:b/>
          <w:bCs/>
          <w:sz w:val="24"/>
        </w:rPr>
        <w:t>Exclusion criteria</w:t>
      </w:r>
    </w:p>
    <w:p w14:paraId="3D856757" w14:textId="15224773" w:rsidR="00C51E3A" w:rsidRDefault="004C7185" w:rsidP="00847528">
      <w:pPr>
        <w:snapToGrid w:val="0"/>
        <w:rPr>
          <w:rFonts w:ascii="Times New Roman" w:hAnsi="Times New Roman" w:cs="Times New Roman"/>
          <w:sz w:val="24"/>
        </w:rPr>
      </w:pPr>
      <w:r>
        <w:rPr>
          <w:rFonts w:ascii="Times New Roman" w:hAnsi="Times New Roman" w:cs="Times New Roman"/>
          <w:sz w:val="24"/>
        </w:rPr>
        <w:t xml:space="preserve">Patients with severe liver diseases such as primary liver cancer and liver failure; patients with malignant tumors, severe cardiorenal diseases, or blood system diseases; patients with mental disorders or cognitive dysfunction who were unable to communicate; patients who had received nutritional support therapy or other special nursing interventions in the past 3 months; patients who were lost to follow-up or withdrew from the study during the follow-up period. </w:t>
      </w:r>
    </w:p>
    <w:p w14:paraId="41DA49E0" w14:textId="77777777" w:rsidR="00C51E3A" w:rsidRDefault="00C51E3A" w:rsidP="00847528">
      <w:pPr>
        <w:snapToGrid w:val="0"/>
        <w:rPr>
          <w:rFonts w:ascii="Times New Roman" w:hAnsi="Times New Roman" w:cs="Times New Roman"/>
          <w:sz w:val="24"/>
        </w:rPr>
      </w:pPr>
    </w:p>
    <w:p w14:paraId="6E50E4F9" w14:textId="77777777"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Methods </w:t>
      </w:r>
    </w:p>
    <w:p w14:paraId="306D130D" w14:textId="5F1BCBB6"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.3.1</w:t>
      </w:r>
      <w:r>
        <w:rPr>
          <w:rFonts w:ascii="Times New Roman" w:hAnsi="Times New Roman" w:cs="Times New Roman" w:hint="eastAsia"/>
          <w:b/>
          <w:bCs/>
          <w:sz w:val="24"/>
        </w:rPr>
        <w:t>.</w:t>
      </w:r>
      <w:r>
        <w:rPr>
          <w:rFonts w:ascii="Times New Roman" w:hAnsi="Times New Roman" w:cs="Times New Roman"/>
          <w:b/>
          <w:bCs/>
          <w:sz w:val="24"/>
        </w:rPr>
        <w:t xml:space="preserve"> Control </w:t>
      </w:r>
      <w:r w:rsidR="00D806BD">
        <w:rPr>
          <w:rFonts w:ascii="Times New Roman" w:hAnsi="Times New Roman" w:cs="Times New Roman"/>
          <w:b/>
          <w:bCs/>
          <w:sz w:val="24"/>
        </w:rPr>
        <w:t>g</w:t>
      </w:r>
      <w:r w:rsidR="00D806BD">
        <w:rPr>
          <w:rFonts w:ascii="Times New Roman" w:hAnsi="Times New Roman" w:cs="Times New Roman"/>
          <w:b/>
          <w:bCs/>
          <w:sz w:val="24"/>
        </w:rPr>
        <w:t xml:space="preserve">roup </w:t>
      </w:r>
    </w:p>
    <w:p w14:paraId="1396FC88" w14:textId="77777777" w:rsidR="00D806BD" w:rsidRDefault="004C7185" w:rsidP="00D806BD">
      <w:pPr>
        <w:snapToGrid w:val="0"/>
        <w:rPr>
          <w:rFonts w:ascii="Times New Roman" w:hAnsi="Times New Roman" w:cs="Times New Roman"/>
          <w:sz w:val="24"/>
        </w:rPr>
      </w:pPr>
      <w:r>
        <w:rPr>
          <w:rFonts w:ascii="Times New Roman" w:hAnsi="Times New Roman" w:cs="Times New Roman"/>
          <w:sz w:val="24"/>
        </w:rPr>
        <w:t xml:space="preserve">Conventional nursing interventions were implemented as follows: </w:t>
      </w:r>
    </w:p>
    <w:p w14:paraId="65CD65AB"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(1) </w:t>
      </w:r>
      <w:r w:rsidR="00D806BD">
        <w:rPr>
          <w:rFonts w:ascii="Times New Roman" w:hAnsi="Times New Roman" w:cs="Times New Roman"/>
          <w:sz w:val="24"/>
        </w:rPr>
        <w:tab/>
      </w:r>
      <w:r>
        <w:rPr>
          <w:rFonts w:ascii="Times New Roman" w:hAnsi="Times New Roman" w:cs="Times New Roman"/>
          <w:sz w:val="24"/>
        </w:rPr>
        <w:t>Disease monitoring</w:t>
      </w:r>
    </w:p>
    <w:p w14:paraId="2417262A" w14:textId="14B12770" w:rsidR="00D806BD" w:rsidRDefault="00D806BD" w:rsidP="00D806BD">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Monitor the patient</w:t>
      </w:r>
      <w:r>
        <w:rPr>
          <w:rFonts w:ascii="Times New Roman" w:hAnsi="Times New Roman" w:cs="Times New Roman"/>
          <w:sz w:val="24"/>
        </w:rPr>
        <w:t>’</w:t>
      </w:r>
      <w:r w:rsidR="004C7185">
        <w:rPr>
          <w:rFonts w:ascii="Times New Roman" w:hAnsi="Times New Roman" w:cs="Times New Roman"/>
          <w:sz w:val="24"/>
        </w:rPr>
        <w:t xml:space="preserve">s body temperature, pulse, respiration, blood pressure, and other vital signs daily. Regularly review blood routines and liver function, and record changes in symptoms such as abdominal distension and ascites. </w:t>
      </w:r>
    </w:p>
    <w:p w14:paraId="0EA6F6D2"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D806BD">
        <w:rPr>
          <w:rFonts w:ascii="Times New Roman" w:hAnsi="Times New Roman" w:cs="Times New Roman"/>
          <w:sz w:val="24"/>
        </w:rPr>
        <w:tab/>
      </w:r>
      <w:r>
        <w:rPr>
          <w:rFonts w:ascii="Times New Roman" w:hAnsi="Times New Roman" w:cs="Times New Roman"/>
          <w:sz w:val="24"/>
        </w:rPr>
        <w:t>Basic nursing</w:t>
      </w:r>
    </w:p>
    <w:p w14:paraId="5CBE2E68" w14:textId="6B42A61D" w:rsidR="00D806BD" w:rsidRDefault="00D806BD" w:rsidP="00D806BD">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 xml:space="preserve">Instruct the patient to rest in bed and avoid fatigue. Keep the ward environment clean. Assist the patient in completing daily activities such as eating and </w:t>
      </w:r>
      <w:r>
        <w:rPr>
          <w:rFonts w:ascii="Times New Roman" w:hAnsi="Times New Roman" w:cs="Times New Roman"/>
          <w:sz w:val="24"/>
        </w:rPr>
        <w:t>defecation</w:t>
      </w:r>
      <w:r w:rsidR="004C7185">
        <w:rPr>
          <w:rFonts w:ascii="Times New Roman" w:hAnsi="Times New Roman" w:cs="Times New Roman"/>
          <w:sz w:val="24"/>
        </w:rPr>
        <w:t xml:space="preserve"> to prevent pressure ulcers and falls. </w:t>
      </w:r>
    </w:p>
    <w:p w14:paraId="2A1BF11D"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D806BD">
        <w:rPr>
          <w:rFonts w:ascii="Times New Roman" w:hAnsi="Times New Roman" w:cs="Times New Roman"/>
          <w:sz w:val="24"/>
        </w:rPr>
        <w:tab/>
      </w:r>
      <w:r>
        <w:rPr>
          <w:rFonts w:ascii="Times New Roman" w:hAnsi="Times New Roman" w:cs="Times New Roman"/>
          <w:sz w:val="24"/>
        </w:rPr>
        <w:t>Conventional health education</w:t>
      </w:r>
    </w:p>
    <w:p w14:paraId="6380B775" w14:textId="76EB89BD" w:rsidR="00C51E3A" w:rsidRDefault="00D806BD" w:rsidP="00847528">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 xml:space="preserve">Orally inform the patient to follow a low-salt and low-fat diet, avoid spicy and irritating foods, remind the patient to take medications as prescribed, and provide simple diet and follow-up health education upon discharge. </w:t>
      </w:r>
    </w:p>
    <w:p w14:paraId="5C0AE642" w14:textId="77777777" w:rsidR="00C51E3A" w:rsidRDefault="00C51E3A" w:rsidP="00847528">
      <w:pPr>
        <w:snapToGrid w:val="0"/>
        <w:rPr>
          <w:rFonts w:ascii="Times New Roman" w:hAnsi="Times New Roman" w:cs="Times New Roman"/>
          <w:sz w:val="24"/>
        </w:rPr>
      </w:pPr>
    </w:p>
    <w:p w14:paraId="29305B41" w14:textId="45100462"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.3.2</w:t>
      </w:r>
      <w:r>
        <w:rPr>
          <w:rFonts w:ascii="Times New Roman" w:hAnsi="Times New Roman" w:cs="Times New Roman" w:hint="eastAsia"/>
          <w:b/>
          <w:bCs/>
          <w:sz w:val="24"/>
        </w:rPr>
        <w:t>.</w:t>
      </w:r>
      <w:r>
        <w:rPr>
          <w:rFonts w:ascii="Times New Roman" w:hAnsi="Times New Roman" w:cs="Times New Roman"/>
          <w:b/>
          <w:bCs/>
          <w:sz w:val="24"/>
        </w:rPr>
        <w:t xml:space="preserve"> Study </w:t>
      </w:r>
      <w:r w:rsidR="00D806BD">
        <w:rPr>
          <w:rFonts w:ascii="Times New Roman" w:hAnsi="Times New Roman" w:cs="Times New Roman"/>
          <w:b/>
          <w:bCs/>
          <w:sz w:val="24"/>
        </w:rPr>
        <w:t>g</w:t>
      </w:r>
      <w:r w:rsidR="00D806BD">
        <w:rPr>
          <w:rFonts w:ascii="Times New Roman" w:hAnsi="Times New Roman" w:cs="Times New Roman"/>
          <w:b/>
          <w:bCs/>
          <w:sz w:val="24"/>
        </w:rPr>
        <w:t xml:space="preserve">roup </w:t>
      </w:r>
    </w:p>
    <w:p w14:paraId="112F4358" w14:textId="77777777" w:rsidR="00D806BD" w:rsidRDefault="004C7185" w:rsidP="00D806BD">
      <w:pPr>
        <w:snapToGrid w:val="0"/>
        <w:rPr>
          <w:rFonts w:ascii="Times New Roman" w:hAnsi="Times New Roman" w:cs="Times New Roman"/>
          <w:sz w:val="24"/>
        </w:rPr>
      </w:pPr>
      <w:r>
        <w:rPr>
          <w:rFonts w:ascii="Times New Roman" w:hAnsi="Times New Roman" w:cs="Times New Roman"/>
          <w:sz w:val="24"/>
        </w:rPr>
        <w:t xml:space="preserve">Integrated nursing interventions for specific diseases were implemented as follows: </w:t>
      </w:r>
    </w:p>
    <w:p w14:paraId="72EE7756" w14:textId="5E0E5016"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lastRenderedPageBreak/>
        <w:t xml:space="preserve">(1) </w:t>
      </w:r>
      <w:r w:rsidR="00D806BD">
        <w:rPr>
          <w:rFonts w:ascii="Times New Roman" w:hAnsi="Times New Roman" w:cs="Times New Roman"/>
          <w:sz w:val="24"/>
        </w:rPr>
        <w:tab/>
      </w:r>
      <w:r>
        <w:rPr>
          <w:rFonts w:ascii="Times New Roman" w:hAnsi="Times New Roman" w:cs="Times New Roman"/>
          <w:sz w:val="24"/>
        </w:rPr>
        <w:t xml:space="preserve">Establish a </w:t>
      </w:r>
      <w:r w:rsidR="00D806BD">
        <w:rPr>
          <w:rFonts w:ascii="Times New Roman" w:hAnsi="Times New Roman" w:cs="Times New Roman"/>
          <w:sz w:val="24"/>
        </w:rPr>
        <w:t>“</w:t>
      </w:r>
      <w:r>
        <w:rPr>
          <w:rFonts w:ascii="Times New Roman" w:hAnsi="Times New Roman" w:cs="Times New Roman"/>
          <w:sz w:val="24"/>
        </w:rPr>
        <w:t>liver cirrhosis specialized nursing team</w:t>
      </w:r>
      <w:r w:rsidR="00D806BD">
        <w:rPr>
          <w:rFonts w:ascii="Times New Roman" w:hAnsi="Times New Roman" w:cs="Times New Roman"/>
          <w:sz w:val="24"/>
        </w:rPr>
        <w:t>”</w:t>
      </w:r>
    </w:p>
    <w:p w14:paraId="1CE74F06" w14:textId="0CDD47A5" w:rsidR="00D806BD" w:rsidRDefault="00D806BD" w:rsidP="00D806BD">
      <w:pPr>
        <w:snapToGrid w:val="0"/>
        <w:ind w:left="709" w:hanging="709"/>
        <w:rPr>
          <w:rFonts w:ascii="Times New Roman" w:hAnsi="Times New Roman" w:cs="Times New Roman"/>
          <w:sz w:val="24"/>
        </w:rPr>
      </w:pPr>
      <w:r>
        <w:rPr>
          <w:rFonts w:ascii="Times New Roman" w:hAnsi="Times New Roman" w:cs="Times New Roman"/>
          <w:sz w:val="24"/>
        </w:rPr>
        <w:tab/>
        <w:t>C</w:t>
      </w:r>
      <w:r w:rsidR="004C7185">
        <w:rPr>
          <w:rFonts w:ascii="Times New Roman" w:hAnsi="Times New Roman" w:cs="Times New Roman"/>
          <w:sz w:val="24"/>
        </w:rPr>
        <w:t>onsisting of nurses from the Department of Infectious Diseases (5 nurses with work experience of ≥</w:t>
      </w:r>
      <w:r>
        <w:rPr>
          <w:rFonts w:ascii="Times New Roman" w:hAnsi="Times New Roman" w:cs="Times New Roman"/>
          <w:sz w:val="24"/>
        </w:rPr>
        <w:t xml:space="preserve"> </w:t>
      </w:r>
      <w:r w:rsidR="004C7185">
        <w:rPr>
          <w:rFonts w:ascii="Times New Roman" w:hAnsi="Times New Roman" w:cs="Times New Roman"/>
          <w:sz w:val="24"/>
        </w:rPr>
        <w:t xml:space="preserve">5 years), a nutrition specialist nurse (1 nurse), a clinical physician (1 physician), and an infectious disease specialist nurse (1 nurse). Develop a whole-course integrated nursing plan of </w:t>
      </w:r>
      <w:r>
        <w:rPr>
          <w:rFonts w:ascii="Times New Roman" w:hAnsi="Times New Roman" w:cs="Times New Roman"/>
          <w:sz w:val="24"/>
        </w:rPr>
        <w:t>“</w:t>
      </w:r>
      <w:r w:rsidR="004C7185">
        <w:rPr>
          <w:rFonts w:ascii="Times New Roman" w:hAnsi="Times New Roman" w:cs="Times New Roman"/>
          <w:sz w:val="24"/>
        </w:rPr>
        <w:t>assessment-intervention-follow-up</w:t>
      </w:r>
      <w:r>
        <w:rPr>
          <w:rFonts w:ascii="Times New Roman" w:hAnsi="Times New Roman" w:cs="Times New Roman"/>
          <w:sz w:val="24"/>
        </w:rPr>
        <w:t>”.</w:t>
      </w:r>
      <w:r w:rsidR="004C7185">
        <w:rPr>
          <w:rFonts w:ascii="Times New Roman" w:hAnsi="Times New Roman" w:cs="Times New Roman"/>
          <w:sz w:val="24"/>
        </w:rPr>
        <w:t xml:space="preserve"> </w:t>
      </w:r>
    </w:p>
    <w:p w14:paraId="7C8BC686"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(2) </w:t>
      </w:r>
      <w:r w:rsidR="00D806BD">
        <w:rPr>
          <w:rFonts w:ascii="Times New Roman" w:hAnsi="Times New Roman" w:cs="Times New Roman"/>
          <w:sz w:val="24"/>
        </w:rPr>
        <w:tab/>
      </w:r>
      <w:r>
        <w:rPr>
          <w:rFonts w:ascii="Times New Roman" w:hAnsi="Times New Roman" w:cs="Times New Roman"/>
          <w:sz w:val="24"/>
        </w:rPr>
        <w:t>Personalized assessment (within 1 week before the intervention)</w:t>
      </w:r>
    </w:p>
    <w:p w14:paraId="1E74257D" w14:textId="20124190" w:rsidR="00D806BD" w:rsidRDefault="00D806BD" w:rsidP="00D806BD">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 xml:space="preserve">The team jointly conducts a comprehensive assessment of the patient, including nutritional status (using the Subjective Global Assessment (SGA) to assess nutritional risk), liver function classification, psychological state (Self-Rating Anxiety Scale (SAS), Self-Rating Depression Scale (SDS)), and living habits (diet, exercise, medication compliance). Based on the assessment results, a personalized nursing plan is formulated. </w:t>
      </w:r>
    </w:p>
    <w:p w14:paraId="50921A18"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(3) </w:t>
      </w:r>
      <w:r w:rsidR="00D806BD">
        <w:rPr>
          <w:rFonts w:ascii="Times New Roman" w:hAnsi="Times New Roman" w:cs="Times New Roman"/>
          <w:sz w:val="24"/>
        </w:rPr>
        <w:tab/>
      </w:r>
      <w:r>
        <w:rPr>
          <w:rFonts w:ascii="Times New Roman" w:hAnsi="Times New Roman" w:cs="Times New Roman"/>
          <w:sz w:val="24"/>
        </w:rPr>
        <w:t>Interventions during hospitalization (throughout the hospitalization)</w:t>
      </w:r>
    </w:p>
    <w:p w14:paraId="3841658F" w14:textId="6265108A" w:rsidR="00D806BD" w:rsidRDefault="00D806BD" w:rsidP="00D806BD">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① Nutritional management: The nutrition specialist nurse adjusts the protein intake according to the Child-Pugh classification (grade A: 1.2</w:t>
      </w:r>
      <w:r>
        <w:rPr>
          <w:rFonts w:ascii="Times New Roman" w:hAnsi="Times New Roman" w:cs="Times New Roman"/>
          <w:sz w:val="24"/>
        </w:rPr>
        <w:t>–</w:t>
      </w:r>
      <w:r w:rsidR="004C7185">
        <w:rPr>
          <w:rFonts w:ascii="Times New Roman" w:hAnsi="Times New Roman" w:cs="Times New Roman"/>
          <w:sz w:val="24"/>
        </w:rPr>
        <w:t>1.5 g/kg·d, grade B: 1.0</w:t>
      </w:r>
      <w:r>
        <w:rPr>
          <w:rFonts w:ascii="Times New Roman" w:hAnsi="Times New Roman" w:cs="Times New Roman"/>
          <w:sz w:val="24"/>
        </w:rPr>
        <w:t>–</w:t>
      </w:r>
      <w:r w:rsidR="004C7185">
        <w:rPr>
          <w:rFonts w:ascii="Times New Roman" w:hAnsi="Times New Roman" w:cs="Times New Roman"/>
          <w:sz w:val="24"/>
        </w:rPr>
        <w:t>1.2 g/kg·d, grade C: 0.8</w:t>
      </w:r>
      <w:r>
        <w:rPr>
          <w:rFonts w:ascii="Times New Roman" w:hAnsi="Times New Roman" w:cs="Times New Roman"/>
          <w:sz w:val="24"/>
        </w:rPr>
        <w:t>–</w:t>
      </w:r>
      <w:r w:rsidR="004C7185">
        <w:rPr>
          <w:rFonts w:ascii="Times New Roman" w:hAnsi="Times New Roman" w:cs="Times New Roman"/>
          <w:sz w:val="24"/>
        </w:rPr>
        <w:t>1.0 g/kg·d) and formulates a daily diet list (e.g., sources of high-quality protein: eggs, milk, fish; avoid animal organs). If the patient has ascites, limit sodium intake (&lt;</w:t>
      </w:r>
      <w:r>
        <w:rPr>
          <w:rFonts w:ascii="Times New Roman" w:hAnsi="Times New Roman" w:cs="Times New Roman"/>
          <w:sz w:val="24"/>
        </w:rPr>
        <w:t xml:space="preserve"> </w:t>
      </w:r>
      <w:r w:rsidR="004C7185">
        <w:rPr>
          <w:rFonts w:ascii="Times New Roman" w:hAnsi="Times New Roman" w:cs="Times New Roman"/>
          <w:sz w:val="24"/>
        </w:rPr>
        <w:t>2 g/d) and supplement with enteral nutrition preparations (e.g., Fresubin, Huiru Pharmaceutical) if necessary. Monitor the patient</w:t>
      </w:r>
      <w:r>
        <w:rPr>
          <w:rFonts w:ascii="Times New Roman" w:hAnsi="Times New Roman" w:cs="Times New Roman"/>
          <w:sz w:val="24"/>
        </w:rPr>
        <w:t>’</w:t>
      </w:r>
      <w:r w:rsidR="004C7185">
        <w:rPr>
          <w:rFonts w:ascii="Times New Roman" w:hAnsi="Times New Roman" w:cs="Times New Roman"/>
          <w:sz w:val="24"/>
        </w:rPr>
        <w:t xml:space="preserve">s weight and BMI weekly and review Hb, ALB, and TP monthly </w:t>
      </w:r>
      <w:r>
        <w:rPr>
          <w:rFonts w:ascii="Times New Roman" w:hAnsi="Times New Roman" w:cs="Times New Roman"/>
          <w:sz w:val="24"/>
        </w:rPr>
        <w:t>to adjust the nutritional plan dynamically</w:t>
      </w:r>
      <w:r w:rsidR="004C7185">
        <w:rPr>
          <w:rFonts w:ascii="Times New Roman" w:hAnsi="Times New Roman" w:cs="Times New Roman"/>
          <w:sz w:val="24"/>
        </w:rPr>
        <w:t>. ② Liver function protection: Instruct the patient to strictly take liver-protecting drugs as prescribed (e.g., polyene phosphatidylcholine) and avoid taking drugs that may damage the liver. Monitor jaundice and abdominal distension. If TBil increases or ascites increases, promptly notify the physician to adjust the treatment plan. ③ Psychological intervention: The infectious disease specialist nurse communicates with the patient once a week, using methods such as listening and empathy to relieve anxiety a</w:t>
      </w:r>
      <w:r w:rsidR="004C7185">
        <w:rPr>
          <w:rFonts w:ascii="Times New Roman" w:hAnsi="Times New Roman" w:cs="Times New Roman"/>
          <w:sz w:val="24"/>
        </w:rPr>
        <w:t xml:space="preserve">nd depression. Organize patient exchange meetings to share disease management experiences and enhance treatment confidence. </w:t>
      </w:r>
    </w:p>
    <w:p w14:paraId="321D8002" w14:textId="77777777" w:rsidR="00D806BD" w:rsidRDefault="004C7185" w:rsidP="00D806BD">
      <w:pPr>
        <w:snapToGrid w:val="0"/>
        <w:ind w:left="709" w:hanging="709"/>
        <w:rPr>
          <w:rFonts w:ascii="Times New Roman" w:hAnsi="Times New Roman" w:cs="Times New Roman"/>
          <w:sz w:val="24"/>
        </w:rPr>
      </w:pPr>
      <w:r>
        <w:rPr>
          <w:rFonts w:ascii="Times New Roman" w:hAnsi="Times New Roman" w:cs="Times New Roman"/>
          <w:sz w:val="24"/>
        </w:rPr>
        <w:t xml:space="preserve">(4) </w:t>
      </w:r>
      <w:r w:rsidR="00D806BD">
        <w:rPr>
          <w:rFonts w:ascii="Times New Roman" w:hAnsi="Times New Roman" w:cs="Times New Roman"/>
          <w:sz w:val="24"/>
        </w:rPr>
        <w:tab/>
      </w:r>
      <w:r>
        <w:rPr>
          <w:rFonts w:ascii="Times New Roman" w:hAnsi="Times New Roman" w:cs="Times New Roman"/>
          <w:sz w:val="24"/>
        </w:rPr>
        <w:t>Continuous nursing (3 months after discharge)</w:t>
      </w:r>
    </w:p>
    <w:p w14:paraId="3F2987F5" w14:textId="6FF94DF5" w:rsidR="00C51E3A" w:rsidRDefault="00D806BD" w:rsidP="00847528">
      <w:pPr>
        <w:snapToGrid w:val="0"/>
        <w:ind w:left="709" w:hanging="709"/>
        <w:rPr>
          <w:rFonts w:ascii="Times New Roman" w:hAnsi="Times New Roman" w:cs="Times New Roman"/>
          <w:sz w:val="24"/>
        </w:rPr>
      </w:pPr>
      <w:r>
        <w:rPr>
          <w:rFonts w:ascii="Times New Roman" w:hAnsi="Times New Roman" w:cs="Times New Roman"/>
          <w:sz w:val="24"/>
        </w:rPr>
        <w:tab/>
      </w:r>
      <w:r w:rsidR="004C7185">
        <w:rPr>
          <w:rFonts w:ascii="Times New Roman" w:hAnsi="Times New Roman" w:cs="Times New Roman"/>
          <w:sz w:val="24"/>
        </w:rPr>
        <w:t>① Follow-up management: Conduct telephone follow-ups once a week within 1 month after discharge and once every 2 weeks from 1 to 3 months after discharge to understand diet compliance, medication compliance, and symptom changes</w:t>
      </w:r>
      <w:r>
        <w:rPr>
          <w:rFonts w:ascii="Times New Roman" w:hAnsi="Times New Roman" w:cs="Times New Roman"/>
          <w:sz w:val="24"/>
        </w:rPr>
        <w:t>,</w:t>
      </w:r>
      <w:r w:rsidR="004C7185">
        <w:rPr>
          <w:rFonts w:ascii="Times New Roman" w:hAnsi="Times New Roman" w:cs="Times New Roman"/>
          <w:sz w:val="24"/>
        </w:rPr>
        <w:t xml:space="preserve"> and answer nursing questions. ② Family guidance: Send liver cirrhosis nutritional knowledge and living precautions via WeChat, encourage family members to supervise the patient</w:t>
      </w:r>
      <w:r>
        <w:rPr>
          <w:rFonts w:ascii="Times New Roman" w:hAnsi="Times New Roman" w:cs="Times New Roman"/>
          <w:sz w:val="24"/>
        </w:rPr>
        <w:t>’</w:t>
      </w:r>
      <w:r w:rsidR="004C7185">
        <w:rPr>
          <w:rFonts w:ascii="Times New Roman" w:hAnsi="Times New Roman" w:cs="Times New Roman"/>
          <w:sz w:val="24"/>
        </w:rPr>
        <w:t>s diet and rest, and regularly provide feedback on the patient</w:t>
      </w:r>
      <w:r>
        <w:rPr>
          <w:rFonts w:ascii="Times New Roman" w:hAnsi="Times New Roman" w:cs="Times New Roman"/>
          <w:sz w:val="24"/>
        </w:rPr>
        <w:t>’</w:t>
      </w:r>
      <w:r w:rsidR="004C7185">
        <w:rPr>
          <w:rFonts w:ascii="Times New Roman" w:hAnsi="Times New Roman" w:cs="Times New Roman"/>
          <w:sz w:val="24"/>
        </w:rPr>
        <w:t>s condition.</w:t>
      </w:r>
    </w:p>
    <w:p w14:paraId="37519673" w14:textId="77777777" w:rsidR="00C51E3A" w:rsidRDefault="00C51E3A" w:rsidP="00847528">
      <w:pPr>
        <w:snapToGrid w:val="0"/>
        <w:rPr>
          <w:rFonts w:ascii="Times New Roman" w:hAnsi="Times New Roman" w:cs="Times New Roman"/>
          <w:sz w:val="24"/>
        </w:rPr>
      </w:pPr>
    </w:p>
    <w:p w14:paraId="50058874" w14:textId="4A309B13"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w:t>
      </w:r>
      <w:r>
        <w:rPr>
          <w:rFonts w:ascii="Times New Roman" w:hAnsi="Times New Roman" w:cs="Times New Roman" w:hint="eastAsia"/>
          <w:b/>
          <w:bCs/>
          <w:sz w:val="24"/>
        </w:rPr>
        <w:t>.</w:t>
      </w:r>
      <w:r>
        <w:rPr>
          <w:rFonts w:ascii="Times New Roman" w:hAnsi="Times New Roman" w:cs="Times New Roman"/>
          <w:b/>
          <w:bCs/>
          <w:sz w:val="24"/>
        </w:rPr>
        <w:t xml:space="preserve"> Observation </w:t>
      </w:r>
      <w:r w:rsidR="00D806BD">
        <w:rPr>
          <w:rFonts w:ascii="Times New Roman" w:hAnsi="Times New Roman" w:cs="Times New Roman"/>
          <w:b/>
          <w:bCs/>
          <w:sz w:val="24"/>
        </w:rPr>
        <w:t>i</w:t>
      </w:r>
      <w:r>
        <w:rPr>
          <w:rFonts w:ascii="Times New Roman" w:hAnsi="Times New Roman" w:cs="Times New Roman"/>
          <w:b/>
          <w:bCs/>
          <w:sz w:val="24"/>
        </w:rPr>
        <w:t xml:space="preserve">ndicators </w:t>
      </w:r>
    </w:p>
    <w:p w14:paraId="7F509956" w14:textId="45BA1778"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.4.1</w:t>
      </w:r>
      <w:r>
        <w:rPr>
          <w:rFonts w:ascii="Times New Roman" w:hAnsi="Times New Roman" w:cs="Times New Roman" w:hint="eastAsia"/>
          <w:b/>
          <w:bCs/>
          <w:sz w:val="24"/>
        </w:rPr>
        <w:t>.</w:t>
      </w:r>
      <w:r>
        <w:rPr>
          <w:rFonts w:ascii="Times New Roman" w:hAnsi="Times New Roman" w:cs="Times New Roman"/>
          <w:b/>
          <w:bCs/>
          <w:sz w:val="24"/>
        </w:rPr>
        <w:t xml:space="preserve"> Nutritional </w:t>
      </w:r>
      <w:r w:rsidR="00D806BD">
        <w:rPr>
          <w:rFonts w:ascii="Times New Roman" w:hAnsi="Times New Roman" w:cs="Times New Roman"/>
          <w:b/>
          <w:bCs/>
          <w:sz w:val="24"/>
        </w:rPr>
        <w:t>s</w:t>
      </w:r>
      <w:r>
        <w:rPr>
          <w:rFonts w:ascii="Times New Roman" w:hAnsi="Times New Roman" w:cs="Times New Roman"/>
          <w:b/>
          <w:bCs/>
          <w:sz w:val="24"/>
        </w:rPr>
        <w:t xml:space="preserve">tatus </w:t>
      </w:r>
    </w:p>
    <w:p w14:paraId="52177838" w14:textId="78BA3020" w:rsidR="00C51E3A" w:rsidRDefault="004C7185" w:rsidP="00847528">
      <w:pPr>
        <w:snapToGrid w:val="0"/>
        <w:rPr>
          <w:rFonts w:ascii="Times New Roman" w:hAnsi="Times New Roman" w:cs="Times New Roman"/>
          <w:sz w:val="24"/>
        </w:rPr>
      </w:pPr>
      <w:r>
        <w:rPr>
          <w:rFonts w:ascii="Times New Roman" w:hAnsi="Times New Roman" w:cs="Times New Roman"/>
          <w:sz w:val="24"/>
        </w:rPr>
        <w:t xml:space="preserve">Before the intervention and 3 months after the intervention, the levels of hemoglobin (Hb), albumin (ALB), and total protein (TP) in patients were measured using an automatic biochemical analyzer (Beckman </w:t>
      </w:r>
      <w:r w:rsidR="00D806BD">
        <w:rPr>
          <w:rFonts w:ascii="Times New Roman" w:hAnsi="Times New Roman" w:cs="Times New Roman"/>
          <w:sz w:val="24"/>
        </w:rPr>
        <w:t>Colter</w:t>
      </w:r>
      <w:r>
        <w:rPr>
          <w:rFonts w:ascii="Times New Roman" w:hAnsi="Times New Roman" w:cs="Times New Roman"/>
          <w:sz w:val="24"/>
        </w:rPr>
        <w:t xml:space="preserve">, model AU5800). The body mass index (BMI) of patients was measured using a height-weight scale (Taixing Hengxin Electronics, model HCS-RT). </w:t>
      </w:r>
    </w:p>
    <w:p w14:paraId="696BDF79" w14:textId="77777777" w:rsidR="00C51E3A" w:rsidRDefault="00C51E3A" w:rsidP="00847528">
      <w:pPr>
        <w:snapToGrid w:val="0"/>
        <w:rPr>
          <w:rFonts w:ascii="Times New Roman" w:hAnsi="Times New Roman" w:cs="Times New Roman"/>
          <w:sz w:val="24"/>
        </w:rPr>
      </w:pPr>
    </w:p>
    <w:p w14:paraId="6A690AB5" w14:textId="0F234232"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.4.2</w:t>
      </w:r>
      <w:r>
        <w:rPr>
          <w:rFonts w:ascii="Times New Roman" w:hAnsi="Times New Roman" w:cs="Times New Roman" w:hint="eastAsia"/>
          <w:b/>
          <w:bCs/>
          <w:sz w:val="24"/>
        </w:rPr>
        <w:t>.</w:t>
      </w:r>
      <w:r>
        <w:rPr>
          <w:rFonts w:ascii="Times New Roman" w:hAnsi="Times New Roman" w:cs="Times New Roman"/>
          <w:b/>
          <w:bCs/>
          <w:sz w:val="24"/>
        </w:rPr>
        <w:t xml:space="preserve"> Quality of </w:t>
      </w:r>
      <w:r w:rsidR="00D806BD">
        <w:rPr>
          <w:rFonts w:ascii="Times New Roman" w:hAnsi="Times New Roman" w:cs="Times New Roman"/>
          <w:b/>
          <w:bCs/>
          <w:sz w:val="24"/>
        </w:rPr>
        <w:t>l</w:t>
      </w:r>
      <w:r>
        <w:rPr>
          <w:rFonts w:ascii="Times New Roman" w:hAnsi="Times New Roman" w:cs="Times New Roman"/>
          <w:b/>
          <w:bCs/>
          <w:sz w:val="24"/>
        </w:rPr>
        <w:t xml:space="preserve">ife </w:t>
      </w:r>
    </w:p>
    <w:p w14:paraId="5ACCB538" w14:textId="0E26E9EA" w:rsidR="00C51E3A" w:rsidRDefault="004C7185" w:rsidP="00847528">
      <w:pPr>
        <w:snapToGrid w:val="0"/>
        <w:rPr>
          <w:rFonts w:ascii="Times New Roman" w:hAnsi="Times New Roman" w:cs="Times New Roman"/>
          <w:sz w:val="24"/>
        </w:rPr>
      </w:pPr>
      <w:r>
        <w:rPr>
          <w:rFonts w:ascii="Times New Roman" w:hAnsi="Times New Roman" w:cs="Times New Roman"/>
          <w:sz w:val="24"/>
        </w:rPr>
        <w:t xml:space="preserve">Before the intervention and 3 months after the intervention, the Short-Form Health Survey (SF-36) was used for evaluation, which included four core dimensions: physical pain, </w:t>
      </w:r>
      <w:r w:rsidR="00D806BD">
        <w:rPr>
          <w:rFonts w:ascii="Times New Roman" w:hAnsi="Times New Roman" w:cs="Times New Roman"/>
          <w:sz w:val="24"/>
        </w:rPr>
        <w:t>psychological function, emotional role, and mental health</w:t>
      </w:r>
      <w:r>
        <w:rPr>
          <w:rFonts w:ascii="Times New Roman" w:hAnsi="Times New Roman" w:cs="Times New Roman"/>
          <w:sz w:val="24"/>
        </w:rPr>
        <w:t xml:space="preserve">. Each dimension was scored from 0 to 100 points, with higher scores indicating </w:t>
      </w:r>
      <w:r w:rsidR="00D806BD">
        <w:rPr>
          <w:rFonts w:ascii="Times New Roman" w:hAnsi="Times New Roman" w:cs="Times New Roman"/>
          <w:sz w:val="24"/>
        </w:rPr>
        <w:t xml:space="preserve">a </w:t>
      </w:r>
      <w:r>
        <w:rPr>
          <w:rFonts w:ascii="Times New Roman" w:hAnsi="Times New Roman" w:cs="Times New Roman"/>
          <w:sz w:val="24"/>
        </w:rPr>
        <w:t xml:space="preserve">better quality of life. </w:t>
      </w:r>
    </w:p>
    <w:p w14:paraId="7A50FBA8" w14:textId="77777777" w:rsidR="00C51E3A" w:rsidRDefault="00C51E3A" w:rsidP="00847528">
      <w:pPr>
        <w:snapToGrid w:val="0"/>
        <w:rPr>
          <w:rFonts w:ascii="Times New Roman" w:hAnsi="Times New Roman" w:cs="Times New Roman"/>
          <w:sz w:val="24"/>
        </w:rPr>
      </w:pPr>
    </w:p>
    <w:p w14:paraId="0FD365D4" w14:textId="56AF2558"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2</w:t>
      </w:r>
      <w:r>
        <w:rPr>
          <w:rFonts w:ascii="Times New Roman" w:hAnsi="Times New Roman" w:cs="Times New Roman"/>
          <w:b/>
          <w:bCs/>
          <w:sz w:val="24"/>
        </w:rPr>
        <w:t>.4.3</w:t>
      </w:r>
      <w:r>
        <w:rPr>
          <w:rFonts w:ascii="Times New Roman" w:hAnsi="Times New Roman" w:cs="Times New Roman" w:hint="eastAsia"/>
          <w:b/>
          <w:bCs/>
          <w:sz w:val="24"/>
        </w:rPr>
        <w:t>.</w:t>
      </w:r>
      <w:r>
        <w:rPr>
          <w:rFonts w:ascii="Times New Roman" w:hAnsi="Times New Roman" w:cs="Times New Roman"/>
          <w:b/>
          <w:bCs/>
          <w:sz w:val="24"/>
        </w:rPr>
        <w:t xml:space="preserve"> Liver </w:t>
      </w:r>
      <w:r w:rsidR="00D806BD">
        <w:rPr>
          <w:rFonts w:ascii="Times New Roman" w:hAnsi="Times New Roman" w:cs="Times New Roman"/>
          <w:b/>
          <w:bCs/>
          <w:sz w:val="24"/>
        </w:rPr>
        <w:t>f</w:t>
      </w:r>
      <w:r w:rsidR="00D806BD">
        <w:rPr>
          <w:rFonts w:ascii="Times New Roman" w:hAnsi="Times New Roman" w:cs="Times New Roman"/>
          <w:b/>
          <w:bCs/>
          <w:sz w:val="24"/>
        </w:rPr>
        <w:t xml:space="preserve">unction </w:t>
      </w:r>
    </w:p>
    <w:p w14:paraId="3BF62AFE" w14:textId="53CD40D3" w:rsidR="00C51E3A" w:rsidRDefault="004C7185" w:rsidP="00847528">
      <w:pPr>
        <w:snapToGrid w:val="0"/>
        <w:rPr>
          <w:rFonts w:ascii="Times New Roman" w:hAnsi="Times New Roman" w:cs="Times New Roman"/>
          <w:sz w:val="24"/>
        </w:rPr>
      </w:pPr>
      <w:r>
        <w:rPr>
          <w:rFonts w:ascii="Times New Roman" w:hAnsi="Times New Roman" w:cs="Times New Roman"/>
          <w:sz w:val="24"/>
        </w:rPr>
        <w:t xml:space="preserve">Before the intervention and 3 months after the intervention, the levels of total bilirubin (TBil), alanine aminotransferase (ALT), and aspartate aminotransferase (AST) in patients were measured using an automatic biochemical analyzer (Beckman </w:t>
      </w:r>
      <w:r w:rsidR="00D806BD">
        <w:rPr>
          <w:rFonts w:ascii="Times New Roman" w:hAnsi="Times New Roman" w:cs="Times New Roman"/>
          <w:sz w:val="24"/>
        </w:rPr>
        <w:t>Colter</w:t>
      </w:r>
      <w:r>
        <w:rPr>
          <w:rFonts w:ascii="Times New Roman" w:hAnsi="Times New Roman" w:cs="Times New Roman"/>
          <w:sz w:val="24"/>
        </w:rPr>
        <w:t xml:space="preserve">, model AU5800). </w:t>
      </w:r>
    </w:p>
    <w:p w14:paraId="6DDC15DB" w14:textId="77777777" w:rsidR="00C51E3A" w:rsidRDefault="00C51E3A" w:rsidP="00847528">
      <w:pPr>
        <w:snapToGrid w:val="0"/>
        <w:rPr>
          <w:rFonts w:ascii="Times New Roman" w:hAnsi="Times New Roman" w:cs="Times New Roman"/>
          <w:sz w:val="24"/>
        </w:rPr>
      </w:pPr>
    </w:p>
    <w:p w14:paraId="2F3F6C9E" w14:textId="18388F1E"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lastRenderedPageBreak/>
        <w:t>2</w:t>
      </w:r>
      <w:r>
        <w:rPr>
          <w:rFonts w:ascii="Times New Roman" w:hAnsi="Times New Roman" w:cs="Times New Roman"/>
          <w:b/>
          <w:bCs/>
          <w:sz w:val="24"/>
        </w:rPr>
        <w:t>.5</w:t>
      </w:r>
      <w:r>
        <w:rPr>
          <w:rFonts w:ascii="Times New Roman" w:hAnsi="Times New Roman" w:cs="Times New Roman" w:hint="eastAsia"/>
          <w:b/>
          <w:bCs/>
          <w:sz w:val="24"/>
        </w:rPr>
        <w:t>.</w:t>
      </w:r>
      <w:r>
        <w:rPr>
          <w:rFonts w:ascii="Times New Roman" w:hAnsi="Times New Roman" w:cs="Times New Roman"/>
          <w:b/>
          <w:bCs/>
          <w:sz w:val="24"/>
        </w:rPr>
        <w:t xml:space="preserve"> Statistical </w:t>
      </w:r>
      <w:r w:rsidR="00D806BD">
        <w:rPr>
          <w:rFonts w:ascii="Times New Roman" w:hAnsi="Times New Roman" w:cs="Times New Roman"/>
          <w:b/>
          <w:bCs/>
          <w:sz w:val="24"/>
        </w:rPr>
        <w:t>a</w:t>
      </w:r>
      <w:r w:rsidR="00D806BD">
        <w:rPr>
          <w:rFonts w:ascii="Times New Roman" w:hAnsi="Times New Roman" w:cs="Times New Roman"/>
          <w:b/>
          <w:bCs/>
          <w:sz w:val="24"/>
        </w:rPr>
        <w:t xml:space="preserve">nalysis </w:t>
      </w:r>
    </w:p>
    <w:p w14:paraId="2F36BF31" w14:textId="74D2E4C5" w:rsidR="00C51E3A" w:rsidRDefault="004C7185" w:rsidP="00847528">
      <w:pPr>
        <w:snapToGrid w:val="0"/>
        <w:rPr>
          <w:rFonts w:ascii="Times New Roman" w:hAnsi="Times New Roman" w:cs="Times New Roman"/>
          <w:sz w:val="24"/>
        </w:rPr>
      </w:pPr>
      <w:r>
        <w:rPr>
          <w:rFonts w:ascii="Times New Roman" w:hAnsi="Times New Roman" w:cs="Times New Roman"/>
          <w:sz w:val="24"/>
        </w:rPr>
        <w:t>Data were processed using SPSS 26.0 statistical software. Measurement data were expressed as (</w:t>
      </w:r>
      <w:r>
        <w:rPr>
          <w:rFonts w:ascii="Times New Roman" w:eastAsia="SimSun" w:hAnsi="Times New Roman" w:cs="Times New Roman"/>
          <w:color w:val="0000FF"/>
          <w:position w:val="-6"/>
          <w:sz w:val="24"/>
        </w:rPr>
        <w:object w:dxaOrig="220" w:dyaOrig="270" w14:anchorId="469891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pt;height:13.65pt" o:ole="">
            <v:imagedata r:id="rId4" o:title=""/>
          </v:shape>
          <o:OLEObject Type="Embed" ProgID="Equation.DSMT4" ShapeID="_x0000_i1025" DrawAspect="Content" ObjectID="_1843104650" r:id="rId5"/>
        </w:object>
      </w:r>
      <w:r>
        <w:rPr>
          <w:rFonts w:ascii="Times New Roman" w:hAnsi="Times New Roman"/>
          <w:sz w:val="24"/>
        </w:rPr>
        <w:t>± s</w:t>
      </w:r>
      <w:r>
        <w:rPr>
          <w:rFonts w:ascii="Times New Roman" w:hAnsi="Times New Roman" w:cs="Times New Roman"/>
          <w:sz w:val="24"/>
        </w:rPr>
        <w:t xml:space="preserve">). Paired </w:t>
      </w:r>
      <w:r w:rsidR="00D806BD">
        <w:rPr>
          <w:rFonts w:ascii="Times New Roman" w:hAnsi="Times New Roman" w:cs="Times New Roman"/>
          <w:i/>
          <w:iCs/>
          <w:sz w:val="24"/>
        </w:rPr>
        <w:t>t</w:t>
      </w:r>
      <w:r>
        <w:rPr>
          <w:rFonts w:ascii="Times New Roman" w:hAnsi="Times New Roman" w:cs="Times New Roman"/>
          <w:sz w:val="24"/>
        </w:rPr>
        <w:t xml:space="preserve">-tests were used for comparisons within groups before and after the intervention, and independent sample </w:t>
      </w:r>
      <w:r>
        <w:rPr>
          <w:rFonts w:ascii="Times New Roman" w:hAnsi="Times New Roman" w:cs="Times New Roman"/>
          <w:i/>
          <w:iCs/>
          <w:sz w:val="24"/>
        </w:rPr>
        <w:t>t</w:t>
      </w:r>
      <w:r>
        <w:rPr>
          <w:rFonts w:ascii="Times New Roman" w:hAnsi="Times New Roman" w:cs="Times New Roman"/>
          <w:sz w:val="24"/>
        </w:rPr>
        <w:t>-tests were used for comparisons between groups. Count data were expressed as [n (%)], and comparisons were made using the χ</w:t>
      </w:r>
      <w:r>
        <w:rPr>
          <w:rFonts w:ascii="Times New Roman" w:hAnsi="Times New Roman" w:cs="Times New Roman"/>
          <w:sz w:val="24"/>
          <w:vertAlign w:val="superscript"/>
        </w:rPr>
        <w:t>2</w:t>
      </w:r>
      <w:r>
        <w:rPr>
          <w:rFonts w:ascii="Times New Roman" w:hAnsi="Times New Roman" w:cs="Times New Roman"/>
          <w:sz w:val="24"/>
        </w:rPr>
        <w:t xml:space="preserve"> test. A </w:t>
      </w:r>
      <w:r w:rsidR="00D806BD">
        <w:rPr>
          <w:rFonts w:ascii="Times New Roman" w:hAnsi="Times New Roman" w:cs="Times New Roman"/>
          <w:i/>
          <w:iCs/>
          <w:sz w:val="24"/>
        </w:rPr>
        <w:t>p</w:t>
      </w:r>
      <w:r>
        <w:rPr>
          <w:rFonts w:ascii="Times New Roman" w:hAnsi="Times New Roman" w:cs="Times New Roman"/>
          <w:sz w:val="24"/>
        </w:rPr>
        <w:t xml:space="preserve">-value &lt; 0.05 was considered statistically significant. </w:t>
      </w:r>
    </w:p>
    <w:p w14:paraId="625193D0" w14:textId="77777777" w:rsidR="00C51E3A" w:rsidRDefault="00C51E3A" w:rsidP="00847528">
      <w:pPr>
        <w:snapToGrid w:val="0"/>
        <w:rPr>
          <w:rFonts w:ascii="Times New Roman" w:hAnsi="Times New Roman" w:cs="Times New Roman"/>
          <w:sz w:val="24"/>
        </w:rPr>
      </w:pPr>
    </w:p>
    <w:p w14:paraId="6EA08AAC" w14:textId="77777777"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w:t>
      </w:r>
      <w:r>
        <w:rPr>
          <w:rFonts w:ascii="Times New Roman" w:hAnsi="Times New Roman" w:cs="Times New Roman"/>
          <w:b/>
          <w:bCs/>
          <w:sz w:val="24"/>
        </w:rPr>
        <w:t xml:space="preserve"> Results </w:t>
      </w:r>
    </w:p>
    <w:p w14:paraId="1FF4C8D8" w14:textId="4268731A"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.1</w:t>
      </w:r>
      <w:r>
        <w:rPr>
          <w:rFonts w:ascii="Times New Roman" w:hAnsi="Times New Roman" w:cs="Times New Roman" w:hint="eastAsia"/>
          <w:b/>
          <w:bCs/>
          <w:sz w:val="24"/>
        </w:rPr>
        <w:t>.</w:t>
      </w:r>
      <w:r>
        <w:rPr>
          <w:rFonts w:ascii="Times New Roman" w:hAnsi="Times New Roman" w:cs="Times New Roman"/>
          <w:b/>
          <w:bCs/>
          <w:sz w:val="24"/>
        </w:rPr>
        <w:t xml:space="preserve"> Comparison of </w:t>
      </w:r>
      <w:r w:rsidR="00D806BD">
        <w:rPr>
          <w:rFonts w:ascii="Times New Roman" w:hAnsi="Times New Roman" w:cs="Times New Roman"/>
          <w:b/>
          <w:bCs/>
          <w:sz w:val="24"/>
        </w:rPr>
        <w:t xml:space="preserve">nutritional status indicators between the two groups </w:t>
      </w:r>
    </w:p>
    <w:p w14:paraId="0CC9D0BA" w14:textId="67E80A35" w:rsidR="00C51E3A" w:rsidRDefault="004C7185" w:rsidP="00847528">
      <w:pPr>
        <w:snapToGrid w:val="0"/>
        <w:rPr>
          <w:rFonts w:ascii="Times New Roman" w:hAnsi="Times New Roman" w:cs="Times New Roman"/>
          <w:sz w:val="24"/>
        </w:rPr>
      </w:pPr>
      <w:r>
        <w:rPr>
          <w:rFonts w:ascii="Times New Roman" w:hAnsi="Times New Roman" w:cs="Times New Roman"/>
          <w:sz w:val="24"/>
        </w:rPr>
        <w:t>Before and After the Intervention</w:t>
      </w:r>
      <w:r w:rsidR="00D806BD">
        <w:rPr>
          <w:rFonts w:ascii="Times New Roman" w:hAnsi="Times New Roman" w:cs="Times New Roman"/>
          <w:sz w:val="24"/>
        </w:rPr>
        <w:t>.</w:t>
      </w:r>
      <w:r>
        <w:rPr>
          <w:rFonts w:ascii="Times New Roman" w:hAnsi="Times New Roman" w:cs="Times New Roman"/>
          <w:sz w:val="24"/>
        </w:rPr>
        <w:t xml:space="preserve"> Before the intervention, there were no statistically significant differences in BMI, Hb, ALB, and TP levels between the two groups (</w:t>
      </w:r>
      <w:r w:rsidR="00D806BD">
        <w:rPr>
          <w:rFonts w:ascii="Times New Roman" w:hAnsi="Times New Roman" w:cs="Times New Roman"/>
          <w:i/>
          <w:iCs/>
          <w:sz w:val="24"/>
        </w:rPr>
        <w:t>p</w:t>
      </w:r>
      <w:r w:rsidR="00D806BD">
        <w:rPr>
          <w:rFonts w:ascii="Times New Roman" w:hAnsi="Times New Roman" w:cs="Times New Roman"/>
          <w:sz w:val="24"/>
        </w:rPr>
        <w:t xml:space="preserve"> </w:t>
      </w:r>
      <w:r>
        <w:rPr>
          <w:rFonts w:ascii="Times New Roman" w:hAnsi="Times New Roman" w:cs="Times New Roman"/>
          <w:sz w:val="24"/>
        </w:rPr>
        <w:t>&gt; 0.05). After the intervention, all nutritional indicators in the study group were higher than those in the control group, with statistically significant differences (</w:t>
      </w:r>
      <w:r w:rsidR="00D806BD">
        <w:rPr>
          <w:rFonts w:ascii="Times New Roman" w:hAnsi="Times New Roman" w:cs="Times New Roman"/>
          <w:i/>
          <w:iCs/>
          <w:sz w:val="24"/>
        </w:rPr>
        <w:t>p</w:t>
      </w:r>
      <w:r w:rsidR="00D806BD">
        <w:rPr>
          <w:rFonts w:ascii="Times New Roman" w:hAnsi="Times New Roman" w:cs="Times New Roman"/>
          <w:sz w:val="24"/>
        </w:rPr>
        <w:t xml:space="preserve"> </w:t>
      </w:r>
      <w:r>
        <w:rPr>
          <w:rFonts w:ascii="Times New Roman" w:hAnsi="Times New Roman" w:cs="Times New Roman"/>
          <w:sz w:val="24"/>
        </w:rPr>
        <w:t xml:space="preserve">&lt; 0.05). See </w:t>
      </w:r>
      <w:r>
        <w:rPr>
          <w:rFonts w:ascii="Times New Roman" w:hAnsi="Times New Roman" w:cs="Times New Roman"/>
          <w:b/>
          <w:bCs/>
          <w:sz w:val="24"/>
        </w:rPr>
        <w:t>Table 1</w:t>
      </w:r>
      <w:r>
        <w:rPr>
          <w:rFonts w:ascii="Times New Roman" w:hAnsi="Times New Roman" w:cs="Times New Roman"/>
          <w:sz w:val="24"/>
        </w:rPr>
        <w:t xml:space="preserve"> for details. </w:t>
      </w:r>
    </w:p>
    <w:p w14:paraId="35592346" w14:textId="77777777" w:rsidR="00C51E3A" w:rsidRDefault="00C51E3A" w:rsidP="00847528">
      <w:pPr>
        <w:snapToGrid w:val="0"/>
        <w:rPr>
          <w:rFonts w:ascii="Times New Roman" w:hAnsi="Times New Roman" w:cs="Times New Roman"/>
          <w:sz w:val="24"/>
        </w:rPr>
      </w:pPr>
    </w:p>
    <w:p w14:paraId="37AAF4A5" w14:textId="1D283CA5" w:rsidR="00C51E3A" w:rsidRDefault="004C7185" w:rsidP="00847528">
      <w:pPr>
        <w:snapToGrid w:val="0"/>
        <w:rPr>
          <w:rFonts w:ascii="Times New Roman" w:hAnsi="Times New Roman" w:cs="Times New Roman"/>
          <w:sz w:val="24"/>
        </w:rPr>
      </w:pPr>
      <w:r>
        <w:rPr>
          <w:rFonts w:ascii="Times New Roman" w:hAnsi="Times New Roman" w:cs="Times New Roman"/>
          <w:b/>
          <w:bCs/>
          <w:sz w:val="24"/>
        </w:rPr>
        <w:t>Table 1</w:t>
      </w:r>
      <w:r w:rsidRPr="00847528">
        <w:rPr>
          <w:rFonts w:ascii="Times New Roman" w:hAnsi="Times New Roman" w:cs="Times New Roman" w:hint="eastAsia"/>
          <w:b/>
          <w:bCs/>
          <w:sz w:val="24"/>
        </w:rPr>
        <w:t>.</w:t>
      </w:r>
      <w:r>
        <w:rPr>
          <w:rFonts w:ascii="Times New Roman" w:hAnsi="Times New Roman" w:cs="Times New Roman"/>
          <w:sz w:val="24"/>
        </w:rPr>
        <w:t xml:space="preserve"> Comparison of </w:t>
      </w:r>
      <w:r w:rsidR="00D806BD">
        <w:rPr>
          <w:rFonts w:ascii="Times New Roman" w:hAnsi="Times New Roman" w:cs="Times New Roman"/>
          <w:sz w:val="24"/>
        </w:rPr>
        <w:t>nutritional status indicators between the two groups before and after the intervention</w:t>
      </w:r>
      <w:r>
        <w:rPr>
          <w:rFonts w:ascii="Times New Roman" w:hAnsi="Times New Roman" w:cs="Times New Roman"/>
          <w:sz w:val="24"/>
        </w:rPr>
        <w:t xml:space="preserve"> (</w:t>
      </w:r>
      <w:r>
        <w:rPr>
          <w:rFonts w:ascii="Times New Roman" w:eastAsia="SimSun" w:hAnsi="Times New Roman" w:cs="Times New Roman"/>
          <w:color w:val="0000FF"/>
          <w:position w:val="-6"/>
          <w:sz w:val="24"/>
        </w:rPr>
        <w:object w:dxaOrig="220" w:dyaOrig="270" w14:anchorId="6622A9C1">
          <v:shape id="_x0000_i1026" type="#_x0000_t75" style="width:10.9pt;height:13.65pt" o:ole="">
            <v:imagedata r:id="rId4" o:title=""/>
          </v:shape>
          <o:OLEObject Type="Embed" ProgID="Equation.DSMT4" ShapeID="_x0000_i1026" DrawAspect="Content" ObjectID="_1843104651" r:id="rId6"/>
        </w:object>
      </w:r>
      <w:r>
        <w:rPr>
          <w:rFonts w:ascii="Times New Roman" w:hAnsi="Times New Roman"/>
          <w:sz w:val="24"/>
        </w:rPr>
        <w:t>± s</w:t>
      </w:r>
      <w:r>
        <w:rPr>
          <w:rFonts w:ascii="Times New Roman" w:hAnsi="Times New Roman" w:cs="Times New Roman"/>
          <w:sz w:val="24"/>
        </w:rPr>
        <w:t>)</w:t>
      </w:r>
    </w:p>
    <w:tbl>
      <w:tblPr>
        <w:tblW w:w="4998" w:type="pct"/>
        <w:jc w:val="center"/>
        <w:tblCellMar>
          <w:top w:w="15" w:type="dxa"/>
          <w:left w:w="15" w:type="dxa"/>
          <w:bottom w:w="15" w:type="dxa"/>
          <w:right w:w="15" w:type="dxa"/>
        </w:tblCellMar>
        <w:tblLook w:val="04A0" w:firstRow="1" w:lastRow="0" w:firstColumn="1" w:lastColumn="0" w:noHBand="0" w:noVBand="1"/>
      </w:tblPr>
      <w:tblGrid>
        <w:gridCol w:w="583"/>
        <w:gridCol w:w="839"/>
        <w:gridCol w:w="1052"/>
        <w:gridCol w:w="1051"/>
        <w:gridCol w:w="1051"/>
        <w:gridCol w:w="1051"/>
        <w:gridCol w:w="1051"/>
        <w:gridCol w:w="1051"/>
        <w:gridCol w:w="1051"/>
        <w:gridCol w:w="858"/>
      </w:tblGrid>
      <w:tr w:rsidR="00C51E3A" w14:paraId="3C288E84" w14:textId="77777777" w:rsidTr="00847528">
        <w:trPr>
          <w:tblHeader/>
          <w:jc w:val="center"/>
        </w:trPr>
        <w:tc>
          <w:tcPr>
            <w:tcW w:w="309" w:type="pct"/>
            <w:vMerge w:val="restart"/>
            <w:tcBorders>
              <w:top w:val="single" w:sz="4" w:space="0" w:color="auto"/>
              <w:left w:val="nil"/>
              <w:bottom w:val="nil"/>
              <w:right w:val="nil"/>
            </w:tcBorders>
            <w:tcMar>
              <w:top w:w="120" w:type="dxa"/>
              <w:left w:w="-1" w:type="dxa"/>
              <w:bottom w:w="120" w:type="dxa"/>
              <w:right w:w="192" w:type="dxa"/>
            </w:tcMar>
            <w:vAlign w:val="center"/>
          </w:tcPr>
          <w:p w14:paraId="34782AF8"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Group</w:t>
            </w:r>
          </w:p>
        </w:tc>
        <w:tc>
          <w:tcPr>
            <w:tcW w:w="407" w:type="pct"/>
            <w:vMerge w:val="restart"/>
            <w:tcBorders>
              <w:top w:val="single" w:sz="4" w:space="0" w:color="auto"/>
              <w:left w:val="nil"/>
              <w:bottom w:val="nil"/>
              <w:right w:val="nil"/>
            </w:tcBorders>
            <w:tcMar>
              <w:top w:w="120" w:type="dxa"/>
              <w:left w:w="192" w:type="dxa"/>
              <w:bottom w:w="120" w:type="dxa"/>
              <w:right w:w="192" w:type="dxa"/>
            </w:tcMar>
            <w:vAlign w:val="center"/>
          </w:tcPr>
          <w:p w14:paraId="01153B72" w14:textId="4BDC7FD3"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 xml:space="preserve">Number of </w:t>
            </w:r>
            <w:r w:rsidR="003B348E">
              <w:rPr>
                <w:rFonts w:ascii="Times New Roman" w:eastAsia="Segoe UI" w:hAnsi="Times New Roman" w:cs="Times New Roman"/>
                <w:b/>
                <w:kern w:val="0"/>
                <w:sz w:val="24"/>
                <w:lang w:bidi="ar"/>
              </w:rPr>
              <w:t>c</w:t>
            </w:r>
            <w:r w:rsidR="003B348E">
              <w:rPr>
                <w:rFonts w:ascii="Times New Roman" w:eastAsia="Segoe UI" w:hAnsi="Times New Roman" w:cs="Times New Roman"/>
                <w:b/>
                <w:kern w:val="0"/>
                <w:sz w:val="24"/>
                <w:lang w:bidi="ar"/>
              </w:rPr>
              <w:t>ases</w:t>
            </w:r>
          </w:p>
        </w:tc>
        <w:tc>
          <w:tcPr>
            <w:tcW w:w="1078" w:type="pct"/>
            <w:gridSpan w:val="2"/>
            <w:tcBorders>
              <w:top w:val="single" w:sz="4" w:space="0" w:color="auto"/>
              <w:left w:val="nil"/>
              <w:bottom w:val="single" w:sz="4" w:space="0" w:color="auto"/>
              <w:right w:val="nil"/>
            </w:tcBorders>
            <w:tcMar>
              <w:top w:w="120" w:type="dxa"/>
              <w:left w:w="192" w:type="dxa"/>
              <w:bottom w:w="120" w:type="dxa"/>
              <w:right w:w="192" w:type="dxa"/>
            </w:tcMar>
            <w:vAlign w:val="center"/>
          </w:tcPr>
          <w:p w14:paraId="2696459B" w14:textId="6520A30F" w:rsidR="00C51E3A" w:rsidRDefault="004C7185" w:rsidP="00D806BD">
            <w:pPr>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BMI/(kg/m</w:t>
            </w:r>
            <w:r w:rsidR="003B348E">
              <w:rPr>
                <w:rFonts w:ascii="Times New Roman" w:eastAsia="Segoe UI" w:hAnsi="Times New Roman" w:cs="Times New Roman"/>
                <w:b/>
                <w:kern w:val="0"/>
                <w:sz w:val="24"/>
                <w:vertAlign w:val="superscript"/>
                <w:lang w:bidi="ar"/>
              </w:rPr>
              <w:t>2</w:t>
            </w:r>
            <w:r>
              <w:rPr>
                <w:rFonts w:ascii="Times New Roman" w:eastAsia="Segoe UI" w:hAnsi="Times New Roman" w:cs="Times New Roman"/>
                <w:b/>
                <w:kern w:val="0"/>
                <w:sz w:val="24"/>
                <w:lang w:bidi="ar"/>
              </w:rPr>
              <w:t>)</w:t>
            </w:r>
          </w:p>
        </w:tc>
        <w:tc>
          <w:tcPr>
            <w:tcW w:w="1104" w:type="pct"/>
            <w:gridSpan w:val="2"/>
            <w:tcBorders>
              <w:top w:val="single" w:sz="4" w:space="0" w:color="auto"/>
              <w:left w:val="nil"/>
              <w:bottom w:val="single" w:sz="4" w:space="0" w:color="auto"/>
              <w:right w:val="nil"/>
            </w:tcBorders>
            <w:tcMar>
              <w:top w:w="120" w:type="dxa"/>
              <w:left w:w="192" w:type="dxa"/>
              <w:bottom w:w="120" w:type="dxa"/>
              <w:right w:w="192" w:type="dxa"/>
            </w:tcMar>
            <w:vAlign w:val="center"/>
          </w:tcPr>
          <w:p w14:paraId="6DF8FFD5" w14:textId="77777777" w:rsidR="00C51E3A" w:rsidRDefault="004C7185" w:rsidP="00D806BD">
            <w:pPr>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Hb/(g/L)</w:t>
            </w:r>
          </w:p>
        </w:tc>
        <w:tc>
          <w:tcPr>
            <w:tcW w:w="1078" w:type="pct"/>
            <w:gridSpan w:val="2"/>
            <w:tcBorders>
              <w:top w:val="single" w:sz="4" w:space="0" w:color="auto"/>
              <w:left w:val="nil"/>
              <w:bottom w:val="single" w:sz="4" w:space="0" w:color="auto"/>
              <w:right w:val="nil"/>
            </w:tcBorders>
            <w:tcMar>
              <w:top w:w="120" w:type="dxa"/>
              <w:left w:w="192" w:type="dxa"/>
              <w:bottom w:w="120" w:type="dxa"/>
              <w:right w:w="192" w:type="dxa"/>
            </w:tcMar>
            <w:vAlign w:val="center"/>
          </w:tcPr>
          <w:p w14:paraId="047B8063" w14:textId="77777777" w:rsidR="00C51E3A" w:rsidRDefault="004C7185" w:rsidP="00D806BD">
            <w:pPr>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ALB/(g/L)</w:t>
            </w:r>
          </w:p>
        </w:tc>
        <w:tc>
          <w:tcPr>
            <w:tcW w:w="1020" w:type="pct"/>
            <w:gridSpan w:val="2"/>
            <w:tcBorders>
              <w:top w:val="single" w:sz="4" w:space="0" w:color="auto"/>
              <w:left w:val="nil"/>
              <w:bottom w:val="single" w:sz="4" w:space="0" w:color="auto"/>
              <w:right w:val="nil"/>
            </w:tcBorders>
            <w:tcMar>
              <w:top w:w="120" w:type="dxa"/>
              <w:left w:w="192" w:type="dxa"/>
              <w:bottom w:w="120" w:type="dxa"/>
              <w:right w:w="192" w:type="dxa"/>
            </w:tcMar>
            <w:vAlign w:val="center"/>
          </w:tcPr>
          <w:p w14:paraId="10F90459" w14:textId="77777777" w:rsidR="00C51E3A" w:rsidRDefault="004C7185" w:rsidP="00D806BD">
            <w:pPr>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TP/(g/L)</w:t>
            </w:r>
          </w:p>
        </w:tc>
      </w:tr>
      <w:tr w:rsidR="00C51E3A" w14:paraId="5571692E" w14:textId="77777777" w:rsidTr="00847528">
        <w:trPr>
          <w:tblHeader/>
          <w:jc w:val="center"/>
        </w:trPr>
        <w:tc>
          <w:tcPr>
            <w:tcW w:w="309" w:type="pct"/>
            <w:vMerge/>
            <w:tcBorders>
              <w:top w:val="nil"/>
              <w:left w:val="nil"/>
              <w:bottom w:val="nil"/>
              <w:right w:val="nil"/>
            </w:tcBorders>
            <w:tcMar>
              <w:top w:w="120" w:type="dxa"/>
              <w:left w:w="-1" w:type="dxa"/>
              <w:bottom w:w="120" w:type="dxa"/>
              <w:right w:w="192" w:type="dxa"/>
            </w:tcMar>
            <w:vAlign w:val="center"/>
          </w:tcPr>
          <w:p w14:paraId="7AF04307" w14:textId="77777777" w:rsidR="00C51E3A" w:rsidRDefault="00C51E3A" w:rsidP="00D806BD">
            <w:pPr>
              <w:snapToGrid w:val="0"/>
              <w:jc w:val="center"/>
              <w:rPr>
                <w:rFonts w:ascii="Times New Roman" w:eastAsia="Segoe UI" w:hAnsi="Times New Roman" w:cs="Times New Roman"/>
                <w:b/>
                <w:sz w:val="24"/>
              </w:rPr>
            </w:pPr>
          </w:p>
        </w:tc>
        <w:tc>
          <w:tcPr>
            <w:tcW w:w="407" w:type="pct"/>
            <w:vMerge/>
            <w:tcBorders>
              <w:top w:val="nil"/>
              <w:left w:val="nil"/>
              <w:bottom w:val="nil"/>
              <w:right w:val="nil"/>
            </w:tcBorders>
            <w:tcMar>
              <w:top w:w="120" w:type="dxa"/>
              <w:left w:w="192" w:type="dxa"/>
              <w:bottom w:w="120" w:type="dxa"/>
              <w:right w:w="192" w:type="dxa"/>
            </w:tcMar>
            <w:vAlign w:val="center"/>
          </w:tcPr>
          <w:p w14:paraId="6E486504" w14:textId="77777777" w:rsidR="00C51E3A" w:rsidRDefault="00C51E3A" w:rsidP="00D806BD">
            <w:pPr>
              <w:snapToGrid w:val="0"/>
              <w:jc w:val="center"/>
              <w:rPr>
                <w:rFonts w:ascii="Times New Roman" w:eastAsia="Segoe UI" w:hAnsi="Times New Roman" w:cs="Times New Roman"/>
                <w:b/>
                <w:sz w:val="24"/>
              </w:rPr>
            </w:pP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6A5845DC"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Before intervention</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577CE90E"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After intervention</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6E0599A5"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Before intervention</w:t>
            </w:r>
          </w:p>
        </w:tc>
        <w:tc>
          <w:tcPr>
            <w:tcW w:w="565" w:type="pct"/>
            <w:tcBorders>
              <w:top w:val="single" w:sz="4" w:space="0" w:color="auto"/>
              <w:left w:val="nil"/>
              <w:bottom w:val="nil"/>
              <w:right w:val="nil"/>
            </w:tcBorders>
            <w:tcMar>
              <w:top w:w="120" w:type="dxa"/>
              <w:left w:w="192" w:type="dxa"/>
              <w:bottom w:w="120" w:type="dxa"/>
              <w:right w:w="192" w:type="dxa"/>
            </w:tcMar>
            <w:vAlign w:val="center"/>
          </w:tcPr>
          <w:p w14:paraId="67E44DCB"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After intervention</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3C895284"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Before intervention</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7B2F6FC3"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After intervention</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65DF7590"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Before intervention</w:t>
            </w:r>
          </w:p>
        </w:tc>
        <w:tc>
          <w:tcPr>
            <w:tcW w:w="481" w:type="pct"/>
            <w:tcBorders>
              <w:top w:val="single" w:sz="4" w:space="0" w:color="auto"/>
              <w:left w:val="nil"/>
              <w:bottom w:val="nil"/>
              <w:right w:val="nil"/>
            </w:tcBorders>
            <w:tcMar>
              <w:top w:w="120" w:type="dxa"/>
              <w:left w:w="192" w:type="dxa"/>
              <w:bottom w:w="120" w:type="dxa"/>
              <w:right w:w="-1" w:type="dxa"/>
            </w:tcMar>
            <w:vAlign w:val="center"/>
          </w:tcPr>
          <w:p w14:paraId="48ADFA8A" w14:textId="77777777" w:rsidR="00C51E3A" w:rsidRDefault="004C7185" w:rsidP="00D806BD">
            <w:pPr>
              <w:widowControl/>
              <w:snapToGrid w:val="0"/>
              <w:jc w:val="center"/>
              <w:rPr>
                <w:rFonts w:ascii="Times New Roman" w:eastAsia="Segoe UI" w:hAnsi="Times New Roman" w:cs="Times New Roman"/>
                <w:b/>
                <w:sz w:val="24"/>
              </w:rPr>
            </w:pPr>
            <w:r>
              <w:rPr>
                <w:rFonts w:ascii="Times New Roman" w:eastAsia="Segoe UI" w:hAnsi="Times New Roman" w:cs="Times New Roman"/>
                <w:b/>
                <w:kern w:val="0"/>
                <w:sz w:val="24"/>
                <w:lang w:bidi="ar"/>
              </w:rPr>
              <w:t>After intervention</w:t>
            </w:r>
          </w:p>
        </w:tc>
      </w:tr>
      <w:tr w:rsidR="00C51E3A" w14:paraId="6180AEAB" w14:textId="77777777">
        <w:trPr>
          <w:jc w:val="center"/>
        </w:trPr>
        <w:tc>
          <w:tcPr>
            <w:tcW w:w="309" w:type="pct"/>
            <w:tcBorders>
              <w:top w:val="single" w:sz="4" w:space="0" w:color="auto"/>
              <w:left w:val="nil"/>
              <w:bottom w:val="nil"/>
              <w:right w:val="nil"/>
            </w:tcBorders>
            <w:tcMar>
              <w:top w:w="120" w:type="dxa"/>
              <w:left w:w="-1" w:type="dxa"/>
              <w:bottom w:w="120" w:type="dxa"/>
              <w:right w:w="192" w:type="dxa"/>
            </w:tcMar>
            <w:vAlign w:val="center"/>
          </w:tcPr>
          <w:p w14:paraId="7ADCFCDF"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Control group</w:t>
            </w:r>
          </w:p>
        </w:tc>
        <w:tc>
          <w:tcPr>
            <w:tcW w:w="407" w:type="pct"/>
            <w:tcBorders>
              <w:top w:val="single" w:sz="4" w:space="0" w:color="auto"/>
              <w:left w:val="nil"/>
              <w:bottom w:val="nil"/>
              <w:right w:val="nil"/>
            </w:tcBorders>
            <w:tcMar>
              <w:top w:w="120" w:type="dxa"/>
              <w:left w:w="192" w:type="dxa"/>
              <w:bottom w:w="120" w:type="dxa"/>
              <w:right w:w="192" w:type="dxa"/>
            </w:tcMar>
            <w:vAlign w:val="center"/>
          </w:tcPr>
          <w:p w14:paraId="0ADDFE30"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35</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016D1EA1" w14:textId="63CB3DEC"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20.84</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1.43</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523CB9E3" w14:textId="755FA765"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19.99</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1.36</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7EB42A88" w14:textId="09D4751A"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111.34</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8.15</w:t>
            </w:r>
          </w:p>
        </w:tc>
        <w:tc>
          <w:tcPr>
            <w:tcW w:w="565" w:type="pct"/>
            <w:tcBorders>
              <w:top w:val="single" w:sz="4" w:space="0" w:color="auto"/>
              <w:left w:val="nil"/>
              <w:bottom w:val="nil"/>
              <w:right w:val="nil"/>
            </w:tcBorders>
            <w:tcMar>
              <w:top w:w="120" w:type="dxa"/>
              <w:left w:w="192" w:type="dxa"/>
              <w:bottom w:w="120" w:type="dxa"/>
              <w:right w:w="192" w:type="dxa"/>
            </w:tcMar>
            <w:vAlign w:val="center"/>
          </w:tcPr>
          <w:p w14:paraId="60D08C61" w14:textId="0AA5FD5C"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110.47</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7.64</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3BA65183" w14:textId="4B98AC3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32.12</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2.03</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7691D41F" w14:textId="3751E654"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31.61</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1.85</w:t>
            </w:r>
          </w:p>
        </w:tc>
        <w:tc>
          <w:tcPr>
            <w:tcW w:w="539" w:type="pct"/>
            <w:tcBorders>
              <w:top w:val="single" w:sz="4" w:space="0" w:color="auto"/>
              <w:left w:val="nil"/>
              <w:bottom w:val="nil"/>
              <w:right w:val="nil"/>
            </w:tcBorders>
            <w:tcMar>
              <w:top w:w="120" w:type="dxa"/>
              <w:left w:w="192" w:type="dxa"/>
              <w:bottom w:w="120" w:type="dxa"/>
              <w:right w:w="192" w:type="dxa"/>
            </w:tcMar>
            <w:vAlign w:val="center"/>
          </w:tcPr>
          <w:p w14:paraId="538398AE" w14:textId="10F61E31"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65.36</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3.43</w:t>
            </w:r>
          </w:p>
        </w:tc>
        <w:tc>
          <w:tcPr>
            <w:tcW w:w="481" w:type="pct"/>
            <w:tcBorders>
              <w:top w:val="single" w:sz="4" w:space="0" w:color="auto"/>
              <w:left w:val="nil"/>
              <w:bottom w:val="nil"/>
              <w:right w:val="nil"/>
            </w:tcBorders>
            <w:tcMar>
              <w:top w:w="120" w:type="dxa"/>
              <w:left w:w="192" w:type="dxa"/>
              <w:bottom w:w="120" w:type="dxa"/>
              <w:right w:w="-1" w:type="dxa"/>
            </w:tcMar>
            <w:vAlign w:val="center"/>
          </w:tcPr>
          <w:p w14:paraId="7A8528F1" w14:textId="4DEBC925"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64.75</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3.25</w:t>
            </w:r>
          </w:p>
        </w:tc>
      </w:tr>
      <w:tr w:rsidR="00C51E3A" w14:paraId="45DCF8C0" w14:textId="77777777">
        <w:trPr>
          <w:jc w:val="center"/>
        </w:trPr>
        <w:tc>
          <w:tcPr>
            <w:tcW w:w="309" w:type="pct"/>
            <w:tcBorders>
              <w:top w:val="nil"/>
              <w:left w:val="nil"/>
              <w:bottom w:val="nil"/>
              <w:right w:val="nil"/>
            </w:tcBorders>
            <w:tcMar>
              <w:top w:w="120" w:type="dxa"/>
              <w:left w:w="-1" w:type="dxa"/>
              <w:bottom w:w="120" w:type="dxa"/>
              <w:right w:w="192" w:type="dxa"/>
            </w:tcMar>
            <w:vAlign w:val="center"/>
          </w:tcPr>
          <w:p w14:paraId="20B9BF8C"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Study group</w:t>
            </w:r>
          </w:p>
        </w:tc>
        <w:tc>
          <w:tcPr>
            <w:tcW w:w="407" w:type="pct"/>
            <w:tcBorders>
              <w:top w:val="nil"/>
              <w:left w:val="nil"/>
              <w:bottom w:val="nil"/>
              <w:right w:val="nil"/>
            </w:tcBorders>
            <w:tcMar>
              <w:top w:w="120" w:type="dxa"/>
              <w:left w:w="192" w:type="dxa"/>
              <w:bottom w:w="120" w:type="dxa"/>
              <w:right w:w="192" w:type="dxa"/>
            </w:tcMar>
            <w:vAlign w:val="center"/>
          </w:tcPr>
          <w:p w14:paraId="10F62724"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35</w:t>
            </w:r>
          </w:p>
        </w:tc>
        <w:tc>
          <w:tcPr>
            <w:tcW w:w="539" w:type="pct"/>
            <w:tcBorders>
              <w:top w:val="nil"/>
              <w:left w:val="nil"/>
              <w:bottom w:val="nil"/>
              <w:right w:val="nil"/>
            </w:tcBorders>
            <w:tcMar>
              <w:top w:w="120" w:type="dxa"/>
              <w:left w:w="192" w:type="dxa"/>
              <w:bottom w:w="120" w:type="dxa"/>
              <w:right w:w="192" w:type="dxa"/>
            </w:tcMar>
            <w:vAlign w:val="center"/>
          </w:tcPr>
          <w:p w14:paraId="4E485C48" w14:textId="6FCDBF6D"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21.15</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1.57</w:t>
            </w:r>
          </w:p>
        </w:tc>
        <w:tc>
          <w:tcPr>
            <w:tcW w:w="539" w:type="pct"/>
            <w:tcBorders>
              <w:top w:val="nil"/>
              <w:left w:val="nil"/>
              <w:bottom w:val="nil"/>
              <w:right w:val="nil"/>
            </w:tcBorders>
            <w:tcMar>
              <w:top w:w="120" w:type="dxa"/>
              <w:left w:w="192" w:type="dxa"/>
              <w:bottom w:w="120" w:type="dxa"/>
              <w:right w:w="192" w:type="dxa"/>
            </w:tcMar>
            <w:vAlign w:val="center"/>
          </w:tcPr>
          <w:p w14:paraId="49090594" w14:textId="6F2817EC"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22.41</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1.52*</w:t>
            </w:r>
          </w:p>
        </w:tc>
        <w:tc>
          <w:tcPr>
            <w:tcW w:w="539" w:type="pct"/>
            <w:tcBorders>
              <w:top w:val="nil"/>
              <w:left w:val="nil"/>
              <w:bottom w:val="nil"/>
              <w:right w:val="nil"/>
            </w:tcBorders>
            <w:tcMar>
              <w:top w:w="120" w:type="dxa"/>
              <w:left w:w="192" w:type="dxa"/>
              <w:bottom w:w="120" w:type="dxa"/>
              <w:right w:w="192" w:type="dxa"/>
            </w:tcMar>
            <w:vAlign w:val="center"/>
          </w:tcPr>
          <w:p w14:paraId="7A27ED48" w14:textId="173DD86E"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112.91</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7.93</w:t>
            </w:r>
          </w:p>
        </w:tc>
        <w:tc>
          <w:tcPr>
            <w:tcW w:w="565" w:type="pct"/>
            <w:tcBorders>
              <w:top w:val="nil"/>
              <w:left w:val="nil"/>
              <w:bottom w:val="nil"/>
              <w:right w:val="nil"/>
            </w:tcBorders>
            <w:tcMar>
              <w:top w:w="120" w:type="dxa"/>
              <w:left w:w="192" w:type="dxa"/>
              <w:bottom w:w="120" w:type="dxa"/>
              <w:right w:w="192" w:type="dxa"/>
            </w:tcMar>
            <w:vAlign w:val="center"/>
          </w:tcPr>
          <w:p w14:paraId="68C6E049" w14:textId="365A60E5"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121.34</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8.32*</w:t>
            </w:r>
          </w:p>
        </w:tc>
        <w:tc>
          <w:tcPr>
            <w:tcW w:w="539" w:type="pct"/>
            <w:tcBorders>
              <w:top w:val="nil"/>
              <w:left w:val="nil"/>
              <w:bottom w:val="nil"/>
              <w:right w:val="nil"/>
            </w:tcBorders>
            <w:tcMar>
              <w:top w:w="120" w:type="dxa"/>
              <w:left w:w="192" w:type="dxa"/>
              <w:bottom w:w="120" w:type="dxa"/>
              <w:right w:w="192" w:type="dxa"/>
            </w:tcMar>
            <w:vAlign w:val="center"/>
          </w:tcPr>
          <w:p w14:paraId="3097378C" w14:textId="18A0A3A8"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32.48</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1.98</w:t>
            </w:r>
          </w:p>
        </w:tc>
        <w:tc>
          <w:tcPr>
            <w:tcW w:w="539" w:type="pct"/>
            <w:tcBorders>
              <w:top w:val="nil"/>
              <w:left w:val="nil"/>
              <w:bottom w:val="nil"/>
              <w:right w:val="nil"/>
            </w:tcBorders>
            <w:tcMar>
              <w:top w:w="120" w:type="dxa"/>
              <w:left w:w="192" w:type="dxa"/>
              <w:bottom w:w="120" w:type="dxa"/>
              <w:right w:w="192" w:type="dxa"/>
            </w:tcMar>
            <w:vAlign w:val="center"/>
          </w:tcPr>
          <w:p w14:paraId="343AC655" w14:textId="28771FD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34.47</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2.12*</w:t>
            </w:r>
          </w:p>
        </w:tc>
        <w:tc>
          <w:tcPr>
            <w:tcW w:w="539" w:type="pct"/>
            <w:tcBorders>
              <w:top w:val="nil"/>
              <w:left w:val="nil"/>
              <w:bottom w:val="nil"/>
              <w:right w:val="nil"/>
            </w:tcBorders>
            <w:tcMar>
              <w:top w:w="120" w:type="dxa"/>
              <w:left w:w="192" w:type="dxa"/>
              <w:bottom w:w="120" w:type="dxa"/>
              <w:right w:w="192" w:type="dxa"/>
            </w:tcMar>
            <w:vAlign w:val="center"/>
          </w:tcPr>
          <w:p w14:paraId="4DD787DD" w14:textId="33EE7AC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65.76</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3.36</w:t>
            </w:r>
          </w:p>
        </w:tc>
        <w:tc>
          <w:tcPr>
            <w:tcW w:w="481" w:type="pct"/>
            <w:tcBorders>
              <w:top w:val="nil"/>
              <w:left w:val="nil"/>
              <w:bottom w:val="nil"/>
              <w:right w:val="nil"/>
            </w:tcBorders>
            <w:tcMar>
              <w:top w:w="120" w:type="dxa"/>
              <w:left w:w="192" w:type="dxa"/>
              <w:bottom w:w="120" w:type="dxa"/>
              <w:right w:w="-1" w:type="dxa"/>
            </w:tcMar>
            <w:vAlign w:val="center"/>
          </w:tcPr>
          <w:p w14:paraId="60841315" w14:textId="718D4754"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68.81</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3.58*</w:t>
            </w:r>
          </w:p>
        </w:tc>
      </w:tr>
      <w:tr w:rsidR="00C51E3A" w14:paraId="2E5B95EF" w14:textId="77777777">
        <w:trPr>
          <w:jc w:val="center"/>
        </w:trPr>
        <w:tc>
          <w:tcPr>
            <w:tcW w:w="309" w:type="pct"/>
            <w:tcBorders>
              <w:top w:val="nil"/>
              <w:left w:val="nil"/>
              <w:bottom w:val="nil"/>
              <w:right w:val="nil"/>
            </w:tcBorders>
            <w:tcMar>
              <w:top w:w="120" w:type="dxa"/>
              <w:left w:w="-1" w:type="dxa"/>
              <w:bottom w:w="120" w:type="dxa"/>
              <w:right w:w="192" w:type="dxa"/>
            </w:tcMar>
            <w:vAlign w:val="center"/>
          </w:tcPr>
          <w:p w14:paraId="493FBBB6" w14:textId="77777777" w:rsidR="00C51E3A" w:rsidRDefault="004C7185" w:rsidP="00D806BD">
            <w:pPr>
              <w:widowControl/>
              <w:snapToGrid w:val="0"/>
              <w:jc w:val="center"/>
              <w:rPr>
                <w:rFonts w:ascii="Times New Roman" w:eastAsia="Segoe UI" w:hAnsi="Times New Roman" w:cs="Times New Roman"/>
                <w:i/>
                <w:iCs/>
                <w:sz w:val="24"/>
              </w:rPr>
            </w:pPr>
            <w:r>
              <w:rPr>
                <w:rFonts w:ascii="Times New Roman" w:eastAsia="Segoe UI" w:hAnsi="Times New Roman" w:cs="Times New Roman"/>
                <w:i/>
                <w:iCs/>
                <w:kern w:val="0"/>
                <w:sz w:val="24"/>
                <w:lang w:bidi="ar"/>
              </w:rPr>
              <w:t>t</w:t>
            </w:r>
          </w:p>
        </w:tc>
        <w:tc>
          <w:tcPr>
            <w:tcW w:w="407" w:type="pct"/>
            <w:tcBorders>
              <w:top w:val="nil"/>
              <w:left w:val="nil"/>
              <w:bottom w:val="nil"/>
              <w:right w:val="nil"/>
            </w:tcBorders>
            <w:tcMar>
              <w:top w:w="120" w:type="dxa"/>
              <w:left w:w="192" w:type="dxa"/>
              <w:bottom w:w="120" w:type="dxa"/>
              <w:right w:w="192" w:type="dxa"/>
            </w:tcMar>
            <w:vAlign w:val="center"/>
          </w:tcPr>
          <w:p w14:paraId="2D11066A"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w:t>
            </w:r>
          </w:p>
        </w:tc>
        <w:tc>
          <w:tcPr>
            <w:tcW w:w="539" w:type="pct"/>
            <w:tcBorders>
              <w:top w:val="nil"/>
              <w:left w:val="nil"/>
              <w:bottom w:val="nil"/>
              <w:right w:val="nil"/>
            </w:tcBorders>
            <w:tcMar>
              <w:top w:w="120" w:type="dxa"/>
              <w:left w:w="192" w:type="dxa"/>
              <w:bottom w:w="120" w:type="dxa"/>
              <w:right w:w="192" w:type="dxa"/>
            </w:tcMar>
            <w:vAlign w:val="center"/>
          </w:tcPr>
          <w:p w14:paraId="012FED6C"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0.542</w:t>
            </w:r>
          </w:p>
        </w:tc>
        <w:tc>
          <w:tcPr>
            <w:tcW w:w="539" w:type="pct"/>
            <w:tcBorders>
              <w:top w:val="nil"/>
              <w:left w:val="nil"/>
              <w:bottom w:val="nil"/>
              <w:right w:val="nil"/>
            </w:tcBorders>
            <w:tcMar>
              <w:top w:w="120" w:type="dxa"/>
              <w:left w:w="192" w:type="dxa"/>
              <w:bottom w:w="120" w:type="dxa"/>
              <w:right w:w="192" w:type="dxa"/>
            </w:tcMar>
            <w:vAlign w:val="center"/>
          </w:tcPr>
          <w:p w14:paraId="26B404B4"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6.735</w:t>
            </w:r>
          </w:p>
        </w:tc>
        <w:tc>
          <w:tcPr>
            <w:tcW w:w="539" w:type="pct"/>
            <w:tcBorders>
              <w:top w:val="nil"/>
              <w:left w:val="nil"/>
              <w:bottom w:val="nil"/>
              <w:right w:val="nil"/>
            </w:tcBorders>
            <w:tcMar>
              <w:top w:w="120" w:type="dxa"/>
              <w:left w:w="192" w:type="dxa"/>
              <w:bottom w:w="120" w:type="dxa"/>
              <w:right w:w="192" w:type="dxa"/>
            </w:tcMar>
            <w:vAlign w:val="center"/>
          </w:tcPr>
          <w:p w14:paraId="63253745"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0.338</w:t>
            </w:r>
          </w:p>
        </w:tc>
        <w:tc>
          <w:tcPr>
            <w:tcW w:w="565" w:type="pct"/>
            <w:tcBorders>
              <w:top w:val="nil"/>
              <w:left w:val="nil"/>
              <w:bottom w:val="nil"/>
              <w:right w:val="nil"/>
            </w:tcBorders>
            <w:tcMar>
              <w:top w:w="120" w:type="dxa"/>
              <w:left w:w="192" w:type="dxa"/>
              <w:bottom w:w="120" w:type="dxa"/>
              <w:right w:w="192" w:type="dxa"/>
            </w:tcMar>
            <w:vAlign w:val="center"/>
          </w:tcPr>
          <w:p w14:paraId="25C63B28"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5.982</w:t>
            </w:r>
          </w:p>
        </w:tc>
        <w:tc>
          <w:tcPr>
            <w:tcW w:w="539" w:type="pct"/>
            <w:tcBorders>
              <w:top w:val="nil"/>
              <w:left w:val="nil"/>
              <w:bottom w:val="nil"/>
              <w:right w:val="nil"/>
            </w:tcBorders>
            <w:tcMar>
              <w:top w:w="120" w:type="dxa"/>
              <w:left w:w="192" w:type="dxa"/>
              <w:bottom w:w="120" w:type="dxa"/>
              <w:right w:w="192" w:type="dxa"/>
            </w:tcMar>
            <w:vAlign w:val="center"/>
          </w:tcPr>
          <w:p w14:paraId="40D82AAC"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0.401</w:t>
            </w:r>
          </w:p>
        </w:tc>
        <w:tc>
          <w:tcPr>
            <w:tcW w:w="539" w:type="pct"/>
            <w:tcBorders>
              <w:top w:val="nil"/>
              <w:left w:val="nil"/>
              <w:bottom w:val="nil"/>
              <w:right w:val="nil"/>
            </w:tcBorders>
            <w:tcMar>
              <w:top w:w="120" w:type="dxa"/>
              <w:left w:w="192" w:type="dxa"/>
              <w:bottom w:w="120" w:type="dxa"/>
              <w:right w:w="192" w:type="dxa"/>
            </w:tcMar>
            <w:vAlign w:val="center"/>
          </w:tcPr>
          <w:p w14:paraId="3FE9EAB7"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6.217</w:t>
            </w:r>
          </w:p>
        </w:tc>
        <w:tc>
          <w:tcPr>
            <w:tcW w:w="539" w:type="pct"/>
            <w:tcBorders>
              <w:top w:val="nil"/>
              <w:left w:val="nil"/>
              <w:bottom w:val="nil"/>
              <w:right w:val="nil"/>
            </w:tcBorders>
            <w:tcMar>
              <w:top w:w="120" w:type="dxa"/>
              <w:left w:w="192" w:type="dxa"/>
              <w:bottom w:w="120" w:type="dxa"/>
              <w:right w:w="192" w:type="dxa"/>
            </w:tcMar>
            <w:vAlign w:val="center"/>
          </w:tcPr>
          <w:p w14:paraId="0BDE4D58"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0.385</w:t>
            </w:r>
          </w:p>
        </w:tc>
        <w:tc>
          <w:tcPr>
            <w:tcW w:w="481" w:type="pct"/>
            <w:tcBorders>
              <w:top w:val="nil"/>
              <w:left w:val="nil"/>
              <w:bottom w:val="nil"/>
              <w:right w:val="nil"/>
            </w:tcBorders>
            <w:tcMar>
              <w:top w:w="120" w:type="dxa"/>
              <w:left w:w="192" w:type="dxa"/>
              <w:bottom w:w="120" w:type="dxa"/>
              <w:right w:w="-1" w:type="dxa"/>
            </w:tcMar>
            <w:vAlign w:val="center"/>
          </w:tcPr>
          <w:p w14:paraId="6A49DACB"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5.643</w:t>
            </w:r>
          </w:p>
        </w:tc>
      </w:tr>
      <w:tr w:rsidR="00C51E3A" w14:paraId="19ECC387" w14:textId="77777777" w:rsidTr="00847528">
        <w:trPr>
          <w:jc w:val="center"/>
        </w:trPr>
        <w:tc>
          <w:tcPr>
            <w:tcW w:w="309" w:type="pct"/>
            <w:tcBorders>
              <w:top w:val="nil"/>
              <w:left w:val="nil"/>
              <w:bottom w:val="single" w:sz="4" w:space="0" w:color="auto"/>
              <w:right w:val="nil"/>
            </w:tcBorders>
            <w:tcMar>
              <w:top w:w="120" w:type="dxa"/>
              <w:left w:w="-1" w:type="dxa"/>
              <w:bottom w:w="120" w:type="dxa"/>
              <w:right w:w="192" w:type="dxa"/>
            </w:tcMar>
            <w:vAlign w:val="center"/>
          </w:tcPr>
          <w:p w14:paraId="0A93B2CA" w14:textId="301C5562" w:rsidR="00C51E3A" w:rsidRDefault="003B348E" w:rsidP="00D806BD">
            <w:pPr>
              <w:widowControl/>
              <w:snapToGrid w:val="0"/>
              <w:jc w:val="center"/>
              <w:rPr>
                <w:rFonts w:ascii="Times New Roman" w:eastAsia="Segoe UI" w:hAnsi="Times New Roman" w:cs="Times New Roman"/>
                <w:i/>
                <w:iCs/>
                <w:sz w:val="24"/>
              </w:rPr>
            </w:pPr>
            <w:r>
              <w:rPr>
                <w:rFonts w:ascii="Times New Roman" w:eastAsia="Segoe UI" w:hAnsi="Times New Roman" w:cs="Times New Roman"/>
                <w:i/>
                <w:iCs/>
                <w:kern w:val="0"/>
                <w:sz w:val="24"/>
                <w:lang w:bidi="ar"/>
              </w:rPr>
              <w:t>p</w:t>
            </w:r>
          </w:p>
        </w:tc>
        <w:tc>
          <w:tcPr>
            <w:tcW w:w="407" w:type="pct"/>
            <w:tcBorders>
              <w:top w:val="nil"/>
              <w:left w:val="nil"/>
              <w:bottom w:val="single" w:sz="4" w:space="0" w:color="auto"/>
              <w:right w:val="nil"/>
            </w:tcBorders>
            <w:tcMar>
              <w:top w:w="120" w:type="dxa"/>
              <w:left w:w="192" w:type="dxa"/>
              <w:bottom w:w="120" w:type="dxa"/>
              <w:right w:w="192" w:type="dxa"/>
            </w:tcMar>
            <w:vAlign w:val="center"/>
          </w:tcPr>
          <w:p w14:paraId="5F3EB55D"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03C0A3A7" w14:textId="77777777"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0.590</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1053029B" w14:textId="2BDE3111"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&lt;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0.001</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5B97ABFB"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0.736</w:t>
            </w:r>
          </w:p>
        </w:tc>
        <w:tc>
          <w:tcPr>
            <w:tcW w:w="565" w:type="pct"/>
            <w:tcBorders>
              <w:top w:val="nil"/>
              <w:left w:val="nil"/>
              <w:bottom w:val="single" w:sz="4" w:space="0" w:color="auto"/>
              <w:right w:val="nil"/>
            </w:tcBorders>
            <w:tcMar>
              <w:top w:w="120" w:type="dxa"/>
              <w:left w:w="192" w:type="dxa"/>
              <w:bottom w:w="120" w:type="dxa"/>
              <w:right w:w="192" w:type="dxa"/>
            </w:tcMar>
            <w:vAlign w:val="center"/>
          </w:tcPr>
          <w:p w14:paraId="64AD9472" w14:textId="649CE945"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&lt;</w:t>
            </w:r>
            <w:r w:rsidR="00D806BD">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0.001</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7224D891"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0.689</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0A9515E2" w14:textId="0430F514"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&lt;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0.001</w:t>
            </w:r>
          </w:p>
        </w:tc>
        <w:tc>
          <w:tcPr>
            <w:tcW w:w="539" w:type="pct"/>
            <w:tcBorders>
              <w:top w:val="nil"/>
              <w:left w:val="nil"/>
              <w:bottom w:val="single" w:sz="4" w:space="0" w:color="auto"/>
              <w:right w:val="nil"/>
            </w:tcBorders>
            <w:tcMar>
              <w:top w:w="120" w:type="dxa"/>
              <w:left w:w="192" w:type="dxa"/>
              <w:bottom w:w="120" w:type="dxa"/>
              <w:right w:w="192" w:type="dxa"/>
            </w:tcMar>
            <w:vAlign w:val="center"/>
          </w:tcPr>
          <w:p w14:paraId="14754576" w14:textId="77777777" w:rsidR="00C51E3A" w:rsidRDefault="004C7185" w:rsidP="00D806BD">
            <w:pPr>
              <w:widowControl/>
              <w:snapToGrid w:val="0"/>
              <w:jc w:val="left"/>
              <w:rPr>
                <w:rFonts w:ascii="Times New Roman" w:eastAsia="Segoe UI" w:hAnsi="Times New Roman" w:cs="Times New Roman"/>
                <w:sz w:val="24"/>
              </w:rPr>
            </w:pPr>
            <w:r>
              <w:rPr>
                <w:rFonts w:ascii="Times New Roman" w:eastAsia="Segoe UI" w:hAnsi="Times New Roman" w:cs="Times New Roman"/>
                <w:kern w:val="0"/>
                <w:sz w:val="24"/>
                <w:lang w:bidi="ar"/>
              </w:rPr>
              <w:t>0.702</w:t>
            </w:r>
          </w:p>
        </w:tc>
        <w:tc>
          <w:tcPr>
            <w:tcW w:w="481" w:type="pct"/>
            <w:tcBorders>
              <w:top w:val="nil"/>
              <w:left w:val="nil"/>
              <w:bottom w:val="single" w:sz="4" w:space="0" w:color="auto"/>
              <w:right w:val="nil"/>
            </w:tcBorders>
            <w:tcMar>
              <w:top w:w="120" w:type="dxa"/>
              <w:left w:w="192" w:type="dxa"/>
              <w:bottom w:w="120" w:type="dxa"/>
              <w:right w:w="-1" w:type="dxa"/>
            </w:tcMar>
            <w:vAlign w:val="center"/>
          </w:tcPr>
          <w:p w14:paraId="71F688D8" w14:textId="0E2A4DEB" w:rsidR="00C51E3A" w:rsidRDefault="004C7185" w:rsidP="00D806BD">
            <w:pPr>
              <w:widowControl/>
              <w:snapToGrid w:val="0"/>
              <w:jc w:val="center"/>
              <w:rPr>
                <w:rFonts w:ascii="Times New Roman" w:eastAsia="Segoe UI" w:hAnsi="Times New Roman" w:cs="Times New Roman"/>
                <w:sz w:val="24"/>
              </w:rPr>
            </w:pPr>
            <w:r>
              <w:rPr>
                <w:rFonts w:ascii="Times New Roman" w:eastAsia="Segoe UI" w:hAnsi="Times New Roman" w:cs="Times New Roman"/>
                <w:kern w:val="0"/>
                <w:sz w:val="24"/>
                <w:lang w:bidi="ar"/>
              </w:rPr>
              <w:t>&lt;</w:t>
            </w:r>
            <w:r w:rsidR="003B348E">
              <w:rPr>
                <w:rFonts w:ascii="Times New Roman" w:eastAsia="Segoe UI" w:hAnsi="Times New Roman" w:cs="Times New Roman"/>
                <w:kern w:val="0"/>
                <w:sz w:val="24"/>
                <w:lang w:bidi="ar"/>
              </w:rPr>
              <w:t xml:space="preserve"> </w:t>
            </w:r>
            <w:r>
              <w:rPr>
                <w:rFonts w:ascii="Times New Roman" w:eastAsia="Segoe UI" w:hAnsi="Times New Roman" w:cs="Times New Roman"/>
                <w:kern w:val="0"/>
                <w:sz w:val="24"/>
                <w:lang w:bidi="ar"/>
              </w:rPr>
              <w:t>0.001</w:t>
            </w:r>
          </w:p>
        </w:tc>
      </w:tr>
    </w:tbl>
    <w:p w14:paraId="2B15CBAA" w14:textId="4A046FC3" w:rsidR="00C51E3A" w:rsidRDefault="004C7185" w:rsidP="00847528">
      <w:pPr>
        <w:snapToGrid w:val="0"/>
        <w:rPr>
          <w:rFonts w:ascii="Times New Roman" w:hAnsi="Times New Roman" w:cs="Times New Roman"/>
          <w:sz w:val="24"/>
        </w:rPr>
      </w:pPr>
      <w:r>
        <w:rPr>
          <w:rFonts w:ascii="Times New Roman" w:hAnsi="Times New Roman" w:cs="Times New Roman"/>
          <w:sz w:val="24"/>
        </w:rPr>
        <w:t>Note: Compared with pre-intervention, *</w:t>
      </w:r>
      <w:r w:rsidR="003B348E">
        <w:rPr>
          <w:rFonts w:ascii="Times New Roman" w:hAnsi="Times New Roman" w:cs="Times New Roman"/>
          <w:i/>
          <w:iCs/>
          <w:sz w:val="24"/>
        </w:rPr>
        <w:t xml:space="preserve">p </w:t>
      </w:r>
      <w:r>
        <w:rPr>
          <w:rFonts w:ascii="Times New Roman" w:hAnsi="Times New Roman" w:cs="Times New Roman"/>
          <w:sz w:val="24"/>
        </w:rPr>
        <w:t>&lt;</w:t>
      </w:r>
      <w:r w:rsidR="003B348E">
        <w:rPr>
          <w:rFonts w:ascii="Times New Roman" w:hAnsi="Times New Roman" w:cs="Times New Roman"/>
          <w:sz w:val="24"/>
        </w:rPr>
        <w:t xml:space="preserve"> </w:t>
      </w:r>
      <w:r>
        <w:rPr>
          <w:rFonts w:ascii="Times New Roman" w:hAnsi="Times New Roman" w:cs="Times New Roman"/>
          <w:sz w:val="24"/>
        </w:rPr>
        <w:t>0.05.</w:t>
      </w:r>
    </w:p>
    <w:p w14:paraId="7E330661" w14:textId="77777777" w:rsidR="00C51E3A" w:rsidRDefault="00C51E3A" w:rsidP="00847528">
      <w:pPr>
        <w:snapToGrid w:val="0"/>
        <w:rPr>
          <w:rFonts w:ascii="Times New Roman" w:hAnsi="Times New Roman" w:cs="Times New Roman"/>
          <w:sz w:val="24"/>
        </w:rPr>
      </w:pPr>
    </w:p>
    <w:p w14:paraId="0688BE56" w14:textId="72570DA3"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.2</w:t>
      </w:r>
      <w:r>
        <w:rPr>
          <w:rFonts w:ascii="Times New Roman" w:hAnsi="Times New Roman" w:cs="Times New Roman" w:hint="eastAsia"/>
          <w:b/>
          <w:bCs/>
          <w:sz w:val="24"/>
        </w:rPr>
        <w:t>.</w:t>
      </w:r>
      <w:r>
        <w:rPr>
          <w:rFonts w:ascii="Times New Roman" w:hAnsi="Times New Roman" w:cs="Times New Roman"/>
          <w:b/>
          <w:bCs/>
          <w:sz w:val="24"/>
        </w:rPr>
        <w:t xml:space="preserve"> Comparison of SF-36 </w:t>
      </w:r>
      <w:r w:rsidR="003B348E">
        <w:rPr>
          <w:rFonts w:ascii="Times New Roman" w:hAnsi="Times New Roman" w:cs="Times New Roman"/>
          <w:b/>
          <w:bCs/>
          <w:sz w:val="24"/>
        </w:rPr>
        <w:t>scale scores between the two groups before and after intervention</w:t>
      </w:r>
    </w:p>
    <w:p w14:paraId="46FAAFE6" w14:textId="6AB7EAD5" w:rsidR="00C51E3A" w:rsidRDefault="004C7185" w:rsidP="00847528">
      <w:pPr>
        <w:snapToGrid w:val="0"/>
        <w:rPr>
          <w:rFonts w:ascii="Times New Roman" w:hAnsi="Times New Roman" w:cs="Times New Roman"/>
          <w:sz w:val="24"/>
        </w:rPr>
      </w:pPr>
      <w:r>
        <w:rPr>
          <w:rFonts w:ascii="Times New Roman" w:hAnsi="Times New Roman" w:cs="Times New Roman"/>
          <w:sz w:val="24"/>
        </w:rPr>
        <w:t>Before the intervention, there was no statistically significant difference in the SF-36 scale scores across all dimensions between the two groups (</w:t>
      </w:r>
      <w:r w:rsidR="003B348E">
        <w:rPr>
          <w:rFonts w:ascii="Times New Roman" w:hAnsi="Times New Roman" w:cs="Times New Roman"/>
          <w:i/>
          <w:iCs/>
          <w:sz w:val="24"/>
        </w:rPr>
        <w:t xml:space="preserve">p </w:t>
      </w:r>
      <w:r>
        <w:rPr>
          <w:rFonts w:ascii="Times New Roman" w:hAnsi="Times New Roman" w:cs="Times New Roman"/>
          <w:sz w:val="24"/>
        </w:rPr>
        <w:t>&gt;</w:t>
      </w:r>
      <w:r w:rsidR="003B348E">
        <w:rPr>
          <w:rFonts w:ascii="Times New Roman" w:hAnsi="Times New Roman" w:cs="Times New Roman"/>
          <w:sz w:val="24"/>
        </w:rPr>
        <w:t xml:space="preserve"> </w:t>
      </w:r>
      <w:r>
        <w:rPr>
          <w:rFonts w:ascii="Times New Roman" w:hAnsi="Times New Roman" w:cs="Times New Roman"/>
          <w:sz w:val="24"/>
        </w:rPr>
        <w:t>0.05). After the intervention, the scores in all dimensions were higher in the study group than in the control group, with statistically significant differences (</w:t>
      </w:r>
      <w:r w:rsidR="003B348E">
        <w:rPr>
          <w:rFonts w:ascii="Times New Roman" w:hAnsi="Times New Roman" w:cs="Times New Roman"/>
          <w:i/>
          <w:iCs/>
          <w:sz w:val="24"/>
        </w:rPr>
        <w:t xml:space="preserve">p </w:t>
      </w:r>
      <w:r>
        <w:rPr>
          <w:rFonts w:ascii="Times New Roman" w:hAnsi="Times New Roman" w:cs="Times New Roman"/>
          <w:sz w:val="24"/>
        </w:rPr>
        <w:t>&lt;</w:t>
      </w:r>
      <w:r w:rsidR="003B348E">
        <w:rPr>
          <w:rFonts w:ascii="Times New Roman" w:hAnsi="Times New Roman" w:cs="Times New Roman"/>
          <w:sz w:val="24"/>
        </w:rPr>
        <w:t xml:space="preserve"> </w:t>
      </w:r>
      <w:r>
        <w:rPr>
          <w:rFonts w:ascii="Times New Roman" w:hAnsi="Times New Roman" w:cs="Times New Roman"/>
          <w:sz w:val="24"/>
        </w:rPr>
        <w:t>0.05). See Table 2 for details.</w:t>
      </w:r>
    </w:p>
    <w:p w14:paraId="1A3AEF69" w14:textId="77777777" w:rsidR="00C51E3A" w:rsidRDefault="00C51E3A" w:rsidP="00847528">
      <w:pPr>
        <w:snapToGrid w:val="0"/>
        <w:rPr>
          <w:rFonts w:ascii="Times New Roman" w:hAnsi="Times New Roman" w:cs="Times New Roman"/>
          <w:sz w:val="24"/>
        </w:rPr>
      </w:pPr>
    </w:p>
    <w:p w14:paraId="61FF555A" w14:textId="472688B0" w:rsidR="00C51E3A" w:rsidRDefault="004C7185" w:rsidP="00D806BD">
      <w:pPr>
        <w:snapToGrid w:val="0"/>
        <w:rPr>
          <w:rFonts w:ascii="Times New Roman" w:hAnsi="Times New Roman" w:cs="Times New Roman"/>
          <w:sz w:val="24"/>
        </w:rPr>
      </w:pPr>
      <w:r>
        <w:rPr>
          <w:rFonts w:ascii="Times New Roman" w:hAnsi="Times New Roman" w:cs="Times New Roman"/>
          <w:b/>
          <w:bCs/>
          <w:sz w:val="24"/>
        </w:rPr>
        <w:t>Table 2</w:t>
      </w:r>
      <w:r w:rsidRPr="00847528">
        <w:rPr>
          <w:rFonts w:ascii="Times New Roman" w:hAnsi="Times New Roman" w:cs="Times New Roman" w:hint="eastAsia"/>
          <w:b/>
          <w:bCs/>
          <w:sz w:val="24"/>
        </w:rPr>
        <w:t>.</w:t>
      </w:r>
      <w:r>
        <w:rPr>
          <w:rFonts w:ascii="Times New Roman" w:hAnsi="Times New Roman" w:cs="Times New Roman"/>
          <w:sz w:val="24"/>
        </w:rPr>
        <w:t xml:space="preserve"> Comparison of SF-36 </w:t>
      </w:r>
      <w:r w:rsidR="003B348E">
        <w:rPr>
          <w:rFonts w:ascii="Times New Roman" w:hAnsi="Times New Roman" w:cs="Times New Roman"/>
          <w:sz w:val="24"/>
        </w:rPr>
        <w:t xml:space="preserve">scale scores between the two groups before and after intervention </w:t>
      </w:r>
      <w:r>
        <w:rPr>
          <w:rFonts w:ascii="Times New Roman" w:hAnsi="Times New Roman" w:cs="Times New Roman"/>
          <w:sz w:val="24"/>
        </w:rPr>
        <w:t>(</w:t>
      </w:r>
      <w:r>
        <w:rPr>
          <w:rFonts w:ascii="Times New Roman" w:eastAsia="SimSun" w:hAnsi="Times New Roman" w:cs="Times New Roman"/>
          <w:color w:val="0000FF"/>
          <w:position w:val="-6"/>
          <w:sz w:val="24"/>
        </w:rPr>
        <w:object w:dxaOrig="220" w:dyaOrig="270" w14:anchorId="5AD73298">
          <v:shape id="_x0000_i1027" type="#_x0000_t75" style="width:10.9pt;height:13.65pt" o:ole="">
            <v:imagedata r:id="rId4" o:title=""/>
          </v:shape>
          <o:OLEObject Type="Embed" ProgID="Equation.DSMT4" ShapeID="_x0000_i1027" DrawAspect="Content" ObjectID="_1843104652" r:id="rId7"/>
        </w:object>
      </w:r>
      <w:r>
        <w:rPr>
          <w:rFonts w:ascii="Times New Roman" w:hAnsi="Times New Roman"/>
          <w:sz w:val="24"/>
        </w:rPr>
        <w:t>± s</w:t>
      </w:r>
      <w:r>
        <w:rPr>
          <w:rFonts w:ascii="Times New Roman" w:hAnsi="Times New Roman" w:cs="Times New Roman"/>
          <w:sz w:val="24"/>
        </w:rPr>
        <w:t>, points)</w:t>
      </w:r>
    </w:p>
    <w:tbl>
      <w:tblPr>
        <w:tblW w:w="4998" w:type="pct"/>
        <w:jc w:val="center"/>
        <w:tblCellMar>
          <w:top w:w="15" w:type="dxa"/>
          <w:left w:w="15" w:type="dxa"/>
          <w:bottom w:w="15" w:type="dxa"/>
          <w:right w:w="15" w:type="dxa"/>
        </w:tblCellMar>
        <w:tblLook w:val="04A0" w:firstRow="1" w:lastRow="0" w:firstColumn="1" w:lastColumn="0" w:noHBand="0" w:noVBand="1"/>
      </w:tblPr>
      <w:tblGrid>
        <w:gridCol w:w="583"/>
        <w:gridCol w:w="839"/>
        <w:gridCol w:w="1052"/>
        <w:gridCol w:w="1051"/>
        <w:gridCol w:w="1051"/>
        <w:gridCol w:w="1051"/>
        <w:gridCol w:w="1051"/>
        <w:gridCol w:w="1051"/>
        <w:gridCol w:w="1051"/>
        <w:gridCol w:w="858"/>
      </w:tblGrid>
      <w:tr w:rsidR="00C51E3A" w14:paraId="3D3E943A" w14:textId="77777777" w:rsidTr="00847528">
        <w:trPr>
          <w:jc w:val="center"/>
        </w:trPr>
        <w:tc>
          <w:tcPr>
            <w:tcW w:w="311" w:type="pct"/>
            <w:vMerge w:val="restart"/>
            <w:tcBorders>
              <w:top w:val="single" w:sz="4" w:space="0" w:color="auto"/>
              <w:left w:val="nil"/>
              <w:bottom w:val="single" w:sz="4" w:space="0" w:color="auto"/>
              <w:right w:val="nil"/>
              <w:tl2br w:val="nil"/>
            </w:tcBorders>
            <w:shd w:val="clear" w:color="auto" w:fill="FFFFFF"/>
            <w:tcMar>
              <w:top w:w="120" w:type="dxa"/>
              <w:left w:w="-1" w:type="dxa"/>
              <w:bottom w:w="120" w:type="dxa"/>
              <w:right w:w="192" w:type="dxa"/>
            </w:tcMar>
            <w:vAlign w:val="center"/>
          </w:tcPr>
          <w:p w14:paraId="1B7A3F1B"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lastRenderedPageBreak/>
              <w:t>Group</w:t>
            </w:r>
          </w:p>
        </w:tc>
        <w:tc>
          <w:tcPr>
            <w:tcW w:w="409" w:type="pct"/>
            <w:vMerge w:val="restart"/>
            <w:tcBorders>
              <w:top w:val="single" w:sz="4" w:space="0" w:color="auto"/>
              <w:left w:val="nil"/>
              <w:bottom w:val="single" w:sz="4" w:space="0" w:color="auto"/>
              <w:right w:val="nil"/>
            </w:tcBorders>
            <w:shd w:val="clear" w:color="auto" w:fill="FFFFFF"/>
            <w:tcMar>
              <w:top w:w="120" w:type="dxa"/>
              <w:left w:w="192" w:type="dxa"/>
              <w:bottom w:w="120" w:type="dxa"/>
              <w:right w:w="192" w:type="dxa"/>
            </w:tcMar>
            <w:vAlign w:val="center"/>
          </w:tcPr>
          <w:p w14:paraId="3BD3A761" w14:textId="3FC809FA"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 xml:space="preserve">Number of </w:t>
            </w:r>
            <w:r w:rsidR="003B348E">
              <w:rPr>
                <w:rFonts w:ascii="Times New Roman" w:eastAsia="Segoe UI" w:hAnsi="Times New Roman" w:cs="Times New Roman"/>
                <w:b/>
                <w:bCs/>
                <w:color w:val="000000"/>
                <w:kern w:val="0"/>
                <w:sz w:val="24"/>
                <w:lang w:bidi="ar"/>
              </w:rPr>
              <w:t>c</w:t>
            </w:r>
            <w:r w:rsidR="003B348E">
              <w:rPr>
                <w:rFonts w:ascii="Times New Roman" w:eastAsia="Segoe UI" w:hAnsi="Times New Roman" w:cs="Times New Roman"/>
                <w:b/>
                <w:bCs/>
                <w:color w:val="000000"/>
                <w:kern w:val="0"/>
                <w:sz w:val="24"/>
                <w:lang w:bidi="ar"/>
              </w:rPr>
              <w:t>ases</w:t>
            </w:r>
          </w:p>
        </w:tc>
        <w:tc>
          <w:tcPr>
            <w:tcW w:w="1084" w:type="pct"/>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41C91366" w14:textId="7833883E"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 xml:space="preserve">Bodily </w:t>
            </w:r>
            <w:r w:rsidR="003B348E">
              <w:rPr>
                <w:rFonts w:ascii="Times New Roman" w:eastAsia="Segoe UI" w:hAnsi="Times New Roman" w:cs="Times New Roman"/>
                <w:b/>
                <w:bCs/>
                <w:color w:val="000000"/>
                <w:kern w:val="0"/>
                <w:sz w:val="24"/>
                <w:lang w:bidi="ar"/>
              </w:rPr>
              <w:t>p</w:t>
            </w:r>
            <w:r w:rsidR="003B348E">
              <w:rPr>
                <w:rFonts w:ascii="Times New Roman" w:eastAsia="Segoe UI" w:hAnsi="Times New Roman" w:cs="Times New Roman"/>
                <w:b/>
                <w:bCs/>
                <w:color w:val="000000"/>
                <w:kern w:val="0"/>
                <w:sz w:val="24"/>
                <w:lang w:bidi="ar"/>
              </w:rPr>
              <w:t>ain</w:t>
            </w:r>
          </w:p>
        </w:tc>
        <w:tc>
          <w:tcPr>
            <w:tcW w:w="1084" w:type="pct"/>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59F9FDC1" w14:textId="6BFEBD37" w:rsidR="00C51E3A" w:rsidRDefault="004C7185" w:rsidP="00847528">
            <w:pPr>
              <w:keepNext/>
              <w:widowControl/>
              <w:snapToGrid w:val="0"/>
              <w:jc w:val="center"/>
              <w:rPr>
                <w:rFonts w:ascii="Times New Roman" w:eastAsia="Segoe UI" w:hAnsi="Times New Roman" w:cs="Times New Roman"/>
                <w:b/>
                <w:bCs/>
                <w:color w:val="000000"/>
                <w:kern w:val="0"/>
                <w:sz w:val="24"/>
                <w:lang w:bidi="ar"/>
              </w:rPr>
            </w:pPr>
            <w:r>
              <w:rPr>
                <w:rFonts w:ascii="Times New Roman" w:eastAsia="Segoe UI" w:hAnsi="Times New Roman" w:cs="Times New Roman"/>
                <w:b/>
                <w:bCs/>
                <w:color w:val="000000"/>
                <w:kern w:val="0"/>
                <w:sz w:val="24"/>
                <w:lang w:bidi="ar"/>
              </w:rPr>
              <w:t xml:space="preserve">Physiological </w:t>
            </w:r>
            <w:r w:rsidR="003B348E">
              <w:rPr>
                <w:rFonts w:ascii="Times New Roman" w:eastAsia="Segoe UI" w:hAnsi="Times New Roman" w:cs="Times New Roman"/>
                <w:b/>
                <w:bCs/>
                <w:color w:val="000000"/>
                <w:kern w:val="0"/>
                <w:sz w:val="24"/>
                <w:lang w:bidi="ar"/>
              </w:rPr>
              <w:t>f</w:t>
            </w:r>
            <w:r w:rsidR="003B348E">
              <w:rPr>
                <w:rFonts w:ascii="Times New Roman" w:eastAsia="Segoe UI" w:hAnsi="Times New Roman" w:cs="Times New Roman"/>
                <w:b/>
                <w:bCs/>
                <w:color w:val="000000"/>
                <w:kern w:val="0"/>
                <w:sz w:val="24"/>
                <w:lang w:bidi="ar"/>
              </w:rPr>
              <w:t>unction</w:t>
            </w:r>
          </w:p>
        </w:tc>
        <w:tc>
          <w:tcPr>
            <w:tcW w:w="1084" w:type="pct"/>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6688BCD0" w14:textId="26ADC937" w:rsidR="00C51E3A" w:rsidRDefault="004C7185" w:rsidP="00847528">
            <w:pPr>
              <w:keepNext/>
              <w:widowControl/>
              <w:snapToGrid w:val="0"/>
              <w:jc w:val="center"/>
              <w:rPr>
                <w:rFonts w:ascii="Times New Roman" w:eastAsia="Segoe UI" w:hAnsi="Times New Roman" w:cs="Times New Roman"/>
                <w:b/>
                <w:bCs/>
                <w:color w:val="000000"/>
                <w:kern w:val="0"/>
                <w:sz w:val="24"/>
                <w:lang w:bidi="ar"/>
              </w:rPr>
            </w:pPr>
            <w:r>
              <w:rPr>
                <w:rFonts w:ascii="Times New Roman" w:eastAsia="Segoe UI" w:hAnsi="Times New Roman" w:cs="Times New Roman"/>
                <w:b/>
                <w:bCs/>
                <w:color w:val="000000"/>
                <w:kern w:val="0"/>
                <w:sz w:val="24"/>
                <w:lang w:bidi="ar"/>
              </w:rPr>
              <w:t xml:space="preserve">Role </w:t>
            </w:r>
            <w:r w:rsidR="003B348E">
              <w:rPr>
                <w:rFonts w:ascii="Times New Roman" w:eastAsia="Segoe UI" w:hAnsi="Times New Roman" w:cs="Times New Roman"/>
                <w:b/>
                <w:bCs/>
                <w:color w:val="000000"/>
                <w:kern w:val="0"/>
                <w:sz w:val="24"/>
                <w:lang w:bidi="ar"/>
              </w:rPr>
              <w:t>e</w:t>
            </w:r>
            <w:r w:rsidR="003B348E">
              <w:rPr>
                <w:rFonts w:ascii="Times New Roman" w:eastAsia="Segoe UI" w:hAnsi="Times New Roman" w:cs="Times New Roman"/>
                <w:b/>
                <w:bCs/>
                <w:color w:val="000000"/>
                <w:kern w:val="0"/>
                <w:sz w:val="24"/>
                <w:lang w:bidi="ar"/>
              </w:rPr>
              <w:t>motional</w:t>
            </w:r>
          </w:p>
        </w:tc>
        <w:tc>
          <w:tcPr>
            <w:tcW w:w="1026" w:type="pct"/>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26C06064" w14:textId="740CFB8C"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 xml:space="preserve">Mental </w:t>
            </w:r>
            <w:r w:rsidR="003B348E">
              <w:rPr>
                <w:rFonts w:ascii="Times New Roman" w:eastAsia="Segoe UI" w:hAnsi="Times New Roman" w:cs="Times New Roman"/>
                <w:b/>
                <w:bCs/>
                <w:color w:val="000000"/>
                <w:kern w:val="0"/>
                <w:sz w:val="24"/>
                <w:lang w:bidi="ar"/>
              </w:rPr>
              <w:t>s</w:t>
            </w:r>
            <w:r w:rsidR="003B348E">
              <w:rPr>
                <w:rFonts w:ascii="Times New Roman" w:eastAsia="Segoe UI" w:hAnsi="Times New Roman" w:cs="Times New Roman"/>
                <w:b/>
                <w:bCs/>
                <w:color w:val="000000"/>
                <w:kern w:val="0"/>
                <w:sz w:val="24"/>
                <w:lang w:bidi="ar"/>
              </w:rPr>
              <w:t>tate</w:t>
            </w:r>
          </w:p>
        </w:tc>
      </w:tr>
      <w:tr w:rsidR="00C51E3A" w14:paraId="0D8183D9" w14:textId="77777777" w:rsidTr="00847528">
        <w:trPr>
          <w:jc w:val="center"/>
        </w:trPr>
        <w:tc>
          <w:tcPr>
            <w:tcW w:w="311" w:type="pct"/>
            <w:vMerge/>
            <w:tcBorders>
              <w:left w:val="nil"/>
              <w:bottom w:val="single" w:sz="4" w:space="0" w:color="auto"/>
              <w:right w:val="nil"/>
            </w:tcBorders>
            <w:shd w:val="clear" w:color="auto" w:fill="FFFFFF"/>
            <w:tcMar>
              <w:top w:w="120" w:type="dxa"/>
              <w:left w:w="-1" w:type="dxa"/>
              <w:bottom w:w="120" w:type="dxa"/>
              <w:right w:w="192" w:type="dxa"/>
            </w:tcMar>
            <w:vAlign w:val="center"/>
          </w:tcPr>
          <w:p w14:paraId="24C93BE1" w14:textId="77777777" w:rsidR="00C51E3A" w:rsidRDefault="00C51E3A" w:rsidP="00D806BD">
            <w:pPr>
              <w:keepNext/>
              <w:snapToGrid w:val="0"/>
              <w:jc w:val="center"/>
              <w:rPr>
                <w:rFonts w:ascii="Times New Roman" w:eastAsia="Segoe UI" w:hAnsi="Times New Roman" w:cs="Times New Roman"/>
                <w:b/>
                <w:bCs/>
                <w:color w:val="000000"/>
                <w:sz w:val="24"/>
              </w:rPr>
            </w:pPr>
          </w:p>
        </w:tc>
        <w:tc>
          <w:tcPr>
            <w:tcW w:w="409" w:type="pct"/>
            <w:vMerge/>
            <w:tcBorders>
              <w:left w:val="nil"/>
              <w:bottom w:val="single" w:sz="4" w:space="0" w:color="auto"/>
              <w:right w:val="nil"/>
            </w:tcBorders>
            <w:shd w:val="clear" w:color="auto" w:fill="FFFFFF"/>
            <w:tcMar>
              <w:top w:w="120" w:type="dxa"/>
              <w:left w:w="192" w:type="dxa"/>
              <w:bottom w:w="120" w:type="dxa"/>
              <w:right w:w="192" w:type="dxa"/>
            </w:tcMar>
            <w:vAlign w:val="center"/>
          </w:tcPr>
          <w:p w14:paraId="570AF32A" w14:textId="77777777" w:rsidR="00C51E3A" w:rsidRDefault="00C51E3A" w:rsidP="00D806BD">
            <w:pPr>
              <w:keepNext/>
              <w:snapToGrid w:val="0"/>
              <w:jc w:val="center"/>
              <w:rPr>
                <w:rFonts w:ascii="Times New Roman" w:eastAsia="Segoe UI" w:hAnsi="Times New Roman" w:cs="Times New Roman"/>
                <w:b/>
                <w:bCs/>
                <w:color w:val="000000"/>
                <w:sz w:val="24"/>
              </w:rPr>
            </w:pP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5A1F7696"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Before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04153AA7"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After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3D77CA32"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Before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3794BC7A"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After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600F65C4"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Before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49BFFB0D"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After intervention</w:t>
            </w:r>
          </w:p>
        </w:tc>
        <w:tc>
          <w:tcPr>
            <w:tcW w:w="542" w:type="pct"/>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650EFC4F"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Before intervention</w:t>
            </w:r>
          </w:p>
        </w:tc>
        <w:tc>
          <w:tcPr>
            <w:tcW w:w="483" w:type="pct"/>
            <w:tcBorders>
              <w:top w:val="single" w:sz="4" w:space="0" w:color="000000"/>
              <w:left w:val="nil"/>
              <w:bottom w:val="single" w:sz="4" w:space="0" w:color="auto"/>
              <w:right w:val="nil"/>
            </w:tcBorders>
            <w:shd w:val="clear" w:color="auto" w:fill="FFFFFF"/>
            <w:tcMar>
              <w:top w:w="120" w:type="dxa"/>
              <w:left w:w="192" w:type="dxa"/>
              <w:bottom w:w="120" w:type="dxa"/>
              <w:right w:w="-1" w:type="dxa"/>
            </w:tcMar>
            <w:vAlign w:val="center"/>
          </w:tcPr>
          <w:p w14:paraId="0AF253B2" w14:textId="77777777" w:rsidR="00C51E3A" w:rsidRDefault="004C7185" w:rsidP="00847528">
            <w:pPr>
              <w:keepNext/>
              <w:widowControl/>
              <w:snapToGrid w:val="0"/>
              <w:jc w:val="center"/>
              <w:rPr>
                <w:rFonts w:ascii="Times New Roman" w:eastAsia="Segoe UI" w:hAnsi="Times New Roman" w:cs="Times New Roman"/>
                <w:b/>
                <w:bCs/>
                <w:color w:val="000000"/>
                <w:sz w:val="24"/>
              </w:rPr>
            </w:pPr>
            <w:r>
              <w:rPr>
                <w:rFonts w:ascii="Times New Roman" w:eastAsia="Segoe UI" w:hAnsi="Times New Roman" w:cs="Times New Roman"/>
                <w:b/>
                <w:bCs/>
                <w:color w:val="000000"/>
                <w:kern w:val="0"/>
                <w:sz w:val="24"/>
                <w:lang w:bidi="ar"/>
              </w:rPr>
              <w:t>After intervention</w:t>
            </w:r>
          </w:p>
        </w:tc>
      </w:tr>
      <w:tr w:rsidR="00C51E3A" w14:paraId="6820F3CF" w14:textId="77777777" w:rsidTr="00847528">
        <w:trPr>
          <w:jc w:val="center"/>
        </w:trPr>
        <w:tc>
          <w:tcPr>
            <w:tcW w:w="311" w:type="pct"/>
            <w:tcBorders>
              <w:top w:val="single" w:sz="4" w:space="0" w:color="auto"/>
              <w:left w:val="nil"/>
              <w:bottom w:val="nil"/>
              <w:right w:val="nil"/>
            </w:tcBorders>
            <w:shd w:val="clear" w:color="auto" w:fill="FFFFFF"/>
            <w:tcMar>
              <w:top w:w="120" w:type="dxa"/>
              <w:left w:w="-1" w:type="dxa"/>
              <w:bottom w:w="120" w:type="dxa"/>
              <w:right w:w="192" w:type="dxa"/>
            </w:tcMar>
            <w:vAlign w:val="center"/>
          </w:tcPr>
          <w:p w14:paraId="3CABC771" w14:textId="311B2F62"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 xml:space="preserve">Control </w:t>
            </w:r>
            <w:r w:rsidR="003B348E">
              <w:rPr>
                <w:rFonts w:ascii="Times New Roman" w:eastAsia="Segoe UI" w:hAnsi="Times New Roman" w:cs="Times New Roman"/>
                <w:color w:val="000000"/>
                <w:kern w:val="0"/>
                <w:sz w:val="24"/>
                <w:lang w:bidi="ar"/>
              </w:rPr>
              <w:t>g</w:t>
            </w:r>
            <w:r w:rsidR="003B348E">
              <w:rPr>
                <w:rFonts w:ascii="Times New Roman" w:eastAsia="Segoe UI" w:hAnsi="Times New Roman" w:cs="Times New Roman"/>
                <w:color w:val="000000"/>
                <w:kern w:val="0"/>
                <w:sz w:val="24"/>
                <w:lang w:bidi="ar"/>
              </w:rPr>
              <w:t>roup</w:t>
            </w:r>
          </w:p>
        </w:tc>
        <w:tc>
          <w:tcPr>
            <w:tcW w:w="409"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250F08F4"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35</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4CD73662" w14:textId="2C1FAA94"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57.73</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6.33</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774E1AD9" w14:textId="181237A6"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61.25</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5.93*</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0A690174" w14:textId="35DE241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58.48</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5.73</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7969741D" w14:textId="087482BE"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62.64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5.53*</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5D98667B" w14:textId="14506533"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57.08</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6.43</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3AA076E4" w14:textId="15AE64A8"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60.91</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6.15*</w:t>
            </w:r>
          </w:p>
        </w:tc>
        <w:tc>
          <w:tcPr>
            <w:tcW w:w="542" w:type="pct"/>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38FDEC7C" w14:textId="392E5FEB"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57.83</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5.85</w:t>
            </w:r>
          </w:p>
        </w:tc>
        <w:tc>
          <w:tcPr>
            <w:tcW w:w="483" w:type="pct"/>
            <w:tcBorders>
              <w:top w:val="single" w:sz="4" w:space="0" w:color="auto"/>
              <w:left w:val="nil"/>
              <w:bottom w:val="nil"/>
              <w:right w:val="nil"/>
            </w:tcBorders>
            <w:shd w:val="clear" w:color="auto" w:fill="FFFFFF"/>
            <w:tcMar>
              <w:top w:w="120" w:type="dxa"/>
              <w:left w:w="192" w:type="dxa"/>
              <w:bottom w:w="120" w:type="dxa"/>
              <w:right w:w="-1" w:type="dxa"/>
            </w:tcMar>
            <w:vAlign w:val="center"/>
          </w:tcPr>
          <w:p w14:paraId="00661ADB" w14:textId="66E06A0C"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63.06</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5.26*</w:t>
            </w:r>
          </w:p>
        </w:tc>
      </w:tr>
      <w:tr w:rsidR="00C51E3A" w14:paraId="259B53F9" w14:textId="77777777">
        <w:trPr>
          <w:jc w:val="center"/>
        </w:trPr>
        <w:tc>
          <w:tcPr>
            <w:tcW w:w="311" w:type="pct"/>
            <w:tcBorders>
              <w:top w:val="nil"/>
              <w:left w:val="nil"/>
              <w:bottom w:val="nil"/>
              <w:right w:val="nil"/>
            </w:tcBorders>
            <w:shd w:val="clear" w:color="auto" w:fill="FFFFFF"/>
            <w:tcMar>
              <w:top w:w="120" w:type="dxa"/>
              <w:left w:w="-1" w:type="dxa"/>
              <w:bottom w:w="120" w:type="dxa"/>
              <w:right w:w="192" w:type="dxa"/>
            </w:tcMar>
            <w:vAlign w:val="center"/>
          </w:tcPr>
          <w:p w14:paraId="53364B81" w14:textId="7AF59073"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 xml:space="preserve">Study </w:t>
            </w:r>
            <w:r w:rsidR="003B348E">
              <w:rPr>
                <w:rFonts w:ascii="Times New Roman" w:eastAsia="Segoe UI" w:hAnsi="Times New Roman" w:cs="Times New Roman"/>
                <w:color w:val="000000"/>
                <w:kern w:val="0"/>
                <w:sz w:val="24"/>
                <w:lang w:bidi="ar"/>
              </w:rPr>
              <w:t>g</w:t>
            </w:r>
            <w:r w:rsidR="003B348E">
              <w:rPr>
                <w:rFonts w:ascii="Times New Roman" w:eastAsia="Segoe UI" w:hAnsi="Times New Roman" w:cs="Times New Roman"/>
                <w:color w:val="000000"/>
                <w:kern w:val="0"/>
                <w:sz w:val="24"/>
                <w:lang w:bidi="ar"/>
              </w:rPr>
              <w:t>roup</w:t>
            </w:r>
          </w:p>
        </w:tc>
        <w:tc>
          <w:tcPr>
            <w:tcW w:w="409" w:type="pct"/>
            <w:tcBorders>
              <w:top w:val="nil"/>
              <w:left w:val="nil"/>
              <w:bottom w:val="nil"/>
              <w:right w:val="nil"/>
            </w:tcBorders>
            <w:shd w:val="clear" w:color="auto" w:fill="FFFFFF"/>
            <w:tcMar>
              <w:top w:w="120" w:type="dxa"/>
              <w:left w:w="192" w:type="dxa"/>
              <w:bottom w:w="120" w:type="dxa"/>
              <w:right w:w="192" w:type="dxa"/>
            </w:tcMar>
            <w:vAlign w:val="center"/>
          </w:tcPr>
          <w:p w14:paraId="64FB6D07"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35</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1C92853B" w14:textId="7EC13A45"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58.54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6.18</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3C0DDA30" w14:textId="522E324D"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74.05</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6.27*</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7A782E4A" w14:textId="554152B1"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59.12</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5.66</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6F94B854" w14:textId="2A0BB15F"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78.84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5.87*</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37705AA3" w14:textId="32A80B39"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57.74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6.25</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6C51FD3F" w14:textId="19C4448E"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73.74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6.52*</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206D5885" w14:textId="2DB4B65A"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58.50</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5.63</w:t>
            </w:r>
          </w:p>
        </w:tc>
        <w:tc>
          <w:tcPr>
            <w:tcW w:w="483" w:type="pct"/>
            <w:tcBorders>
              <w:top w:val="nil"/>
              <w:left w:val="nil"/>
              <w:bottom w:val="nil"/>
              <w:right w:val="nil"/>
            </w:tcBorders>
            <w:shd w:val="clear" w:color="auto" w:fill="FFFFFF"/>
            <w:tcMar>
              <w:top w:w="120" w:type="dxa"/>
              <w:left w:w="192" w:type="dxa"/>
              <w:bottom w:w="120" w:type="dxa"/>
              <w:right w:w="-1" w:type="dxa"/>
            </w:tcMar>
            <w:vAlign w:val="center"/>
          </w:tcPr>
          <w:p w14:paraId="1DE998E5" w14:textId="69334714"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76.55</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5.64*</w:t>
            </w:r>
          </w:p>
        </w:tc>
      </w:tr>
      <w:tr w:rsidR="00C51E3A" w14:paraId="62B502AE" w14:textId="77777777">
        <w:trPr>
          <w:jc w:val="center"/>
        </w:trPr>
        <w:tc>
          <w:tcPr>
            <w:tcW w:w="311" w:type="pct"/>
            <w:tcBorders>
              <w:top w:val="nil"/>
              <w:left w:val="nil"/>
              <w:bottom w:val="nil"/>
              <w:right w:val="nil"/>
            </w:tcBorders>
            <w:shd w:val="clear" w:color="auto" w:fill="FFFFFF"/>
            <w:tcMar>
              <w:top w:w="120" w:type="dxa"/>
              <w:left w:w="-1" w:type="dxa"/>
              <w:bottom w:w="120" w:type="dxa"/>
              <w:right w:w="192" w:type="dxa"/>
            </w:tcMar>
            <w:vAlign w:val="center"/>
          </w:tcPr>
          <w:p w14:paraId="52F13592" w14:textId="77777777" w:rsidR="00C51E3A" w:rsidRDefault="004C7185" w:rsidP="00847528">
            <w:pPr>
              <w:keepNext/>
              <w:widowControl/>
              <w:snapToGrid w:val="0"/>
              <w:jc w:val="center"/>
              <w:rPr>
                <w:rFonts w:ascii="Times New Roman" w:eastAsia="Segoe UI" w:hAnsi="Times New Roman" w:cs="Times New Roman"/>
                <w:i/>
                <w:iCs/>
                <w:color w:val="000000"/>
                <w:sz w:val="24"/>
              </w:rPr>
            </w:pPr>
            <w:r>
              <w:rPr>
                <w:rFonts w:ascii="Times New Roman" w:eastAsia="Segoe UI" w:hAnsi="Times New Roman" w:cs="Times New Roman"/>
                <w:i/>
                <w:iCs/>
                <w:color w:val="000000"/>
                <w:kern w:val="0"/>
                <w:sz w:val="24"/>
                <w:lang w:bidi="ar"/>
              </w:rPr>
              <w:t>t</w:t>
            </w:r>
          </w:p>
        </w:tc>
        <w:tc>
          <w:tcPr>
            <w:tcW w:w="409" w:type="pct"/>
            <w:tcBorders>
              <w:top w:val="nil"/>
              <w:left w:val="nil"/>
              <w:bottom w:val="nil"/>
              <w:right w:val="nil"/>
            </w:tcBorders>
            <w:shd w:val="clear" w:color="auto" w:fill="FFFFFF"/>
            <w:tcMar>
              <w:top w:w="120" w:type="dxa"/>
              <w:left w:w="192" w:type="dxa"/>
              <w:bottom w:w="120" w:type="dxa"/>
              <w:right w:w="192" w:type="dxa"/>
            </w:tcMar>
            <w:vAlign w:val="center"/>
          </w:tcPr>
          <w:p w14:paraId="0AA11223"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60417200"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0.327</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49BF4710"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9.842</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4A15FB37"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0.231</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485354FB"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10.563</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3FEFFF85"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0.258</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752A5F17"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9.215</w:t>
            </w:r>
          </w:p>
        </w:tc>
        <w:tc>
          <w:tcPr>
            <w:tcW w:w="542" w:type="pct"/>
            <w:tcBorders>
              <w:top w:val="nil"/>
              <w:left w:val="nil"/>
              <w:bottom w:val="nil"/>
              <w:right w:val="nil"/>
            </w:tcBorders>
            <w:shd w:val="clear" w:color="auto" w:fill="FFFFFF"/>
            <w:tcMar>
              <w:top w:w="120" w:type="dxa"/>
              <w:left w:w="192" w:type="dxa"/>
              <w:bottom w:w="120" w:type="dxa"/>
              <w:right w:w="192" w:type="dxa"/>
            </w:tcMar>
            <w:vAlign w:val="center"/>
          </w:tcPr>
          <w:p w14:paraId="758EE406"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0.382</w:t>
            </w:r>
          </w:p>
        </w:tc>
        <w:tc>
          <w:tcPr>
            <w:tcW w:w="483" w:type="pct"/>
            <w:tcBorders>
              <w:top w:val="nil"/>
              <w:left w:val="nil"/>
              <w:bottom w:val="nil"/>
              <w:right w:val="nil"/>
            </w:tcBorders>
            <w:shd w:val="clear" w:color="auto" w:fill="FFFFFF"/>
            <w:tcMar>
              <w:top w:w="120" w:type="dxa"/>
              <w:left w:w="192" w:type="dxa"/>
              <w:bottom w:w="120" w:type="dxa"/>
              <w:right w:w="-1" w:type="dxa"/>
            </w:tcMar>
            <w:vAlign w:val="center"/>
          </w:tcPr>
          <w:p w14:paraId="05CE9EF6"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11.074</w:t>
            </w:r>
          </w:p>
        </w:tc>
      </w:tr>
      <w:tr w:rsidR="00C51E3A" w14:paraId="6C179011" w14:textId="77777777" w:rsidTr="00847528">
        <w:trPr>
          <w:jc w:val="center"/>
        </w:trPr>
        <w:tc>
          <w:tcPr>
            <w:tcW w:w="311" w:type="pct"/>
            <w:tcBorders>
              <w:top w:val="nil"/>
              <w:left w:val="nil"/>
              <w:bottom w:val="single" w:sz="4" w:space="0" w:color="auto"/>
              <w:right w:val="nil"/>
            </w:tcBorders>
            <w:shd w:val="clear" w:color="auto" w:fill="FFFFFF"/>
            <w:tcMar>
              <w:top w:w="120" w:type="dxa"/>
              <w:left w:w="-1" w:type="dxa"/>
              <w:bottom w:w="120" w:type="dxa"/>
              <w:right w:w="192" w:type="dxa"/>
            </w:tcMar>
            <w:vAlign w:val="center"/>
          </w:tcPr>
          <w:p w14:paraId="5534B9B5" w14:textId="39B3816A" w:rsidR="00C51E3A" w:rsidRDefault="003B348E" w:rsidP="00847528">
            <w:pPr>
              <w:keepNext/>
              <w:widowControl/>
              <w:snapToGrid w:val="0"/>
              <w:jc w:val="center"/>
              <w:rPr>
                <w:rFonts w:ascii="Times New Roman" w:eastAsia="Segoe UI" w:hAnsi="Times New Roman" w:cs="Times New Roman"/>
                <w:i/>
                <w:iCs/>
                <w:color w:val="000000"/>
                <w:sz w:val="24"/>
              </w:rPr>
            </w:pPr>
            <w:r>
              <w:rPr>
                <w:rFonts w:ascii="Times New Roman" w:eastAsia="Segoe UI" w:hAnsi="Times New Roman" w:cs="Times New Roman"/>
                <w:i/>
                <w:iCs/>
                <w:color w:val="000000"/>
                <w:kern w:val="0"/>
                <w:sz w:val="24"/>
                <w:lang w:bidi="ar"/>
              </w:rPr>
              <w:t>p</w:t>
            </w:r>
          </w:p>
        </w:tc>
        <w:tc>
          <w:tcPr>
            <w:tcW w:w="409"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62C52F31"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41B04DDB"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0.745</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23A7A958" w14:textId="79EEEEEC"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72186630"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0.818</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2D153BBF" w14:textId="26E82372"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22A1CF0D"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0.797</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3490F632" w14:textId="6CFCCF62"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c>
          <w:tcPr>
            <w:tcW w:w="542" w:type="pct"/>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3841B927"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0.703</w:t>
            </w:r>
          </w:p>
        </w:tc>
        <w:tc>
          <w:tcPr>
            <w:tcW w:w="483" w:type="pct"/>
            <w:tcBorders>
              <w:top w:val="nil"/>
              <w:left w:val="nil"/>
              <w:bottom w:val="single" w:sz="4" w:space="0" w:color="auto"/>
              <w:right w:val="nil"/>
            </w:tcBorders>
            <w:shd w:val="clear" w:color="auto" w:fill="FFFFFF"/>
            <w:tcMar>
              <w:top w:w="120" w:type="dxa"/>
              <w:left w:w="192" w:type="dxa"/>
              <w:bottom w:w="120" w:type="dxa"/>
              <w:right w:w="-1" w:type="dxa"/>
            </w:tcMar>
            <w:vAlign w:val="center"/>
          </w:tcPr>
          <w:p w14:paraId="4C68D09A" w14:textId="6139DFEF"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r>
    </w:tbl>
    <w:p w14:paraId="5EFEBA22" w14:textId="4CA8311B" w:rsidR="00C51E3A" w:rsidRDefault="004C7185" w:rsidP="00847528">
      <w:pPr>
        <w:snapToGrid w:val="0"/>
        <w:rPr>
          <w:rFonts w:ascii="Times New Roman" w:hAnsi="Times New Roman" w:cs="Times New Roman"/>
          <w:sz w:val="24"/>
        </w:rPr>
      </w:pPr>
      <w:r>
        <w:rPr>
          <w:rFonts w:ascii="Times New Roman" w:hAnsi="Times New Roman" w:cs="Times New Roman"/>
          <w:sz w:val="24"/>
        </w:rPr>
        <w:t>Note: Compared with pre-intervention, *</w:t>
      </w:r>
      <w:r w:rsidR="003B348E">
        <w:rPr>
          <w:rFonts w:ascii="Times New Roman" w:hAnsi="Times New Roman" w:cs="Times New Roman"/>
          <w:i/>
          <w:iCs/>
          <w:sz w:val="24"/>
        </w:rPr>
        <w:t>p</w:t>
      </w:r>
      <w:r w:rsidR="003B348E">
        <w:rPr>
          <w:rFonts w:ascii="Times New Roman" w:hAnsi="Times New Roman" w:cs="Times New Roman"/>
          <w:sz w:val="24"/>
        </w:rPr>
        <w:t xml:space="preserve"> </w:t>
      </w:r>
      <w:r>
        <w:rPr>
          <w:rFonts w:ascii="Times New Roman" w:hAnsi="Times New Roman" w:cs="Times New Roman"/>
          <w:sz w:val="24"/>
        </w:rPr>
        <w:t>&lt; 0.05.</w:t>
      </w:r>
    </w:p>
    <w:p w14:paraId="6D37A229" w14:textId="77777777" w:rsidR="00C51E3A" w:rsidRDefault="00C51E3A" w:rsidP="00847528">
      <w:pPr>
        <w:snapToGrid w:val="0"/>
        <w:rPr>
          <w:rFonts w:ascii="Times New Roman" w:hAnsi="Times New Roman" w:cs="Times New Roman"/>
          <w:sz w:val="24"/>
        </w:rPr>
      </w:pPr>
    </w:p>
    <w:p w14:paraId="0A54E9BF" w14:textId="0DE289A9"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3</w:t>
      </w:r>
      <w:r>
        <w:rPr>
          <w:rFonts w:ascii="Times New Roman" w:hAnsi="Times New Roman" w:cs="Times New Roman"/>
          <w:b/>
          <w:bCs/>
          <w:sz w:val="24"/>
        </w:rPr>
        <w:t>.3</w:t>
      </w:r>
      <w:r>
        <w:rPr>
          <w:rFonts w:ascii="Times New Roman" w:hAnsi="Times New Roman" w:cs="Times New Roman" w:hint="eastAsia"/>
          <w:b/>
          <w:bCs/>
          <w:sz w:val="24"/>
        </w:rPr>
        <w:t>.</w:t>
      </w:r>
      <w:r>
        <w:rPr>
          <w:rFonts w:ascii="Times New Roman" w:hAnsi="Times New Roman" w:cs="Times New Roman"/>
          <w:b/>
          <w:bCs/>
          <w:sz w:val="24"/>
        </w:rPr>
        <w:t xml:space="preserve"> Comparison of </w:t>
      </w:r>
      <w:r w:rsidR="003B348E">
        <w:rPr>
          <w:rFonts w:ascii="Times New Roman" w:hAnsi="Times New Roman" w:cs="Times New Roman"/>
          <w:b/>
          <w:bCs/>
          <w:sz w:val="24"/>
        </w:rPr>
        <w:t xml:space="preserve">liver function indicators between the two groups </w:t>
      </w:r>
    </w:p>
    <w:p w14:paraId="7697F8C2" w14:textId="33DD53CB" w:rsidR="00C51E3A" w:rsidRDefault="004C7185" w:rsidP="00847528">
      <w:pPr>
        <w:snapToGrid w:val="0"/>
        <w:rPr>
          <w:rFonts w:ascii="Times New Roman" w:hAnsi="Times New Roman" w:cs="Times New Roman"/>
          <w:sz w:val="24"/>
        </w:rPr>
      </w:pPr>
      <w:r>
        <w:rPr>
          <w:rFonts w:ascii="Times New Roman" w:hAnsi="Times New Roman" w:cs="Times New Roman"/>
          <w:sz w:val="24"/>
        </w:rPr>
        <w:t>Before and After Intervention</w:t>
      </w:r>
      <w:r w:rsidR="00D806BD">
        <w:rPr>
          <w:rFonts w:ascii="Times New Roman" w:hAnsi="Times New Roman" w:cs="Times New Roman"/>
          <w:sz w:val="24"/>
        </w:rPr>
        <w:t>.</w:t>
      </w:r>
      <w:r>
        <w:rPr>
          <w:rFonts w:ascii="Times New Roman" w:hAnsi="Times New Roman" w:cs="Times New Roman"/>
          <w:sz w:val="24"/>
        </w:rPr>
        <w:t xml:space="preserve"> Before the intervention, there was no statistically significant difference in the levels of TBil, ALT, and AST between the two groups (</w:t>
      </w:r>
      <w:r w:rsidR="003B348E">
        <w:rPr>
          <w:rFonts w:ascii="Times New Roman" w:hAnsi="Times New Roman" w:cs="Times New Roman"/>
          <w:i/>
          <w:iCs/>
          <w:sz w:val="24"/>
        </w:rPr>
        <w:t>p</w:t>
      </w:r>
      <w:r w:rsidR="003B348E">
        <w:rPr>
          <w:rFonts w:ascii="Times New Roman" w:hAnsi="Times New Roman" w:cs="Times New Roman"/>
          <w:sz w:val="24"/>
        </w:rPr>
        <w:t xml:space="preserve"> </w:t>
      </w:r>
      <w:r>
        <w:rPr>
          <w:rFonts w:ascii="Times New Roman" w:hAnsi="Times New Roman" w:cs="Times New Roman"/>
          <w:sz w:val="24"/>
        </w:rPr>
        <w:t>&gt; 0.05). After the intervention, all liver function indicators in the study group were lower than those in the control group, with statistically significant differences (</w:t>
      </w:r>
      <w:r w:rsidR="003B348E">
        <w:rPr>
          <w:rFonts w:ascii="Times New Roman" w:hAnsi="Times New Roman" w:cs="Times New Roman"/>
          <w:i/>
          <w:iCs/>
          <w:sz w:val="24"/>
        </w:rPr>
        <w:t>p</w:t>
      </w:r>
      <w:r w:rsidR="003B348E">
        <w:rPr>
          <w:rFonts w:ascii="Times New Roman" w:hAnsi="Times New Roman" w:cs="Times New Roman"/>
          <w:sz w:val="24"/>
        </w:rPr>
        <w:t xml:space="preserve"> </w:t>
      </w:r>
      <w:r>
        <w:rPr>
          <w:rFonts w:ascii="Times New Roman" w:hAnsi="Times New Roman" w:cs="Times New Roman"/>
          <w:sz w:val="24"/>
        </w:rPr>
        <w:t xml:space="preserve">&lt; 0.05). See </w:t>
      </w:r>
      <w:r>
        <w:rPr>
          <w:rFonts w:ascii="Times New Roman" w:hAnsi="Times New Roman" w:cs="Times New Roman"/>
          <w:b/>
          <w:bCs/>
          <w:sz w:val="24"/>
        </w:rPr>
        <w:t>Table 3</w:t>
      </w:r>
      <w:r>
        <w:rPr>
          <w:rFonts w:ascii="Times New Roman" w:hAnsi="Times New Roman" w:cs="Times New Roman"/>
          <w:sz w:val="24"/>
        </w:rPr>
        <w:t xml:space="preserve"> for details.</w:t>
      </w:r>
    </w:p>
    <w:p w14:paraId="3F2F2968" w14:textId="77777777" w:rsidR="00C51E3A" w:rsidRDefault="00C51E3A" w:rsidP="00847528">
      <w:pPr>
        <w:snapToGrid w:val="0"/>
        <w:rPr>
          <w:rFonts w:ascii="Times New Roman" w:hAnsi="Times New Roman" w:cs="Times New Roman"/>
          <w:sz w:val="24"/>
        </w:rPr>
      </w:pPr>
    </w:p>
    <w:p w14:paraId="0F54493C" w14:textId="068FCA64" w:rsidR="00C51E3A" w:rsidRDefault="004C7185" w:rsidP="00847528">
      <w:pPr>
        <w:snapToGrid w:val="0"/>
        <w:rPr>
          <w:rFonts w:ascii="Times New Roman" w:hAnsi="Times New Roman" w:cs="Times New Roman"/>
          <w:sz w:val="24"/>
        </w:rPr>
      </w:pPr>
      <w:r>
        <w:rPr>
          <w:rFonts w:ascii="Times New Roman" w:hAnsi="Times New Roman" w:cs="Times New Roman"/>
          <w:b/>
          <w:bCs/>
          <w:sz w:val="24"/>
        </w:rPr>
        <w:t>Table 3</w:t>
      </w:r>
      <w:r w:rsidRPr="00847528">
        <w:rPr>
          <w:rFonts w:ascii="Times New Roman" w:hAnsi="Times New Roman" w:cs="Times New Roman"/>
          <w:b/>
          <w:bCs/>
          <w:sz w:val="24"/>
        </w:rPr>
        <w:t>.</w:t>
      </w:r>
      <w:r>
        <w:rPr>
          <w:rFonts w:ascii="Times New Roman" w:hAnsi="Times New Roman" w:cs="Times New Roman"/>
          <w:sz w:val="24"/>
        </w:rPr>
        <w:t xml:space="preserve"> Comparison of </w:t>
      </w:r>
      <w:r w:rsidR="003B348E">
        <w:rPr>
          <w:rFonts w:ascii="Times New Roman" w:hAnsi="Times New Roman" w:cs="Times New Roman"/>
          <w:sz w:val="24"/>
        </w:rPr>
        <w:t>liver function indicators between the two groups before and after intervention</w:t>
      </w:r>
      <w:r>
        <w:rPr>
          <w:rFonts w:ascii="Times New Roman" w:hAnsi="Times New Roman" w:cs="Times New Roman"/>
          <w:sz w:val="24"/>
        </w:rPr>
        <w:t xml:space="preserve"> (</w:t>
      </w:r>
      <w:r>
        <w:rPr>
          <w:rFonts w:ascii="Times New Roman" w:eastAsia="SimSun" w:hAnsi="Times New Roman" w:cs="Times New Roman"/>
          <w:color w:val="0000FF"/>
          <w:position w:val="-6"/>
          <w:sz w:val="24"/>
        </w:rPr>
        <w:object w:dxaOrig="220" w:dyaOrig="270" w14:anchorId="0CBCD720">
          <v:shape id="_x0000_i1028" type="#_x0000_t75" style="width:10.9pt;height:13.65pt" o:ole="">
            <v:imagedata r:id="rId4" o:title=""/>
          </v:shape>
          <o:OLEObject Type="Embed" ProgID="Equation.DSMT4" ShapeID="_x0000_i1028" DrawAspect="Content" ObjectID="_1843104653" r:id="rId8"/>
        </w:object>
      </w:r>
      <w:r>
        <w:rPr>
          <w:rFonts w:ascii="Times New Roman" w:hAnsi="Times New Roman"/>
          <w:sz w:val="24"/>
        </w:rPr>
        <w:t>± s</w:t>
      </w:r>
      <w:r>
        <w:rPr>
          <w:rFonts w:ascii="Times New Roman" w:hAnsi="Times New Roman" w:cs="Times New Roman"/>
          <w:sz w:val="24"/>
        </w:rPr>
        <w:t>)</w:t>
      </w:r>
    </w:p>
    <w:tbl>
      <w:tblPr>
        <w:tblW w:w="8498" w:type="dxa"/>
        <w:jc w:val="center"/>
        <w:tblCellMar>
          <w:top w:w="15" w:type="dxa"/>
          <w:left w:w="15" w:type="dxa"/>
          <w:bottom w:w="15" w:type="dxa"/>
          <w:right w:w="15" w:type="dxa"/>
        </w:tblCellMar>
        <w:tblLook w:val="04A0" w:firstRow="1" w:lastRow="0" w:firstColumn="1" w:lastColumn="0" w:noHBand="0" w:noVBand="1"/>
      </w:tblPr>
      <w:tblGrid>
        <w:gridCol w:w="753"/>
        <w:gridCol w:w="1036"/>
        <w:gridCol w:w="1341"/>
        <w:gridCol w:w="1340"/>
        <w:gridCol w:w="1340"/>
        <w:gridCol w:w="1340"/>
        <w:gridCol w:w="1340"/>
        <w:gridCol w:w="1148"/>
      </w:tblGrid>
      <w:tr w:rsidR="00C51E3A" w14:paraId="46196472" w14:textId="77777777" w:rsidTr="00847528">
        <w:trPr>
          <w:tblHeader/>
          <w:jc w:val="center"/>
        </w:trPr>
        <w:tc>
          <w:tcPr>
            <w:tcW w:w="0" w:type="auto"/>
            <w:vMerge w:val="restart"/>
            <w:tcBorders>
              <w:top w:val="single" w:sz="4" w:space="0" w:color="auto"/>
              <w:left w:val="nil"/>
              <w:bottom w:val="single" w:sz="4" w:space="0" w:color="000000"/>
              <w:right w:val="nil"/>
              <w:tl2br w:val="nil"/>
            </w:tcBorders>
            <w:shd w:val="clear" w:color="auto" w:fill="FFFFFF"/>
            <w:tcMar>
              <w:top w:w="120" w:type="dxa"/>
              <w:left w:w="0" w:type="dxa"/>
              <w:bottom w:w="120" w:type="dxa"/>
              <w:right w:w="192" w:type="dxa"/>
            </w:tcMar>
            <w:vAlign w:val="center"/>
          </w:tcPr>
          <w:p w14:paraId="2F8A3D18" w14:textId="77777777" w:rsidR="00C51E3A" w:rsidRDefault="004C7185" w:rsidP="00847528">
            <w:pPr>
              <w:keepNext/>
              <w:widowControl/>
              <w:snapToGrid w:val="0"/>
              <w:jc w:val="left"/>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Group</w:t>
            </w:r>
          </w:p>
        </w:tc>
        <w:tc>
          <w:tcPr>
            <w:tcW w:w="0" w:type="auto"/>
            <w:vMerge w:val="restart"/>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65568155" w14:textId="4CE46026"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 xml:space="preserve">Number of </w:t>
            </w:r>
            <w:r w:rsidR="003B348E">
              <w:rPr>
                <w:rFonts w:ascii="Times New Roman" w:eastAsia="Segoe UI" w:hAnsi="Times New Roman" w:cs="Times New Roman"/>
                <w:b/>
                <w:color w:val="000000"/>
                <w:kern w:val="0"/>
                <w:sz w:val="24"/>
                <w:lang w:bidi="ar"/>
              </w:rPr>
              <w:t>c</w:t>
            </w:r>
            <w:r w:rsidR="003B348E">
              <w:rPr>
                <w:rFonts w:ascii="Times New Roman" w:eastAsia="Segoe UI" w:hAnsi="Times New Roman" w:cs="Times New Roman"/>
                <w:b/>
                <w:color w:val="000000"/>
                <w:kern w:val="0"/>
                <w:sz w:val="24"/>
                <w:lang w:bidi="ar"/>
              </w:rPr>
              <w:t>ases</w:t>
            </w:r>
          </w:p>
        </w:tc>
        <w:tc>
          <w:tcPr>
            <w:tcW w:w="0" w:type="auto"/>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42AC7BE3"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TBil/(µmol/L)</w:t>
            </w:r>
          </w:p>
        </w:tc>
        <w:tc>
          <w:tcPr>
            <w:tcW w:w="0" w:type="auto"/>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6E197D6B" w14:textId="77777777" w:rsidR="00C51E3A" w:rsidRDefault="004C7185" w:rsidP="003B348E">
            <w:pPr>
              <w:keepNext/>
              <w:widowControl/>
              <w:snapToGrid w:val="0"/>
              <w:jc w:val="center"/>
              <w:rPr>
                <w:rFonts w:ascii="Times New Roman" w:eastAsia="Segoe UI" w:hAnsi="Times New Roman" w:cs="Times New Roman"/>
                <w:b/>
                <w:color w:val="000000"/>
                <w:kern w:val="0"/>
                <w:sz w:val="24"/>
                <w:lang w:bidi="ar"/>
              </w:rPr>
            </w:pPr>
            <w:r>
              <w:rPr>
                <w:rFonts w:ascii="Times New Roman" w:eastAsia="Segoe UI" w:hAnsi="Times New Roman" w:cs="Times New Roman"/>
                <w:b/>
                <w:color w:val="000000"/>
                <w:kern w:val="0"/>
                <w:sz w:val="24"/>
                <w:lang w:bidi="ar"/>
              </w:rPr>
              <w:t>ALT/(U/L)</w:t>
            </w:r>
          </w:p>
        </w:tc>
        <w:tc>
          <w:tcPr>
            <w:tcW w:w="2176" w:type="dxa"/>
            <w:gridSpan w:val="2"/>
            <w:tcBorders>
              <w:top w:val="single" w:sz="4" w:space="0" w:color="auto"/>
              <w:left w:val="nil"/>
              <w:bottom w:val="single" w:sz="4" w:space="0" w:color="000000"/>
              <w:right w:val="nil"/>
            </w:tcBorders>
            <w:shd w:val="clear" w:color="auto" w:fill="FFFFFF"/>
            <w:tcMar>
              <w:top w:w="120" w:type="dxa"/>
              <w:left w:w="192" w:type="dxa"/>
              <w:bottom w:w="120" w:type="dxa"/>
              <w:right w:w="192" w:type="dxa"/>
            </w:tcMar>
            <w:vAlign w:val="center"/>
          </w:tcPr>
          <w:p w14:paraId="62ED566C"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AST/(U/L)</w:t>
            </w:r>
          </w:p>
        </w:tc>
      </w:tr>
      <w:tr w:rsidR="00C51E3A" w14:paraId="70EC42AE" w14:textId="77777777" w:rsidTr="00847528">
        <w:trPr>
          <w:tblHeader/>
          <w:jc w:val="center"/>
        </w:trPr>
        <w:tc>
          <w:tcPr>
            <w:tcW w:w="0" w:type="auto"/>
            <w:vMerge/>
            <w:tcBorders>
              <w:top w:val="single" w:sz="4" w:space="0" w:color="000000"/>
              <w:left w:val="nil"/>
              <w:bottom w:val="single" w:sz="4" w:space="0" w:color="auto"/>
              <w:right w:val="nil"/>
            </w:tcBorders>
            <w:shd w:val="clear" w:color="auto" w:fill="FFFFFF"/>
            <w:tcMar>
              <w:top w:w="120" w:type="dxa"/>
              <w:left w:w="0" w:type="dxa"/>
              <w:bottom w:w="120" w:type="dxa"/>
              <w:right w:w="192" w:type="dxa"/>
            </w:tcMar>
            <w:vAlign w:val="center"/>
          </w:tcPr>
          <w:p w14:paraId="572F42E1" w14:textId="77777777" w:rsidR="00C51E3A" w:rsidRDefault="00C51E3A" w:rsidP="00847528">
            <w:pPr>
              <w:keepNext/>
              <w:snapToGrid w:val="0"/>
              <w:jc w:val="left"/>
              <w:rPr>
                <w:rFonts w:ascii="Times New Roman" w:eastAsia="Segoe UI" w:hAnsi="Times New Roman" w:cs="Times New Roman"/>
                <w:b/>
                <w:color w:val="000000"/>
                <w:sz w:val="24"/>
              </w:rPr>
            </w:pPr>
          </w:p>
        </w:tc>
        <w:tc>
          <w:tcPr>
            <w:tcW w:w="0" w:type="auto"/>
            <w:vMerge/>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4B2586EE" w14:textId="77777777" w:rsidR="00C51E3A" w:rsidRDefault="00C51E3A" w:rsidP="003B348E">
            <w:pPr>
              <w:keepNext/>
              <w:snapToGrid w:val="0"/>
              <w:jc w:val="center"/>
              <w:rPr>
                <w:rFonts w:ascii="Times New Roman" w:eastAsia="Segoe UI" w:hAnsi="Times New Roman" w:cs="Times New Roman"/>
                <w:b/>
                <w:color w:val="000000"/>
                <w:sz w:val="24"/>
              </w:rPr>
            </w:pPr>
          </w:p>
        </w:tc>
        <w:tc>
          <w:tcPr>
            <w:tcW w:w="0" w:type="auto"/>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79B64674"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Before intervention</w:t>
            </w:r>
          </w:p>
        </w:tc>
        <w:tc>
          <w:tcPr>
            <w:tcW w:w="0" w:type="auto"/>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60B9C2DB"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After intervention</w:t>
            </w:r>
          </w:p>
        </w:tc>
        <w:tc>
          <w:tcPr>
            <w:tcW w:w="0" w:type="auto"/>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517528FE"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Before intervention</w:t>
            </w:r>
          </w:p>
        </w:tc>
        <w:tc>
          <w:tcPr>
            <w:tcW w:w="0" w:type="auto"/>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16B28586"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After intervention</w:t>
            </w:r>
          </w:p>
        </w:tc>
        <w:tc>
          <w:tcPr>
            <w:tcW w:w="0" w:type="auto"/>
            <w:tcBorders>
              <w:top w:val="single" w:sz="4" w:space="0" w:color="000000"/>
              <w:left w:val="nil"/>
              <w:bottom w:val="single" w:sz="4" w:space="0" w:color="auto"/>
              <w:right w:val="nil"/>
            </w:tcBorders>
            <w:shd w:val="clear" w:color="auto" w:fill="FFFFFF"/>
            <w:tcMar>
              <w:top w:w="120" w:type="dxa"/>
              <w:left w:w="192" w:type="dxa"/>
              <w:bottom w:w="120" w:type="dxa"/>
              <w:right w:w="192" w:type="dxa"/>
            </w:tcMar>
            <w:vAlign w:val="center"/>
          </w:tcPr>
          <w:p w14:paraId="59B912B6"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Before intervention</w:t>
            </w:r>
          </w:p>
        </w:tc>
        <w:tc>
          <w:tcPr>
            <w:tcW w:w="992" w:type="dxa"/>
            <w:tcBorders>
              <w:top w:val="single" w:sz="4" w:space="0" w:color="000000"/>
              <w:left w:val="nil"/>
              <w:bottom w:val="single" w:sz="4" w:space="0" w:color="auto"/>
              <w:right w:val="nil"/>
            </w:tcBorders>
            <w:shd w:val="clear" w:color="auto" w:fill="FFFFFF"/>
            <w:tcMar>
              <w:top w:w="120" w:type="dxa"/>
              <w:left w:w="192" w:type="dxa"/>
              <w:bottom w:w="120" w:type="dxa"/>
              <w:right w:w="0" w:type="dxa"/>
            </w:tcMar>
            <w:vAlign w:val="center"/>
          </w:tcPr>
          <w:p w14:paraId="2C0FB054" w14:textId="77777777" w:rsidR="00C51E3A" w:rsidRDefault="004C7185" w:rsidP="003B348E">
            <w:pPr>
              <w:keepNext/>
              <w:widowControl/>
              <w:snapToGrid w:val="0"/>
              <w:jc w:val="center"/>
              <w:rPr>
                <w:rFonts w:ascii="Times New Roman" w:eastAsia="Segoe UI" w:hAnsi="Times New Roman" w:cs="Times New Roman"/>
                <w:b/>
                <w:color w:val="000000"/>
                <w:sz w:val="24"/>
              </w:rPr>
            </w:pPr>
            <w:r>
              <w:rPr>
                <w:rFonts w:ascii="Times New Roman" w:eastAsia="Segoe UI" w:hAnsi="Times New Roman" w:cs="Times New Roman"/>
                <w:b/>
                <w:color w:val="000000"/>
                <w:kern w:val="0"/>
                <w:sz w:val="24"/>
                <w:lang w:bidi="ar"/>
              </w:rPr>
              <w:t>After intervention</w:t>
            </w:r>
          </w:p>
        </w:tc>
      </w:tr>
      <w:tr w:rsidR="00C51E3A" w14:paraId="740D366E" w14:textId="77777777" w:rsidTr="00847528">
        <w:trPr>
          <w:jc w:val="center"/>
        </w:trPr>
        <w:tc>
          <w:tcPr>
            <w:tcW w:w="0" w:type="auto"/>
            <w:tcBorders>
              <w:top w:val="single" w:sz="4" w:space="0" w:color="auto"/>
              <w:left w:val="nil"/>
              <w:bottom w:val="nil"/>
              <w:right w:val="nil"/>
            </w:tcBorders>
            <w:shd w:val="clear" w:color="auto" w:fill="FFFFFF"/>
            <w:tcMar>
              <w:top w:w="120" w:type="dxa"/>
              <w:left w:w="0" w:type="dxa"/>
              <w:bottom w:w="120" w:type="dxa"/>
              <w:right w:w="192" w:type="dxa"/>
            </w:tcMar>
            <w:vAlign w:val="center"/>
          </w:tcPr>
          <w:p w14:paraId="32C707F2" w14:textId="70495DA1" w:rsidR="00C51E3A" w:rsidRDefault="004C7185" w:rsidP="00847528">
            <w:pPr>
              <w:keepNext/>
              <w:widowControl/>
              <w:snapToGrid w:val="0"/>
              <w:jc w:val="left"/>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 xml:space="preserve">Control </w:t>
            </w:r>
            <w:r w:rsidR="003B348E">
              <w:rPr>
                <w:rFonts w:ascii="Times New Roman" w:eastAsia="Segoe UI" w:hAnsi="Times New Roman" w:cs="Times New Roman"/>
                <w:color w:val="000000"/>
                <w:kern w:val="0"/>
                <w:sz w:val="24"/>
                <w:lang w:bidi="ar"/>
              </w:rPr>
              <w:t>g</w:t>
            </w:r>
            <w:r w:rsidR="003B348E">
              <w:rPr>
                <w:rFonts w:ascii="Times New Roman" w:eastAsia="Segoe UI" w:hAnsi="Times New Roman" w:cs="Times New Roman"/>
                <w:color w:val="000000"/>
                <w:kern w:val="0"/>
                <w:sz w:val="24"/>
                <w:lang w:bidi="ar"/>
              </w:rPr>
              <w:t>roup</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188896C6"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35</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4B0CE4D3" w14:textId="7FB335A8"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30.47</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4.65</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48B343A6" w14:textId="1DE09E73"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28.65</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4.57*</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20371EB5" w14:textId="4E28D7A8"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76.73</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7.77</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7DA1D2B4" w14:textId="0849ABB9"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62.78</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7.53*</w:t>
            </w:r>
          </w:p>
        </w:tc>
        <w:tc>
          <w:tcPr>
            <w:tcW w:w="0" w:type="auto"/>
            <w:tcBorders>
              <w:top w:val="single" w:sz="4" w:space="0" w:color="auto"/>
              <w:left w:val="nil"/>
              <w:bottom w:val="nil"/>
              <w:right w:val="nil"/>
            </w:tcBorders>
            <w:shd w:val="clear" w:color="auto" w:fill="FFFFFF"/>
            <w:tcMar>
              <w:top w:w="120" w:type="dxa"/>
              <w:left w:w="192" w:type="dxa"/>
              <w:bottom w:w="120" w:type="dxa"/>
              <w:right w:w="192" w:type="dxa"/>
            </w:tcMar>
            <w:vAlign w:val="center"/>
          </w:tcPr>
          <w:p w14:paraId="441D3222" w14:textId="4FC10DA3"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82.38</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8.45</w:t>
            </w:r>
          </w:p>
        </w:tc>
        <w:tc>
          <w:tcPr>
            <w:tcW w:w="992" w:type="dxa"/>
            <w:tcBorders>
              <w:top w:val="single" w:sz="4" w:space="0" w:color="auto"/>
              <w:left w:val="nil"/>
              <w:bottom w:val="nil"/>
              <w:right w:val="nil"/>
            </w:tcBorders>
            <w:shd w:val="clear" w:color="auto" w:fill="FFFFFF"/>
            <w:tcMar>
              <w:top w:w="120" w:type="dxa"/>
              <w:left w:w="192" w:type="dxa"/>
              <w:bottom w:w="120" w:type="dxa"/>
              <w:right w:w="0" w:type="dxa"/>
            </w:tcMar>
            <w:vAlign w:val="center"/>
          </w:tcPr>
          <w:p w14:paraId="2F192E2D" w14:textId="46A4FE86"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65.45</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8.14*</w:t>
            </w:r>
          </w:p>
        </w:tc>
      </w:tr>
      <w:tr w:rsidR="00C51E3A" w14:paraId="52FD7C55" w14:textId="77777777">
        <w:trPr>
          <w:jc w:val="center"/>
        </w:trPr>
        <w:tc>
          <w:tcPr>
            <w:tcW w:w="0" w:type="auto"/>
            <w:tcBorders>
              <w:top w:val="nil"/>
              <w:left w:val="nil"/>
              <w:bottom w:val="nil"/>
              <w:right w:val="nil"/>
            </w:tcBorders>
            <w:shd w:val="clear" w:color="auto" w:fill="FFFFFF"/>
            <w:tcMar>
              <w:top w:w="120" w:type="dxa"/>
              <w:left w:w="0" w:type="dxa"/>
              <w:bottom w:w="120" w:type="dxa"/>
              <w:right w:w="192" w:type="dxa"/>
            </w:tcMar>
            <w:vAlign w:val="center"/>
          </w:tcPr>
          <w:p w14:paraId="39EE221B" w14:textId="4999E2CC" w:rsidR="00C51E3A" w:rsidRDefault="004C7185" w:rsidP="00847528">
            <w:pPr>
              <w:keepNext/>
              <w:widowControl/>
              <w:snapToGrid w:val="0"/>
              <w:jc w:val="left"/>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 xml:space="preserve">Study </w:t>
            </w:r>
            <w:r w:rsidR="003B348E">
              <w:rPr>
                <w:rFonts w:ascii="Times New Roman" w:eastAsia="Segoe UI" w:hAnsi="Times New Roman" w:cs="Times New Roman"/>
                <w:color w:val="000000"/>
                <w:kern w:val="0"/>
                <w:sz w:val="24"/>
                <w:lang w:bidi="ar"/>
              </w:rPr>
              <w:t>g</w:t>
            </w:r>
            <w:r w:rsidR="003B348E">
              <w:rPr>
                <w:rFonts w:ascii="Times New Roman" w:eastAsia="Segoe UI" w:hAnsi="Times New Roman" w:cs="Times New Roman"/>
                <w:color w:val="000000"/>
                <w:kern w:val="0"/>
                <w:sz w:val="24"/>
                <w:lang w:bidi="ar"/>
              </w:rPr>
              <w:t>roup</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7F9F414B"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35</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1B98D222" w14:textId="3E504B2C"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30.82</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4.47</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50C22DCE" w14:textId="775C7AE5"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20.27</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4.22*</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44640E4E" w14:textId="10F217C9"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76.82</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7.54</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4D859157" w14:textId="3C1E88BA"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46.01</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6.87*</w:t>
            </w:r>
          </w:p>
        </w:tc>
        <w:tc>
          <w:tcPr>
            <w:tcW w:w="0" w:type="auto"/>
            <w:tcBorders>
              <w:top w:val="nil"/>
              <w:left w:val="nil"/>
              <w:bottom w:val="nil"/>
              <w:right w:val="nil"/>
            </w:tcBorders>
            <w:shd w:val="clear" w:color="auto" w:fill="FFFFFF"/>
            <w:tcMar>
              <w:top w:w="120" w:type="dxa"/>
              <w:left w:w="192" w:type="dxa"/>
              <w:bottom w:w="120" w:type="dxa"/>
              <w:right w:w="192" w:type="dxa"/>
            </w:tcMar>
            <w:vAlign w:val="center"/>
          </w:tcPr>
          <w:p w14:paraId="182589A1" w14:textId="38649D45"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82.54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8.29</w:t>
            </w:r>
          </w:p>
        </w:tc>
        <w:tc>
          <w:tcPr>
            <w:tcW w:w="992" w:type="dxa"/>
            <w:tcBorders>
              <w:top w:val="nil"/>
              <w:left w:val="nil"/>
              <w:bottom w:val="nil"/>
              <w:right w:val="nil"/>
            </w:tcBorders>
            <w:shd w:val="clear" w:color="auto" w:fill="FFFFFF"/>
            <w:tcMar>
              <w:top w:w="120" w:type="dxa"/>
              <w:left w:w="192" w:type="dxa"/>
              <w:bottom w:w="120" w:type="dxa"/>
              <w:right w:w="0" w:type="dxa"/>
            </w:tcMar>
            <w:vAlign w:val="center"/>
          </w:tcPr>
          <w:p w14:paraId="731DA2DA" w14:textId="28138DDB"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48.94</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7.35*</w:t>
            </w:r>
          </w:p>
        </w:tc>
      </w:tr>
      <w:tr w:rsidR="00C51E3A" w14:paraId="76D52D8C" w14:textId="77777777" w:rsidTr="00847528">
        <w:trPr>
          <w:jc w:val="center"/>
        </w:trPr>
        <w:tc>
          <w:tcPr>
            <w:tcW w:w="0" w:type="auto"/>
            <w:tcBorders>
              <w:top w:val="nil"/>
              <w:left w:val="nil"/>
              <w:right w:val="nil"/>
            </w:tcBorders>
            <w:shd w:val="clear" w:color="auto" w:fill="FFFFFF"/>
            <w:tcMar>
              <w:top w:w="120" w:type="dxa"/>
              <w:left w:w="0" w:type="dxa"/>
              <w:bottom w:w="120" w:type="dxa"/>
              <w:right w:w="192" w:type="dxa"/>
            </w:tcMar>
            <w:vAlign w:val="center"/>
          </w:tcPr>
          <w:p w14:paraId="61979B86" w14:textId="77777777" w:rsidR="00C51E3A" w:rsidRDefault="004C7185" w:rsidP="00847528">
            <w:pPr>
              <w:keepNext/>
              <w:widowControl/>
              <w:snapToGrid w:val="0"/>
              <w:jc w:val="left"/>
              <w:rPr>
                <w:rFonts w:ascii="Times New Roman" w:eastAsia="Segoe UI" w:hAnsi="Times New Roman" w:cs="Times New Roman"/>
                <w:i/>
                <w:iCs/>
                <w:color w:val="000000"/>
                <w:sz w:val="24"/>
              </w:rPr>
            </w:pPr>
            <w:r>
              <w:rPr>
                <w:rFonts w:ascii="Times New Roman" w:eastAsia="Segoe UI" w:hAnsi="Times New Roman" w:cs="Times New Roman"/>
                <w:i/>
                <w:iCs/>
                <w:color w:val="000000"/>
                <w:kern w:val="0"/>
                <w:sz w:val="24"/>
                <w:lang w:bidi="ar"/>
              </w:rPr>
              <w:t>t</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10364AEF"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0DE571D8" w14:textId="7777777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0.289</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364D15BB" w14:textId="7777777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8.572</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46476B7E"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0.229</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3CF3A255" w14:textId="7777777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8.943</w:t>
            </w:r>
          </w:p>
        </w:tc>
        <w:tc>
          <w:tcPr>
            <w:tcW w:w="0" w:type="auto"/>
            <w:tcBorders>
              <w:top w:val="nil"/>
              <w:left w:val="nil"/>
              <w:right w:val="nil"/>
            </w:tcBorders>
            <w:shd w:val="clear" w:color="auto" w:fill="FFFFFF"/>
            <w:tcMar>
              <w:top w:w="120" w:type="dxa"/>
              <w:left w:w="192" w:type="dxa"/>
              <w:bottom w:w="120" w:type="dxa"/>
              <w:right w:w="192" w:type="dxa"/>
            </w:tcMar>
            <w:vAlign w:val="center"/>
          </w:tcPr>
          <w:p w14:paraId="69A75D62"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0.301</w:t>
            </w:r>
          </w:p>
        </w:tc>
        <w:tc>
          <w:tcPr>
            <w:tcW w:w="992" w:type="dxa"/>
            <w:tcBorders>
              <w:top w:val="nil"/>
              <w:left w:val="nil"/>
              <w:right w:val="nil"/>
            </w:tcBorders>
            <w:shd w:val="clear" w:color="auto" w:fill="FFFFFF"/>
            <w:tcMar>
              <w:top w:w="120" w:type="dxa"/>
              <w:left w:w="192" w:type="dxa"/>
              <w:bottom w:w="120" w:type="dxa"/>
              <w:right w:w="0" w:type="dxa"/>
            </w:tcMar>
            <w:vAlign w:val="center"/>
          </w:tcPr>
          <w:p w14:paraId="54B675E1" w14:textId="7777777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8.216</w:t>
            </w:r>
          </w:p>
        </w:tc>
      </w:tr>
      <w:tr w:rsidR="00C51E3A" w14:paraId="5F98289B" w14:textId="77777777" w:rsidTr="00847528">
        <w:trPr>
          <w:jc w:val="center"/>
        </w:trPr>
        <w:tc>
          <w:tcPr>
            <w:tcW w:w="659" w:type="dxa"/>
            <w:tcBorders>
              <w:top w:val="nil"/>
              <w:left w:val="nil"/>
              <w:bottom w:val="single" w:sz="4" w:space="0" w:color="auto"/>
              <w:right w:val="nil"/>
            </w:tcBorders>
            <w:shd w:val="clear" w:color="auto" w:fill="FFFFFF"/>
            <w:tcMar>
              <w:top w:w="120" w:type="dxa"/>
              <w:left w:w="0" w:type="dxa"/>
              <w:bottom w:w="120" w:type="dxa"/>
              <w:right w:w="192" w:type="dxa"/>
            </w:tcMar>
            <w:vAlign w:val="center"/>
          </w:tcPr>
          <w:p w14:paraId="6B415AE1" w14:textId="2F9E88F2" w:rsidR="00C51E3A" w:rsidRDefault="003B348E" w:rsidP="00847528">
            <w:pPr>
              <w:keepNext/>
              <w:widowControl/>
              <w:snapToGrid w:val="0"/>
              <w:jc w:val="left"/>
              <w:rPr>
                <w:rFonts w:ascii="Times New Roman" w:eastAsia="Segoe UI" w:hAnsi="Times New Roman" w:cs="Times New Roman"/>
                <w:color w:val="000000"/>
                <w:sz w:val="24"/>
              </w:rPr>
            </w:pPr>
            <w:r>
              <w:rPr>
                <w:rFonts w:ascii="Times New Roman" w:eastAsia="Segoe UI" w:hAnsi="Times New Roman" w:cs="Times New Roman"/>
                <w:i/>
                <w:iCs/>
                <w:color w:val="000000"/>
                <w:kern w:val="0"/>
                <w:sz w:val="24"/>
                <w:lang w:bidi="ar"/>
              </w:rPr>
              <w:t>p</w:t>
            </w:r>
          </w:p>
        </w:tc>
        <w:tc>
          <w:tcPr>
            <w:tcW w:w="928"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45484FDE"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w:t>
            </w:r>
          </w:p>
        </w:tc>
        <w:tc>
          <w:tcPr>
            <w:tcW w:w="1183"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022CC14F" w14:textId="7777777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0.773</w:t>
            </w:r>
          </w:p>
        </w:tc>
        <w:tc>
          <w:tcPr>
            <w:tcW w:w="1184"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0A009605" w14:textId="58299447"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c>
          <w:tcPr>
            <w:tcW w:w="1184"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5387F8A3"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0.820</w:t>
            </w:r>
          </w:p>
        </w:tc>
        <w:tc>
          <w:tcPr>
            <w:tcW w:w="1184"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225A663D" w14:textId="5349F301"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c>
          <w:tcPr>
            <w:tcW w:w="1184" w:type="dxa"/>
            <w:tcBorders>
              <w:top w:val="nil"/>
              <w:left w:val="nil"/>
              <w:bottom w:val="single" w:sz="4" w:space="0" w:color="auto"/>
              <w:right w:val="nil"/>
            </w:tcBorders>
            <w:shd w:val="clear" w:color="auto" w:fill="FFFFFF"/>
            <w:tcMar>
              <w:top w:w="120" w:type="dxa"/>
              <w:left w:w="192" w:type="dxa"/>
              <w:bottom w:w="120" w:type="dxa"/>
              <w:right w:w="192" w:type="dxa"/>
            </w:tcMar>
            <w:vAlign w:val="center"/>
          </w:tcPr>
          <w:p w14:paraId="01110556" w14:textId="77777777" w:rsidR="00C51E3A" w:rsidRDefault="004C7185" w:rsidP="00847528">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0.764</w:t>
            </w:r>
          </w:p>
        </w:tc>
        <w:tc>
          <w:tcPr>
            <w:tcW w:w="992" w:type="dxa"/>
            <w:tcBorders>
              <w:top w:val="nil"/>
              <w:left w:val="nil"/>
              <w:bottom w:val="single" w:sz="4" w:space="0" w:color="auto"/>
              <w:right w:val="nil"/>
            </w:tcBorders>
            <w:shd w:val="clear" w:color="auto" w:fill="FFFFFF"/>
            <w:tcMar>
              <w:top w:w="120" w:type="dxa"/>
              <w:left w:w="192" w:type="dxa"/>
              <w:bottom w:w="120" w:type="dxa"/>
              <w:right w:w="0" w:type="dxa"/>
            </w:tcMar>
            <w:vAlign w:val="center"/>
          </w:tcPr>
          <w:p w14:paraId="05065930" w14:textId="279C9F54" w:rsidR="00C51E3A" w:rsidRDefault="004C7185" w:rsidP="003B348E">
            <w:pPr>
              <w:keepNext/>
              <w:widowControl/>
              <w:snapToGrid w:val="0"/>
              <w:jc w:val="center"/>
              <w:rPr>
                <w:rFonts w:ascii="Times New Roman" w:eastAsia="Segoe UI" w:hAnsi="Times New Roman" w:cs="Times New Roman"/>
                <w:color w:val="000000"/>
                <w:sz w:val="24"/>
              </w:rPr>
            </w:pPr>
            <w:r>
              <w:rPr>
                <w:rFonts w:ascii="Times New Roman" w:eastAsia="Segoe UI" w:hAnsi="Times New Roman" w:cs="Times New Roman"/>
                <w:color w:val="000000"/>
                <w:kern w:val="0"/>
                <w:sz w:val="24"/>
                <w:lang w:bidi="ar"/>
              </w:rPr>
              <w:t>&lt;</w:t>
            </w:r>
            <w:r w:rsidR="003B348E">
              <w:rPr>
                <w:rFonts w:ascii="Times New Roman" w:eastAsia="Segoe UI" w:hAnsi="Times New Roman" w:cs="Times New Roman"/>
                <w:color w:val="000000"/>
                <w:kern w:val="0"/>
                <w:sz w:val="24"/>
                <w:lang w:bidi="ar"/>
              </w:rPr>
              <w:t xml:space="preserve"> </w:t>
            </w:r>
            <w:r>
              <w:rPr>
                <w:rFonts w:ascii="Times New Roman" w:eastAsia="Segoe UI" w:hAnsi="Times New Roman" w:cs="Times New Roman"/>
                <w:color w:val="000000"/>
                <w:kern w:val="0"/>
                <w:sz w:val="24"/>
                <w:lang w:bidi="ar"/>
              </w:rPr>
              <w:t>0.001</w:t>
            </w:r>
          </w:p>
        </w:tc>
      </w:tr>
    </w:tbl>
    <w:p w14:paraId="6B5AA10C" w14:textId="77777777" w:rsidR="00C51E3A" w:rsidRDefault="004C7185" w:rsidP="00847528">
      <w:pPr>
        <w:snapToGrid w:val="0"/>
        <w:rPr>
          <w:rFonts w:ascii="Times New Roman" w:hAnsi="Times New Roman" w:cs="Times New Roman"/>
          <w:sz w:val="24"/>
        </w:rPr>
      </w:pPr>
      <w:r>
        <w:rPr>
          <w:rFonts w:ascii="Times New Roman" w:hAnsi="Times New Roman" w:cs="Times New Roman"/>
          <w:sz w:val="24"/>
        </w:rPr>
        <w:t>Note: Compared with pre-intervention, *</w:t>
      </w:r>
      <w:r>
        <w:rPr>
          <w:rFonts w:ascii="Times New Roman" w:hAnsi="Times New Roman" w:cs="Times New Roman"/>
          <w:i/>
          <w:iCs/>
          <w:sz w:val="24"/>
        </w:rPr>
        <w:t xml:space="preserve">P </w:t>
      </w:r>
      <w:r>
        <w:rPr>
          <w:rFonts w:ascii="Times New Roman" w:hAnsi="Times New Roman" w:cs="Times New Roman"/>
          <w:sz w:val="24"/>
        </w:rPr>
        <w:t>&lt; 0.05.</w:t>
      </w:r>
    </w:p>
    <w:p w14:paraId="0EE1490A" w14:textId="77777777" w:rsidR="00C51E3A" w:rsidRDefault="00C51E3A" w:rsidP="00847528">
      <w:pPr>
        <w:snapToGrid w:val="0"/>
        <w:rPr>
          <w:rFonts w:ascii="Times New Roman" w:hAnsi="Times New Roman" w:cs="Times New Roman"/>
          <w:sz w:val="24"/>
        </w:rPr>
      </w:pPr>
    </w:p>
    <w:p w14:paraId="73BBCBE3" w14:textId="77777777"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4</w:t>
      </w:r>
      <w:r>
        <w:rPr>
          <w:rFonts w:ascii="Times New Roman" w:hAnsi="Times New Roman" w:cs="Times New Roman"/>
          <w:b/>
          <w:bCs/>
          <w:sz w:val="24"/>
        </w:rPr>
        <w:t>.</w:t>
      </w:r>
      <w:r>
        <w:rPr>
          <w:rFonts w:ascii="Times New Roman" w:hAnsi="Times New Roman" w:cs="Times New Roman"/>
          <w:b/>
          <w:bCs/>
          <w:sz w:val="24"/>
        </w:rPr>
        <w:t xml:space="preserve"> Discussion </w:t>
      </w:r>
    </w:p>
    <w:p w14:paraId="0689B9B5" w14:textId="6D694B07" w:rsidR="00C51E3A" w:rsidRDefault="004C7185" w:rsidP="00847528">
      <w:pPr>
        <w:snapToGrid w:val="0"/>
        <w:rPr>
          <w:rFonts w:ascii="Times New Roman" w:hAnsi="Times New Roman" w:cs="Times New Roman"/>
          <w:sz w:val="24"/>
        </w:rPr>
      </w:pPr>
      <w:r>
        <w:rPr>
          <w:rFonts w:ascii="Times New Roman" w:hAnsi="Times New Roman" w:cs="Times New Roman"/>
          <w:sz w:val="24"/>
        </w:rPr>
        <w:lastRenderedPageBreak/>
        <w:t xml:space="preserve">The core distinction between specialized integrated care and conventional care lies in its </w:t>
      </w:r>
      <w:r w:rsidR="00D806BD">
        <w:rPr>
          <w:rFonts w:ascii="Times New Roman" w:hAnsi="Times New Roman" w:cs="Times New Roman"/>
          <w:sz w:val="24"/>
        </w:rPr>
        <w:t>“</w:t>
      </w:r>
      <w:r>
        <w:rPr>
          <w:rFonts w:ascii="Times New Roman" w:hAnsi="Times New Roman" w:cs="Times New Roman"/>
          <w:sz w:val="24"/>
        </w:rPr>
        <w:t>systematic</w:t>
      </w:r>
      <w:r w:rsidR="00D806BD">
        <w:rPr>
          <w:rFonts w:ascii="Times New Roman" w:hAnsi="Times New Roman" w:cs="Times New Roman"/>
          <w:sz w:val="24"/>
        </w:rPr>
        <w:t>”</w:t>
      </w:r>
      <w:r>
        <w:rPr>
          <w:rFonts w:ascii="Times New Roman" w:hAnsi="Times New Roman" w:cs="Times New Roman"/>
          <w:sz w:val="24"/>
        </w:rPr>
        <w:t xml:space="preserve"> and </w:t>
      </w:r>
      <w:r w:rsidR="00D806BD">
        <w:rPr>
          <w:rFonts w:ascii="Times New Roman" w:hAnsi="Times New Roman" w:cs="Times New Roman"/>
          <w:sz w:val="24"/>
        </w:rPr>
        <w:t>“</w:t>
      </w:r>
      <w:r>
        <w:rPr>
          <w:rFonts w:ascii="Times New Roman" w:hAnsi="Times New Roman" w:cs="Times New Roman"/>
          <w:sz w:val="24"/>
        </w:rPr>
        <w:t>targeted</w:t>
      </w:r>
      <w:r w:rsidR="00D806BD">
        <w:rPr>
          <w:rFonts w:ascii="Times New Roman" w:hAnsi="Times New Roman" w:cs="Times New Roman"/>
          <w:sz w:val="24"/>
        </w:rPr>
        <w:t>”</w:t>
      </w:r>
      <w:r>
        <w:rPr>
          <w:rFonts w:ascii="Times New Roman" w:hAnsi="Times New Roman" w:cs="Times New Roman"/>
          <w:sz w:val="24"/>
        </w:rPr>
        <w:t xml:space="preserve"> nature. Conventional care primarily focuses on </w:t>
      </w:r>
      <w:r w:rsidR="00D806BD">
        <w:rPr>
          <w:rFonts w:ascii="Times New Roman" w:hAnsi="Times New Roman" w:cs="Times New Roman"/>
          <w:sz w:val="24"/>
        </w:rPr>
        <w:t>“</w:t>
      </w:r>
      <w:r>
        <w:rPr>
          <w:rFonts w:ascii="Times New Roman" w:hAnsi="Times New Roman" w:cs="Times New Roman"/>
          <w:sz w:val="24"/>
        </w:rPr>
        <w:t>disease monitoring</w:t>
      </w:r>
      <w:r w:rsidR="00D806BD">
        <w:rPr>
          <w:rFonts w:ascii="Times New Roman" w:hAnsi="Times New Roman" w:cs="Times New Roman"/>
          <w:sz w:val="24"/>
        </w:rPr>
        <w:t>”</w:t>
      </w:r>
      <w:r>
        <w:rPr>
          <w:rFonts w:ascii="Times New Roman" w:hAnsi="Times New Roman" w:cs="Times New Roman"/>
          <w:sz w:val="24"/>
        </w:rPr>
        <w:t xml:space="preserve"> and lacks integration of nutritional, psychological, and long-term management aspects for patients. In contrast, patients with liver cirrhosis have multidimensional and long-term care needs</w:t>
      </w:r>
      <w:r w:rsidR="003B348E">
        <w:rPr>
          <w:rFonts w:ascii="Times New Roman" w:hAnsi="Times New Roman" w:cs="Times New Roman"/>
          <w:sz w:val="24"/>
        </w:rPr>
        <w:t xml:space="preserve">, </w:t>
      </w:r>
      <w:r>
        <w:rPr>
          <w:rFonts w:ascii="Times New Roman" w:hAnsi="Times New Roman" w:cs="Times New Roman"/>
          <w:sz w:val="24"/>
        </w:rPr>
        <w:t xml:space="preserve">nutritional metabolic disorders require dynamic dietary adjustments, psychological issues necessitate continuous counseling, and post-discharge continuity of care is essential to prevent recurrence </w:t>
      </w:r>
      <w:r>
        <w:rPr>
          <w:rFonts w:ascii="Times New Roman" w:hAnsi="Times New Roman" w:cs="Times New Roman"/>
          <w:sz w:val="24"/>
          <w:vertAlign w:val="superscript"/>
        </w:rPr>
        <w:t>[5]</w:t>
      </w:r>
      <w:r>
        <w:rPr>
          <w:rFonts w:ascii="Times New Roman" w:hAnsi="Times New Roman" w:cs="Times New Roman"/>
          <w:sz w:val="24"/>
        </w:rPr>
        <w:t xml:space="preserve">. The specialized integrated care model developed in this study employs a closed-loop approach of </w:t>
      </w:r>
      <w:r w:rsidR="00D806BD">
        <w:rPr>
          <w:rFonts w:ascii="Times New Roman" w:hAnsi="Times New Roman" w:cs="Times New Roman"/>
          <w:sz w:val="24"/>
        </w:rPr>
        <w:t>“</w:t>
      </w:r>
      <w:r>
        <w:rPr>
          <w:rFonts w:ascii="Times New Roman" w:hAnsi="Times New Roman" w:cs="Times New Roman"/>
          <w:sz w:val="24"/>
        </w:rPr>
        <w:t>multidisciplinary nurse joint assessment-precise interventions during hospitalization-post-discharge follow-up</w:t>
      </w:r>
      <w:r w:rsidR="00D806BD">
        <w:rPr>
          <w:rFonts w:ascii="Times New Roman" w:hAnsi="Times New Roman" w:cs="Times New Roman"/>
          <w:sz w:val="24"/>
        </w:rPr>
        <w:t>”,</w:t>
      </w:r>
      <w:r>
        <w:rPr>
          <w:rFonts w:ascii="Times New Roman" w:hAnsi="Times New Roman" w:cs="Times New Roman"/>
          <w:sz w:val="24"/>
        </w:rPr>
        <w:t xml:space="preserve"> integrating nutritional management, liver function protection, and psychological support throughout the care continuum. This approach addresses the </w:t>
      </w:r>
      <w:r w:rsidR="00D806BD">
        <w:rPr>
          <w:rFonts w:ascii="Times New Roman" w:hAnsi="Times New Roman" w:cs="Times New Roman"/>
          <w:sz w:val="24"/>
        </w:rPr>
        <w:t>“</w:t>
      </w:r>
      <w:r>
        <w:rPr>
          <w:rFonts w:ascii="Times New Roman" w:hAnsi="Times New Roman" w:cs="Times New Roman"/>
          <w:sz w:val="24"/>
        </w:rPr>
        <w:t>fragmented</w:t>
      </w:r>
      <w:r w:rsidR="00D806BD">
        <w:rPr>
          <w:rFonts w:ascii="Times New Roman" w:hAnsi="Times New Roman" w:cs="Times New Roman"/>
          <w:sz w:val="24"/>
        </w:rPr>
        <w:t>”</w:t>
      </w:r>
      <w:r>
        <w:rPr>
          <w:rFonts w:ascii="Times New Roman" w:hAnsi="Times New Roman" w:cs="Times New Roman"/>
          <w:sz w:val="24"/>
        </w:rPr>
        <w:t xml:space="preserve"> nature of conventional care and tailors personalized plans to meet the needs of patients with different Child-Pugh classifications, such as reducing protein intake in Class C patients to prevent hepatic encephalopathy, ultimately achieving synergistic improvements in nutritional status, quality of life, and liver function.</w:t>
      </w:r>
    </w:p>
    <w:p w14:paraId="6CA5FA24" w14:textId="7B713DE7" w:rsidR="00C51E3A" w:rsidRDefault="004C7185" w:rsidP="00847528">
      <w:pPr>
        <w:snapToGrid w:val="0"/>
        <w:ind w:firstLineChars="200" w:firstLine="480"/>
        <w:rPr>
          <w:rFonts w:ascii="Times New Roman" w:hAnsi="Times New Roman" w:cs="Times New Roman"/>
          <w:sz w:val="24"/>
        </w:rPr>
      </w:pPr>
      <w:r>
        <w:rPr>
          <w:rFonts w:ascii="Times New Roman" w:hAnsi="Times New Roman" w:cs="Times New Roman"/>
          <w:sz w:val="24"/>
        </w:rPr>
        <w:t>The results of this study showed that BMI, Hb, ALB, and TP levels in the study group were significantly higher than those in the control group after intervention (</w:t>
      </w:r>
      <w:r w:rsidR="003B348E">
        <w:rPr>
          <w:rFonts w:ascii="Times New Roman" w:hAnsi="Times New Roman" w:cs="Times New Roman"/>
          <w:i/>
          <w:iCs/>
          <w:sz w:val="24"/>
        </w:rPr>
        <w:t>p</w:t>
      </w:r>
      <w:r>
        <w:rPr>
          <w:rFonts w:ascii="Times New Roman" w:hAnsi="Times New Roman" w:cs="Times New Roman"/>
          <w:sz w:val="24"/>
        </w:rPr>
        <w:t xml:space="preserve"> &lt; 0.05), indicating that specialized integrated care can improve patients</w:t>
      </w:r>
      <w:r w:rsidR="00D806BD">
        <w:rPr>
          <w:rFonts w:ascii="Times New Roman" w:hAnsi="Times New Roman" w:cs="Times New Roman"/>
          <w:sz w:val="24"/>
        </w:rPr>
        <w:t>’</w:t>
      </w:r>
      <w:r>
        <w:rPr>
          <w:rFonts w:ascii="Times New Roman" w:hAnsi="Times New Roman" w:cs="Times New Roman"/>
          <w:sz w:val="24"/>
        </w:rPr>
        <w:t xml:space="preserve"> nutritional status. Analysis suggests that, on the one hand, nutrition specialist nurses within the specialized team formulated differentiated protein intake plans based on patients</w:t>
      </w:r>
      <w:r w:rsidR="00D806BD">
        <w:rPr>
          <w:rFonts w:ascii="Times New Roman" w:hAnsi="Times New Roman" w:cs="Times New Roman"/>
          <w:sz w:val="24"/>
        </w:rPr>
        <w:t>’</w:t>
      </w:r>
      <w:r>
        <w:rPr>
          <w:rFonts w:ascii="Times New Roman" w:hAnsi="Times New Roman" w:cs="Times New Roman"/>
          <w:sz w:val="24"/>
        </w:rPr>
        <w:t xml:space="preserve"> liver function classifications, avoiding the </w:t>
      </w:r>
      <w:r w:rsidR="00D806BD">
        <w:rPr>
          <w:rFonts w:ascii="Times New Roman" w:hAnsi="Times New Roman" w:cs="Times New Roman"/>
          <w:sz w:val="24"/>
        </w:rPr>
        <w:t>“</w:t>
      </w:r>
      <w:r>
        <w:rPr>
          <w:rFonts w:ascii="Times New Roman" w:hAnsi="Times New Roman" w:cs="Times New Roman"/>
          <w:sz w:val="24"/>
        </w:rPr>
        <w:t>one-size-fits-all</w:t>
      </w:r>
      <w:r w:rsidR="00D806BD">
        <w:rPr>
          <w:rFonts w:ascii="Times New Roman" w:hAnsi="Times New Roman" w:cs="Times New Roman"/>
          <w:sz w:val="24"/>
        </w:rPr>
        <w:t>”</w:t>
      </w:r>
      <w:r>
        <w:rPr>
          <w:rFonts w:ascii="Times New Roman" w:hAnsi="Times New Roman" w:cs="Times New Roman"/>
          <w:sz w:val="24"/>
        </w:rPr>
        <w:t xml:space="preserve"> dietary guidance in conventional care. For example, patients with Child-Pugh Class A could appropriately increase their intake of high-quality protein to supplement nutrition, while those with Class C controlled their protein intake to reduce the metabolic burden on the liver, meeting nutritional needs while preventing hepatic encephalopathy </w:t>
      </w:r>
      <w:r>
        <w:rPr>
          <w:rFonts w:ascii="Times New Roman" w:hAnsi="Times New Roman" w:cs="Times New Roman"/>
          <w:sz w:val="24"/>
          <w:vertAlign w:val="superscript"/>
        </w:rPr>
        <w:t>[6]</w:t>
      </w:r>
      <w:r>
        <w:rPr>
          <w:rFonts w:ascii="Times New Roman" w:hAnsi="Times New Roman" w:cs="Times New Roman"/>
          <w:sz w:val="24"/>
        </w:rPr>
        <w:t xml:space="preserve">. On the other hand, a dynamic adjustment mechanism of </w:t>
      </w:r>
      <w:r w:rsidR="00D806BD">
        <w:rPr>
          <w:rFonts w:ascii="Times New Roman" w:hAnsi="Times New Roman" w:cs="Times New Roman"/>
          <w:sz w:val="24"/>
        </w:rPr>
        <w:t>“</w:t>
      </w:r>
      <w:r>
        <w:rPr>
          <w:rFonts w:ascii="Times New Roman" w:hAnsi="Times New Roman" w:cs="Times New Roman"/>
          <w:sz w:val="24"/>
        </w:rPr>
        <w:t>weekly weight monitoring + monthly biochemical indicator reviews</w:t>
      </w:r>
      <w:r w:rsidR="00D806BD">
        <w:rPr>
          <w:rFonts w:ascii="Times New Roman" w:hAnsi="Times New Roman" w:cs="Times New Roman"/>
          <w:sz w:val="24"/>
        </w:rPr>
        <w:t>”</w:t>
      </w:r>
      <w:r>
        <w:rPr>
          <w:rFonts w:ascii="Times New Roman" w:hAnsi="Times New Roman" w:cs="Times New Roman"/>
          <w:sz w:val="24"/>
        </w:rPr>
        <w:t xml:space="preserve"> promptly corrected dietary deviations. For instance, when a patient</w:t>
      </w:r>
      <w:r w:rsidR="00D806BD">
        <w:rPr>
          <w:rFonts w:ascii="Times New Roman" w:hAnsi="Times New Roman" w:cs="Times New Roman"/>
          <w:sz w:val="24"/>
        </w:rPr>
        <w:t>’</w:t>
      </w:r>
      <w:r>
        <w:rPr>
          <w:rFonts w:ascii="Times New Roman" w:hAnsi="Times New Roman" w:cs="Times New Roman"/>
          <w:sz w:val="24"/>
        </w:rPr>
        <w:t>s ALB level decreased, enteral nutrition supplements were added to prevent worsening malnutrition. Additionally, family involvement and supervision in continuity of care improved patients</w:t>
      </w:r>
      <w:r w:rsidR="00D806BD">
        <w:rPr>
          <w:rFonts w:ascii="Times New Roman" w:hAnsi="Times New Roman" w:cs="Times New Roman"/>
          <w:sz w:val="24"/>
        </w:rPr>
        <w:t>’</w:t>
      </w:r>
      <w:r>
        <w:rPr>
          <w:rFonts w:ascii="Times New Roman" w:hAnsi="Times New Roman" w:cs="Times New Roman"/>
          <w:sz w:val="24"/>
        </w:rPr>
        <w:t xml:space="preserve"> dietary compliance, ensuring long-term implementation of nutritional plans and ultimately achieving significant improvements in nutritional indicators. Meanwhile, quality of life scores in the study group were higher than those in the control group (</w:t>
      </w:r>
      <w:r>
        <w:rPr>
          <w:rFonts w:ascii="Times New Roman" w:hAnsi="Times New Roman" w:cs="Times New Roman"/>
          <w:i/>
          <w:iCs/>
          <w:sz w:val="24"/>
        </w:rPr>
        <w:t>P</w:t>
      </w:r>
      <w:r>
        <w:rPr>
          <w:rFonts w:ascii="Times New Roman" w:hAnsi="Times New Roman" w:cs="Times New Roman"/>
          <w:sz w:val="24"/>
        </w:rPr>
        <w:t xml:space="preserve"> &lt; 0.05), suggesting that specialized integrated care can enhance patients</w:t>
      </w:r>
      <w:r w:rsidR="00D806BD">
        <w:rPr>
          <w:rFonts w:ascii="Times New Roman" w:hAnsi="Times New Roman" w:cs="Times New Roman"/>
          <w:sz w:val="24"/>
        </w:rPr>
        <w:t>’</w:t>
      </w:r>
      <w:r>
        <w:rPr>
          <w:rFonts w:ascii="Times New Roman" w:hAnsi="Times New Roman" w:cs="Times New Roman"/>
          <w:sz w:val="24"/>
        </w:rPr>
        <w:t xml:space="preserve"> quality of life. This is primarily attributed to the comprehensive satisfaction of </w:t>
      </w:r>
      <w:r w:rsidR="00D806BD">
        <w:rPr>
          <w:rFonts w:ascii="Times New Roman" w:hAnsi="Times New Roman" w:cs="Times New Roman"/>
          <w:sz w:val="24"/>
        </w:rPr>
        <w:t>“</w:t>
      </w:r>
      <w:r>
        <w:rPr>
          <w:rFonts w:ascii="Times New Roman" w:hAnsi="Times New Roman" w:cs="Times New Roman"/>
          <w:sz w:val="24"/>
        </w:rPr>
        <w:t>physiological-psychological-social</w:t>
      </w:r>
      <w:r w:rsidR="00D806BD">
        <w:rPr>
          <w:rFonts w:ascii="Times New Roman" w:hAnsi="Times New Roman" w:cs="Times New Roman"/>
          <w:sz w:val="24"/>
        </w:rPr>
        <w:t>”</w:t>
      </w:r>
      <w:r>
        <w:rPr>
          <w:rFonts w:ascii="Times New Roman" w:hAnsi="Times New Roman" w:cs="Times New Roman"/>
          <w:sz w:val="24"/>
        </w:rPr>
        <w:t xml:space="preserve"> needs through specialized integrated care. From a physiological perspective, improved nutritional status alleviated symptoms such as fatigue and anemia, while reduced liver function indicators decreased discomfort such as jaundice and abdominal distension, lowering the risk of complications (e.g., esophageal and gastric variceal bleeding) and directly enhancing patients</w:t>
      </w:r>
      <w:r w:rsidR="00D806BD">
        <w:rPr>
          <w:rFonts w:ascii="Times New Roman" w:hAnsi="Times New Roman" w:cs="Times New Roman"/>
          <w:sz w:val="24"/>
        </w:rPr>
        <w:t>’</w:t>
      </w:r>
      <w:r>
        <w:rPr>
          <w:rFonts w:ascii="Times New Roman" w:hAnsi="Times New Roman" w:cs="Times New Roman"/>
          <w:sz w:val="24"/>
        </w:rPr>
        <w:t xml:space="preserve"> physical comfort, as reflected in increased scores in the </w:t>
      </w:r>
      <w:r w:rsidR="00D806BD">
        <w:rPr>
          <w:rFonts w:ascii="Times New Roman" w:hAnsi="Times New Roman" w:cs="Times New Roman"/>
          <w:sz w:val="24"/>
        </w:rPr>
        <w:t>“</w:t>
      </w:r>
      <w:r>
        <w:rPr>
          <w:rFonts w:ascii="Times New Roman" w:hAnsi="Times New Roman" w:cs="Times New Roman"/>
          <w:sz w:val="24"/>
        </w:rPr>
        <w:t>bodily pain</w:t>
      </w:r>
      <w:r w:rsidR="00D806BD">
        <w:rPr>
          <w:rFonts w:ascii="Times New Roman" w:hAnsi="Times New Roman" w:cs="Times New Roman"/>
          <w:sz w:val="24"/>
        </w:rPr>
        <w:t>”</w:t>
      </w:r>
      <w:r>
        <w:rPr>
          <w:rFonts w:ascii="Times New Roman" w:hAnsi="Times New Roman" w:cs="Times New Roman"/>
          <w:sz w:val="24"/>
        </w:rPr>
        <w:t xml:space="preserve"> and </w:t>
      </w:r>
      <w:r w:rsidR="00D806BD">
        <w:rPr>
          <w:rFonts w:ascii="Times New Roman" w:hAnsi="Times New Roman" w:cs="Times New Roman"/>
          <w:sz w:val="24"/>
        </w:rPr>
        <w:t>“</w:t>
      </w:r>
      <w:r>
        <w:rPr>
          <w:rFonts w:ascii="Times New Roman" w:hAnsi="Times New Roman" w:cs="Times New Roman"/>
          <w:sz w:val="24"/>
        </w:rPr>
        <w:t>physiological function</w:t>
      </w:r>
      <w:r w:rsidR="00D806BD">
        <w:rPr>
          <w:rFonts w:ascii="Times New Roman" w:hAnsi="Times New Roman" w:cs="Times New Roman"/>
          <w:sz w:val="24"/>
        </w:rPr>
        <w:t>”</w:t>
      </w:r>
      <w:r>
        <w:rPr>
          <w:rFonts w:ascii="Times New Roman" w:hAnsi="Times New Roman" w:cs="Times New Roman"/>
          <w:sz w:val="24"/>
        </w:rPr>
        <w:t xml:space="preserve"> dimensions </w:t>
      </w:r>
      <w:r>
        <w:rPr>
          <w:rFonts w:ascii="Times New Roman" w:hAnsi="Times New Roman" w:cs="Times New Roman"/>
          <w:sz w:val="24"/>
          <w:vertAlign w:val="superscript"/>
        </w:rPr>
        <w:t>[7]</w:t>
      </w:r>
      <w:r>
        <w:rPr>
          <w:rFonts w:ascii="Times New Roman" w:hAnsi="Times New Roman" w:cs="Times New Roman"/>
          <w:sz w:val="24"/>
        </w:rPr>
        <w:t>. Psychologically, professional interventions from infectious disease specialist nurses and peer support through patient communication sessions effectively alleviated common anxiety and depression in patients with liver cirrhosis. Research indicates that approximately 40% of patients with liver cirrhosis experience psychological disorders, and conventional care often lacks psychological interventions. In contrast, specialized care, through empathetic communication and experience sharing, help</w:t>
      </w:r>
      <w:r>
        <w:rPr>
          <w:rFonts w:ascii="Times New Roman" w:hAnsi="Times New Roman" w:cs="Times New Roman"/>
          <w:sz w:val="24"/>
        </w:rPr>
        <w:t xml:space="preserve">s patients build treatment confidence and improves </w:t>
      </w:r>
      <w:r w:rsidR="00D806BD">
        <w:rPr>
          <w:rFonts w:ascii="Times New Roman" w:hAnsi="Times New Roman" w:cs="Times New Roman"/>
          <w:sz w:val="24"/>
        </w:rPr>
        <w:t>“</w:t>
      </w:r>
      <w:r>
        <w:rPr>
          <w:rFonts w:ascii="Times New Roman" w:hAnsi="Times New Roman" w:cs="Times New Roman"/>
          <w:sz w:val="24"/>
        </w:rPr>
        <w:t>emotional role</w:t>
      </w:r>
      <w:r w:rsidR="00D806BD">
        <w:rPr>
          <w:rFonts w:ascii="Times New Roman" w:hAnsi="Times New Roman" w:cs="Times New Roman"/>
          <w:sz w:val="24"/>
        </w:rPr>
        <w:t>”</w:t>
      </w:r>
      <w:r>
        <w:rPr>
          <w:rFonts w:ascii="Times New Roman" w:hAnsi="Times New Roman" w:cs="Times New Roman"/>
          <w:sz w:val="24"/>
        </w:rPr>
        <w:t xml:space="preserve"> and </w:t>
      </w:r>
      <w:r w:rsidR="00D806BD">
        <w:rPr>
          <w:rFonts w:ascii="Times New Roman" w:hAnsi="Times New Roman" w:cs="Times New Roman"/>
          <w:sz w:val="24"/>
        </w:rPr>
        <w:t>“</w:t>
      </w:r>
      <w:r>
        <w:rPr>
          <w:rFonts w:ascii="Times New Roman" w:hAnsi="Times New Roman" w:cs="Times New Roman"/>
          <w:sz w:val="24"/>
        </w:rPr>
        <w:t>mental state</w:t>
      </w:r>
      <w:r w:rsidR="00D806BD">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vertAlign w:val="superscript"/>
        </w:rPr>
        <w:t>[8]</w:t>
      </w:r>
      <w:r>
        <w:rPr>
          <w:rFonts w:ascii="Times New Roman" w:hAnsi="Times New Roman" w:cs="Times New Roman"/>
          <w:sz w:val="24"/>
        </w:rPr>
        <w:t>. Socially, continuity of follow-up made patients feel sustained medical support, reducing post-discharge loneliness and anxiety, further enhancing quality of life. Additionally, TBil, ALT, and AST levels in the study group were significantly lower than those in the control group (</w:t>
      </w:r>
      <w:r w:rsidR="003B348E">
        <w:rPr>
          <w:rFonts w:ascii="Times New Roman" w:hAnsi="Times New Roman" w:cs="Times New Roman"/>
          <w:i/>
          <w:iCs/>
          <w:sz w:val="24"/>
        </w:rPr>
        <w:t>p</w:t>
      </w:r>
      <w:r>
        <w:rPr>
          <w:rFonts w:ascii="Times New Roman" w:hAnsi="Times New Roman" w:cs="Times New Roman"/>
          <w:sz w:val="24"/>
        </w:rPr>
        <w:t xml:space="preserve"> &lt; 0.05), indicating that specialized integrated care can improve patients</w:t>
      </w:r>
      <w:r w:rsidR="00D806BD">
        <w:rPr>
          <w:rFonts w:ascii="Times New Roman" w:hAnsi="Times New Roman" w:cs="Times New Roman"/>
          <w:sz w:val="24"/>
        </w:rPr>
        <w:t>’</w:t>
      </w:r>
      <w:r>
        <w:rPr>
          <w:rFonts w:ascii="Times New Roman" w:hAnsi="Times New Roman" w:cs="Times New Roman"/>
          <w:sz w:val="24"/>
        </w:rPr>
        <w:t xml:space="preserve"> liver function. Analysis suggests that this is not because care directly </w:t>
      </w:r>
      <w:r w:rsidR="00D806BD">
        <w:rPr>
          <w:rFonts w:ascii="Times New Roman" w:hAnsi="Times New Roman" w:cs="Times New Roman"/>
          <w:sz w:val="24"/>
        </w:rPr>
        <w:t>“</w:t>
      </w:r>
      <w:r>
        <w:rPr>
          <w:rFonts w:ascii="Times New Roman" w:hAnsi="Times New Roman" w:cs="Times New Roman"/>
          <w:sz w:val="24"/>
        </w:rPr>
        <w:t>treats</w:t>
      </w:r>
      <w:r w:rsidR="00D806BD">
        <w:rPr>
          <w:rFonts w:ascii="Times New Roman" w:hAnsi="Times New Roman" w:cs="Times New Roman"/>
          <w:sz w:val="24"/>
        </w:rPr>
        <w:t>”</w:t>
      </w:r>
      <w:r>
        <w:rPr>
          <w:rFonts w:ascii="Times New Roman" w:hAnsi="Times New Roman" w:cs="Times New Roman"/>
          <w:sz w:val="24"/>
        </w:rPr>
        <w:t xml:space="preserve"> liver damage</w:t>
      </w:r>
      <w:r w:rsidR="00D806BD">
        <w:rPr>
          <w:rFonts w:ascii="Times New Roman" w:hAnsi="Times New Roman" w:cs="Times New Roman"/>
          <w:sz w:val="24"/>
        </w:rPr>
        <w:t>,</w:t>
      </w:r>
      <w:r>
        <w:rPr>
          <w:rFonts w:ascii="Times New Roman" w:hAnsi="Times New Roman" w:cs="Times New Roman"/>
          <w:sz w:val="24"/>
        </w:rPr>
        <w:t xml:space="preserve"> but rather through an </w:t>
      </w:r>
      <w:r w:rsidR="00D806BD">
        <w:rPr>
          <w:rFonts w:ascii="Times New Roman" w:hAnsi="Times New Roman" w:cs="Times New Roman"/>
          <w:sz w:val="24"/>
        </w:rPr>
        <w:t>“</w:t>
      </w:r>
      <w:r>
        <w:rPr>
          <w:rFonts w:ascii="Times New Roman" w:hAnsi="Times New Roman" w:cs="Times New Roman"/>
          <w:sz w:val="24"/>
        </w:rPr>
        <w:t>auxiliary protection</w:t>
      </w:r>
      <w:r w:rsidR="00D806BD">
        <w:rPr>
          <w:rFonts w:ascii="Times New Roman" w:hAnsi="Times New Roman" w:cs="Times New Roman"/>
          <w:sz w:val="24"/>
        </w:rPr>
        <w:t>”</w:t>
      </w:r>
      <w:r>
        <w:rPr>
          <w:rFonts w:ascii="Times New Roman" w:hAnsi="Times New Roman" w:cs="Times New Roman"/>
          <w:sz w:val="24"/>
        </w:rPr>
        <w:t xml:space="preserve"> mechanism that reduces the liver</w:t>
      </w:r>
      <w:r w:rsidR="00D806BD">
        <w:rPr>
          <w:rFonts w:ascii="Times New Roman" w:hAnsi="Times New Roman" w:cs="Times New Roman"/>
          <w:sz w:val="24"/>
        </w:rPr>
        <w:t>’</w:t>
      </w:r>
      <w:r>
        <w:rPr>
          <w:rFonts w:ascii="Times New Roman" w:hAnsi="Times New Roman" w:cs="Times New Roman"/>
          <w:sz w:val="24"/>
        </w:rPr>
        <w:t>s burden. First, improved nutritional status provides the material basis for hepatocyte repair</w:t>
      </w:r>
      <w:r w:rsidR="003B348E">
        <w:rPr>
          <w:rFonts w:ascii="Times New Roman" w:hAnsi="Times New Roman" w:cs="Times New Roman"/>
          <w:sz w:val="24"/>
        </w:rPr>
        <w:t xml:space="preserve">, </w:t>
      </w:r>
      <w:r>
        <w:rPr>
          <w:rFonts w:ascii="Times New Roman" w:hAnsi="Times New Roman" w:cs="Times New Roman"/>
          <w:sz w:val="24"/>
        </w:rPr>
        <w:t xml:space="preserve">increased ALB enhances liver detoxification function, while elevated TP maintains hepatic synthetic metabolism capacity, reducing further hepatocyte necrosis </w:t>
      </w:r>
      <w:r>
        <w:rPr>
          <w:rFonts w:ascii="Times New Roman" w:hAnsi="Times New Roman" w:cs="Times New Roman"/>
          <w:sz w:val="24"/>
          <w:vertAlign w:val="superscript"/>
        </w:rPr>
        <w:t>[9]</w:t>
      </w:r>
      <w:r>
        <w:rPr>
          <w:rFonts w:ascii="Times New Roman" w:hAnsi="Times New Roman" w:cs="Times New Roman"/>
          <w:sz w:val="24"/>
        </w:rPr>
        <w:t>. Second, strict medication guidance and avoidance of hepatotoxic drugs prevent exogenous secondary harm to the liver, while encouraging patients to adhere to hepatoprotective medications enhances the liver</w:t>
      </w:r>
      <w:r w:rsidR="00D806BD">
        <w:rPr>
          <w:rFonts w:ascii="Times New Roman" w:hAnsi="Times New Roman" w:cs="Times New Roman"/>
          <w:sz w:val="24"/>
        </w:rPr>
        <w:t>’</w:t>
      </w:r>
      <w:r>
        <w:rPr>
          <w:rFonts w:ascii="Times New Roman" w:hAnsi="Times New Roman" w:cs="Times New Roman"/>
          <w:sz w:val="24"/>
        </w:rPr>
        <w:t xml:space="preserve">s self-repair ability. Third, psychological interventions reduce the adverse effects of stress responses on the </w:t>
      </w:r>
      <w:r>
        <w:rPr>
          <w:rFonts w:ascii="Times New Roman" w:hAnsi="Times New Roman" w:cs="Times New Roman"/>
          <w:sz w:val="24"/>
        </w:rPr>
        <w:lastRenderedPageBreak/>
        <w:t>liver</w:t>
      </w:r>
      <w:r w:rsidR="00D806BD">
        <w:rPr>
          <w:rFonts w:ascii="Times New Roman" w:hAnsi="Times New Roman" w:cs="Times New Roman"/>
          <w:sz w:val="24"/>
        </w:rPr>
        <w:t>. Long</w:t>
      </w:r>
      <w:r w:rsidR="003B348E">
        <w:rPr>
          <w:rFonts w:ascii="Times New Roman" w:hAnsi="Times New Roman" w:cs="Times New Roman"/>
          <w:sz w:val="24"/>
        </w:rPr>
        <w:t>-</w:t>
      </w:r>
      <w:r w:rsidR="00D806BD">
        <w:rPr>
          <w:rFonts w:ascii="Times New Roman" w:hAnsi="Times New Roman" w:cs="Times New Roman"/>
          <w:sz w:val="24"/>
        </w:rPr>
        <w:t>term</w:t>
      </w:r>
      <w:r>
        <w:rPr>
          <w:rFonts w:ascii="Times New Roman" w:hAnsi="Times New Roman" w:cs="Times New Roman"/>
          <w:sz w:val="24"/>
        </w:rPr>
        <w:t xml:space="preserve"> anxiety and depression can promote the release of inflammatory factors through the </w:t>
      </w:r>
      <w:r w:rsidR="00D806BD">
        <w:rPr>
          <w:rFonts w:ascii="Times New Roman" w:hAnsi="Times New Roman" w:cs="Times New Roman"/>
          <w:sz w:val="24"/>
        </w:rPr>
        <w:t>neuroendocrine-immune</w:t>
      </w:r>
      <w:r>
        <w:rPr>
          <w:rFonts w:ascii="Times New Roman" w:hAnsi="Times New Roman" w:cs="Times New Roman"/>
          <w:sz w:val="24"/>
        </w:rPr>
        <w:t xml:space="preserve"> axis, exacerbating hepatocyte inflammation. Psychological counseling in specialized care lowers stress levels, indirectly reducing hepatic inflammatory responses, as reflected in decreased inflammatory markers such as ALT and AST </w:t>
      </w:r>
      <w:r>
        <w:rPr>
          <w:rFonts w:ascii="Times New Roman" w:hAnsi="Times New Roman" w:cs="Times New Roman"/>
          <w:sz w:val="24"/>
          <w:vertAlign w:val="superscript"/>
        </w:rPr>
        <w:t>[10]</w:t>
      </w:r>
      <w:r>
        <w:rPr>
          <w:rFonts w:ascii="Times New Roman" w:hAnsi="Times New Roman" w:cs="Times New Roman"/>
          <w:sz w:val="24"/>
        </w:rPr>
        <w:t>.</w:t>
      </w:r>
    </w:p>
    <w:p w14:paraId="367A296B" w14:textId="77777777" w:rsidR="00C51E3A" w:rsidRDefault="00C51E3A" w:rsidP="00847528">
      <w:pPr>
        <w:snapToGrid w:val="0"/>
        <w:ind w:firstLineChars="200" w:firstLine="480"/>
        <w:rPr>
          <w:rFonts w:ascii="Times New Roman" w:hAnsi="Times New Roman" w:cs="Times New Roman"/>
          <w:sz w:val="24"/>
        </w:rPr>
      </w:pPr>
    </w:p>
    <w:p w14:paraId="0793CEE8" w14:textId="77777777" w:rsidR="00C51E3A" w:rsidRDefault="004C7185" w:rsidP="00847528">
      <w:pPr>
        <w:snapToGrid w:val="0"/>
        <w:rPr>
          <w:rFonts w:ascii="Times New Roman" w:hAnsi="Times New Roman" w:cs="Times New Roman"/>
          <w:b/>
          <w:bCs/>
          <w:sz w:val="24"/>
        </w:rPr>
      </w:pPr>
      <w:r>
        <w:rPr>
          <w:rFonts w:ascii="Times New Roman" w:hAnsi="Times New Roman" w:cs="Times New Roman" w:hint="eastAsia"/>
          <w:b/>
          <w:bCs/>
          <w:sz w:val="24"/>
        </w:rPr>
        <w:t>5. Conclusion</w:t>
      </w:r>
    </w:p>
    <w:p w14:paraId="4C755660" w14:textId="77777777" w:rsidR="00C51E3A" w:rsidRDefault="004C7185" w:rsidP="00847528">
      <w:pPr>
        <w:snapToGrid w:val="0"/>
        <w:rPr>
          <w:rFonts w:ascii="Times New Roman" w:hAnsi="Times New Roman" w:cs="Times New Roman"/>
          <w:sz w:val="24"/>
        </w:rPr>
      </w:pPr>
      <w:r>
        <w:rPr>
          <w:rFonts w:ascii="Times New Roman" w:hAnsi="Times New Roman" w:cs="Times New Roman"/>
          <w:sz w:val="24"/>
        </w:rPr>
        <w:t>In summary, specialized integrated care, through multidisciplinary collaboration, personalized interventions, and continuous follow-up, effectively improves the nutritional status of patients with liver cirrhosis, enhances their quality of life, and aids in reducing liver damage, demonstrating superior outcomes compared to conventional care.</w:t>
      </w:r>
    </w:p>
    <w:p w14:paraId="4C7F6E47" w14:textId="77777777" w:rsidR="00C51E3A" w:rsidRDefault="00C51E3A" w:rsidP="00847528">
      <w:pPr>
        <w:snapToGrid w:val="0"/>
        <w:rPr>
          <w:rFonts w:ascii="Times New Roman" w:hAnsi="Times New Roman" w:cs="Times New Roman"/>
          <w:sz w:val="24"/>
        </w:rPr>
      </w:pPr>
    </w:p>
    <w:p w14:paraId="4FB6659F" w14:textId="77777777" w:rsidR="00C51E3A" w:rsidRDefault="004C7185" w:rsidP="00847528">
      <w:pPr>
        <w:snapToGrid w:val="0"/>
        <w:rPr>
          <w:rFonts w:ascii="Times New Roman" w:hAnsi="Times New Roman"/>
          <w:b/>
          <w:bCs/>
          <w:sz w:val="24"/>
        </w:rPr>
      </w:pPr>
      <w:r>
        <w:rPr>
          <w:rFonts w:ascii="Times New Roman" w:hAnsi="Times New Roman"/>
          <w:b/>
          <w:bCs/>
          <w:sz w:val="24"/>
        </w:rPr>
        <w:t>Disclosure statement</w:t>
      </w:r>
    </w:p>
    <w:p w14:paraId="236557B6" w14:textId="77777777" w:rsidR="00C51E3A" w:rsidRDefault="004C7185" w:rsidP="00847528">
      <w:pPr>
        <w:snapToGrid w:val="0"/>
        <w:rPr>
          <w:rFonts w:ascii="Times New Roman" w:hAnsi="Times New Roman"/>
          <w:sz w:val="24"/>
        </w:rPr>
      </w:pPr>
      <w:r>
        <w:rPr>
          <w:rFonts w:ascii="Times New Roman" w:hAnsi="Times New Roman"/>
          <w:sz w:val="24"/>
        </w:rPr>
        <w:t>The authors declare no conflict of interest.</w:t>
      </w:r>
    </w:p>
    <w:p w14:paraId="01E29785" w14:textId="77777777" w:rsidR="00C51E3A" w:rsidRDefault="00C51E3A" w:rsidP="00847528">
      <w:pPr>
        <w:snapToGrid w:val="0"/>
        <w:rPr>
          <w:rFonts w:ascii="Times New Roman" w:hAnsi="Times New Roman"/>
          <w:sz w:val="24"/>
        </w:rPr>
      </w:pPr>
    </w:p>
    <w:p w14:paraId="6CDB77D8" w14:textId="77777777" w:rsidR="00C51E3A" w:rsidRDefault="004C7185" w:rsidP="00847528">
      <w:pPr>
        <w:snapToGrid w:val="0"/>
        <w:rPr>
          <w:rFonts w:ascii="Times New Roman" w:hAnsi="Times New Roman" w:cs="Times New Roman"/>
          <w:b/>
          <w:bCs/>
          <w:sz w:val="24"/>
        </w:rPr>
      </w:pPr>
      <w:r>
        <w:rPr>
          <w:rFonts w:ascii="Times New Roman" w:hAnsi="Times New Roman" w:cs="Times New Roman"/>
          <w:b/>
          <w:bCs/>
          <w:sz w:val="24"/>
        </w:rPr>
        <w:t xml:space="preserve">References </w:t>
      </w:r>
    </w:p>
    <w:p w14:paraId="55FBB8CC" w14:textId="0E94F6E3"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[1] </w:t>
      </w:r>
      <w:r>
        <w:rPr>
          <w:rFonts w:ascii="Times New Roman" w:hAnsi="Times New Roman" w:cs="Times New Roman"/>
          <w:sz w:val="24"/>
          <w:lang w:val="en-MY"/>
        </w:rPr>
        <w:tab/>
      </w:r>
      <w:r w:rsidRPr="00242232">
        <w:rPr>
          <w:rFonts w:ascii="Times New Roman" w:hAnsi="Times New Roman" w:cs="Times New Roman"/>
          <w:sz w:val="24"/>
          <w:lang w:val="en-MY"/>
        </w:rPr>
        <w:t xml:space="preserve">Pan X, Chen S, Zhang L, et al., 2024, Construction of a Continuity of Care Evaluation Index System for Patients </w:t>
      </w:r>
      <w:r w:rsidRPr="00242232">
        <w:rPr>
          <w:rFonts w:ascii="Times New Roman" w:hAnsi="Times New Roman" w:cs="Times New Roman"/>
          <w:sz w:val="24"/>
          <w:lang w:val="en-MY"/>
        </w:rPr>
        <w:t>with</w:t>
      </w:r>
      <w:r w:rsidRPr="00242232">
        <w:rPr>
          <w:rFonts w:ascii="Times New Roman" w:hAnsi="Times New Roman" w:cs="Times New Roman"/>
          <w:sz w:val="24"/>
          <w:lang w:val="en-MY"/>
        </w:rPr>
        <w:t xml:space="preserve"> Sequential Treatment for Liver Cirrhosis Based on the Quality Trilogy Theory. Anhui Medical Journal, 45(3): 348–353.</w:t>
      </w:r>
    </w:p>
    <w:p w14:paraId="6ADA6133" w14:textId="711BA780"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[2] </w:t>
      </w:r>
      <w:r>
        <w:rPr>
          <w:rFonts w:ascii="Times New Roman" w:hAnsi="Times New Roman" w:cs="Times New Roman"/>
          <w:sz w:val="24"/>
          <w:lang w:val="en-MY"/>
        </w:rPr>
        <w:tab/>
      </w:r>
      <w:r w:rsidRPr="00242232">
        <w:rPr>
          <w:rFonts w:ascii="Times New Roman" w:hAnsi="Times New Roman" w:cs="Times New Roman"/>
          <w:sz w:val="24"/>
          <w:lang w:val="en-MY"/>
        </w:rPr>
        <w:t xml:space="preserve">Du X, Li C, Wang P, et al., 2023, Effects of Individualized Nutritional Management Strategies Combined </w:t>
      </w:r>
      <w:r w:rsidRPr="00242232">
        <w:rPr>
          <w:rFonts w:ascii="Times New Roman" w:hAnsi="Times New Roman" w:cs="Times New Roman"/>
          <w:sz w:val="24"/>
          <w:lang w:val="en-MY"/>
        </w:rPr>
        <w:t>with</w:t>
      </w:r>
      <w:r w:rsidRPr="00242232">
        <w:rPr>
          <w:rFonts w:ascii="Times New Roman" w:hAnsi="Times New Roman" w:cs="Times New Roman"/>
          <w:sz w:val="24"/>
          <w:lang w:val="en-MY"/>
        </w:rPr>
        <w:t xml:space="preserve"> Continuity of Care Models on Nutritional Status and Quality of Life in Patients </w:t>
      </w:r>
      <w:r>
        <w:rPr>
          <w:rFonts w:ascii="Times New Roman" w:hAnsi="Times New Roman" w:cs="Times New Roman"/>
          <w:sz w:val="24"/>
          <w:lang w:val="en-MY"/>
        </w:rPr>
        <w:t>w</w:t>
      </w:r>
      <w:r w:rsidRPr="00242232">
        <w:rPr>
          <w:rFonts w:ascii="Times New Roman" w:hAnsi="Times New Roman" w:cs="Times New Roman"/>
          <w:sz w:val="24"/>
          <w:lang w:val="en-MY"/>
        </w:rPr>
        <w:t>ith Liver Cirrhosis. Nursing Research, 37(22): 4096–4100.</w:t>
      </w:r>
    </w:p>
    <w:p w14:paraId="228A9706" w14:textId="65A2AFEE"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[3] </w:t>
      </w:r>
      <w:r>
        <w:rPr>
          <w:rFonts w:ascii="Times New Roman" w:hAnsi="Times New Roman" w:cs="Times New Roman"/>
          <w:sz w:val="24"/>
          <w:lang w:val="en-MY"/>
        </w:rPr>
        <w:tab/>
      </w:r>
      <w:r w:rsidRPr="00242232">
        <w:rPr>
          <w:rFonts w:ascii="Times New Roman" w:hAnsi="Times New Roman" w:cs="Times New Roman"/>
          <w:sz w:val="24"/>
          <w:lang w:val="en-MY"/>
        </w:rPr>
        <w:t xml:space="preserve">Fu J, Song G, 2024, Effects of Specialized Integrated Care Models on Cardiopulmonary Function and Prognosis in Patients </w:t>
      </w:r>
      <w:r>
        <w:rPr>
          <w:rFonts w:ascii="Times New Roman" w:hAnsi="Times New Roman" w:cs="Times New Roman"/>
          <w:sz w:val="24"/>
          <w:lang w:val="en-MY"/>
        </w:rPr>
        <w:t>w</w:t>
      </w:r>
      <w:r w:rsidRPr="00242232">
        <w:rPr>
          <w:rFonts w:ascii="Times New Roman" w:hAnsi="Times New Roman" w:cs="Times New Roman"/>
          <w:sz w:val="24"/>
          <w:lang w:val="en-MY"/>
        </w:rPr>
        <w:t>ith COPD Complicated by Coronary Heart Disease. Hebei Medical Journal, 46(8): 1274–1277.</w:t>
      </w:r>
    </w:p>
    <w:p w14:paraId="657B024F" w14:textId="77777777"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[4] </w:t>
      </w:r>
      <w:r>
        <w:rPr>
          <w:rFonts w:ascii="Times New Roman" w:hAnsi="Times New Roman" w:cs="Times New Roman"/>
          <w:sz w:val="24"/>
          <w:lang w:val="en-MY"/>
        </w:rPr>
        <w:tab/>
      </w:r>
      <w:r w:rsidRPr="00242232">
        <w:rPr>
          <w:rFonts w:ascii="Times New Roman" w:hAnsi="Times New Roman" w:cs="Times New Roman"/>
          <w:sz w:val="24"/>
          <w:lang w:val="en-MY"/>
        </w:rPr>
        <w:t>Chinese Society of Hepatology, Chinese Medical Association, 2019, Guidelines for the Diagnosis and Treatment of Liver Cirrhosis. Chinese Journal of Hepatology, 27(11): 846–865.</w:t>
      </w:r>
    </w:p>
    <w:p w14:paraId="0B2E0E0A" w14:textId="400F4AAD"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[5] </w:t>
      </w:r>
      <w:r>
        <w:rPr>
          <w:rFonts w:ascii="Times New Roman" w:hAnsi="Times New Roman" w:cs="Times New Roman"/>
          <w:sz w:val="24"/>
          <w:lang w:val="en-MY"/>
        </w:rPr>
        <w:tab/>
      </w:r>
      <w:r w:rsidRPr="00242232">
        <w:rPr>
          <w:rFonts w:ascii="Times New Roman" w:hAnsi="Times New Roman" w:cs="Times New Roman"/>
          <w:sz w:val="24"/>
          <w:lang w:val="en-MY"/>
        </w:rPr>
        <w:t xml:space="preserve">Liu J, Qin X, Ouyang M, et al., 2021, Application of the “One Disease, One Product” Specialized Nursing Model in Patients </w:t>
      </w:r>
      <w:r>
        <w:rPr>
          <w:rFonts w:ascii="Times New Roman" w:hAnsi="Times New Roman" w:cs="Times New Roman"/>
          <w:sz w:val="24"/>
          <w:lang w:val="en-MY"/>
        </w:rPr>
        <w:t>w</w:t>
      </w:r>
      <w:r w:rsidRPr="00242232">
        <w:rPr>
          <w:rFonts w:ascii="Times New Roman" w:hAnsi="Times New Roman" w:cs="Times New Roman"/>
          <w:sz w:val="24"/>
          <w:lang w:val="en-MY"/>
        </w:rPr>
        <w:t>ith Liver Cirrhosis Complicated by Esophageal and Gastric Variceal Bleeding. Nursing Practice and Research, 18(8): 1173–1176.</w:t>
      </w:r>
    </w:p>
    <w:p w14:paraId="0E464C33" w14:textId="6E926D11"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[6] </w:t>
      </w:r>
      <w:r>
        <w:rPr>
          <w:rFonts w:ascii="Times New Roman" w:hAnsi="Times New Roman" w:cs="Times New Roman"/>
          <w:sz w:val="24"/>
          <w:lang w:val="en-MY"/>
        </w:rPr>
        <w:tab/>
      </w:r>
      <w:r w:rsidRPr="00242232">
        <w:rPr>
          <w:rFonts w:ascii="Times New Roman" w:hAnsi="Times New Roman" w:cs="Times New Roman"/>
          <w:sz w:val="24"/>
          <w:lang w:val="en-MY"/>
        </w:rPr>
        <w:t xml:space="preserve">Xu X, 2020, Effects of Specialized Quality Control Rehabilitation Nursing on Patients </w:t>
      </w:r>
      <w:r>
        <w:rPr>
          <w:rFonts w:ascii="Times New Roman" w:hAnsi="Times New Roman" w:cs="Times New Roman"/>
          <w:sz w:val="24"/>
          <w:lang w:val="en-MY"/>
        </w:rPr>
        <w:t>w</w:t>
      </w:r>
      <w:r w:rsidRPr="00242232">
        <w:rPr>
          <w:rFonts w:ascii="Times New Roman" w:hAnsi="Times New Roman" w:cs="Times New Roman"/>
          <w:sz w:val="24"/>
          <w:lang w:val="en-MY"/>
        </w:rPr>
        <w:t>ith Liver Cirrhosis. Journal of Practical Clinical Medicine, 24(4): 115–118.</w:t>
      </w:r>
    </w:p>
    <w:p w14:paraId="41167BE1" w14:textId="066C4C4B"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[7] </w:t>
      </w:r>
      <w:r>
        <w:rPr>
          <w:rFonts w:ascii="Times New Roman" w:hAnsi="Times New Roman" w:cs="Times New Roman"/>
          <w:sz w:val="24"/>
          <w:lang w:val="en-MY"/>
        </w:rPr>
        <w:tab/>
      </w:r>
      <w:r w:rsidRPr="00242232">
        <w:rPr>
          <w:rFonts w:ascii="Times New Roman" w:hAnsi="Times New Roman" w:cs="Times New Roman"/>
          <w:sz w:val="24"/>
          <w:lang w:val="en-MY"/>
        </w:rPr>
        <w:t xml:space="preserve">Cai B, Zhu F, Bai X, et al., 2023, Application of a WeChat-Based Case Management Extended Care Model in Patients </w:t>
      </w:r>
      <w:r>
        <w:rPr>
          <w:rFonts w:ascii="Times New Roman" w:hAnsi="Times New Roman" w:cs="Times New Roman"/>
          <w:sz w:val="24"/>
          <w:lang w:val="en-MY"/>
        </w:rPr>
        <w:t>w</w:t>
      </w:r>
      <w:r w:rsidRPr="00242232">
        <w:rPr>
          <w:rFonts w:ascii="Times New Roman" w:hAnsi="Times New Roman" w:cs="Times New Roman"/>
          <w:sz w:val="24"/>
          <w:lang w:val="en-MY"/>
        </w:rPr>
        <w:t>ith Liver Cirrhosis Complicated by Esophageal and Gastric Varices. Internal Medicine Theory and Practice, 18(5): 344–347.</w:t>
      </w:r>
    </w:p>
    <w:p w14:paraId="5E1E66E9" w14:textId="7CFCABC7"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[8] </w:t>
      </w:r>
      <w:r>
        <w:rPr>
          <w:rFonts w:ascii="Times New Roman" w:hAnsi="Times New Roman" w:cs="Times New Roman"/>
          <w:sz w:val="24"/>
          <w:lang w:val="en-MY"/>
        </w:rPr>
        <w:tab/>
      </w:r>
      <w:r w:rsidRPr="00242232">
        <w:rPr>
          <w:rFonts w:ascii="Times New Roman" w:hAnsi="Times New Roman" w:cs="Times New Roman"/>
          <w:sz w:val="24"/>
          <w:lang w:val="en-MY"/>
        </w:rPr>
        <w:t xml:space="preserve">Sun G, Bai Y, 2021, Effects of Personalized Nutritional Rehabilitation Nursing on Nutritional Status, Liver Function, and Complication Incidence in Patients </w:t>
      </w:r>
      <w:r>
        <w:rPr>
          <w:rFonts w:ascii="Times New Roman" w:hAnsi="Times New Roman" w:cs="Times New Roman"/>
          <w:sz w:val="24"/>
          <w:lang w:val="en-MY"/>
        </w:rPr>
        <w:t>w</w:t>
      </w:r>
      <w:r w:rsidRPr="00242232">
        <w:rPr>
          <w:rFonts w:ascii="Times New Roman" w:hAnsi="Times New Roman" w:cs="Times New Roman"/>
          <w:sz w:val="24"/>
          <w:lang w:val="en-MY"/>
        </w:rPr>
        <w:t>ith Viral Liver Cirrhosis. Shanxi Medical Journal, 50(9): 1583–1585.</w:t>
      </w:r>
    </w:p>
    <w:p w14:paraId="27F12057" w14:textId="479DE994" w:rsidR="00242232" w:rsidRDefault="00242232" w:rsidP="00242232">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[9] </w:t>
      </w:r>
      <w:r>
        <w:rPr>
          <w:rFonts w:ascii="Times New Roman" w:hAnsi="Times New Roman" w:cs="Times New Roman"/>
          <w:sz w:val="24"/>
          <w:lang w:val="en-MY"/>
        </w:rPr>
        <w:tab/>
      </w:r>
      <w:r w:rsidRPr="00242232">
        <w:rPr>
          <w:rFonts w:ascii="Times New Roman" w:hAnsi="Times New Roman" w:cs="Times New Roman"/>
          <w:sz w:val="24"/>
          <w:lang w:val="en-MY"/>
        </w:rPr>
        <w:t xml:space="preserve">Xia C, Li X, Zheng Y, et al., 2021, Application of a Full-Process Closed-Loop Care Model Integrating “Medical-Nursing Combination-Four-Element Linkage” in Patients </w:t>
      </w:r>
      <w:r>
        <w:rPr>
          <w:rFonts w:ascii="Times New Roman" w:hAnsi="Times New Roman" w:cs="Times New Roman"/>
          <w:sz w:val="24"/>
          <w:lang w:val="en-MY"/>
        </w:rPr>
        <w:t>w</w:t>
      </w:r>
      <w:r w:rsidRPr="00242232">
        <w:rPr>
          <w:rFonts w:ascii="Times New Roman" w:hAnsi="Times New Roman" w:cs="Times New Roman"/>
          <w:sz w:val="24"/>
          <w:lang w:val="en-MY"/>
        </w:rPr>
        <w:t>ith Decompensated Hepatitis B Liver Cirrhosis. World Chinese Journal of Digestology, 29(15): 908–914.</w:t>
      </w:r>
    </w:p>
    <w:p w14:paraId="3A6209A9" w14:textId="69E1EE2D" w:rsidR="00242232" w:rsidRPr="00242232" w:rsidRDefault="00242232" w:rsidP="00847528">
      <w:pPr>
        <w:snapToGrid w:val="0"/>
        <w:ind w:left="709" w:hanging="709"/>
        <w:rPr>
          <w:rFonts w:ascii="Times New Roman" w:hAnsi="Times New Roman" w:cs="Times New Roman"/>
          <w:sz w:val="24"/>
          <w:lang w:val="en-MY"/>
        </w:rPr>
      </w:pPr>
      <w:r w:rsidRPr="00242232">
        <w:rPr>
          <w:rFonts w:ascii="Times New Roman" w:hAnsi="Times New Roman" w:cs="Times New Roman"/>
          <w:sz w:val="24"/>
          <w:lang w:val="en-MY"/>
        </w:rPr>
        <w:t xml:space="preserve">[10] </w:t>
      </w:r>
      <w:r>
        <w:rPr>
          <w:rFonts w:ascii="Times New Roman" w:hAnsi="Times New Roman" w:cs="Times New Roman"/>
          <w:sz w:val="24"/>
          <w:lang w:val="en-MY"/>
        </w:rPr>
        <w:tab/>
      </w:r>
      <w:r w:rsidRPr="00242232">
        <w:rPr>
          <w:rFonts w:ascii="Times New Roman" w:hAnsi="Times New Roman" w:cs="Times New Roman"/>
          <w:sz w:val="24"/>
          <w:lang w:val="en-MY"/>
        </w:rPr>
        <w:t xml:space="preserve">Ren K, Ma J, Nan X, 2023, Application of Rehabilitation Nursing Based on the Cox Health Behavior Interaction Model in Patients </w:t>
      </w:r>
      <w:r>
        <w:rPr>
          <w:rFonts w:ascii="Times New Roman" w:hAnsi="Times New Roman" w:cs="Times New Roman"/>
          <w:sz w:val="24"/>
          <w:lang w:val="en-MY"/>
        </w:rPr>
        <w:t>w</w:t>
      </w:r>
      <w:r w:rsidRPr="00242232">
        <w:rPr>
          <w:rFonts w:ascii="Times New Roman" w:hAnsi="Times New Roman" w:cs="Times New Roman"/>
          <w:sz w:val="24"/>
          <w:lang w:val="en-MY"/>
        </w:rPr>
        <w:t>ith Decompensated Liver Cirrhosis. Hainan Medical Journal, 34(9): 1326–1330.</w:t>
      </w:r>
    </w:p>
    <w:p w14:paraId="06F7AFF6" w14:textId="77777777" w:rsidR="003B348E" w:rsidRDefault="003B348E" w:rsidP="003B348E">
      <w:pPr>
        <w:snapToGrid w:val="0"/>
        <w:rPr>
          <w:rFonts w:ascii="Times New Roman" w:hAnsi="Times New Roman" w:cs="Times New Roman"/>
          <w:sz w:val="24"/>
        </w:rPr>
      </w:pPr>
    </w:p>
    <w:p w14:paraId="07628F23" w14:textId="77777777" w:rsidR="003B348E" w:rsidRPr="00847528" w:rsidRDefault="003B348E" w:rsidP="00847528">
      <w:pPr>
        <w:widowControl/>
        <w:autoSpaceDE w:val="0"/>
        <w:autoSpaceDN w:val="0"/>
        <w:snapToGrid w:val="0"/>
        <w:rPr>
          <w:rFonts w:ascii="Times New Roman" w:hAnsi="Times New Roman" w:cs="Times New Roman"/>
          <w:b/>
          <w:bCs/>
          <w:kern w:val="0"/>
          <w:sz w:val="20"/>
          <w:szCs w:val="22"/>
          <w:lang w:eastAsia="en-US"/>
        </w:rPr>
      </w:pPr>
      <w:r w:rsidRPr="00847528">
        <w:rPr>
          <w:rFonts w:ascii="Times New Roman" w:hAnsi="Times New Roman" w:cs="Times New Roman"/>
          <w:b/>
          <w:bCs/>
          <w:kern w:val="0"/>
          <w:sz w:val="20"/>
          <w:szCs w:val="22"/>
          <w:lang w:eastAsia="en-US"/>
        </w:rPr>
        <w:t>Publisher’s note</w:t>
      </w:r>
    </w:p>
    <w:p w14:paraId="6B19F513" w14:textId="77777777" w:rsidR="003B348E" w:rsidRPr="00847528" w:rsidRDefault="003B348E" w:rsidP="00847528">
      <w:pPr>
        <w:snapToGrid w:val="0"/>
        <w:rPr>
          <w:rFonts w:ascii="Times New Roman" w:hAnsi="Times New Roman" w:cs="Times New Roman"/>
        </w:rPr>
      </w:pPr>
      <w:r w:rsidRPr="00847528">
        <w:rPr>
          <w:rFonts w:ascii="Times New Roman" w:hAnsi="Times New Roman" w:cs="Times New Roman"/>
          <w:kern w:val="0"/>
          <w:sz w:val="20"/>
          <w:szCs w:val="22"/>
          <w:lang w:eastAsia="en-US"/>
        </w:rPr>
        <w:t>Bio-Byword Scientific Publishing remains neutral with regard to jurisdictional claims in published maps and institutional affiliations.</w:t>
      </w:r>
      <w:r w:rsidRPr="00847528">
        <w:rPr>
          <w:rFonts w:ascii="Times New Roman" w:hAnsi="Times New Roman" w:cs="Times New Roman"/>
        </w:rPr>
        <w:t xml:space="preserve"> </w:t>
      </w:r>
    </w:p>
    <w:p w14:paraId="60BB14C4" w14:textId="77777777" w:rsidR="003B348E" w:rsidRDefault="003B348E" w:rsidP="00847528">
      <w:pPr>
        <w:snapToGrid w:val="0"/>
        <w:rPr>
          <w:rFonts w:ascii="Times New Roman" w:hAnsi="Times New Roman" w:cs="Times New Roman"/>
          <w:sz w:val="24"/>
        </w:rPr>
      </w:pPr>
    </w:p>
    <w:sectPr w:rsidR="003B348E" w:rsidSect="00847528">
      <w:pgSz w:w="11906" w:h="16838"/>
      <w:pgMar w:top="1134" w:right="1134" w:bottom="1134"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1F575F3"/>
    <w:rsid w:val="00242232"/>
    <w:rsid w:val="003B348E"/>
    <w:rsid w:val="004C7185"/>
    <w:rsid w:val="00847528"/>
    <w:rsid w:val="00C51E3A"/>
    <w:rsid w:val="00D806BD"/>
    <w:rsid w:val="00E1085E"/>
    <w:rsid w:val="0C776A4C"/>
    <w:rsid w:val="184C35EB"/>
    <w:rsid w:val="4F811A2B"/>
    <w:rsid w:val="61F575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09159"/>
  <w15:docId w15:val="{5CD2D75C-BB15-45CA-8590-18A66CE5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D806BD"/>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oleObject" Target="embeddings/oleObject4.bin"/><Relationship Id="rId3" Type="http://schemas.openxmlformats.org/officeDocument/2006/relationships/webSettings" Target="webSettings.xml"/><Relationship Id="rId7" Type="http://schemas.openxmlformats.org/officeDocument/2006/relationships/oleObject" Target="embeddings/oleObject3.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3504</Words>
  <Characters>19979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Acer NB1</cp:lastModifiedBy>
  <cp:revision>2</cp:revision>
  <dcterms:created xsi:type="dcterms:W3CDTF">2026-06-16T00:44:00Z</dcterms:created>
  <dcterms:modified xsi:type="dcterms:W3CDTF">2026-06-16T00:44:00Z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C03125E2F88541C4A514F644C42939E0_11</vt:lpwstr>
  </property>
  <property fmtid="{D5CDD505-2E9C-101B-9397-08002B2CF9AE}" pid="4" name="KSOTemplateDocerSaveRecord">
    <vt:lpwstr>eyJoZGlkIjoiZTBiYjBjMzJlZDA2ZWE2YWNmMzQyN2E2MGVlZTcxZjkiLCJ1c2VySWQiOiI2MTA5NTIyOTYifQ==</vt:lpwstr>
  </property>
  <property fmtid="{D5CDD505-2E9C-101B-9397-08002B2CF9AE}" pid="5" name="GrammarlyDocumentId">
    <vt:lpwstr>a2ae2b61-c569-4261-b20a-02088383f633</vt:lpwstr>
  </property>
</Properties>
</file>