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B5C5B" w14:textId="77777777" w:rsidR="00C32645" w:rsidRDefault="00C44B25" w:rsidP="00CB525F">
      <w:pPr>
        <w:snapToGrid w:val="0"/>
        <w:jc w:val="left"/>
        <w:rPr>
          <w:rFonts w:ascii="Times New Roman" w:hAnsi="Times New Roman" w:cs="Times New Roman"/>
          <w:b/>
          <w:bCs/>
          <w:sz w:val="44"/>
          <w:szCs w:val="44"/>
        </w:rPr>
      </w:pPr>
      <w:r>
        <w:rPr>
          <w:rFonts w:ascii="Times New Roman" w:hAnsi="Times New Roman" w:cs="Times New Roman"/>
          <w:b/>
          <w:bCs/>
          <w:sz w:val="44"/>
          <w:szCs w:val="44"/>
        </w:rPr>
        <w:t>Application of PDCA Cycle Combined with Predictive Nursing in Pain Management after Video-Assisted Thoracoscopic Lobectomy</w:t>
      </w:r>
    </w:p>
    <w:p w14:paraId="0822BBA5" w14:textId="77777777" w:rsidR="00C32645" w:rsidRDefault="00C44B25" w:rsidP="00CB525F">
      <w:pPr>
        <w:snapToGrid w:val="0"/>
        <w:rPr>
          <w:rFonts w:ascii="Times New Roman" w:hAnsi="Times New Roman" w:cs="Times New Roman"/>
          <w:b/>
          <w:bCs/>
          <w:sz w:val="24"/>
        </w:rPr>
      </w:pPr>
      <w:r>
        <w:rPr>
          <w:rFonts w:ascii="Times New Roman" w:hAnsi="Times New Roman" w:cs="Times New Roman"/>
          <w:b/>
          <w:bCs/>
          <w:sz w:val="24"/>
        </w:rPr>
        <w:t>Yingjie</w:t>
      </w:r>
      <w:r>
        <w:rPr>
          <w:rFonts w:ascii="Times New Roman" w:hAnsi="Times New Roman" w:cs="Times New Roman"/>
          <w:b/>
          <w:bCs/>
          <w:sz w:val="24"/>
        </w:rPr>
        <w:t xml:space="preserve"> </w:t>
      </w:r>
      <w:r>
        <w:rPr>
          <w:rFonts w:ascii="Times New Roman" w:hAnsi="Times New Roman" w:cs="Times New Roman"/>
          <w:b/>
          <w:bCs/>
          <w:sz w:val="24"/>
        </w:rPr>
        <w:t>Wang</w:t>
      </w:r>
    </w:p>
    <w:p w14:paraId="37855F57" w14:textId="77777777" w:rsidR="00C32645" w:rsidRDefault="00C44B25" w:rsidP="00CB525F">
      <w:pPr>
        <w:snapToGrid w:val="0"/>
        <w:rPr>
          <w:rFonts w:ascii="Times New Roman" w:hAnsi="Times New Roman" w:cs="Times New Roman"/>
          <w:sz w:val="24"/>
        </w:rPr>
      </w:pPr>
      <w:r>
        <w:rPr>
          <w:rFonts w:ascii="Times New Roman" w:hAnsi="Times New Roman" w:cs="Times New Roman"/>
          <w:sz w:val="24"/>
        </w:rPr>
        <w:t>Taizhou Second People</w:t>
      </w:r>
      <w:r>
        <w:rPr>
          <w:rFonts w:ascii="Times New Roman" w:hAnsi="Times New Roman" w:cs="Times New Roman"/>
          <w:sz w:val="24"/>
        </w:rPr>
        <w:t>’</w:t>
      </w:r>
      <w:r>
        <w:rPr>
          <w:rFonts w:ascii="Times New Roman" w:hAnsi="Times New Roman" w:cs="Times New Roman"/>
          <w:sz w:val="24"/>
        </w:rPr>
        <w:t xml:space="preserve">s Hospital, Taizhou 225500, Jiangsu, </w:t>
      </w:r>
      <w:r>
        <w:rPr>
          <w:rFonts w:ascii="Times New Roman" w:hAnsi="Times New Roman" w:cs="Times New Roman" w:hint="eastAsia"/>
          <w:sz w:val="24"/>
        </w:rPr>
        <w:t>China</w:t>
      </w:r>
    </w:p>
    <w:p w14:paraId="12A76181" w14:textId="77777777" w:rsidR="00C32645" w:rsidRDefault="00C32645" w:rsidP="005A1CFE">
      <w:pPr>
        <w:snapToGrid w:val="0"/>
        <w:rPr>
          <w:rFonts w:ascii="Times New Roman" w:hAnsi="Times New Roman" w:cs="Times New Roman"/>
          <w:sz w:val="24"/>
        </w:rPr>
      </w:pPr>
    </w:p>
    <w:p w14:paraId="3CEEBCFD" w14:textId="77777777" w:rsidR="005A1CFE" w:rsidRPr="00CB525F" w:rsidRDefault="005A1CFE" w:rsidP="005A1CFE">
      <w:pPr>
        <w:snapToGrid w:val="0"/>
        <w:rPr>
          <w:rFonts w:ascii="Times New Roman" w:hAnsi="Times New Roman" w:cs="Times New Roman"/>
          <w:sz w:val="20"/>
          <w:szCs w:val="20"/>
        </w:rPr>
      </w:pPr>
      <w:r w:rsidRPr="00CB525F">
        <w:rPr>
          <w:rFonts w:ascii="Times New Roman" w:hAnsi="Times New Roman" w:cs="Times New Roman"/>
          <w:b/>
          <w:bCs/>
          <w:sz w:val="20"/>
          <w:szCs w:val="20"/>
        </w:rPr>
        <w:t>Copyright:</w:t>
      </w:r>
      <w:r w:rsidRPr="00CB525F">
        <w:rPr>
          <w:rFonts w:ascii="Times New Roman" w:hAnsi="Times New Roman" w:cs="Times New Roman"/>
          <w:sz w:val="20"/>
          <w:szCs w:val="20"/>
        </w:rPr>
        <w:t xml:space="preserve"> © 2026 Author(s). This is an open-access article distributed under the terms of the Creative Commons Attribution License (CC BY 4.0), permitting distribution and reproduction in any medium, provided the original work is cited.</w:t>
      </w:r>
    </w:p>
    <w:p w14:paraId="0523C3FB" w14:textId="77777777" w:rsidR="005A1CFE" w:rsidRDefault="005A1CFE" w:rsidP="00CB525F">
      <w:pPr>
        <w:snapToGrid w:val="0"/>
        <w:rPr>
          <w:rFonts w:ascii="Times New Roman" w:hAnsi="Times New Roman" w:cs="Times New Roman"/>
          <w:sz w:val="24"/>
        </w:rPr>
      </w:pPr>
    </w:p>
    <w:p w14:paraId="3A543D9F" w14:textId="46D1E552" w:rsidR="00C32645" w:rsidRDefault="00C44B25" w:rsidP="00CB525F">
      <w:pPr>
        <w:snapToGrid w:val="0"/>
        <w:rPr>
          <w:rFonts w:ascii="Times New Roman" w:hAnsi="Times New Roman" w:cs="Times New Roman"/>
          <w:sz w:val="24"/>
        </w:rPr>
      </w:pPr>
      <w:r>
        <w:rPr>
          <w:rFonts w:ascii="Times New Roman" w:hAnsi="Times New Roman" w:cs="Times New Roman"/>
          <w:b/>
          <w:bCs/>
          <w:sz w:val="24"/>
        </w:rPr>
        <w:t>A</w:t>
      </w:r>
      <w:r>
        <w:rPr>
          <w:rFonts w:ascii="Times New Roman" w:hAnsi="Times New Roman" w:cs="Times New Roman"/>
          <w:b/>
          <w:bCs/>
          <w:sz w:val="24"/>
        </w:rPr>
        <w:t xml:space="preserve">bstract: </w:t>
      </w:r>
      <w:r>
        <w:rPr>
          <w:rFonts w:ascii="Times New Roman" w:hAnsi="Times New Roman" w:cs="Times New Roman"/>
          <w:i/>
          <w:iCs/>
          <w:sz w:val="24"/>
        </w:rPr>
        <w:t>Objective</w:t>
      </w:r>
      <w:r>
        <w:rPr>
          <w:rFonts w:ascii="Times New Roman" w:hAnsi="Times New Roman" w:cs="Times New Roman" w:hint="eastAsia"/>
          <w:i/>
          <w:iCs/>
          <w:sz w:val="24"/>
        </w:rPr>
        <w:t>:</w:t>
      </w:r>
      <w:r>
        <w:rPr>
          <w:rFonts w:ascii="Times New Roman" w:hAnsi="Times New Roman" w:cs="Times New Roman"/>
          <w:i/>
          <w:iCs/>
          <w:sz w:val="24"/>
        </w:rPr>
        <w:t xml:space="preserve"> </w:t>
      </w:r>
      <w:r>
        <w:rPr>
          <w:rFonts w:ascii="Times New Roman" w:hAnsi="Times New Roman" w:cs="Times New Roman"/>
          <w:sz w:val="24"/>
        </w:rPr>
        <w:t xml:space="preserve">To explore the application effect of the PDCA cycle combined with predictive nursing in pain management after video-assisted thoracoscopic lobectomy. </w:t>
      </w:r>
      <w:r>
        <w:rPr>
          <w:rFonts w:ascii="Times New Roman" w:hAnsi="Times New Roman" w:cs="Times New Roman"/>
          <w:i/>
          <w:iCs/>
          <w:sz w:val="24"/>
        </w:rPr>
        <w:t>Methods</w:t>
      </w:r>
      <w:r>
        <w:rPr>
          <w:rFonts w:ascii="Times New Roman" w:hAnsi="Times New Roman" w:cs="Times New Roman" w:hint="eastAsia"/>
          <w:sz w:val="24"/>
        </w:rPr>
        <w:t>:</w:t>
      </w:r>
      <w:r>
        <w:rPr>
          <w:rFonts w:ascii="Times New Roman" w:hAnsi="Times New Roman" w:cs="Times New Roman"/>
          <w:sz w:val="24"/>
        </w:rPr>
        <w:t xml:space="preserve"> A total of 156 patients who underwent video-assisted thoracoscopic lobectomy in our hospital from January 2024 to December 2025 were selected and divided into a control group and an intervention group according to the nursing protocol, with 78 cases in each group. The Visual Analog Scale (VAS) scores at 6 h, 24 h, and 48 h after surgery, the number of effective presses on the analgesic pump, the rate of rescue analgesia, and the incidence of adverse reactions were compared between the two groups. </w:t>
      </w:r>
      <w:r>
        <w:rPr>
          <w:rFonts w:ascii="Times New Roman" w:hAnsi="Times New Roman" w:cs="Times New Roman"/>
          <w:i/>
          <w:iCs/>
          <w:sz w:val="24"/>
        </w:rPr>
        <w:t>Results</w:t>
      </w:r>
      <w:r>
        <w:rPr>
          <w:rFonts w:ascii="Times New Roman" w:hAnsi="Times New Roman" w:cs="Times New Roman" w:hint="eastAsia"/>
          <w:i/>
          <w:iCs/>
          <w:sz w:val="24"/>
        </w:rPr>
        <w:t>:</w:t>
      </w:r>
      <w:r>
        <w:rPr>
          <w:rFonts w:ascii="Times New Roman" w:hAnsi="Times New Roman" w:cs="Times New Roman"/>
          <w:i/>
          <w:iCs/>
          <w:sz w:val="24"/>
        </w:rPr>
        <w:t xml:space="preserve"> </w:t>
      </w:r>
      <w:r>
        <w:rPr>
          <w:rFonts w:ascii="Times New Roman" w:hAnsi="Times New Roman" w:cs="Times New Roman"/>
          <w:sz w:val="24"/>
        </w:rPr>
        <w:t>The VAS scores at each time point after surgery in the intervention group were lower than those in the control group (</w:t>
      </w:r>
      <w:r w:rsidR="005A1CFE">
        <w:rPr>
          <w:rFonts w:ascii="Times New Roman" w:hAnsi="Times New Roman" w:cs="Times New Roman"/>
          <w:i/>
          <w:iCs/>
          <w:sz w:val="24"/>
        </w:rPr>
        <w:t>p</w:t>
      </w:r>
      <w:r w:rsidR="005A1CFE">
        <w:rPr>
          <w:rFonts w:ascii="Times New Roman" w:hAnsi="Times New Roman" w:cs="Times New Roman"/>
          <w:sz w:val="24"/>
        </w:rPr>
        <w:t xml:space="preserve"> </w:t>
      </w:r>
      <w:r>
        <w:rPr>
          <w:rFonts w:ascii="Times New Roman" w:hAnsi="Times New Roman" w:cs="Times New Roman"/>
          <w:sz w:val="24"/>
        </w:rPr>
        <w:t>&lt; 0.05). The number of effective presses on the analgesic pump and the rate of rescue analgesia were significantly reduced in the intervention group (</w:t>
      </w:r>
      <w:r w:rsidR="005A1CFE">
        <w:rPr>
          <w:rFonts w:ascii="Times New Roman" w:hAnsi="Times New Roman" w:cs="Times New Roman"/>
          <w:i/>
          <w:iCs/>
          <w:sz w:val="24"/>
        </w:rPr>
        <w:t>p</w:t>
      </w:r>
      <w:r w:rsidR="005A1CFE">
        <w:rPr>
          <w:rFonts w:ascii="Times New Roman" w:hAnsi="Times New Roman" w:cs="Times New Roman"/>
          <w:sz w:val="24"/>
        </w:rPr>
        <w:t xml:space="preserve"> </w:t>
      </w:r>
      <w:r>
        <w:rPr>
          <w:rFonts w:ascii="Times New Roman" w:hAnsi="Times New Roman" w:cs="Times New Roman"/>
          <w:sz w:val="24"/>
        </w:rPr>
        <w:t>&lt; 0.05), and the incidence of adverse reactions such as nausea and vomiting was lower than that in the control group (</w:t>
      </w:r>
      <w:r w:rsidR="005A1CFE">
        <w:rPr>
          <w:rFonts w:ascii="Times New Roman" w:hAnsi="Times New Roman" w:cs="Times New Roman"/>
          <w:i/>
          <w:iCs/>
          <w:sz w:val="24"/>
        </w:rPr>
        <w:t>p</w:t>
      </w:r>
      <w:r w:rsidR="005A1CFE">
        <w:rPr>
          <w:rFonts w:ascii="Times New Roman" w:hAnsi="Times New Roman" w:cs="Times New Roman"/>
          <w:sz w:val="24"/>
        </w:rPr>
        <w:t xml:space="preserve"> </w:t>
      </w:r>
      <w:r>
        <w:rPr>
          <w:rFonts w:ascii="Times New Roman" w:hAnsi="Times New Roman" w:cs="Times New Roman"/>
          <w:sz w:val="24"/>
        </w:rPr>
        <w:t xml:space="preserve">&lt; 0.05). </w:t>
      </w:r>
      <w:r>
        <w:rPr>
          <w:rFonts w:ascii="Times New Roman" w:hAnsi="Times New Roman" w:cs="Times New Roman"/>
          <w:i/>
          <w:iCs/>
          <w:sz w:val="24"/>
        </w:rPr>
        <w:t>Conclusion</w:t>
      </w:r>
      <w:r>
        <w:rPr>
          <w:rFonts w:ascii="Times New Roman" w:hAnsi="Times New Roman" w:cs="Times New Roman" w:hint="eastAsia"/>
          <w:sz w:val="24"/>
        </w:rPr>
        <w:t>:</w:t>
      </w:r>
      <w:r>
        <w:rPr>
          <w:rFonts w:ascii="Times New Roman" w:hAnsi="Times New Roman" w:cs="Times New Roman"/>
          <w:sz w:val="24"/>
        </w:rPr>
        <w:t xml:space="preserve"> The PDCA cycle combined with predictive nursing can effectively relieve pain after video-assisted thoracoscopic lobectomy, improve the quality of analgesia, and reduce adverse reactions, which is worthy of clinical promotion and application. </w:t>
      </w:r>
    </w:p>
    <w:p w14:paraId="4CCCD999" w14:textId="77777777" w:rsidR="00C32645" w:rsidRDefault="00C44B25" w:rsidP="00CB525F">
      <w:pPr>
        <w:snapToGrid w:val="0"/>
        <w:rPr>
          <w:rFonts w:ascii="Times New Roman" w:hAnsi="Times New Roman" w:cs="Times New Roman"/>
          <w:sz w:val="24"/>
        </w:rPr>
      </w:pPr>
      <w:r>
        <w:rPr>
          <w:rFonts w:ascii="Times New Roman" w:hAnsi="Times New Roman" w:cs="Times New Roman"/>
          <w:b/>
          <w:bCs/>
          <w:sz w:val="24"/>
        </w:rPr>
        <w:t xml:space="preserve">Keywords: </w:t>
      </w:r>
      <w:r>
        <w:rPr>
          <w:rFonts w:ascii="Times New Roman" w:hAnsi="Times New Roman" w:cs="Times New Roman"/>
          <w:sz w:val="24"/>
        </w:rPr>
        <w:t xml:space="preserve">PDCA cycle; </w:t>
      </w:r>
      <w:r>
        <w:rPr>
          <w:rFonts w:ascii="Times New Roman" w:hAnsi="Times New Roman" w:cs="Times New Roman" w:hint="eastAsia"/>
          <w:sz w:val="24"/>
        </w:rPr>
        <w:t>P</w:t>
      </w:r>
      <w:r>
        <w:rPr>
          <w:rFonts w:ascii="Times New Roman" w:hAnsi="Times New Roman" w:cs="Times New Roman"/>
          <w:sz w:val="24"/>
        </w:rPr>
        <w:t xml:space="preserve">redictive nursing; </w:t>
      </w:r>
      <w:r>
        <w:rPr>
          <w:rFonts w:ascii="Times New Roman" w:hAnsi="Times New Roman" w:cs="Times New Roman" w:hint="eastAsia"/>
          <w:sz w:val="24"/>
        </w:rPr>
        <w:t>V</w:t>
      </w:r>
      <w:r>
        <w:rPr>
          <w:rFonts w:ascii="Times New Roman" w:hAnsi="Times New Roman" w:cs="Times New Roman"/>
          <w:sz w:val="24"/>
        </w:rPr>
        <w:t xml:space="preserve">ideo-assisted thoracoscopic lobectomy; </w:t>
      </w:r>
      <w:r>
        <w:rPr>
          <w:rFonts w:ascii="Times New Roman" w:hAnsi="Times New Roman" w:cs="Times New Roman" w:hint="eastAsia"/>
          <w:sz w:val="24"/>
        </w:rPr>
        <w:t>P</w:t>
      </w:r>
      <w:r>
        <w:rPr>
          <w:rFonts w:ascii="Times New Roman" w:hAnsi="Times New Roman" w:cs="Times New Roman"/>
          <w:sz w:val="24"/>
        </w:rPr>
        <w:t>ostoperative pain management</w:t>
      </w:r>
    </w:p>
    <w:p w14:paraId="69C49E71" w14:textId="77777777" w:rsidR="00C32645" w:rsidRDefault="00C32645" w:rsidP="005A1CFE">
      <w:pPr>
        <w:snapToGrid w:val="0"/>
        <w:rPr>
          <w:rFonts w:ascii="Times New Roman" w:hAnsi="Times New Roman" w:cs="Times New Roman"/>
          <w:sz w:val="24"/>
        </w:rPr>
      </w:pPr>
    </w:p>
    <w:p w14:paraId="2336FE03" w14:textId="20AFCE0C" w:rsidR="005A1CFE" w:rsidRPr="00CB525F" w:rsidRDefault="005A1CFE" w:rsidP="005A1CFE">
      <w:pPr>
        <w:snapToGrid w:val="0"/>
        <w:rPr>
          <w:rFonts w:ascii="Times New Roman" w:hAnsi="Times New Roman" w:cs="Times New Roman"/>
          <w:b/>
          <w:bCs/>
          <w:sz w:val="24"/>
        </w:rPr>
      </w:pPr>
      <w:r w:rsidRPr="00CB525F">
        <w:rPr>
          <w:rFonts w:ascii="Times New Roman" w:hAnsi="Times New Roman" w:cs="Times New Roman"/>
          <w:b/>
          <w:bCs/>
          <w:sz w:val="24"/>
        </w:rPr>
        <w:t>Online publication:</w:t>
      </w:r>
    </w:p>
    <w:p w14:paraId="18E6DD30" w14:textId="77777777" w:rsidR="005A1CFE" w:rsidRDefault="005A1CFE" w:rsidP="00CB525F">
      <w:pPr>
        <w:snapToGrid w:val="0"/>
        <w:rPr>
          <w:rFonts w:ascii="Times New Roman" w:hAnsi="Times New Roman" w:cs="Times New Roman"/>
          <w:sz w:val="24"/>
        </w:rPr>
      </w:pPr>
    </w:p>
    <w:p w14:paraId="36FF496A" w14:textId="77777777" w:rsidR="00C32645" w:rsidRDefault="00C44B25" w:rsidP="00CB525F">
      <w:pPr>
        <w:snapToGrid w:val="0"/>
        <w:rPr>
          <w:rFonts w:ascii="Times New Roman" w:hAnsi="Times New Roman" w:cs="Times New Roman"/>
          <w:b/>
          <w:bCs/>
          <w:sz w:val="24"/>
        </w:rPr>
      </w:pPr>
      <w:r>
        <w:rPr>
          <w:rFonts w:ascii="Times New Roman" w:hAnsi="Times New Roman" w:cs="Times New Roman" w:hint="eastAsia"/>
          <w:b/>
          <w:bCs/>
          <w:sz w:val="24"/>
        </w:rPr>
        <w:t>1.</w:t>
      </w:r>
      <w:r>
        <w:rPr>
          <w:rFonts w:ascii="Times New Roman" w:hAnsi="Times New Roman" w:cs="Times New Roman"/>
          <w:b/>
          <w:bCs/>
          <w:sz w:val="24"/>
        </w:rPr>
        <w:t xml:space="preserve"> Introduction </w:t>
      </w:r>
    </w:p>
    <w:p w14:paraId="7AB044B7" w14:textId="77777777" w:rsidR="00C32645" w:rsidRDefault="00C44B25" w:rsidP="00CB525F">
      <w:pPr>
        <w:snapToGrid w:val="0"/>
        <w:rPr>
          <w:rFonts w:ascii="Times New Roman" w:hAnsi="Times New Roman" w:cs="Times New Roman"/>
          <w:sz w:val="24"/>
        </w:rPr>
      </w:pPr>
      <w:r>
        <w:rPr>
          <w:rFonts w:ascii="Times New Roman" w:hAnsi="Times New Roman" w:cs="Times New Roman"/>
          <w:sz w:val="24"/>
        </w:rPr>
        <w:t>Video-assisted thoracoscopic lobectomy is the main minimally invasive surgical procedure for early-stage lung cancer and benign pulmonary lesions. Although it has advantages such as minimal trauma and rapid recovery, the incidence of moderate-to-severe postoperative pain remains high, seriously affecting patients</w:t>
      </w:r>
      <w:r>
        <w:rPr>
          <w:rFonts w:ascii="Times New Roman" w:hAnsi="Times New Roman" w:cs="Times New Roman"/>
          <w:sz w:val="24"/>
        </w:rPr>
        <w:t>’</w:t>
      </w:r>
      <w:r>
        <w:rPr>
          <w:rFonts w:ascii="Times New Roman" w:hAnsi="Times New Roman" w:cs="Times New Roman"/>
          <w:sz w:val="24"/>
        </w:rPr>
        <w:t xml:space="preserve"> early ambulation, coughing and sputum expectoration, and overall rehabilitation process </w:t>
      </w:r>
      <w:r>
        <w:rPr>
          <w:rFonts w:ascii="Times New Roman" w:hAnsi="Times New Roman" w:cs="Times New Roman"/>
          <w:sz w:val="24"/>
          <w:vertAlign w:val="superscript"/>
        </w:rPr>
        <w:t>[1]</w:t>
      </w:r>
      <w:r>
        <w:rPr>
          <w:rFonts w:ascii="Times New Roman" w:hAnsi="Times New Roman" w:cs="Times New Roman"/>
          <w:sz w:val="24"/>
        </w:rPr>
        <w:t xml:space="preserve">. How to implement systematic and precise postoperative pain management has become a core issue in improving the quality of nursing care in thoracic surgery. Traditional postoperative analgesia mostly relies on passive execution of medical orders, lacking a forward-looking assessment and dynamic adjustment mechanism, which easily leads to inadequate analgesia or excessive medication </w:t>
      </w:r>
      <w:r>
        <w:rPr>
          <w:rFonts w:ascii="Times New Roman" w:hAnsi="Times New Roman" w:cs="Times New Roman"/>
          <w:sz w:val="24"/>
          <w:vertAlign w:val="superscript"/>
        </w:rPr>
        <w:t>[2]</w:t>
      </w:r>
      <w:r>
        <w:rPr>
          <w:rFonts w:ascii="Times New Roman" w:hAnsi="Times New Roman" w:cs="Times New Roman"/>
          <w:sz w:val="24"/>
        </w:rPr>
        <w:t xml:space="preserve">. The PDCA cycle, as a continuous quality improvement tool, has been gradually introduced into perioperative nursing management and has shown significant advantages in standardizing nursing procedures and improving execution standardization </w:t>
      </w:r>
      <w:r>
        <w:rPr>
          <w:rFonts w:ascii="Times New Roman" w:hAnsi="Times New Roman" w:cs="Times New Roman"/>
          <w:sz w:val="24"/>
          <w:vertAlign w:val="superscript"/>
        </w:rPr>
        <w:t>[3]</w:t>
      </w:r>
      <w:r>
        <w:rPr>
          <w:rFonts w:ascii="Times New Roman" w:hAnsi="Times New Roman" w:cs="Times New Roman"/>
          <w:sz w:val="24"/>
        </w:rPr>
        <w:t xml:space="preserve">. Predictive nursing emphasizes proactive risk assessment and early intervention, which has a positive effect on reducing agitation during recovery and acute pain </w:t>
      </w:r>
      <w:r>
        <w:rPr>
          <w:rFonts w:ascii="Times New Roman" w:hAnsi="Times New Roman" w:cs="Times New Roman"/>
          <w:sz w:val="24"/>
          <w:vertAlign w:val="superscript"/>
        </w:rPr>
        <w:t>[4]</w:t>
      </w:r>
      <w:r>
        <w:rPr>
          <w:rFonts w:ascii="Times New Roman" w:hAnsi="Times New Roman" w:cs="Times New Roman"/>
          <w:sz w:val="24"/>
        </w:rPr>
        <w:t xml:space="preserve">. The PDCA cycle focuses on achieving standardization and continuous improvement from the perspective of management procedures, while predictive nursing focuses on achieving proactive intervention from the perspective of individual risks. The two are complementary in concept, and their combined application is expected to synergistically improve the quality of perioperative pain management from the two dimensions of </w:t>
      </w:r>
      <w:r>
        <w:rPr>
          <w:rFonts w:ascii="Times New Roman" w:hAnsi="Times New Roman" w:cs="Times New Roman"/>
          <w:sz w:val="24"/>
        </w:rPr>
        <w:t>“</w:t>
      </w:r>
      <w:r>
        <w:rPr>
          <w:rFonts w:ascii="Times New Roman" w:hAnsi="Times New Roman" w:cs="Times New Roman"/>
          <w:sz w:val="24"/>
        </w:rPr>
        <w:t>process optimization</w:t>
      </w:r>
      <w:r>
        <w:rPr>
          <w:rFonts w:ascii="Times New Roman" w:hAnsi="Times New Roman" w:cs="Times New Roman"/>
          <w:sz w:val="24"/>
        </w:rPr>
        <w:t>”</w:t>
      </w:r>
      <w:r>
        <w:rPr>
          <w:rFonts w:ascii="Times New Roman" w:hAnsi="Times New Roman" w:cs="Times New Roman"/>
          <w:sz w:val="24"/>
        </w:rPr>
        <w:t xml:space="preserve"> and </w:t>
      </w:r>
      <w:r>
        <w:rPr>
          <w:rFonts w:ascii="Times New Roman" w:hAnsi="Times New Roman" w:cs="Times New Roman"/>
          <w:sz w:val="24"/>
        </w:rPr>
        <w:t>“</w:t>
      </w:r>
      <w:r>
        <w:rPr>
          <w:rFonts w:ascii="Times New Roman" w:hAnsi="Times New Roman" w:cs="Times New Roman"/>
          <w:sz w:val="24"/>
        </w:rPr>
        <w:t>risk prepositioning</w:t>
      </w:r>
      <w:r>
        <w:rPr>
          <w:rFonts w:ascii="Times New Roman" w:hAnsi="Times New Roman" w:cs="Times New Roman"/>
          <w:sz w:val="24"/>
        </w:rPr>
        <w:t>”</w:t>
      </w:r>
      <w:r>
        <w:rPr>
          <w:rFonts w:ascii="Times New Roman" w:hAnsi="Times New Roman" w:cs="Times New Roman"/>
          <w:sz w:val="24"/>
        </w:rPr>
        <w:t>. Currently, there are few reports on the combined application of the two in pain management after video-assisted thoracoscopic lobectomy. This study aims to explore its actual effect to provide a reference for clinical nursing care.</w:t>
      </w:r>
    </w:p>
    <w:p w14:paraId="57491F2F" w14:textId="77777777" w:rsidR="00C32645" w:rsidRDefault="00C32645" w:rsidP="00CB525F">
      <w:pPr>
        <w:snapToGrid w:val="0"/>
        <w:rPr>
          <w:rFonts w:ascii="Times New Roman" w:hAnsi="Times New Roman" w:cs="Times New Roman"/>
          <w:sz w:val="24"/>
        </w:rPr>
      </w:pPr>
    </w:p>
    <w:p w14:paraId="2B3E2DE9" w14:textId="77777777" w:rsidR="00C32645" w:rsidRDefault="00C44B25" w:rsidP="00CB525F">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 xml:space="preserve"> Materials and </w:t>
      </w:r>
      <w:r>
        <w:rPr>
          <w:rFonts w:ascii="Times New Roman" w:hAnsi="Times New Roman" w:cs="Times New Roman" w:hint="eastAsia"/>
          <w:b/>
          <w:bCs/>
          <w:sz w:val="24"/>
        </w:rPr>
        <w:t>m</w:t>
      </w:r>
      <w:r>
        <w:rPr>
          <w:rFonts w:ascii="Times New Roman" w:hAnsi="Times New Roman" w:cs="Times New Roman"/>
          <w:b/>
          <w:bCs/>
          <w:sz w:val="24"/>
        </w:rPr>
        <w:t xml:space="preserve">ethods </w:t>
      </w:r>
    </w:p>
    <w:p w14:paraId="0B740356" w14:textId="77777777" w:rsidR="00C32645" w:rsidRDefault="00C44B25" w:rsidP="00CB525F">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.1</w:t>
      </w:r>
      <w:r>
        <w:rPr>
          <w:rFonts w:ascii="Times New Roman" w:hAnsi="Times New Roman" w:cs="Times New Roman" w:hint="eastAsia"/>
          <w:b/>
          <w:bCs/>
          <w:sz w:val="24"/>
        </w:rPr>
        <w:t>.</w:t>
      </w:r>
      <w:r>
        <w:rPr>
          <w:rFonts w:ascii="Times New Roman" w:hAnsi="Times New Roman" w:cs="Times New Roman"/>
          <w:b/>
          <w:bCs/>
          <w:sz w:val="24"/>
        </w:rPr>
        <w:t xml:space="preserve"> General </w:t>
      </w:r>
      <w:r>
        <w:rPr>
          <w:rFonts w:ascii="Times New Roman" w:hAnsi="Times New Roman" w:cs="Times New Roman" w:hint="eastAsia"/>
          <w:b/>
          <w:bCs/>
          <w:sz w:val="24"/>
        </w:rPr>
        <w:t>i</w:t>
      </w:r>
      <w:r>
        <w:rPr>
          <w:rFonts w:ascii="Times New Roman" w:hAnsi="Times New Roman" w:cs="Times New Roman"/>
          <w:b/>
          <w:bCs/>
          <w:sz w:val="24"/>
        </w:rPr>
        <w:t xml:space="preserve">nformation </w:t>
      </w:r>
    </w:p>
    <w:p w14:paraId="1C00E924" w14:textId="77777777" w:rsidR="005A1CFE" w:rsidRDefault="00C44B25" w:rsidP="005A1CFE">
      <w:pPr>
        <w:snapToGrid w:val="0"/>
        <w:rPr>
          <w:rFonts w:ascii="Times New Roman" w:hAnsi="Times New Roman" w:cs="Times New Roman"/>
          <w:sz w:val="24"/>
        </w:rPr>
      </w:pPr>
      <w:r>
        <w:rPr>
          <w:rFonts w:ascii="Times New Roman" w:hAnsi="Times New Roman" w:cs="Times New Roman"/>
          <w:sz w:val="24"/>
        </w:rPr>
        <w:t xml:space="preserve">A retrospective selection was made of 156 patients who underwent video-assisted thoracoscopic lobectomy under general anesthesia in our hospital from January 2024 to December 2025. </w:t>
      </w:r>
    </w:p>
    <w:p w14:paraId="04E3F64B" w14:textId="77777777" w:rsidR="005A1CFE" w:rsidRDefault="005A1CFE" w:rsidP="005A1CFE">
      <w:pPr>
        <w:snapToGrid w:val="0"/>
        <w:rPr>
          <w:rFonts w:ascii="Times New Roman" w:hAnsi="Times New Roman" w:cs="Times New Roman"/>
          <w:sz w:val="24"/>
        </w:rPr>
      </w:pPr>
    </w:p>
    <w:p w14:paraId="3ADF0A54" w14:textId="77777777" w:rsidR="005A1CFE" w:rsidRPr="00CB525F" w:rsidRDefault="005A1CFE" w:rsidP="005A1CFE">
      <w:pPr>
        <w:snapToGrid w:val="0"/>
        <w:rPr>
          <w:rFonts w:ascii="Times New Roman" w:hAnsi="Times New Roman" w:cs="Times New Roman"/>
          <w:b/>
          <w:bCs/>
          <w:sz w:val="24"/>
        </w:rPr>
      </w:pPr>
      <w:r w:rsidRPr="00CB525F">
        <w:rPr>
          <w:rFonts w:ascii="Times New Roman" w:hAnsi="Times New Roman" w:cs="Times New Roman"/>
          <w:b/>
          <w:bCs/>
          <w:sz w:val="24"/>
        </w:rPr>
        <w:t xml:space="preserve">2.1.1. </w:t>
      </w:r>
      <w:r w:rsidR="00C44B25" w:rsidRPr="00CB525F">
        <w:rPr>
          <w:rFonts w:ascii="Times New Roman" w:hAnsi="Times New Roman" w:cs="Times New Roman"/>
          <w:b/>
          <w:bCs/>
          <w:sz w:val="24"/>
        </w:rPr>
        <w:t xml:space="preserve">Inclusion </w:t>
      </w:r>
      <w:proofErr w:type="spellStart"/>
      <w:r w:rsidR="00C44B25" w:rsidRPr="00CB525F">
        <w:rPr>
          <w:rFonts w:ascii="Times New Roman" w:hAnsi="Times New Roman" w:cs="Times New Roman"/>
          <w:b/>
          <w:bCs/>
          <w:sz w:val="24"/>
        </w:rPr>
        <w:t>criteria</w:t>
      </w:r>
      <w:proofErr w:type="spellEnd"/>
    </w:p>
    <w:p w14:paraId="75B89805" w14:textId="18904A99" w:rsidR="005A1CFE" w:rsidRDefault="005A1CFE" w:rsidP="005A1CFE">
      <w:pPr>
        <w:snapToGrid w:val="0"/>
        <w:ind w:left="709" w:hanging="709"/>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t>A</w:t>
      </w:r>
      <w:r w:rsidR="00C44B25">
        <w:rPr>
          <w:rFonts w:ascii="Times New Roman" w:hAnsi="Times New Roman" w:cs="Times New Roman"/>
          <w:sz w:val="24"/>
        </w:rPr>
        <w:t>ge ≥ 18 years</w:t>
      </w:r>
    </w:p>
    <w:p w14:paraId="3E22D840" w14:textId="46992AB5" w:rsidR="005A1CFE" w:rsidRDefault="005A1CFE" w:rsidP="005A1CFE">
      <w:pPr>
        <w:snapToGrid w:val="0"/>
        <w:ind w:left="709" w:hanging="709"/>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sidR="00C44B25">
        <w:rPr>
          <w:rFonts w:ascii="Times New Roman" w:hAnsi="Times New Roman" w:cs="Times New Roman"/>
          <w:sz w:val="24"/>
        </w:rPr>
        <w:t>ASA classification grades I</w:t>
      </w:r>
      <w:r>
        <w:rPr>
          <w:rFonts w:ascii="Times New Roman" w:hAnsi="Times New Roman" w:cs="Times New Roman"/>
          <w:sz w:val="24"/>
        </w:rPr>
        <w:t>–</w:t>
      </w:r>
      <w:r w:rsidR="00C44B25">
        <w:rPr>
          <w:rFonts w:ascii="Times New Roman" w:hAnsi="Times New Roman" w:cs="Times New Roman"/>
          <w:sz w:val="24"/>
        </w:rPr>
        <w:t>III</w:t>
      </w:r>
    </w:p>
    <w:p w14:paraId="00393F33" w14:textId="40B1FE94" w:rsidR="005A1CFE" w:rsidRDefault="005A1CFE" w:rsidP="005A1CFE">
      <w:pPr>
        <w:snapToGrid w:val="0"/>
        <w:ind w:left="709" w:hanging="709"/>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t>E</w:t>
      </w:r>
      <w:r w:rsidR="00C44B25">
        <w:rPr>
          <w:rFonts w:ascii="Times New Roman" w:hAnsi="Times New Roman" w:cs="Times New Roman"/>
          <w:sz w:val="24"/>
        </w:rPr>
        <w:t xml:space="preserve">lective unilateral surgery, no long-term use of opioid drugs before surgery, and clear consciousness to cooperate with the assessment. </w:t>
      </w:r>
    </w:p>
    <w:p w14:paraId="7772B8DA" w14:textId="77777777" w:rsidR="005A1CFE" w:rsidRDefault="005A1CFE" w:rsidP="005A1CFE">
      <w:pPr>
        <w:snapToGrid w:val="0"/>
        <w:ind w:left="709" w:hanging="709"/>
        <w:rPr>
          <w:rFonts w:ascii="Times New Roman" w:hAnsi="Times New Roman" w:cs="Times New Roman"/>
          <w:sz w:val="24"/>
        </w:rPr>
      </w:pPr>
    </w:p>
    <w:p w14:paraId="06BE9ABF" w14:textId="77777777" w:rsidR="005A1CFE" w:rsidRPr="00CB525F" w:rsidRDefault="005A1CFE" w:rsidP="005A1CFE">
      <w:pPr>
        <w:snapToGrid w:val="0"/>
        <w:ind w:left="709" w:hanging="709"/>
        <w:rPr>
          <w:rFonts w:ascii="Times New Roman" w:hAnsi="Times New Roman" w:cs="Times New Roman"/>
          <w:b/>
          <w:bCs/>
          <w:sz w:val="24"/>
        </w:rPr>
      </w:pPr>
      <w:r w:rsidRPr="00CB525F">
        <w:rPr>
          <w:rFonts w:ascii="Times New Roman" w:hAnsi="Times New Roman" w:cs="Times New Roman"/>
          <w:b/>
          <w:bCs/>
          <w:sz w:val="24"/>
        </w:rPr>
        <w:t xml:space="preserve">2.1.2. </w:t>
      </w:r>
      <w:r w:rsidR="00C44B25" w:rsidRPr="00CB525F">
        <w:rPr>
          <w:rFonts w:ascii="Times New Roman" w:hAnsi="Times New Roman" w:cs="Times New Roman"/>
          <w:b/>
          <w:bCs/>
          <w:sz w:val="24"/>
        </w:rPr>
        <w:t xml:space="preserve">Exclusion </w:t>
      </w:r>
      <w:proofErr w:type="spellStart"/>
      <w:r w:rsidR="00C44B25" w:rsidRPr="00CB525F">
        <w:rPr>
          <w:rFonts w:ascii="Times New Roman" w:hAnsi="Times New Roman" w:cs="Times New Roman"/>
          <w:b/>
          <w:bCs/>
          <w:sz w:val="24"/>
        </w:rPr>
        <w:t>criteria</w:t>
      </w:r>
      <w:proofErr w:type="spellEnd"/>
    </w:p>
    <w:p w14:paraId="715485E4" w14:textId="61A973E8" w:rsidR="005A1CFE" w:rsidRDefault="005A1CFE" w:rsidP="005A1CFE">
      <w:pPr>
        <w:snapToGrid w:val="0"/>
        <w:ind w:left="709" w:hanging="709"/>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t>S</w:t>
      </w:r>
      <w:r w:rsidR="00C44B25">
        <w:rPr>
          <w:rFonts w:ascii="Times New Roman" w:hAnsi="Times New Roman" w:cs="Times New Roman"/>
          <w:sz w:val="24"/>
        </w:rPr>
        <w:t xml:space="preserve">evere cardiocerebrovascular diseases or liver and kidney dysfunction before </w:t>
      </w:r>
      <w:proofErr w:type="spellStart"/>
      <w:r w:rsidR="00C44B25">
        <w:rPr>
          <w:rFonts w:ascii="Times New Roman" w:hAnsi="Times New Roman" w:cs="Times New Roman"/>
          <w:sz w:val="24"/>
        </w:rPr>
        <w:t>surgery</w:t>
      </w:r>
      <w:proofErr w:type="spellEnd"/>
    </w:p>
    <w:p w14:paraId="0ECFFE51" w14:textId="266A3265" w:rsidR="005A1CFE" w:rsidRDefault="005A1CFE" w:rsidP="005A1CFE">
      <w:pPr>
        <w:snapToGrid w:val="0"/>
        <w:ind w:left="709" w:hanging="709"/>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t>C</w:t>
      </w:r>
      <w:r w:rsidR="00C44B25">
        <w:rPr>
          <w:rFonts w:ascii="Times New Roman" w:hAnsi="Times New Roman" w:cs="Times New Roman"/>
          <w:sz w:val="24"/>
        </w:rPr>
        <w:t xml:space="preserve">onversion to thoracotomy during surgery, postoperative transfer to the ICU with a tube for more than 24 </w:t>
      </w:r>
      <w:proofErr w:type="spellStart"/>
      <w:r w:rsidR="00C44B25">
        <w:rPr>
          <w:rFonts w:ascii="Times New Roman" w:hAnsi="Times New Roman" w:cs="Times New Roman"/>
          <w:sz w:val="24"/>
        </w:rPr>
        <w:t>h</w:t>
      </w:r>
      <w:proofErr w:type="spellEnd"/>
    </w:p>
    <w:p w14:paraId="60CBE90C" w14:textId="77362126" w:rsidR="005A1CFE" w:rsidRDefault="005A1CFE" w:rsidP="005A1CFE">
      <w:pPr>
        <w:snapToGrid w:val="0"/>
        <w:ind w:left="709" w:hanging="709"/>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t>T</w:t>
      </w:r>
      <w:r w:rsidR="00C44B25">
        <w:rPr>
          <w:rFonts w:ascii="Times New Roman" w:hAnsi="Times New Roman" w:cs="Times New Roman"/>
          <w:sz w:val="24"/>
        </w:rPr>
        <w:t xml:space="preserve">he need for a second surgery due to severe complications. </w:t>
      </w:r>
    </w:p>
    <w:p w14:paraId="5CDD02E2" w14:textId="77777777" w:rsidR="005A1CFE" w:rsidRDefault="005A1CFE" w:rsidP="005A1CFE">
      <w:pPr>
        <w:snapToGrid w:val="0"/>
        <w:ind w:left="709" w:hanging="709"/>
        <w:rPr>
          <w:rFonts w:ascii="Times New Roman" w:hAnsi="Times New Roman" w:cs="Times New Roman"/>
          <w:sz w:val="24"/>
        </w:rPr>
      </w:pPr>
    </w:p>
    <w:p w14:paraId="058EFFDA" w14:textId="77777777" w:rsidR="005A1CFE" w:rsidRPr="00CB525F" w:rsidRDefault="005A1CFE" w:rsidP="005A1CFE">
      <w:pPr>
        <w:snapToGrid w:val="0"/>
        <w:rPr>
          <w:rFonts w:ascii="Times New Roman" w:hAnsi="Times New Roman" w:cs="Times New Roman"/>
          <w:b/>
          <w:bCs/>
          <w:sz w:val="24"/>
        </w:rPr>
      </w:pPr>
      <w:r w:rsidRPr="00CB525F">
        <w:rPr>
          <w:rFonts w:ascii="Times New Roman" w:hAnsi="Times New Roman" w:cs="Times New Roman"/>
          <w:b/>
          <w:bCs/>
          <w:sz w:val="24"/>
        </w:rPr>
        <w:t>2.1.3. Study design</w:t>
      </w:r>
    </w:p>
    <w:p w14:paraId="7CB0BCDA" w14:textId="63FE8A0B" w:rsidR="00C32645" w:rsidRDefault="00C44B25" w:rsidP="00CB525F">
      <w:pPr>
        <w:snapToGrid w:val="0"/>
        <w:rPr>
          <w:rFonts w:ascii="Times New Roman" w:hAnsi="Times New Roman" w:cs="Times New Roman"/>
          <w:sz w:val="24"/>
        </w:rPr>
      </w:pPr>
      <w:r>
        <w:rPr>
          <w:rFonts w:ascii="Times New Roman" w:hAnsi="Times New Roman" w:cs="Times New Roman"/>
          <w:sz w:val="24"/>
        </w:rPr>
        <w:t>The patients were divided into a control group and an intervention group according to the nursing protocol, with 78 cases in each group. There were no statistically significant differences in general information such as gender, age, BMI, surgical site, surgical time, and ASA classification between the two groups (</w:t>
      </w:r>
      <w:r w:rsidR="005A1CFE">
        <w:rPr>
          <w:rFonts w:ascii="Times New Roman" w:hAnsi="Times New Roman" w:cs="Times New Roman"/>
          <w:i/>
          <w:iCs/>
          <w:sz w:val="24"/>
        </w:rPr>
        <w:t>p</w:t>
      </w:r>
      <w:r w:rsidR="005A1CFE">
        <w:rPr>
          <w:rFonts w:ascii="Times New Roman" w:hAnsi="Times New Roman" w:cs="Times New Roman"/>
          <w:sz w:val="24"/>
        </w:rPr>
        <w:t xml:space="preserve"> </w:t>
      </w:r>
      <w:r>
        <w:rPr>
          <w:rFonts w:ascii="Times New Roman" w:hAnsi="Times New Roman" w:cs="Times New Roman"/>
          <w:sz w:val="24"/>
        </w:rPr>
        <w:t>&gt; 0.05). This study was a retrospective analysis and was exempted from informed consent after approval by the hospital ethics committee.</w:t>
      </w:r>
    </w:p>
    <w:p w14:paraId="2349E365" w14:textId="77777777" w:rsidR="00C32645" w:rsidRDefault="00C32645" w:rsidP="00CB525F">
      <w:pPr>
        <w:snapToGrid w:val="0"/>
        <w:rPr>
          <w:rFonts w:ascii="Times New Roman" w:hAnsi="Times New Roman" w:cs="Times New Roman"/>
          <w:sz w:val="24"/>
        </w:rPr>
      </w:pPr>
    </w:p>
    <w:p w14:paraId="64A55841" w14:textId="77777777" w:rsidR="00C32645" w:rsidRDefault="00C44B25" w:rsidP="00CB525F">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.2</w:t>
      </w:r>
      <w:r>
        <w:rPr>
          <w:rFonts w:ascii="Times New Roman" w:hAnsi="Times New Roman" w:cs="Times New Roman" w:hint="eastAsia"/>
          <w:b/>
          <w:bCs/>
          <w:sz w:val="24"/>
        </w:rPr>
        <w:t>.</w:t>
      </w:r>
      <w:r>
        <w:rPr>
          <w:rFonts w:ascii="Times New Roman" w:hAnsi="Times New Roman" w:cs="Times New Roman"/>
          <w:b/>
          <w:bCs/>
          <w:sz w:val="24"/>
        </w:rPr>
        <w:t xml:space="preserve"> Nursing </w:t>
      </w:r>
      <w:r>
        <w:rPr>
          <w:rFonts w:ascii="Times New Roman" w:hAnsi="Times New Roman" w:cs="Times New Roman" w:hint="eastAsia"/>
          <w:b/>
          <w:bCs/>
          <w:sz w:val="24"/>
        </w:rPr>
        <w:t>m</w:t>
      </w:r>
      <w:r>
        <w:rPr>
          <w:rFonts w:ascii="Times New Roman" w:hAnsi="Times New Roman" w:cs="Times New Roman"/>
          <w:b/>
          <w:bCs/>
          <w:sz w:val="24"/>
        </w:rPr>
        <w:t xml:space="preserve">ethods </w:t>
      </w:r>
    </w:p>
    <w:p w14:paraId="3637A927" w14:textId="77777777" w:rsidR="00C32645" w:rsidRDefault="00C44B25" w:rsidP="00CB525F">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.2.1</w:t>
      </w:r>
      <w:r>
        <w:rPr>
          <w:rFonts w:ascii="Times New Roman" w:hAnsi="Times New Roman" w:cs="Times New Roman" w:hint="eastAsia"/>
          <w:b/>
          <w:bCs/>
          <w:sz w:val="24"/>
        </w:rPr>
        <w:t>.</w:t>
      </w:r>
      <w:r>
        <w:rPr>
          <w:rFonts w:ascii="Times New Roman" w:hAnsi="Times New Roman" w:cs="Times New Roman"/>
          <w:b/>
          <w:bCs/>
          <w:sz w:val="24"/>
        </w:rPr>
        <w:t xml:space="preserve"> Control </w:t>
      </w:r>
      <w:r>
        <w:rPr>
          <w:rFonts w:ascii="Times New Roman" w:hAnsi="Times New Roman" w:cs="Times New Roman" w:hint="eastAsia"/>
          <w:b/>
          <w:bCs/>
          <w:sz w:val="24"/>
        </w:rPr>
        <w:t>g</w:t>
      </w:r>
      <w:r>
        <w:rPr>
          <w:rFonts w:ascii="Times New Roman" w:hAnsi="Times New Roman" w:cs="Times New Roman"/>
          <w:b/>
          <w:bCs/>
          <w:sz w:val="24"/>
        </w:rPr>
        <w:t xml:space="preserve">roup </w:t>
      </w:r>
    </w:p>
    <w:p w14:paraId="10611A75" w14:textId="1C05A6F8" w:rsidR="00C32645" w:rsidRDefault="00C44B25" w:rsidP="00CB525F">
      <w:pPr>
        <w:snapToGrid w:val="0"/>
        <w:rPr>
          <w:rFonts w:ascii="Times New Roman" w:hAnsi="Times New Roman" w:cs="Times New Roman"/>
          <w:sz w:val="24"/>
        </w:rPr>
      </w:pPr>
      <w:r>
        <w:rPr>
          <w:rFonts w:ascii="Times New Roman" w:hAnsi="Times New Roman" w:cs="Times New Roman"/>
          <w:sz w:val="24"/>
        </w:rPr>
        <w:t xml:space="preserve">The control group received conventional postoperative pain management: After surgery, a patient-controlled intravenous analgesia pump (PCIA, using an electronic </w:t>
      </w:r>
      <w:proofErr w:type="spellStart"/>
      <w:r>
        <w:rPr>
          <w:rFonts w:ascii="Times New Roman" w:hAnsi="Times New Roman" w:cs="Times New Roman"/>
          <w:sz w:val="24"/>
        </w:rPr>
        <w:t>microinfusion</w:t>
      </w:r>
      <w:proofErr w:type="spellEnd"/>
      <w:r>
        <w:rPr>
          <w:rFonts w:ascii="Times New Roman" w:hAnsi="Times New Roman" w:cs="Times New Roman"/>
          <w:sz w:val="24"/>
        </w:rPr>
        <w:t xml:space="preserve"> pump) was administered according to the doctor</w:t>
      </w:r>
      <w:r>
        <w:rPr>
          <w:rFonts w:ascii="Times New Roman" w:hAnsi="Times New Roman" w:cs="Times New Roman"/>
          <w:sz w:val="24"/>
        </w:rPr>
        <w:t>’</w:t>
      </w:r>
      <w:r>
        <w:rPr>
          <w:rFonts w:ascii="Times New Roman" w:hAnsi="Times New Roman" w:cs="Times New Roman"/>
          <w:sz w:val="24"/>
        </w:rPr>
        <w:t>s orders. The drug formulation was morphine (10 mg diluted with 0.9% sodium chloride injection to 50 mL, with a concentration of 0.2 mg/mL). The background infusion rate was set at 1 mL/h, the single PCA press dose was 2 mL, and the lockout time was 8 min. Nurses assessed pain during each shift. If the VAS score was ≥ 4 points, the doctor was notified to adjust the protocol</w:t>
      </w:r>
      <w:r w:rsidR="005A1CFE">
        <w:rPr>
          <w:rFonts w:ascii="Times New Roman" w:hAnsi="Times New Roman" w:cs="Times New Roman"/>
          <w:sz w:val="24"/>
        </w:rPr>
        <w:t xml:space="preserve">, or an </w:t>
      </w:r>
      <w:r>
        <w:rPr>
          <w:rFonts w:ascii="Times New Roman" w:hAnsi="Times New Roman" w:cs="Times New Roman"/>
          <w:sz w:val="24"/>
        </w:rPr>
        <w:t>intravenous drip of tramadol (e.g., 100 mg) was administered for rescue analgesia. At the same time, routine health education was provided, but the education content did not undergo systematic pre-assessment.</w:t>
      </w:r>
    </w:p>
    <w:p w14:paraId="7840B372" w14:textId="77777777" w:rsidR="00C32645" w:rsidRDefault="00C32645" w:rsidP="00CB525F">
      <w:pPr>
        <w:snapToGrid w:val="0"/>
        <w:rPr>
          <w:rFonts w:ascii="Times New Roman" w:hAnsi="Times New Roman" w:cs="Times New Roman"/>
          <w:sz w:val="24"/>
        </w:rPr>
      </w:pPr>
    </w:p>
    <w:p w14:paraId="65311E6A" w14:textId="77777777" w:rsidR="00C32645" w:rsidRDefault="00C44B25" w:rsidP="00CB525F">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.2.2</w:t>
      </w:r>
      <w:r>
        <w:rPr>
          <w:rFonts w:ascii="Times New Roman" w:hAnsi="Times New Roman" w:cs="Times New Roman" w:hint="eastAsia"/>
          <w:b/>
          <w:bCs/>
          <w:sz w:val="24"/>
        </w:rPr>
        <w:t>.</w:t>
      </w:r>
      <w:r>
        <w:rPr>
          <w:rFonts w:ascii="Times New Roman" w:hAnsi="Times New Roman" w:cs="Times New Roman"/>
          <w:b/>
          <w:bCs/>
          <w:sz w:val="24"/>
        </w:rPr>
        <w:t xml:space="preserve"> Intervention </w:t>
      </w:r>
      <w:r>
        <w:rPr>
          <w:rFonts w:ascii="Times New Roman" w:hAnsi="Times New Roman" w:cs="Times New Roman" w:hint="eastAsia"/>
          <w:b/>
          <w:bCs/>
          <w:sz w:val="24"/>
        </w:rPr>
        <w:t>g</w:t>
      </w:r>
      <w:r>
        <w:rPr>
          <w:rFonts w:ascii="Times New Roman" w:hAnsi="Times New Roman" w:cs="Times New Roman"/>
          <w:b/>
          <w:bCs/>
          <w:sz w:val="24"/>
        </w:rPr>
        <w:t xml:space="preserve">roup </w:t>
      </w:r>
    </w:p>
    <w:p w14:paraId="2868A80B" w14:textId="77777777" w:rsidR="00C32645" w:rsidRDefault="00C44B25" w:rsidP="00CB525F">
      <w:pPr>
        <w:snapToGrid w:val="0"/>
        <w:rPr>
          <w:rFonts w:ascii="Times New Roman" w:hAnsi="Times New Roman" w:cs="Times New Roman"/>
          <w:sz w:val="24"/>
        </w:rPr>
      </w:pPr>
      <w:r>
        <w:rPr>
          <w:rFonts w:ascii="Times New Roman" w:hAnsi="Times New Roman" w:cs="Times New Roman"/>
          <w:sz w:val="24"/>
        </w:rPr>
        <w:t xml:space="preserve">The intervention group received interventions based on the conventional analgesic protocol of the control group, with the same baseline medication. The PDCA cycle combined with predictive nursing was implemented as follows. </w:t>
      </w:r>
    </w:p>
    <w:p w14:paraId="776693FB" w14:textId="28663551" w:rsidR="005A1CFE" w:rsidRDefault="00C44B25" w:rsidP="00CB525F">
      <w:pPr>
        <w:snapToGrid w:val="0"/>
        <w:ind w:left="709" w:hanging="709"/>
        <w:rPr>
          <w:rFonts w:ascii="Times New Roman" w:hAnsi="Times New Roman" w:cs="Times New Roman"/>
          <w:sz w:val="24"/>
        </w:rPr>
      </w:pPr>
      <w:r>
        <w:rPr>
          <w:rFonts w:ascii="Times New Roman" w:hAnsi="Times New Roman" w:cs="Times New Roman"/>
          <w:sz w:val="24"/>
        </w:rPr>
        <w:t xml:space="preserve">(1) </w:t>
      </w:r>
      <w:r w:rsidR="005A1CFE">
        <w:rPr>
          <w:rFonts w:ascii="Times New Roman" w:hAnsi="Times New Roman" w:cs="Times New Roman"/>
          <w:sz w:val="24"/>
        </w:rPr>
        <w:tab/>
      </w:r>
      <w:r>
        <w:rPr>
          <w:rFonts w:ascii="Times New Roman" w:hAnsi="Times New Roman" w:cs="Times New Roman"/>
          <w:sz w:val="24"/>
        </w:rPr>
        <w:t xml:space="preserve">Planning </w:t>
      </w:r>
      <w:r>
        <w:rPr>
          <w:rFonts w:ascii="Times New Roman" w:hAnsi="Times New Roman" w:cs="Times New Roman" w:hint="eastAsia"/>
          <w:sz w:val="24"/>
        </w:rPr>
        <w:t>s</w:t>
      </w:r>
      <w:r>
        <w:rPr>
          <w:rFonts w:ascii="Times New Roman" w:hAnsi="Times New Roman" w:cs="Times New Roman"/>
          <w:sz w:val="24"/>
        </w:rPr>
        <w:t xml:space="preserve">tage (Plan) </w:t>
      </w:r>
    </w:p>
    <w:p w14:paraId="5510BEBF" w14:textId="45DFB38F" w:rsidR="00C32645" w:rsidRDefault="005A1CFE" w:rsidP="00CB525F">
      <w:pPr>
        <w:snapToGrid w:val="0"/>
        <w:ind w:left="709" w:hanging="709"/>
        <w:rPr>
          <w:rFonts w:ascii="Times New Roman" w:hAnsi="Times New Roman" w:cs="Times New Roman"/>
          <w:sz w:val="24"/>
        </w:rPr>
      </w:pPr>
      <w:r>
        <w:rPr>
          <w:rFonts w:ascii="Times New Roman" w:hAnsi="Times New Roman" w:cs="Times New Roman"/>
          <w:sz w:val="24"/>
        </w:rPr>
        <w:tab/>
      </w:r>
      <w:r w:rsidR="00C44B25">
        <w:rPr>
          <w:rFonts w:ascii="Times New Roman" w:hAnsi="Times New Roman" w:cs="Times New Roman"/>
          <w:sz w:val="24"/>
        </w:rPr>
        <w:t xml:space="preserve">Team members identified three major improvement directions by retrospectively analyzing the weak links in pain management after video-assisted thoracoscopic lobectomy in our department: ① Lack of preoperative pain risk stratification assessment; ② Passive delay in postoperative assessment and intervention; ③ Inconsistent implementation of prevention of analgesic adverse reactions. In response to the above problems, an improvement plan was formulated with reference to the ERAS concept </w:t>
      </w:r>
      <w:r w:rsidR="00C44B25">
        <w:rPr>
          <w:rFonts w:ascii="Times New Roman" w:hAnsi="Times New Roman" w:cs="Times New Roman"/>
          <w:sz w:val="24"/>
          <w:vertAlign w:val="superscript"/>
        </w:rPr>
        <w:t>[5,6]</w:t>
      </w:r>
      <w:r>
        <w:rPr>
          <w:rFonts w:ascii="Times New Roman" w:hAnsi="Times New Roman" w:cs="Times New Roman"/>
          <w:sz w:val="24"/>
        </w:rPr>
        <w:t>.</w:t>
      </w:r>
      <w:r w:rsidR="00C44B25">
        <w:rPr>
          <w:rFonts w:ascii="Times New Roman" w:hAnsi="Times New Roman" w:cs="Times New Roman"/>
          <w:sz w:val="24"/>
        </w:rPr>
        <w:t xml:space="preserve"> Before surgery, the Pain Catastrophizing Scale (PCS) </w:t>
      </w:r>
      <w:r w:rsidR="00C44B25">
        <w:rPr>
          <w:rFonts w:ascii="Times New Roman" w:hAnsi="Times New Roman" w:cs="Times New Roman"/>
          <w:sz w:val="24"/>
        </w:rPr>
        <w:t xml:space="preserve">was used to screen high-risk patients (PCS ≥ 30 points), and multimodal analgesia strategies were communicated in advance with the anesthesiologist </w:t>
      </w:r>
      <w:r w:rsidR="00C44B25">
        <w:rPr>
          <w:rFonts w:ascii="Times New Roman" w:hAnsi="Times New Roman" w:cs="Times New Roman"/>
          <w:sz w:val="24"/>
          <w:vertAlign w:val="superscript"/>
        </w:rPr>
        <w:t>[</w:t>
      </w:r>
      <w:r>
        <w:rPr>
          <w:rFonts w:ascii="Times New Roman" w:hAnsi="Times New Roman" w:cs="Times New Roman"/>
          <w:sz w:val="24"/>
          <w:vertAlign w:val="superscript"/>
        </w:rPr>
        <w:t>7,</w:t>
      </w:r>
      <w:r w:rsidR="00C44B25">
        <w:rPr>
          <w:rFonts w:ascii="Times New Roman" w:hAnsi="Times New Roman" w:cs="Times New Roman"/>
          <w:sz w:val="24"/>
          <w:vertAlign w:val="superscript"/>
        </w:rPr>
        <w:t>8]</w:t>
      </w:r>
      <w:r w:rsidR="00C44B25">
        <w:rPr>
          <w:rFonts w:ascii="Times New Roman" w:hAnsi="Times New Roman" w:cs="Times New Roman"/>
          <w:sz w:val="24"/>
        </w:rPr>
        <w:t xml:space="preserve">. The assessment frequency within 24 h after surgery was increased to once every 2 h, and a lower threshold of VAS ≥ 3 points for intervention was set. </w:t>
      </w:r>
    </w:p>
    <w:p w14:paraId="72CC1321" w14:textId="1F74DFE2" w:rsidR="005A1CFE" w:rsidRDefault="00C44B25" w:rsidP="00CB525F">
      <w:pPr>
        <w:snapToGrid w:val="0"/>
        <w:ind w:left="709" w:hanging="709"/>
        <w:rPr>
          <w:rFonts w:ascii="Times New Roman" w:hAnsi="Times New Roman" w:cs="Times New Roman"/>
          <w:sz w:val="24"/>
        </w:rPr>
      </w:pPr>
      <w:r>
        <w:rPr>
          <w:rFonts w:ascii="Times New Roman" w:hAnsi="Times New Roman" w:cs="Times New Roman"/>
          <w:sz w:val="24"/>
        </w:rPr>
        <w:lastRenderedPageBreak/>
        <w:t xml:space="preserve">(2) </w:t>
      </w:r>
      <w:r w:rsidR="005A1CFE">
        <w:rPr>
          <w:rFonts w:ascii="Times New Roman" w:hAnsi="Times New Roman" w:cs="Times New Roman"/>
          <w:sz w:val="24"/>
        </w:rPr>
        <w:tab/>
      </w:r>
      <w:r>
        <w:rPr>
          <w:rFonts w:ascii="Times New Roman" w:hAnsi="Times New Roman" w:cs="Times New Roman"/>
          <w:sz w:val="24"/>
        </w:rPr>
        <w:t xml:space="preserve">Implementation </w:t>
      </w:r>
      <w:r>
        <w:rPr>
          <w:rFonts w:ascii="Times New Roman" w:hAnsi="Times New Roman" w:cs="Times New Roman" w:hint="eastAsia"/>
          <w:sz w:val="24"/>
        </w:rPr>
        <w:t>s</w:t>
      </w:r>
      <w:r>
        <w:rPr>
          <w:rFonts w:ascii="Times New Roman" w:hAnsi="Times New Roman" w:cs="Times New Roman"/>
          <w:sz w:val="24"/>
        </w:rPr>
        <w:t xml:space="preserve">tage (Do) </w:t>
      </w:r>
    </w:p>
    <w:p w14:paraId="70593ED3" w14:textId="17DE70F4" w:rsidR="00C32645" w:rsidRDefault="005A1CFE" w:rsidP="00CB525F">
      <w:pPr>
        <w:snapToGrid w:val="0"/>
        <w:ind w:left="709" w:hanging="709"/>
        <w:rPr>
          <w:rFonts w:ascii="Times New Roman" w:hAnsi="Times New Roman" w:cs="Times New Roman"/>
          <w:sz w:val="24"/>
        </w:rPr>
      </w:pPr>
      <w:r>
        <w:rPr>
          <w:rFonts w:ascii="Times New Roman" w:hAnsi="Times New Roman" w:cs="Times New Roman"/>
          <w:sz w:val="24"/>
        </w:rPr>
        <w:tab/>
      </w:r>
      <w:r w:rsidR="00C44B25">
        <w:rPr>
          <w:rFonts w:ascii="Times New Roman" w:hAnsi="Times New Roman" w:cs="Times New Roman"/>
          <w:sz w:val="24"/>
        </w:rPr>
        <w:t>① Predictive nursing prepositioning: Before surgery, through predictive visits, patients were informed about the pattern of postoperative pain, the use of the analgesic pump, and techniques for protecting the incision during coughing and sputum expectoration. High-risk patients with PCS ≥ 30 points received additional psychological counseling and pain expectation management to reduce preoperative anxiety and fear. ② Postoperative standardized execution: After returning to the ward after surgery, patients co</w:t>
      </w:r>
      <w:r w:rsidR="00C44B25">
        <w:rPr>
          <w:rFonts w:ascii="Times New Roman" w:hAnsi="Times New Roman" w:cs="Times New Roman"/>
          <w:sz w:val="24"/>
        </w:rPr>
        <w:t xml:space="preserve">mpleted the first pain assessment immediately. High-risk events were predicted at 4 h after surgery, and reassessment was performed once every 2 h within 24 h after surgery. If the VAS score was ≥ 3 points, the doctor was notified immediately, and assistance was provided. Each shift used a standardized handover form for pain management handover to ensure the continuity of assessment and intervention. </w:t>
      </w:r>
    </w:p>
    <w:p w14:paraId="5287972C" w14:textId="265C9D76" w:rsidR="005A1CFE" w:rsidRDefault="00C44B25" w:rsidP="00CB525F">
      <w:pPr>
        <w:snapToGrid w:val="0"/>
        <w:ind w:left="709" w:hanging="709"/>
        <w:rPr>
          <w:rFonts w:ascii="Times New Roman" w:hAnsi="Times New Roman" w:cs="Times New Roman"/>
          <w:sz w:val="24"/>
        </w:rPr>
      </w:pPr>
      <w:r>
        <w:rPr>
          <w:rFonts w:ascii="Times New Roman" w:hAnsi="Times New Roman" w:cs="Times New Roman"/>
          <w:sz w:val="24"/>
        </w:rPr>
        <w:t xml:space="preserve">(3) </w:t>
      </w:r>
      <w:r w:rsidR="005A1CFE">
        <w:rPr>
          <w:rFonts w:ascii="Times New Roman" w:hAnsi="Times New Roman" w:cs="Times New Roman"/>
          <w:sz w:val="24"/>
        </w:rPr>
        <w:tab/>
      </w:r>
      <w:r>
        <w:rPr>
          <w:rFonts w:ascii="Times New Roman" w:hAnsi="Times New Roman" w:cs="Times New Roman"/>
          <w:sz w:val="24"/>
        </w:rPr>
        <w:t xml:space="preserve">Checking </w:t>
      </w:r>
      <w:r w:rsidR="005A1CFE">
        <w:rPr>
          <w:rFonts w:ascii="Times New Roman" w:hAnsi="Times New Roman" w:cs="Times New Roman"/>
          <w:sz w:val="24"/>
        </w:rPr>
        <w:t>s</w:t>
      </w:r>
      <w:r w:rsidR="005A1CFE">
        <w:rPr>
          <w:rFonts w:ascii="Times New Roman" w:hAnsi="Times New Roman" w:cs="Times New Roman"/>
          <w:sz w:val="24"/>
        </w:rPr>
        <w:t xml:space="preserve">tage </w:t>
      </w:r>
      <w:r>
        <w:rPr>
          <w:rFonts w:ascii="Times New Roman" w:hAnsi="Times New Roman" w:cs="Times New Roman"/>
          <w:sz w:val="24"/>
        </w:rPr>
        <w:t xml:space="preserve">(Check) </w:t>
      </w:r>
    </w:p>
    <w:p w14:paraId="528D4B7A" w14:textId="0216D3D5" w:rsidR="00C32645" w:rsidRDefault="005A1CFE" w:rsidP="00CB525F">
      <w:pPr>
        <w:snapToGrid w:val="0"/>
        <w:ind w:left="709" w:hanging="709"/>
        <w:rPr>
          <w:rFonts w:ascii="Times New Roman" w:hAnsi="Times New Roman" w:cs="Times New Roman"/>
          <w:sz w:val="24"/>
        </w:rPr>
      </w:pPr>
      <w:r>
        <w:rPr>
          <w:rFonts w:ascii="Times New Roman" w:hAnsi="Times New Roman" w:cs="Times New Roman"/>
          <w:sz w:val="24"/>
        </w:rPr>
        <w:tab/>
      </w:r>
      <w:r w:rsidR="00C44B25">
        <w:rPr>
          <w:rFonts w:ascii="Times New Roman" w:hAnsi="Times New Roman" w:cs="Times New Roman"/>
          <w:sz w:val="24"/>
        </w:rPr>
        <w:t xml:space="preserve">Quality control nurses checked the timeliness of assessment, the execution rate of intervention within 15 min, and the consistency of PCA records every day. A pain management quality discussion meeting was held once a week, focusing on analyzing cases of pain control failure (VAS ≥ 6 points) and identifying deviations in process execution. </w:t>
      </w:r>
    </w:p>
    <w:p w14:paraId="54FEB16A" w14:textId="204D4734" w:rsidR="005A1CFE" w:rsidRDefault="00C44B25" w:rsidP="00CB525F">
      <w:pPr>
        <w:snapToGrid w:val="0"/>
        <w:ind w:left="709" w:hanging="709"/>
        <w:rPr>
          <w:rFonts w:ascii="Times New Roman" w:hAnsi="Times New Roman" w:cs="Times New Roman"/>
          <w:sz w:val="24"/>
        </w:rPr>
      </w:pPr>
      <w:r>
        <w:rPr>
          <w:rFonts w:ascii="Times New Roman" w:hAnsi="Times New Roman" w:cs="Times New Roman"/>
          <w:sz w:val="24"/>
        </w:rPr>
        <w:t xml:space="preserve">(4) </w:t>
      </w:r>
      <w:r w:rsidR="005A1CFE">
        <w:rPr>
          <w:rFonts w:ascii="Times New Roman" w:hAnsi="Times New Roman" w:cs="Times New Roman"/>
          <w:sz w:val="24"/>
        </w:rPr>
        <w:tab/>
      </w:r>
      <w:r>
        <w:rPr>
          <w:rFonts w:ascii="Times New Roman" w:hAnsi="Times New Roman" w:cs="Times New Roman"/>
          <w:sz w:val="24"/>
        </w:rPr>
        <w:t xml:space="preserve">Action </w:t>
      </w:r>
      <w:r w:rsidR="005A1CFE">
        <w:rPr>
          <w:rFonts w:ascii="Times New Roman" w:hAnsi="Times New Roman" w:cs="Times New Roman"/>
          <w:sz w:val="24"/>
        </w:rPr>
        <w:t>s</w:t>
      </w:r>
      <w:r w:rsidR="005A1CFE">
        <w:rPr>
          <w:rFonts w:ascii="Times New Roman" w:hAnsi="Times New Roman" w:cs="Times New Roman"/>
          <w:sz w:val="24"/>
        </w:rPr>
        <w:t xml:space="preserve">tage </w:t>
      </w:r>
      <w:r>
        <w:rPr>
          <w:rFonts w:ascii="Times New Roman" w:hAnsi="Times New Roman" w:cs="Times New Roman"/>
          <w:sz w:val="24"/>
        </w:rPr>
        <w:t xml:space="preserve">(Act) </w:t>
      </w:r>
    </w:p>
    <w:p w14:paraId="2A7556CD" w14:textId="4FB168D6" w:rsidR="00C32645" w:rsidRDefault="005A1CFE" w:rsidP="00CB525F">
      <w:pPr>
        <w:snapToGrid w:val="0"/>
        <w:ind w:left="709" w:hanging="709"/>
        <w:rPr>
          <w:rFonts w:ascii="Times New Roman" w:hAnsi="Times New Roman" w:cs="Times New Roman"/>
          <w:sz w:val="24"/>
        </w:rPr>
      </w:pPr>
      <w:r>
        <w:rPr>
          <w:rFonts w:ascii="Times New Roman" w:hAnsi="Times New Roman" w:cs="Times New Roman"/>
          <w:sz w:val="24"/>
        </w:rPr>
        <w:tab/>
      </w:r>
      <w:r w:rsidR="00C44B25">
        <w:rPr>
          <w:rFonts w:ascii="Times New Roman" w:hAnsi="Times New Roman" w:cs="Times New Roman"/>
          <w:sz w:val="24"/>
        </w:rPr>
        <w:t>The problems identified in the checking stage were incorporated into the next round of the PDCA cycle, and targeted corrective measures were formulated and implemented. Each cycle lasted 2 weeks</w:t>
      </w:r>
      <w:r w:rsidR="00C44B25">
        <w:rPr>
          <w:rFonts w:ascii="Times New Roman" w:hAnsi="Times New Roman" w:cs="Times New Roman"/>
          <w:sz w:val="24"/>
        </w:rPr>
        <w:t xml:space="preserve"> and continued until the patient was discharged from the hospital, ensuring that each patient experienced at least 2 complete cycles to achieve continuous improvement in the quality of pain management</w:t>
      </w:r>
      <w:r>
        <w:rPr>
          <w:rFonts w:ascii="Times New Roman" w:hAnsi="Times New Roman" w:cs="Times New Roman"/>
          <w:sz w:val="24"/>
        </w:rPr>
        <w:t xml:space="preserve"> </w:t>
      </w:r>
      <w:r>
        <w:rPr>
          <w:rFonts w:ascii="Times New Roman" w:hAnsi="Times New Roman" w:cs="Times New Roman"/>
          <w:sz w:val="24"/>
          <w:vertAlign w:val="superscript"/>
        </w:rPr>
        <w:t>[9]</w:t>
      </w:r>
      <w:r w:rsidR="00C44B25">
        <w:rPr>
          <w:rFonts w:ascii="Times New Roman" w:hAnsi="Times New Roman" w:cs="Times New Roman"/>
          <w:sz w:val="24"/>
        </w:rPr>
        <w:t>.</w:t>
      </w:r>
    </w:p>
    <w:p w14:paraId="728FC3CC" w14:textId="77777777" w:rsidR="00C32645" w:rsidRDefault="00C32645" w:rsidP="00CB525F">
      <w:pPr>
        <w:snapToGrid w:val="0"/>
        <w:rPr>
          <w:rFonts w:ascii="Times New Roman" w:hAnsi="Times New Roman" w:cs="Times New Roman"/>
          <w:sz w:val="24"/>
        </w:rPr>
      </w:pPr>
    </w:p>
    <w:p w14:paraId="10575456" w14:textId="77777777" w:rsidR="00C32645" w:rsidRDefault="00C44B25" w:rsidP="00CB525F">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.3</w:t>
      </w:r>
      <w:r>
        <w:rPr>
          <w:rFonts w:ascii="Times New Roman" w:hAnsi="Times New Roman" w:cs="Times New Roman" w:hint="eastAsia"/>
          <w:b/>
          <w:bCs/>
          <w:sz w:val="24"/>
        </w:rPr>
        <w:t>.</w:t>
      </w:r>
      <w:r>
        <w:rPr>
          <w:rFonts w:ascii="Times New Roman" w:hAnsi="Times New Roman" w:cs="Times New Roman"/>
          <w:b/>
          <w:bCs/>
          <w:sz w:val="24"/>
        </w:rPr>
        <w:t xml:space="preserve"> Observation </w:t>
      </w:r>
      <w:r>
        <w:rPr>
          <w:rFonts w:ascii="Times New Roman" w:hAnsi="Times New Roman" w:cs="Times New Roman" w:hint="eastAsia"/>
          <w:b/>
          <w:bCs/>
          <w:sz w:val="24"/>
        </w:rPr>
        <w:t>i</w:t>
      </w:r>
      <w:r>
        <w:rPr>
          <w:rFonts w:ascii="Times New Roman" w:hAnsi="Times New Roman" w:cs="Times New Roman"/>
          <w:b/>
          <w:bCs/>
          <w:sz w:val="24"/>
        </w:rPr>
        <w:t xml:space="preserve">ndicators </w:t>
      </w:r>
    </w:p>
    <w:p w14:paraId="53AAC596" w14:textId="77777777" w:rsidR="005A1CFE" w:rsidRDefault="00C44B25" w:rsidP="005A1CFE">
      <w:pPr>
        <w:snapToGrid w:val="0"/>
        <w:ind w:left="709" w:hanging="709"/>
        <w:rPr>
          <w:rFonts w:ascii="Times New Roman" w:hAnsi="Times New Roman" w:cs="Times New Roman"/>
          <w:sz w:val="24"/>
        </w:rPr>
      </w:pPr>
      <w:r>
        <w:rPr>
          <w:rFonts w:ascii="Times New Roman" w:hAnsi="Times New Roman" w:cs="Times New Roman"/>
          <w:sz w:val="24"/>
        </w:rPr>
        <w:t xml:space="preserve">(1) </w:t>
      </w:r>
      <w:r w:rsidR="005A1CFE">
        <w:rPr>
          <w:rFonts w:ascii="Times New Roman" w:hAnsi="Times New Roman" w:cs="Times New Roman"/>
          <w:sz w:val="24"/>
        </w:rPr>
        <w:tab/>
      </w:r>
      <w:r>
        <w:rPr>
          <w:rFonts w:ascii="Times New Roman" w:hAnsi="Times New Roman" w:cs="Times New Roman"/>
          <w:sz w:val="24"/>
        </w:rPr>
        <w:t xml:space="preserve">Pain </w:t>
      </w:r>
      <w:proofErr w:type="spellStart"/>
      <w:r>
        <w:rPr>
          <w:rFonts w:ascii="Times New Roman" w:hAnsi="Times New Roman" w:cs="Times New Roman"/>
          <w:sz w:val="24"/>
        </w:rPr>
        <w:t>intensity</w:t>
      </w:r>
      <w:proofErr w:type="spellEnd"/>
    </w:p>
    <w:p w14:paraId="505B02D8" w14:textId="0F375D6C" w:rsidR="005A1CFE" w:rsidRDefault="005A1CFE" w:rsidP="00CB525F">
      <w:pPr>
        <w:snapToGrid w:val="0"/>
        <w:ind w:left="709" w:hanging="709"/>
        <w:rPr>
          <w:rFonts w:ascii="Times New Roman" w:hAnsi="Times New Roman" w:cs="Times New Roman"/>
          <w:sz w:val="24"/>
        </w:rPr>
      </w:pPr>
      <w:r>
        <w:rPr>
          <w:rFonts w:ascii="Times New Roman" w:hAnsi="Times New Roman" w:cs="Times New Roman"/>
          <w:sz w:val="24"/>
        </w:rPr>
        <w:tab/>
      </w:r>
      <w:r w:rsidR="00C44B25">
        <w:rPr>
          <w:rFonts w:ascii="Times New Roman" w:hAnsi="Times New Roman" w:cs="Times New Roman"/>
          <w:sz w:val="24"/>
        </w:rPr>
        <w:t xml:space="preserve">The pain intensity of the two groups of patients at rest at 6 h, 24 h, and 48 h after surgery was assessed using the Visual Analog Scale. </w:t>
      </w:r>
    </w:p>
    <w:p w14:paraId="425100BE" w14:textId="77777777" w:rsidR="005A1CFE" w:rsidRDefault="00C44B25" w:rsidP="005A1CFE">
      <w:pPr>
        <w:snapToGrid w:val="0"/>
        <w:ind w:left="709" w:hanging="709"/>
        <w:rPr>
          <w:rFonts w:ascii="Times New Roman" w:hAnsi="Times New Roman" w:cs="Times New Roman"/>
          <w:sz w:val="24"/>
        </w:rPr>
      </w:pPr>
      <w:r>
        <w:rPr>
          <w:rFonts w:ascii="Times New Roman" w:hAnsi="Times New Roman" w:cs="Times New Roman"/>
          <w:sz w:val="24"/>
        </w:rPr>
        <w:t xml:space="preserve">(2) </w:t>
      </w:r>
      <w:r w:rsidR="005A1CFE">
        <w:rPr>
          <w:rFonts w:ascii="Times New Roman" w:hAnsi="Times New Roman" w:cs="Times New Roman"/>
          <w:sz w:val="24"/>
        </w:rPr>
        <w:tab/>
      </w:r>
      <w:r>
        <w:rPr>
          <w:rFonts w:ascii="Times New Roman" w:hAnsi="Times New Roman" w:cs="Times New Roman"/>
          <w:sz w:val="24"/>
        </w:rPr>
        <w:t xml:space="preserve">Analgesic effect </w:t>
      </w:r>
      <w:proofErr w:type="spellStart"/>
      <w:r>
        <w:rPr>
          <w:rFonts w:ascii="Times New Roman" w:hAnsi="Times New Roman" w:cs="Times New Roman"/>
          <w:sz w:val="24"/>
        </w:rPr>
        <w:t>indicators</w:t>
      </w:r>
      <w:proofErr w:type="spellEnd"/>
    </w:p>
    <w:p w14:paraId="5C660501" w14:textId="7E883BA0" w:rsidR="005A1CFE" w:rsidRDefault="005A1CFE" w:rsidP="00CB525F">
      <w:pPr>
        <w:snapToGrid w:val="0"/>
        <w:ind w:left="709" w:hanging="709"/>
        <w:rPr>
          <w:rFonts w:ascii="Times New Roman" w:hAnsi="Times New Roman" w:cs="Times New Roman"/>
          <w:sz w:val="24"/>
        </w:rPr>
      </w:pPr>
      <w:r>
        <w:rPr>
          <w:rFonts w:ascii="Times New Roman" w:hAnsi="Times New Roman" w:cs="Times New Roman"/>
          <w:sz w:val="24"/>
        </w:rPr>
        <w:tab/>
      </w:r>
      <w:r w:rsidR="00C44B25">
        <w:rPr>
          <w:rFonts w:ascii="Times New Roman" w:hAnsi="Times New Roman" w:cs="Times New Roman"/>
          <w:sz w:val="24"/>
        </w:rPr>
        <w:t xml:space="preserve">The number of effective presses on the analgesic pump and the rate of rescue analgesia within 48 h after surgery were recorded </w:t>
      </w:r>
      <w:r w:rsidR="00C44B25">
        <w:rPr>
          <w:rFonts w:ascii="Times New Roman" w:hAnsi="Times New Roman" w:cs="Times New Roman"/>
          <w:sz w:val="24"/>
          <w:vertAlign w:val="superscript"/>
        </w:rPr>
        <w:t>[10]</w:t>
      </w:r>
      <w:r w:rsidR="00C44B25">
        <w:rPr>
          <w:rFonts w:ascii="Times New Roman" w:hAnsi="Times New Roman" w:cs="Times New Roman"/>
          <w:sz w:val="24"/>
        </w:rPr>
        <w:t xml:space="preserve">. </w:t>
      </w:r>
    </w:p>
    <w:p w14:paraId="4167EB7D" w14:textId="77777777" w:rsidR="005A1CFE" w:rsidRDefault="00C44B25" w:rsidP="005A1CFE">
      <w:pPr>
        <w:snapToGrid w:val="0"/>
        <w:ind w:left="709" w:hanging="709"/>
        <w:rPr>
          <w:rFonts w:ascii="Times New Roman" w:hAnsi="Times New Roman" w:cs="Times New Roman"/>
          <w:sz w:val="24"/>
        </w:rPr>
      </w:pPr>
      <w:r>
        <w:rPr>
          <w:rFonts w:ascii="Times New Roman" w:hAnsi="Times New Roman" w:cs="Times New Roman"/>
          <w:sz w:val="24"/>
        </w:rPr>
        <w:t xml:space="preserve">(3) </w:t>
      </w:r>
      <w:r w:rsidR="005A1CFE">
        <w:rPr>
          <w:rFonts w:ascii="Times New Roman" w:hAnsi="Times New Roman" w:cs="Times New Roman"/>
          <w:sz w:val="24"/>
        </w:rPr>
        <w:tab/>
      </w:r>
      <w:r>
        <w:rPr>
          <w:rFonts w:ascii="Times New Roman" w:hAnsi="Times New Roman" w:cs="Times New Roman"/>
          <w:sz w:val="24"/>
        </w:rPr>
        <w:t xml:space="preserve">Adverse </w:t>
      </w:r>
      <w:proofErr w:type="spellStart"/>
      <w:r>
        <w:rPr>
          <w:rFonts w:ascii="Times New Roman" w:hAnsi="Times New Roman" w:cs="Times New Roman"/>
          <w:sz w:val="24"/>
        </w:rPr>
        <w:t>reactions</w:t>
      </w:r>
      <w:proofErr w:type="spellEnd"/>
    </w:p>
    <w:p w14:paraId="51E77B47" w14:textId="4B646F52" w:rsidR="00C32645" w:rsidRDefault="005A1CFE" w:rsidP="00CB525F">
      <w:pPr>
        <w:snapToGrid w:val="0"/>
        <w:ind w:left="709" w:hanging="709"/>
        <w:rPr>
          <w:rFonts w:ascii="Times New Roman" w:hAnsi="Times New Roman" w:cs="Times New Roman"/>
          <w:sz w:val="24"/>
        </w:rPr>
      </w:pPr>
      <w:r>
        <w:rPr>
          <w:rFonts w:ascii="Times New Roman" w:hAnsi="Times New Roman" w:cs="Times New Roman"/>
          <w:sz w:val="24"/>
        </w:rPr>
        <w:tab/>
      </w:r>
      <w:r w:rsidR="00C44B25">
        <w:rPr>
          <w:rFonts w:ascii="Times New Roman" w:hAnsi="Times New Roman" w:cs="Times New Roman"/>
          <w:sz w:val="24"/>
        </w:rPr>
        <w:t>The number of cases of nausea and vomiting (PONV), dizziness, and excessive sedation within 48 h after surgery was counted. The criteria for judging adverse reactions referred to the drug adverse reaction monitoring norms in the literature.</w:t>
      </w:r>
    </w:p>
    <w:p w14:paraId="3871455C" w14:textId="77777777" w:rsidR="00C32645" w:rsidRDefault="00C32645" w:rsidP="00CB525F">
      <w:pPr>
        <w:snapToGrid w:val="0"/>
        <w:rPr>
          <w:rFonts w:ascii="Times New Roman" w:hAnsi="Times New Roman" w:cs="Times New Roman"/>
          <w:sz w:val="24"/>
        </w:rPr>
      </w:pPr>
    </w:p>
    <w:p w14:paraId="6C7EA9D8" w14:textId="77777777" w:rsidR="00C32645" w:rsidRDefault="00C44B25" w:rsidP="00CB525F">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.4</w:t>
      </w:r>
      <w:r>
        <w:rPr>
          <w:rFonts w:ascii="Times New Roman" w:hAnsi="Times New Roman" w:cs="Times New Roman" w:hint="eastAsia"/>
          <w:b/>
          <w:bCs/>
          <w:sz w:val="24"/>
        </w:rPr>
        <w:t>.</w:t>
      </w:r>
      <w:r>
        <w:rPr>
          <w:rFonts w:ascii="Times New Roman" w:hAnsi="Times New Roman" w:cs="Times New Roman"/>
          <w:b/>
          <w:bCs/>
          <w:sz w:val="24"/>
        </w:rPr>
        <w:t xml:space="preserve"> Statistical </w:t>
      </w:r>
      <w:r>
        <w:rPr>
          <w:rFonts w:ascii="Times New Roman" w:hAnsi="Times New Roman" w:cs="Times New Roman" w:hint="eastAsia"/>
          <w:b/>
          <w:bCs/>
          <w:sz w:val="24"/>
        </w:rPr>
        <w:t>m</w:t>
      </w:r>
      <w:r>
        <w:rPr>
          <w:rFonts w:ascii="Times New Roman" w:hAnsi="Times New Roman" w:cs="Times New Roman"/>
          <w:b/>
          <w:bCs/>
          <w:sz w:val="24"/>
        </w:rPr>
        <w:t xml:space="preserve">ethods </w:t>
      </w:r>
    </w:p>
    <w:p w14:paraId="5246B1FD" w14:textId="591E3AF3" w:rsidR="00C32645" w:rsidRDefault="00C44B25" w:rsidP="00CB525F">
      <w:pPr>
        <w:snapToGrid w:val="0"/>
        <w:rPr>
          <w:rFonts w:ascii="Times New Roman" w:hAnsi="Times New Roman" w:cs="Times New Roman"/>
          <w:sz w:val="24"/>
        </w:rPr>
      </w:pPr>
      <w:r>
        <w:rPr>
          <w:rFonts w:ascii="Times New Roman" w:hAnsi="Times New Roman" w:cs="Times New Roman"/>
          <w:sz w:val="24"/>
        </w:rPr>
        <w:t xml:space="preserve">SPSS 25.0 software was used for data analysis. </w:t>
      </w:r>
      <w:r>
        <w:rPr>
          <w:rFonts w:ascii="Times New Roman" w:hAnsi="Times New Roman" w:cs="Times New Roman"/>
          <w:sz w:val="24"/>
        </w:rPr>
        <w:t>Measurement data were expressed as the mean ± standard deviation (</w:t>
      </w:r>
      <w:r>
        <w:rPr>
          <w:rFonts w:ascii="Times New Roman" w:eastAsia="SimSun" w:hAnsi="Times New Roman" w:cs="Times New Roman"/>
          <w:color w:val="0000FF"/>
          <w:position w:val="-6"/>
          <w:sz w:val="24"/>
        </w:rPr>
        <w:object w:dxaOrig="220" w:dyaOrig="270" w14:anchorId="03C6D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13.65pt" o:ole="">
            <v:imagedata r:id="rId4" o:title=""/>
          </v:shape>
          <o:OLEObject Type="Embed" ProgID="Equation.DSMT4" ShapeID="_x0000_i1025" DrawAspect="Content" ObjectID="_1844494053" r:id="rId5"/>
        </w:object>
      </w:r>
      <w:r>
        <w:rPr>
          <w:rFonts w:ascii="Times New Roman" w:hAnsi="Times New Roman"/>
          <w:sz w:val="24"/>
        </w:rPr>
        <w:t>± s</w:t>
      </w:r>
      <w:r>
        <w:rPr>
          <w:rFonts w:ascii="Times New Roman" w:hAnsi="Times New Roman" w:cs="Times New Roman"/>
          <w:sz w:val="24"/>
        </w:rPr>
        <w:t xml:space="preserve">), and independent sample </w:t>
      </w:r>
      <w:r>
        <w:rPr>
          <w:rFonts w:ascii="Times New Roman" w:hAnsi="Times New Roman" w:cs="Times New Roman"/>
          <w:i/>
          <w:iCs/>
          <w:sz w:val="24"/>
        </w:rPr>
        <w:t>t</w:t>
      </w:r>
      <w:r>
        <w:rPr>
          <w:rFonts w:ascii="Times New Roman" w:hAnsi="Times New Roman" w:cs="Times New Roman"/>
          <w:sz w:val="24"/>
        </w:rPr>
        <w:t>-tests were used for comparison between the two groups. Count data were expressed as the number of cases (%), and χ</w:t>
      </w:r>
      <w:r w:rsidR="005A1CFE">
        <w:rPr>
          <w:rFonts w:ascii="Times New Roman" w:hAnsi="Times New Roman" w:cs="Times New Roman"/>
          <w:sz w:val="24"/>
          <w:vertAlign w:val="superscript"/>
        </w:rPr>
        <w:t>2</w:t>
      </w:r>
      <w:r>
        <w:rPr>
          <w:rFonts w:ascii="Times New Roman" w:hAnsi="Times New Roman" w:cs="Times New Roman"/>
          <w:sz w:val="24"/>
        </w:rPr>
        <w:t xml:space="preserve"> tests or Fisher</w:t>
      </w:r>
      <w:r>
        <w:rPr>
          <w:rFonts w:ascii="Times New Roman" w:hAnsi="Times New Roman" w:cs="Times New Roman"/>
          <w:sz w:val="24"/>
        </w:rPr>
        <w:t>’</w:t>
      </w:r>
      <w:r>
        <w:rPr>
          <w:rFonts w:ascii="Times New Roman" w:hAnsi="Times New Roman" w:cs="Times New Roman"/>
          <w:sz w:val="24"/>
        </w:rPr>
        <w:t xml:space="preserve">s exact tests were used. A </w:t>
      </w:r>
      <w:r w:rsidR="005A1CFE">
        <w:rPr>
          <w:rFonts w:ascii="Times New Roman" w:hAnsi="Times New Roman" w:cs="Times New Roman"/>
          <w:i/>
          <w:iCs/>
          <w:sz w:val="24"/>
        </w:rPr>
        <w:t>p</w:t>
      </w:r>
      <w:r>
        <w:rPr>
          <w:rFonts w:ascii="Times New Roman" w:hAnsi="Times New Roman" w:cs="Times New Roman"/>
          <w:sz w:val="24"/>
        </w:rPr>
        <w:t>-value &lt; 0.05 was considered statistically significant.</w:t>
      </w:r>
    </w:p>
    <w:p w14:paraId="7D270DC0" w14:textId="77777777" w:rsidR="00C32645" w:rsidRDefault="00C32645" w:rsidP="00CB525F">
      <w:pPr>
        <w:snapToGrid w:val="0"/>
        <w:rPr>
          <w:rFonts w:ascii="Times New Roman" w:hAnsi="Times New Roman" w:cs="Times New Roman"/>
          <w:sz w:val="24"/>
        </w:rPr>
      </w:pPr>
    </w:p>
    <w:p w14:paraId="5E476C98" w14:textId="77777777" w:rsidR="00C32645" w:rsidRDefault="00C44B25" w:rsidP="00CB525F">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 xml:space="preserve"> Results </w:t>
      </w:r>
    </w:p>
    <w:p w14:paraId="751DE825" w14:textId="77777777" w:rsidR="00C32645" w:rsidRDefault="00C44B25" w:rsidP="00CB525F">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.1</w:t>
      </w:r>
      <w:r>
        <w:rPr>
          <w:rFonts w:ascii="Times New Roman" w:hAnsi="Times New Roman" w:cs="Times New Roman" w:hint="eastAsia"/>
          <w:b/>
          <w:bCs/>
          <w:sz w:val="24"/>
        </w:rPr>
        <w:t>.</w:t>
      </w:r>
      <w:r>
        <w:rPr>
          <w:rFonts w:ascii="Times New Roman" w:hAnsi="Times New Roman" w:cs="Times New Roman"/>
          <w:b/>
          <w:bCs/>
          <w:sz w:val="24"/>
        </w:rPr>
        <w:t xml:space="preserve"> Comparison of </w:t>
      </w:r>
      <w:r>
        <w:rPr>
          <w:rFonts w:ascii="Times New Roman" w:hAnsi="Times New Roman" w:cs="Times New Roman" w:hint="eastAsia"/>
          <w:b/>
          <w:bCs/>
          <w:sz w:val="24"/>
        </w:rPr>
        <w:t>g</w:t>
      </w:r>
      <w:r>
        <w:rPr>
          <w:rFonts w:ascii="Times New Roman" w:hAnsi="Times New Roman" w:cs="Times New Roman"/>
          <w:b/>
          <w:bCs/>
          <w:sz w:val="24"/>
        </w:rPr>
        <w:t xml:space="preserve">eneral </w:t>
      </w:r>
      <w:r>
        <w:rPr>
          <w:rFonts w:ascii="Times New Roman" w:hAnsi="Times New Roman" w:cs="Times New Roman" w:hint="eastAsia"/>
          <w:b/>
          <w:bCs/>
          <w:sz w:val="24"/>
        </w:rPr>
        <w:t>i</w:t>
      </w:r>
      <w:r>
        <w:rPr>
          <w:rFonts w:ascii="Times New Roman" w:hAnsi="Times New Roman" w:cs="Times New Roman"/>
          <w:b/>
          <w:bCs/>
          <w:sz w:val="24"/>
        </w:rPr>
        <w:t xml:space="preserve">nformation </w:t>
      </w:r>
      <w:r>
        <w:rPr>
          <w:rFonts w:ascii="Times New Roman" w:hAnsi="Times New Roman" w:cs="Times New Roman" w:hint="eastAsia"/>
          <w:b/>
          <w:bCs/>
          <w:sz w:val="24"/>
        </w:rPr>
        <w:t>b</w:t>
      </w:r>
      <w:r>
        <w:rPr>
          <w:rFonts w:ascii="Times New Roman" w:hAnsi="Times New Roman" w:cs="Times New Roman"/>
          <w:b/>
          <w:bCs/>
          <w:sz w:val="24"/>
        </w:rPr>
        <w:t xml:space="preserve">etween the </w:t>
      </w:r>
      <w:r>
        <w:rPr>
          <w:rFonts w:ascii="Times New Roman" w:hAnsi="Times New Roman" w:cs="Times New Roman" w:hint="eastAsia"/>
          <w:b/>
          <w:bCs/>
          <w:sz w:val="24"/>
        </w:rPr>
        <w:t>t</w:t>
      </w:r>
      <w:r>
        <w:rPr>
          <w:rFonts w:ascii="Times New Roman" w:hAnsi="Times New Roman" w:cs="Times New Roman"/>
          <w:b/>
          <w:bCs/>
          <w:sz w:val="24"/>
        </w:rPr>
        <w:t xml:space="preserve">wo </w:t>
      </w:r>
      <w:r>
        <w:rPr>
          <w:rFonts w:ascii="Times New Roman" w:hAnsi="Times New Roman" w:cs="Times New Roman" w:hint="eastAsia"/>
          <w:b/>
          <w:bCs/>
          <w:sz w:val="24"/>
        </w:rPr>
        <w:t>g</w:t>
      </w:r>
      <w:r>
        <w:rPr>
          <w:rFonts w:ascii="Times New Roman" w:hAnsi="Times New Roman" w:cs="Times New Roman"/>
          <w:b/>
          <w:bCs/>
          <w:sz w:val="24"/>
        </w:rPr>
        <w:t xml:space="preserve">roups </w:t>
      </w:r>
    </w:p>
    <w:p w14:paraId="175FC6FC" w14:textId="5DBEB5FF" w:rsidR="00C32645" w:rsidRDefault="00C44B25" w:rsidP="00CB525F">
      <w:pPr>
        <w:snapToGrid w:val="0"/>
        <w:rPr>
          <w:rFonts w:ascii="Times New Roman" w:hAnsi="Times New Roman" w:cs="Times New Roman"/>
          <w:sz w:val="24"/>
        </w:rPr>
      </w:pPr>
      <w:r>
        <w:rPr>
          <w:rFonts w:ascii="Times New Roman" w:hAnsi="Times New Roman" w:cs="Times New Roman"/>
          <w:sz w:val="24"/>
        </w:rPr>
        <w:t>There were no statistically significant differences between the two groups in terms of gender composition, age, BMI, surgical site, operation duration, and ASA classification (</w:t>
      </w:r>
      <w:r w:rsidR="005A1CFE">
        <w:rPr>
          <w:rFonts w:ascii="Times New Roman" w:hAnsi="Times New Roman" w:cs="Times New Roman"/>
          <w:i/>
          <w:iCs/>
          <w:sz w:val="24"/>
        </w:rPr>
        <w:t>p</w:t>
      </w:r>
      <w:r w:rsidR="005A1CFE">
        <w:rPr>
          <w:rFonts w:ascii="Times New Roman" w:hAnsi="Times New Roman" w:cs="Times New Roman"/>
          <w:sz w:val="24"/>
        </w:rPr>
        <w:t xml:space="preserve"> </w:t>
      </w:r>
      <w:r>
        <w:rPr>
          <w:rFonts w:ascii="Times New Roman" w:hAnsi="Times New Roman" w:cs="Times New Roman"/>
          <w:sz w:val="24"/>
        </w:rPr>
        <w:t>&gt; 0.05), indicating comparability. See</w:t>
      </w:r>
      <w:r>
        <w:rPr>
          <w:rFonts w:ascii="Times New Roman" w:hAnsi="Times New Roman" w:cs="Times New Roman"/>
          <w:b/>
          <w:bCs/>
          <w:sz w:val="24"/>
        </w:rPr>
        <w:t xml:space="preserve"> Table 1</w:t>
      </w:r>
      <w:r>
        <w:rPr>
          <w:rFonts w:ascii="Times New Roman" w:hAnsi="Times New Roman" w:cs="Times New Roman"/>
          <w:sz w:val="24"/>
        </w:rPr>
        <w:t xml:space="preserve"> for details. </w:t>
      </w:r>
    </w:p>
    <w:p w14:paraId="5061689E" w14:textId="77777777" w:rsidR="00C32645" w:rsidRDefault="00C32645" w:rsidP="00CB525F">
      <w:pPr>
        <w:snapToGrid w:val="0"/>
        <w:rPr>
          <w:rFonts w:ascii="Times New Roman" w:hAnsi="Times New Roman" w:cs="Times New Roman"/>
          <w:sz w:val="24"/>
        </w:rPr>
      </w:pPr>
    </w:p>
    <w:p w14:paraId="43F762A5" w14:textId="77777777" w:rsidR="00C32645" w:rsidRDefault="00C44B25" w:rsidP="005A1CFE">
      <w:pPr>
        <w:snapToGrid w:val="0"/>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b/>
          <w:bCs/>
          <w:sz w:val="24"/>
        </w:rPr>
        <w:t>.</w:t>
      </w:r>
      <w:r>
        <w:rPr>
          <w:rFonts w:ascii="Times New Roman" w:hAnsi="Times New Roman" w:cs="Times New Roman"/>
          <w:b/>
          <w:bCs/>
          <w:sz w:val="24"/>
        </w:rPr>
        <w:t xml:space="preserve"> </w:t>
      </w:r>
      <w:r>
        <w:rPr>
          <w:rFonts w:ascii="Times New Roman" w:hAnsi="Times New Roman" w:cs="Times New Roman"/>
          <w:sz w:val="24"/>
        </w:rPr>
        <w:t xml:space="preserve">Comparison of </w:t>
      </w:r>
      <w:r>
        <w:rPr>
          <w:rFonts w:ascii="Times New Roman" w:hAnsi="Times New Roman" w:cs="Times New Roman" w:hint="eastAsia"/>
          <w:sz w:val="24"/>
        </w:rPr>
        <w:t>g</w:t>
      </w:r>
      <w:r>
        <w:rPr>
          <w:rFonts w:ascii="Times New Roman" w:hAnsi="Times New Roman" w:cs="Times New Roman"/>
          <w:sz w:val="24"/>
        </w:rPr>
        <w:t xml:space="preserve">eneral </w:t>
      </w:r>
      <w:r>
        <w:rPr>
          <w:rFonts w:ascii="Times New Roman" w:hAnsi="Times New Roman" w:cs="Times New Roman" w:hint="eastAsia"/>
          <w:sz w:val="24"/>
        </w:rPr>
        <w:t>i</w:t>
      </w:r>
      <w:r>
        <w:rPr>
          <w:rFonts w:ascii="Times New Roman" w:hAnsi="Times New Roman" w:cs="Times New Roman"/>
          <w:sz w:val="24"/>
        </w:rPr>
        <w:t xml:space="preserve">nformation </w:t>
      </w:r>
      <w:r>
        <w:rPr>
          <w:rFonts w:ascii="Times New Roman" w:hAnsi="Times New Roman" w:cs="Times New Roman" w:hint="eastAsia"/>
          <w:sz w:val="24"/>
        </w:rPr>
        <w:t>b</w:t>
      </w:r>
      <w:r>
        <w:rPr>
          <w:rFonts w:ascii="Times New Roman" w:hAnsi="Times New Roman" w:cs="Times New Roman"/>
          <w:sz w:val="24"/>
        </w:rPr>
        <w:t xml:space="preserve">etween the </w:t>
      </w:r>
      <w:r>
        <w:rPr>
          <w:rFonts w:ascii="Times New Roman" w:hAnsi="Times New Roman" w:cs="Times New Roman" w:hint="eastAsia"/>
          <w:sz w:val="24"/>
        </w:rPr>
        <w:t>t</w:t>
      </w:r>
      <w:r>
        <w:rPr>
          <w:rFonts w:ascii="Times New Roman" w:hAnsi="Times New Roman" w:cs="Times New Roman"/>
          <w:sz w:val="24"/>
        </w:rPr>
        <w:t xml:space="preserve">wo </w:t>
      </w:r>
      <w:r>
        <w:rPr>
          <w:rFonts w:ascii="Times New Roman" w:hAnsi="Times New Roman" w:cs="Times New Roman" w:hint="eastAsia"/>
          <w:sz w:val="24"/>
        </w:rPr>
        <w:t>g</w:t>
      </w:r>
      <w:r>
        <w:rPr>
          <w:rFonts w:ascii="Times New Roman" w:hAnsi="Times New Roman" w:cs="Times New Roman"/>
          <w:sz w:val="24"/>
        </w:rPr>
        <w:t>roups (n = 156)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6"/>
        <w:gridCol w:w="1802"/>
        <w:gridCol w:w="2228"/>
        <w:gridCol w:w="1250"/>
        <w:gridCol w:w="1082"/>
      </w:tblGrid>
      <w:tr w:rsidR="005A1CFE" w14:paraId="72559863" w14:textId="77777777" w:rsidTr="00CB525F">
        <w:tc>
          <w:tcPr>
            <w:tcW w:w="3369" w:type="dxa"/>
            <w:tcBorders>
              <w:top w:val="single" w:sz="4" w:space="0" w:color="auto"/>
              <w:bottom w:val="single" w:sz="4" w:space="0" w:color="auto"/>
            </w:tcBorders>
            <w:vAlign w:val="center"/>
          </w:tcPr>
          <w:p w14:paraId="076ED97C" w14:textId="2526E4A2" w:rsidR="005A1CFE" w:rsidRDefault="005A1CFE" w:rsidP="005A1CFE">
            <w:pPr>
              <w:snapToGrid w:val="0"/>
              <w:rPr>
                <w:rFonts w:ascii="Times New Roman" w:hAnsi="Times New Roman" w:cs="Times New Roman"/>
                <w:sz w:val="24"/>
              </w:rPr>
            </w:pPr>
            <w:r>
              <w:rPr>
                <w:rFonts w:ascii="Times New Roman" w:hAnsi="Times New Roman" w:cs="Times New Roman"/>
                <w:b/>
                <w:sz w:val="24"/>
              </w:rPr>
              <w:t>Variable</w:t>
            </w:r>
          </w:p>
        </w:tc>
        <w:tc>
          <w:tcPr>
            <w:tcW w:w="1842" w:type="dxa"/>
            <w:tcBorders>
              <w:top w:val="single" w:sz="4" w:space="0" w:color="auto"/>
              <w:bottom w:val="single" w:sz="4" w:space="0" w:color="auto"/>
            </w:tcBorders>
            <w:vAlign w:val="center"/>
          </w:tcPr>
          <w:p w14:paraId="429A21A5" w14:textId="601DDD60" w:rsidR="005A1CFE" w:rsidRDefault="005A1CFE" w:rsidP="00CB525F">
            <w:pPr>
              <w:snapToGrid w:val="0"/>
              <w:jc w:val="center"/>
              <w:rPr>
                <w:rFonts w:ascii="Times New Roman" w:hAnsi="Times New Roman" w:cs="Times New Roman"/>
                <w:sz w:val="24"/>
              </w:rPr>
            </w:pPr>
            <w:r>
              <w:rPr>
                <w:rFonts w:ascii="Times New Roman" w:hAnsi="Times New Roman" w:cs="Times New Roman"/>
                <w:b/>
                <w:sz w:val="24"/>
              </w:rPr>
              <w:t>Control group (n = 78)</w:t>
            </w:r>
          </w:p>
        </w:tc>
        <w:tc>
          <w:tcPr>
            <w:tcW w:w="2268" w:type="dxa"/>
            <w:tcBorders>
              <w:top w:val="single" w:sz="4" w:space="0" w:color="auto"/>
              <w:bottom w:val="single" w:sz="4" w:space="0" w:color="auto"/>
            </w:tcBorders>
            <w:vAlign w:val="center"/>
          </w:tcPr>
          <w:p w14:paraId="2E09883D" w14:textId="74C2A837" w:rsidR="005A1CFE" w:rsidRDefault="005A1CFE" w:rsidP="00CB525F">
            <w:pPr>
              <w:snapToGrid w:val="0"/>
              <w:jc w:val="center"/>
              <w:rPr>
                <w:rFonts w:ascii="Times New Roman" w:hAnsi="Times New Roman" w:cs="Times New Roman"/>
                <w:sz w:val="24"/>
              </w:rPr>
            </w:pPr>
            <w:r>
              <w:rPr>
                <w:rFonts w:ascii="Times New Roman" w:hAnsi="Times New Roman" w:cs="Times New Roman"/>
                <w:b/>
                <w:sz w:val="24"/>
              </w:rPr>
              <w:t>Intervention group (n = 78)</w:t>
            </w:r>
          </w:p>
        </w:tc>
        <w:tc>
          <w:tcPr>
            <w:tcW w:w="1276" w:type="dxa"/>
            <w:tcBorders>
              <w:top w:val="single" w:sz="4" w:space="0" w:color="auto"/>
              <w:bottom w:val="single" w:sz="4" w:space="0" w:color="auto"/>
            </w:tcBorders>
            <w:vAlign w:val="center"/>
          </w:tcPr>
          <w:p w14:paraId="3EBC6912" w14:textId="0776963B" w:rsidR="005A1CFE" w:rsidRDefault="005A1CFE" w:rsidP="00CB525F">
            <w:pPr>
              <w:snapToGrid w:val="0"/>
              <w:jc w:val="center"/>
              <w:rPr>
                <w:rFonts w:ascii="Times New Roman" w:hAnsi="Times New Roman" w:cs="Times New Roman"/>
                <w:sz w:val="24"/>
              </w:rPr>
            </w:pPr>
            <w:r>
              <w:rPr>
                <w:rFonts w:ascii="Times New Roman" w:hAnsi="Times New Roman" w:cs="Times New Roman"/>
                <w:b/>
                <w:i/>
                <w:iCs/>
                <w:sz w:val="24"/>
              </w:rPr>
              <w:t>t</w:t>
            </w:r>
            <w:r>
              <w:rPr>
                <w:rFonts w:ascii="Times New Roman" w:hAnsi="Times New Roman" w:cs="Times New Roman"/>
                <w:b/>
                <w:sz w:val="24"/>
              </w:rPr>
              <w:t>/χ</w:t>
            </w:r>
            <w:r>
              <w:rPr>
                <w:rFonts w:ascii="Times New Roman" w:hAnsi="Times New Roman" w:cs="Times New Roman"/>
                <w:b/>
                <w:sz w:val="24"/>
                <w:vertAlign w:val="superscript"/>
              </w:rPr>
              <w:t>2</w:t>
            </w:r>
            <w:r>
              <w:rPr>
                <w:rFonts w:ascii="Times New Roman" w:hAnsi="Times New Roman" w:cs="Times New Roman"/>
                <w:b/>
                <w:sz w:val="24"/>
              </w:rPr>
              <w:t xml:space="preserve"> value</w:t>
            </w:r>
          </w:p>
        </w:tc>
        <w:tc>
          <w:tcPr>
            <w:tcW w:w="1099" w:type="dxa"/>
            <w:tcBorders>
              <w:top w:val="single" w:sz="4" w:space="0" w:color="auto"/>
              <w:bottom w:val="single" w:sz="4" w:space="0" w:color="auto"/>
            </w:tcBorders>
            <w:vAlign w:val="center"/>
          </w:tcPr>
          <w:p w14:paraId="5D17BA5E" w14:textId="0AE56D8D" w:rsidR="005A1CFE" w:rsidRDefault="005A1CFE" w:rsidP="00CB525F">
            <w:pPr>
              <w:snapToGrid w:val="0"/>
              <w:jc w:val="center"/>
              <w:rPr>
                <w:rFonts w:ascii="Times New Roman" w:hAnsi="Times New Roman" w:cs="Times New Roman"/>
                <w:sz w:val="24"/>
              </w:rPr>
            </w:pPr>
            <w:r w:rsidRPr="00CB525F">
              <w:rPr>
                <w:rFonts w:ascii="Times New Roman" w:hAnsi="Times New Roman" w:cs="Times New Roman"/>
                <w:b/>
                <w:i/>
                <w:iCs/>
                <w:sz w:val="24"/>
              </w:rPr>
              <w:t>p</w:t>
            </w:r>
            <w:r>
              <w:rPr>
                <w:rFonts w:ascii="Times New Roman" w:hAnsi="Times New Roman" w:cs="Times New Roman"/>
                <w:b/>
                <w:sz w:val="24"/>
              </w:rPr>
              <w:t xml:space="preserve"> value</w:t>
            </w:r>
          </w:p>
        </w:tc>
      </w:tr>
      <w:tr w:rsidR="005A1CFE" w14:paraId="3C188F82" w14:textId="77777777" w:rsidTr="00CB525F">
        <w:tc>
          <w:tcPr>
            <w:tcW w:w="3369" w:type="dxa"/>
            <w:tcBorders>
              <w:top w:val="single" w:sz="4" w:space="0" w:color="auto"/>
            </w:tcBorders>
            <w:vAlign w:val="center"/>
          </w:tcPr>
          <w:p w14:paraId="58C411EA" w14:textId="57E8E09A" w:rsidR="005A1CFE" w:rsidRDefault="005A1CFE" w:rsidP="005A1CFE">
            <w:pPr>
              <w:snapToGrid w:val="0"/>
              <w:rPr>
                <w:rFonts w:ascii="Times New Roman" w:hAnsi="Times New Roman" w:cs="Times New Roman"/>
                <w:sz w:val="24"/>
              </w:rPr>
            </w:pPr>
            <w:r>
              <w:rPr>
                <w:rFonts w:ascii="Times New Roman" w:hAnsi="Times New Roman" w:cs="Times New Roman"/>
                <w:sz w:val="24"/>
              </w:rPr>
              <w:t>Sex (male/female, n)</w:t>
            </w:r>
          </w:p>
        </w:tc>
        <w:tc>
          <w:tcPr>
            <w:tcW w:w="1842" w:type="dxa"/>
            <w:tcBorders>
              <w:top w:val="single" w:sz="4" w:space="0" w:color="auto"/>
            </w:tcBorders>
            <w:vAlign w:val="center"/>
          </w:tcPr>
          <w:p w14:paraId="74F012E6" w14:textId="1BFD5B6C"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44/34</w:t>
            </w:r>
          </w:p>
        </w:tc>
        <w:tc>
          <w:tcPr>
            <w:tcW w:w="2268" w:type="dxa"/>
            <w:tcBorders>
              <w:top w:val="single" w:sz="4" w:space="0" w:color="auto"/>
            </w:tcBorders>
            <w:vAlign w:val="center"/>
          </w:tcPr>
          <w:p w14:paraId="3911FA0A" w14:textId="61A91227"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46/32</w:t>
            </w:r>
          </w:p>
        </w:tc>
        <w:tc>
          <w:tcPr>
            <w:tcW w:w="1276" w:type="dxa"/>
            <w:tcBorders>
              <w:top w:val="single" w:sz="4" w:space="0" w:color="auto"/>
            </w:tcBorders>
            <w:vAlign w:val="center"/>
          </w:tcPr>
          <w:p w14:paraId="01B22E79" w14:textId="2E2A4CCB"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0.104</w:t>
            </w:r>
          </w:p>
        </w:tc>
        <w:tc>
          <w:tcPr>
            <w:tcW w:w="1099" w:type="dxa"/>
            <w:tcBorders>
              <w:top w:val="single" w:sz="4" w:space="0" w:color="auto"/>
            </w:tcBorders>
            <w:vAlign w:val="center"/>
          </w:tcPr>
          <w:p w14:paraId="2BAD8D75" w14:textId="27D0CD6E"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0.747</w:t>
            </w:r>
          </w:p>
        </w:tc>
      </w:tr>
      <w:tr w:rsidR="005A1CFE" w14:paraId="38FD57B7" w14:textId="77777777" w:rsidTr="00CB525F">
        <w:tc>
          <w:tcPr>
            <w:tcW w:w="3369" w:type="dxa"/>
            <w:vAlign w:val="center"/>
          </w:tcPr>
          <w:p w14:paraId="15463C14" w14:textId="2C4E250F" w:rsidR="005A1CFE" w:rsidRDefault="005A1CFE" w:rsidP="005A1CFE">
            <w:pPr>
              <w:snapToGrid w:val="0"/>
              <w:rPr>
                <w:rFonts w:ascii="Times New Roman" w:hAnsi="Times New Roman" w:cs="Times New Roman"/>
                <w:sz w:val="24"/>
              </w:rPr>
            </w:pPr>
            <w:r>
              <w:rPr>
                <w:rFonts w:ascii="Times New Roman" w:hAnsi="Times New Roman" w:cs="Times New Roman"/>
                <w:sz w:val="24"/>
              </w:rPr>
              <w:lastRenderedPageBreak/>
              <w:t xml:space="preserve">Age (years, </w:t>
            </w:r>
            <w:r>
              <w:rPr>
                <w:rFonts w:ascii="Times New Roman" w:eastAsia="SimSun" w:hAnsi="Times New Roman" w:cs="Times New Roman"/>
                <w:color w:val="0000FF"/>
                <w:position w:val="-6"/>
                <w:sz w:val="24"/>
              </w:rPr>
              <w:object w:dxaOrig="220" w:dyaOrig="270" w14:anchorId="1065CBF5">
                <v:shape id="_x0000_i1535" type="#_x0000_t75" style="width:10.9pt;height:13.65pt" o:ole="">
                  <v:imagedata r:id="rId4" o:title=""/>
                </v:shape>
                <o:OLEObject Type="Embed" ProgID="Equation.DSMT4" ShapeID="_x0000_i1535" DrawAspect="Content" ObjectID="_1844494054" r:id="rId6"/>
              </w:object>
            </w:r>
            <w:r>
              <w:rPr>
                <w:rFonts w:ascii="Times New Roman" w:hAnsi="Times New Roman"/>
                <w:sz w:val="24"/>
              </w:rPr>
              <w:t>± s</w:t>
            </w:r>
            <w:r>
              <w:rPr>
                <w:rFonts w:ascii="Times New Roman" w:hAnsi="Times New Roman" w:cs="Times New Roman"/>
                <w:sz w:val="24"/>
              </w:rPr>
              <w:t>)</w:t>
            </w:r>
          </w:p>
        </w:tc>
        <w:tc>
          <w:tcPr>
            <w:tcW w:w="1842" w:type="dxa"/>
            <w:vAlign w:val="center"/>
          </w:tcPr>
          <w:p w14:paraId="427B9A8A" w14:textId="4CF08CFC"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58.44 ± 10.23</w:t>
            </w:r>
          </w:p>
        </w:tc>
        <w:tc>
          <w:tcPr>
            <w:tcW w:w="2268" w:type="dxa"/>
            <w:vAlign w:val="center"/>
          </w:tcPr>
          <w:p w14:paraId="1AE480B8" w14:textId="435D85E6"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57.13 ± 11.47</w:t>
            </w:r>
          </w:p>
        </w:tc>
        <w:tc>
          <w:tcPr>
            <w:tcW w:w="1276" w:type="dxa"/>
            <w:vAlign w:val="center"/>
          </w:tcPr>
          <w:p w14:paraId="4B2ACB7D" w14:textId="75E6A709"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0.754</w:t>
            </w:r>
          </w:p>
        </w:tc>
        <w:tc>
          <w:tcPr>
            <w:tcW w:w="1099" w:type="dxa"/>
            <w:vAlign w:val="center"/>
          </w:tcPr>
          <w:p w14:paraId="43CD608A" w14:textId="2CA30659"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0.452</w:t>
            </w:r>
          </w:p>
        </w:tc>
      </w:tr>
      <w:tr w:rsidR="005A1CFE" w14:paraId="3CD85DC9" w14:textId="77777777" w:rsidTr="00CB525F">
        <w:tc>
          <w:tcPr>
            <w:tcW w:w="3369" w:type="dxa"/>
            <w:vAlign w:val="center"/>
          </w:tcPr>
          <w:p w14:paraId="6A1AC931" w14:textId="3447BC25" w:rsidR="005A1CFE" w:rsidRDefault="005A1CFE" w:rsidP="005A1CFE">
            <w:pPr>
              <w:snapToGrid w:val="0"/>
              <w:rPr>
                <w:rFonts w:ascii="Times New Roman" w:hAnsi="Times New Roman" w:cs="Times New Roman"/>
                <w:sz w:val="24"/>
              </w:rPr>
            </w:pPr>
            <w:r>
              <w:rPr>
                <w:rFonts w:ascii="Times New Roman" w:hAnsi="Times New Roman" w:cs="Times New Roman"/>
                <w:sz w:val="24"/>
              </w:rPr>
              <w:t xml:space="preserve">BMI (kg/m², </w:t>
            </w:r>
            <w:r>
              <w:rPr>
                <w:rFonts w:ascii="Times New Roman" w:eastAsia="SimSun" w:hAnsi="Times New Roman" w:cs="Times New Roman"/>
                <w:color w:val="0000FF"/>
                <w:position w:val="-6"/>
                <w:sz w:val="24"/>
              </w:rPr>
              <w:object w:dxaOrig="220" w:dyaOrig="270" w14:anchorId="05374466">
                <v:shape id="_x0000_i1536" type="#_x0000_t75" style="width:10.9pt;height:13.65pt" o:ole="">
                  <v:imagedata r:id="rId4" o:title=""/>
                </v:shape>
                <o:OLEObject Type="Embed" ProgID="Equation.DSMT4" ShapeID="_x0000_i1536" DrawAspect="Content" ObjectID="_1844494055" r:id="rId7"/>
              </w:object>
            </w:r>
            <w:r>
              <w:rPr>
                <w:rFonts w:ascii="Times New Roman" w:hAnsi="Times New Roman"/>
                <w:sz w:val="24"/>
              </w:rPr>
              <w:t>± s</w:t>
            </w:r>
            <w:r>
              <w:rPr>
                <w:rFonts w:ascii="Times New Roman" w:hAnsi="Times New Roman" w:cs="Times New Roman"/>
                <w:sz w:val="24"/>
              </w:rPr>
              <w:t>)</w:t>
            </w:r>
          </w:p>
        </w:tc>
        <w:tc>
          <w:tcPr>
            <w:tcW w:w="1842" w:type="dxa"/>
            <w:vAlign w:val="center"/>
          </w:tcPr>
          <w:p w14:paraId="20A5421B" w14:textId="3F09AF08"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23.55 ± 3.07</w:t>
            </w:r>
          </w:p>
        </w:tc>
        <w:tc>
          <w:tcPr>
            <w:tcW w:w="2268" w:type="dxa"/>
            <w:vAlign w:val="center"/>
          </w:tcPr>
          <w:p w14:paraId="7EE5CF76" w14:textId="718CACB5"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24.03 ± 3.38</w:t>
            </w:r>
          </w:p>
        </w:tc>
        <w:tc>
          <w:tcPr>
            <w:tcW w:w="1276" w:type="dxa"/>
            <w:vAlign w:val="center"/>
          </w:tcPr>
          <w:p w14:paraId="5154D0E9" w14:textId="3CCA7DB0"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-0.768</w:t>
            </w:r>
          </w:p>
        </w:tc>
        <w:tc>
          <w:tcPr>
            <w:tcW w:w="1099" w:type="dxa"/>
            <w:vAlign w:val="center"/>
          </w:tcPr>
          <w:p w14:paraId="3DDF5BFA" w14:textId="3F448C00"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0.444</w:t>
            </w:r>
          </w:p>
        </w:tc>
      </w:tr>
      <w:tr w:rsidR="005A1CFE" w14:paraId="447402E4" w14:textId="77777777" w:rsidTr="00CB525F">
        <w:tc>
          <w:tcPr>
            <w:tcW w:w="3369" w:type="dxa"/>
            <w:vAlign w:val="center"/>
          </w:tcPr>
          <w:p w14:paraId="5392CB4C" w14:textId="43BBA548" w:rsidR="005A1CFE" w:rsidRDefault="005A1CFE" w:rsidP="005A1CFE">
            <w:pPr>
              <w:snapToGrid w:val="0"/>
              <w:rPr>
                <w:rFonts w:ascii="Times New Roman" w:hAnsi="Times New Roman" w:cs="Times New Roman"/>
                <w:sz w:val="24"/>
              </w:rPr>
            </w:pPr>
            <w:r>
              <w:rPr>
                <w:rFonts w:ascii="Times New Roman" w:hAnsi="Times New Roman" w:cs="Times New Roman"/>
                <w:sz w:val="24"/>
              </w:rPr>
              <w:t>Surgical site (left/right, n)</w:t>
            </w:r>
          </w:p>
        </w:tc>
        <w:tc>
          <w:tcPr>
            <w:tcW w:w="1842" w:type="dxa"/>
            <w:vAlign w:val="center"/>
          </w:tcPr>
          <w:p w14:paraId="418E164D" w14:textId="10C0875D"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35/43</w:t>
            </w:r>
          </w:p>
        </w:tc>
        <w:tc>
          <w:tcPr>
            <w:tcW w:w="2268" w:type="dxa"/>
            <w:vAlign w:val="center"/>
          </w:tcPr>
          <w:p w14:paraId="02FA4CD6" w14:textId="4515A3D9"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38/40</w:t>
            </w:r>
          </w:p>
        </w:tc>
        <w:tc>
          <w:tcPr>
            <w:tcW w:w="1276" w:type="dxa"/>
            <w:vAlign w:val="center"/>
          </w:tcPr>
          <w:p w14:paraId="57625E72" w14:textId="6A3B83FC"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0.207</w:t>
            </w:r>
          </w:p>
        </w:tc>
        <w:tc>
          <w:tcPr>
            <w:tcW w:w="1099" w:type="dxa"/>
            <w:vAlign w:val="center"/>
          </w:tcPr>
          <w:p w14:paraId="73CE17CD" w14:textId="084357AE"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0.649</w:t>
            </w:r>
          </w:p>
        </w:tc>
      </w:tr>
      <w:tr w:rsidR="005A1CFE" w14:paraId="5644A486" w14:textId="77777777" w:rsidTr="00CB525F">
        <w:tc>
          <w:tcPr>
            <w:tcW w:w="3369" w:type="dxa"/>
            <w:vAlign w:val="center"/>
          </w:tcPr>
          <w:p w14:paraId="319FC291" w14:textId="58AF981B" w:rsidR="005A1CFE" w:rsidRDefault="005A1CFE" w:rsidP="005A1CFE">
            <w:pPr>
              <w:snapToGrid w:val="0"/>
              <w:rPr>
                <w:rFonts w:ascii="Times New Roman" w:hAnsi="Times New Roman" w:cs="Times New Roman"/>
                <w:sz w:val="24"/>
              </w:rPr>
            </w:pPr>
            <w:r>
              <w:rPr>
                <w:rFonts w:ascii="Times New Roman" w:hAnsi="Times New Roman" w:cs="Times New Roman"/>
                <w:sz w:val="24"/>
              </w:rPr>
              <w:t xml:space="preserve">Operative time (min, </w:t>
            </w:r>
            <w:r>
              <w:rPr>
                <w:rFonts w:ascii="Times New Roman" w:eastAsia="SimSun" w:hAnsi="Times New Roman" w:cs="Times New Roman"/>
                <w:color w:val="0000FF"/>
                <w:position w:val="-6"/>
                <w:sz w:val="24"/>
              </w:rPr>
              <w:object w:dxaOrig="220" w:dyaOrig="270" w14:anchorId="1A876EBA">
                <v:shape id="_x0000_i1537" type="#_x0000_t75" style="width:10.9pt;height:13.65pt" o:ole="">
                  <v:imagedata r:id="rId4" o:title=""/>
                </v:shape>
                <o:OLEObject Type="Embed" ProgID="Equation.DSMT4" ShapeID="_x0000_i1537" DrawAspect="Content" ObjectID="_1844494056" r:id="rId8"/>
              </w:object>
            </w:r>
            <w:r>
              <w:rPr>
                <w:rFonts w:ascii="Times New Roman" w:hAnsi="Times New Roman"/>
                <w:sz w:val="24"/>
              </w:rPr>
              <w:t>± s</w:t>
            </w:r>
            <w:r>
              <w:rPr>
                <w:rFonts w:ascii="Times New Roman" w:hAnsi="Times New Roman" w:cs="Times New Roman"/>
                <w:sz w:val="24"/>
              </w:rPr>
              <w:t>)</w:t>
            </w:r>
          </w:p>
        </w:tc>
        <w:tc>
          <w:tcPr>
            <w:tcW w:w="1842" w:type="dxa"/>
            <w:vAlign w:val="center"/>
          </w:tcPr>
          <w:p w14:paraId="58F7F111" w14:textId="636B2909"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142.45 ± 28.74</w:t>
            </w:r>
          </w:p>
        </w:tc>
        <w:tc>
          <w:tcPr>
            <w:tcW w:w="2268" w:type="dxa"/>
            <w:vAlign w:val="center"/>
          </w:tcPr>
          <w:p w14:paraId="3AE80273" w14:textId="21122752"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138.92 ± 31.19</w:t>
            </w:r>
          </w:p>
        </w:tc>
        <w:tc>
          <w:tcPr>
            <w:tcW w:w="1276" w:type="dxa"/>
            <w:vAlign w:val="center"/>
          </w:tcPr>
          <w:p w14:paraId="71B2D77B" w14:textId="507B4197"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0.759</w:t>
            </w:r>
          </w:p>
        </w:tc>
        <w:tc>
          <w:tcPr>
            <w:tcW w:w="1099" w:type="dxa"/>
            <w:vAlign w:val="center"/>
          </w:tcPr>
          <w:p w14:paraId="7501847D" w14:textId="23901EAA"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0.449</w:t>
            </w:r>
          </w:p>
        </w:tc>
      </w:tr>
      <w:tr w:rsidR="005A1CFE" w14:paraId="602FEA9F" w14:textId="77777777" w:rsidTr="00CB525F">
        <w:tc>
          <w:tcPr>
            <w:tcW w:w="3369" w:type="dxa"/>
            <w:tcBorders>
              <w:bottom w:val="single" w:sz="4" w:space="0" w:color="auto"/>
            </w:tcBorders>
            <w:vAlign w:val="center"/>
          </w:tcPr>
          <w:p w14:paraId="22687EED" w14:textId="6AF52D4E" w:rsidR="005A1CFE" w:rsidRDefault="005A1CFE" w:rsidP="005A1CFE">
            <w:pPr>
              <w:snapToGrid w:val="0"/>
              <w:rPr>
                <w:rFonts w:ascii="Times New Roman" w:hAnsi="Times New Roman" w:cs="Times New Roman"/>
                <w:sz w:val="24"/>
              </w:rPr>
            </w:pPr>
            <w:r>
              <w:rPr>
                <w:rFonts w:ascii="Times New Roman" w:hAnsi="Times New Roman" w:cs="Times New Roman"/>
                <w:sz w:val="24"/>
              </w:rPr>
              <w:t>ASA grade (Ⅰ/Ⅱ/Ⅲ, n)</w:t>
            </w:r>
          </w:p>
        </w:tc>
        <w:tc>
          <w:tcPr>
            <w:tcW w:w="1842" w:type="dxa"/>
            <w:tcBorders>
              <w:bottom w:val="single" w:sz="4" w:space="0" w:color="auto"/>
            </w:tcBorders>
            <w:vAlign w:val="center"/>
          </w:tcPr>
          <w:p w14:paraId="1DDA0033" w14:textId="5AD80976"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12/48/18</w:t>
            </w:r>
          </w:p>
        </w:tc>
        <w:tc>
          <w:tcPr>
            <w:tcW w:w="2268" w:type="dxa"/>
            <w:tcBorders>
              <w:bottom w:val="single" w:sz="4" w:space="0" w:color="auto"/>
            </w:tcBorders>
            <w:vAlign w:val="center"/>
          </w:tcPr>
          <w:p w14:paraId="4F465D8C" w14:textId="2CEFE516"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14/50/14</w:t>
            </w:r>
          </w:p>
        </w:tc>
        <w:tc>
          <w:tcPr>
            <w:tcW w:w="1276" w:type="dxa"/>
            <w:tcBorders>
              <w:bottom w:val="single" w:sz="4" w:space="0" w:color="auto"/>
            </w:tcBorders>
            <w:vAlign w:val="center"/>
          </w:tcPr>
          <w:p w14:paraId="597FA677" w14:textId="0A344214"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0.511</w:t>
            </w:r>
          </w:p>
        </w:tc>
        <w:tc>
          <w:tcPr>
            <w:tcW w:w="1099" w:type="dxa"/>
            <w:tcBorders>
              <w:bottom w:val="single" w:sz="4" w:space="0" w:color="auto"/>
            </w:tcBorders>
            <w:vAlign w:val="center"/>
          </w:tcPr>
          <w:p w14:paraId="1121FE92" w14:textId="11D7BEE1" w:rsidR="005A1CFE" w:rsidRDefault="005A1CFE" w:rsidP="00CB525F">
            <w:pPr>
              <w:snapToGrid w:val="0"/>
              <w:jc w:val="center"/>
              <w:rPr>
                <w:rFonts w:ascii="Times New Roman" w:hAnsi="Times New Roman" w:cs="Times New Roman"/>
                <w:sz w:val="24"/>
              </w:rPr>
            </w:pPr>
            <w:r>
              <w:rPr>
                <w:rFonts w:ascii="Times New Roman" w:hAnsi="Times New Roman" w:cs="Times New Roman"/>
                <w:sz w:val="24"/>
              </w:rPr>
              <w:t>0.774</w:t>
            </w:r>
          </w:p>
        </w:tc>
      </w:tr>
    </w:tbl>
    <w:p w14:paraId="6159ABAA" w14:textId="5405D6EF" w:rsidR="00C32645" w:rsidRDefault="00C44B25" w:rsidP="00CB525F">
      <w:pPr>
        <w:snapToGrid w:val="0"/>
        <w:rPr>
          <w:rFonts w:ascii="Times New Roman" w:hAnsi="Times New Roman" w:cs="Times New Roman"/>
          <w:sz w:val="24"/>
        </w:rPr>
      </w:pPr>
      <w:r>
        <w:rPr>
          <w:rFonts w:ascii="Times New Roman" w:hAnsi="Times New Roman" w:cs="Times New Roman"/>
          <w:sz w:val="24"/>
        </w:rPr>
        <w:t>Note: There were no statistically significant differences in the aforementioned indicators between the two groups (</w:t>
      </w:r>
      <w:r w:rsidR="005A1CFE">
        <w:rPr>
          <w:rFonts w:ascii="Times New Roman" w:hAnsi="Times New Roman" w:cs="Times New Roman"/>
          <w:i/>
          <w:iCs/>
          <w:sz w:val="24"/>
        </w:rPr>
        <w:t>p</w:t>
      </w:r>
      <w:r w:rsidR="005A1CFE">
        <w:rPr>
          <w:rFonts w:ascii="Times New Roman" w:hAnsi="Times New Roman" w:cs="Times New Roman"/>
          <w:sz w:val="24"/>
        </w:rPr>
        <w:t xml:space="preserve"> </w:t>
      </w:r>
      <w:r>
        <w:rPr>
          <w:rFonts w:ascii="Times New Roman" w:hAnsi="Times New Roman" w:cs="Times New Roman"/>
          <w:sz w:val="24"/>
        </w:rPr>
        <w:t>&gt; 0.05).</w:t>
      </w:r>
    </w:p>
    <w:p w14:paraId="481B8195" w14:textId="77777777" w:rsidR="00C32645" w:rsidRDefault="00C32645" w:rsidP="00CB525F">
      <w:pPr>
        <w:snapToGrid w:val="0"/>
        <w:rPr>
          <w:rFonts w:ascii="Times New Roman" w:hAnsi="Times New Roman" w:cs="Times New Roman"/>
          <w:sz w:val="24"/>
        </w:rPr>
      </w:pPr>
    </w:p>
    <w:p w14:paraId="62470F63" w14:textId="77777777" w:rsidR="00C32645" w:rsidRDefault="00C44B25" w:rsidP="00CB525F">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.2</w:t>
      </w:r>
      <w:r>
        <w:rPr>
          <w:rFonts w:ascii="Times New Roman" w:hAnsi="Times New Roman" w:cs="Times New Roman" w:hint="eastAsia"/>
          <w:b/>
          <w:bCs/>
          <w:sz w:val="24"/>
        </w:rPr>
        <w:t>.</w:t>
      </w:r>
      <w:r>
        <w:rPr>
          <w:rFonts w:ascii="Times New Roman" w:hAnsi="Times New Roman" w:cs="Times New Roman"/>
          <w:b/>
          <w:bCs/>
          <w:sz w:val="24"/>
        </w:rPr>
        <w:t xml:space="preserve"> Comparison of VAS </w:t>
      </w:r>
      <w:r>
        <w:rPr>
          <w:rFonts w:ascii="Times New Roman" w:hAnsi="Times New Roman" w:cs="Times New Roman" w:hint="eastAsia"/>
          <w:b/>
          <w:bCs/>
          <w:sz w:val="24"/>
        </w:rPr>
        <w:t>s</w:t>
      </w:r>
      <w:r>
        <w:rPr>
          <w:rFonts w:ascii="Times New Roman" w:hAnsi="Times New Roman" w:cs="Times New Roman"/>
          <w:b/>
          <w:bCs/>
          <w:sz w:val="24"/>
        </w:rPr>
        <w:t xml:space="preserve">cores </w:t>
      </w:r>
      <w:r>
        <w:rPr>
          <w:rFonts w:ascii="Times New Roman" w:hAnsi="Times New Roman" w:cs="Times New Roman" w:hint="eastAsia"/>
          <w:b/>
          <w:bCs/>
          <w:sz w:val="24"/>
        </w:rPr>
        <w:t>b</w:t>
      </w:r>
      <w:r>
        <w:rPr>
          <w:rFonts w:ascii="Times New Roman" w:hAnsi="Times New Roman" w:cs="Times New Roman"/>
          <w:b/>
          <w:bCs/>
          <w:sz w:val="24"/>
        </w:rPr>
        <w:t xml:space="preserve">etween the </w:t>
      </w:r>
      <w:r>
        <w:rPr>
          <w:rFonts w:ascii="Times New Roman" w:hAnsi="Times New Roman" w:cs="Times New Roman" w:hint="eastAsia"/>
          <w:b/>
          <w:bCs/>
          <w:sz w:val="24"/>
        </w:rPr>
        <w:t>t</w:t>
      </w:r>
      <w:r>
        <w:rPr>
          <w:rFonts w:ascii="Times New Roman" w:hAnsi="Times New Roman" w:cs="Times New Roman"/>
          <w:b/>
          <w:bCs/>
          <w:sz w:val="24"/>
        </w:rPr>
        <w:t xml:space="preserve">wo </w:t>
      </w:r>
      <w:r>
        <w:rPr>
          <w:rFonts w:ascii="Times New Roman" w:hAnsi="Times New Roman" w:cs="Times New Roman" w:hint="eastAsia"/>
          <w:b/>
          <w:bCs/>
          <w:sz w:val="24"/>
        </w:rPr>
        <w:t>g</w:t>
      </w:r>
      <w:r>
        <w:rPr>
          <w:rFonts w:ascii="Times New Roman" w:hAnsi="Times New Roman" w:cs="Times New Roman"/>
          <w:b/>
          <w:bCs/>
          <w:sz w:val="24"/>
        </w:rPr>
        <w:t xml:space="preserve">roups at </w:t>
      </w:r>
      <w:r>
        <w:rPr>
          <w:rFonts w:ascii="Times New Roman" w:hAnsi="Times New Roman" w:cs="Times New Roman" w:hint="eastAsia"/>
          <w:b/>
          <w:bCs/>
          <w:sz w:val="24"/>
        </w:rPr>
        <w:t>d</w:t>
      </w:r>
      <w:r>
        <w:rPr>
          <w:rFonts w:ascii="Times New Roman" w:hAnsi="Times New Roman" w:cs="Times New Roman"/>
          <w:b/>
          <w:bCs/>
          <w:sz w:val="24"/>
        </w:rPr>
        <w:t xml:space="preserve">ifferent </w:t>
      </w:r>
      <w:r>
        <w:rPr>
          <w:rFonts w:ascii="Times New Roman" w:hAnsi="Times New Roman" w:cs="Times New Roman" w:hint="eastAsia"/>
          <w:b/>
          <w:bCs/>
          <w:sz w:val="24"/>
        </w:rPr>
        <w:t>t</w:t>
      </w:r>
      <w:r>
        <w:rPr>
          <w:rFonts w:ascii="Times New Roman" w:hAnsi="Times New Roman" w:cs="Times New Roman"/>
          <w:b/>
          <w:bCs/>
          <w:sz w:val="24"/>
        </w:rPr>
        <w:t xml:space="preserve">ime </w:t>
      </w:r>
      <w:r>
        <w:rPr>
          <w:rFonts w:ascii="Times New Roman" w:hAnsi="Times New Roman" w:cs="Times New Roman" w:hint="eastAsia"/>
          <w:b/>
          <w:bCs/>
          <w:sz w:val="24"/>
        </w:rPr>
        <w:t>p</w:t>
      </w:r>
      <w:r>
        <w:rPr>
          <w:rFonts w:ascii="Times New Roman" w:hAnsi="Times New Roman" w:cs="Times New Roman"/>
          <w:b/>
          <w:bCs/>
          <w:sz w:val="24"/>
        </w:rPr>
        <w:t xml:space="preserve">oints </w:t>
      </w:r>
      <w:r>
        <w:rPr>
          <w:rFonts w:ascii="Times New Roman" w:hAnsi="Times New Roman" w:cs="Times New Roman" w:hint="eastAsia"/>
          <w:b/>
          <w:bCs/>
          <w:sz w:val="24"/>
        </w:rPr>
        <w:t>a</w:t>
      </w:r>
      <w:r>
        <w:rPr>
          <w:rFonts w:ascii="Times New Roman" w:hAnsi="Times New Roman" w:cs="Times New Roman"/>
          <w:b/>
          <w:bCs/>
          <w:sz w:val="24"/>
        </w:rPr>
        <w:t xml:space="preserve">fter </w:t>
      </w:r>
      <w:r>
        <w:rPr>
          <w:rFonts w:ascii="Times New Roman" w:hAnsi="Times New Roman" w:cs="Times New Roman" w:hint="eastAsia"/>
          <w:b/>
          <w:bCs/>
          <w:sz w:val="24"/>
        </w:rPr>
        <w:t>s</w:t>
      </w:r>
      <w:r>
        <w:rPr>
          <w:rFonts w:ascii="Times New Roman" w:hAnsi="Times New Roman" w:cs="Times New Roman"/>
          <w:b/>
          <w:bCs/>
          <w:sz w:val="24"/>
        </w:rPr>
        <w:t xml:space="preserve">urgery </w:t>
      </w:r>
    </w:p>
    <w:p w14:paraId="5B263622" w14:textId="2586803C" w:rsidR="00C32645" w:rsidRDefault="00C44B25" w:rsidP="00CB525F">
      <w:pPr>
        <w:snapToGrid w:val="0"/>
        <w:rPr>
          <w:rFonts w:ascii="Times New Roman" w:hAnsi="Times New Roman" w:cs="Times New Roman"/>
          <w:sz w:val="24"/>
        </w:rPr>
      </w:pPr>
      <w:r>
        <w:rPr>
          <w:rFonts w:ascii="Times New Roman" w:hAnsi="Times New Roman" w:cs="Times New Roman"/>
          <w:sz w:val="24"/>
        </w:rPr>
        <w:t>The VAS scores of the intervention group at 6 hours, 24 hours, and 48 hours after surgery were all lower than those of the control group, with statistically significant differences (</w:t>
      </w:r>
      <w:r w:rsidR="005A1CFE">
        <w:rPr>
          <w:rFonts w:ascii="Times New Roman" w:hAnsi="Times New Roman" w:cs="Times New Roman"/>
          <w:i/>
          <w:iCs/>
          <w:sz w:val="24"/>
        </w:rPr>
        <w:t>p</w:t>
      </w:r>
      <w:r w:rsidR="005A1CFE">
        <w:rPr>
          <w:rFonts w:ascii="Times New Roman" w:hAnsi="Times New Roman" w:cs="Times New Roman"/>
          <w:sz w:val="24"/>
        </w:rPr>
        <w:t xml:space="preserve"> </w:t>
      </w:r>
      <w:r>
        <w:rPr>
          <w:rFonts w:ascii="Times New Roman" w:hAnsi="Times New Roman" w:cs="Times New Roman"/>
          <w:sz w:val="24"/>
        </w:rPr>
        <w:t xml:space="preserve">&lt; 0.05). Moreover, the intervention group exhibited a more pronounced decreasing trend in pain after 24 hours, as shown in </w:t>
      </w:r>
      <w:r>
        <w:rPr>
          <w:rFonts w:ascii="Times New Roman" w:hAnsi="Times New Roman" w:cs="Times New Roman"/>
          <w:b/>
          <w:bCs/>
          <w:sz w:val="24"/>
        </w:rPr>
        <w:t>Table 2</w:t>
      </w:r>
      <w:r>
        <w:rPr>
          <w:rFonts w:ascii="Times New Roman" w:hAnsi="Times New Roman" w:cs="Times New Roman"/>
          <w:sz w:val="24"/>
        </w:rPr>
        <w:t>.</w:t>
      </w:r>
    </w:p>
    <w:p w14:paraId="63F7A924" w14:textId="77777777" w:rsidR="00C32645" w:rsidRDefault="00C32645" w:rsidP="00CB525F">
      <w:pPr>
        <w:snapToGrid w:val="0"/>
        <w:rPr>
          <w:rFonts w:ascii="Times New Roman" w:hAnsi="Times New Roman" w:cs="Times New Roman"/>
          <w:sz w:val="24"/>
        </w:rPr>
      </w:pPr>
    </w:p>
    <w:p w14:paraId="2F20AE69" w14:textId="77777777" w:rsidR="00C32645" w:rsidRDefault="00C44B25" w:rsidP="00CB525F">
      <w:pPr>
        <w:snapToGrid w:val="0"/>
        <w:rPr>
          <w:rFonts w:ascii="Times New Roman" w:hAnsi="Times New Roman" w:cs="Times New Roman"/>
          <w:sz w:val="24"/>
        </w:rPr>
      </w:pPr>
      <w:r>
        <w:rPr>
          <w:rFonts w:ascii="Times New Roman" w:hAnsi="Times New Roman" w:cs="Times New Roman"/>
          <w:b/>
          <w:bCs/>
          <w:sz w:val="24"/>
        </w:rPr>
        <w:t>Table 2</w:t>
      </w:r>
      <w:r>
        <w:rPr>
          <w:rFonts w:ascii="Times New Roman" w:hAnsi="Times New Roman" w:cs="Times New Roman"/>
          <w:b/>
          <w:bCs/>
          <w:sz w:val="24"/>
        </w:rPr>
        <w:t>.</w:t>
      </w:r>
      <w:r>
        <w:rPr>
          <w:rFonts w:ascii="Times New Roman" w:hAnsi="Times New Roman" w:cs="Times New Roman"/>
          <w:b/>
          <w:bCs/>
          <w:sz w:val="24"/>
        </w:rPr>
        <w:t xml:space="preserve"> </w:t>
      </w:r>
      <w:r>
        <w:rPr>
          <w:rFonts w:ascii="Times New Roman" w:hAnsi="Times New Roman" w:cs="Times New Roman"/>
          <w:sz w:val="24"/>
        </w:rPr>
        <w:t xml:space="preserve">Comparison of VAS </w:t>
      </w:r>
      <w:r>
        <w:rPr>
          <w:rFonts w:ascii="Times New Roman" w:hAnsi="Times New Roman" w:cs="Times New Roman" w:hint="eastAsia"/>
          <w:sz w:val="24"/>
        </w:rPr>
        <w:t>s</w:t>
      </w:r>
      <w:r>
        <w:rPr>
          <w:rFonts w:ascii="Times New Roman" w:hAnsi="Times New Roman" w:cs="Times New Roman"/>
          <w:sz w:val="24"/>
        </w:rPr>
        <w:t xml:space="preserve">cores </w:t>
      </w:r>
      <w:r>
        <w:rPr>
          <w:rFonts w:ascii="Times New Roman" w:hAnsi="Times New Roman" w:cs="Times New Roman" w:hint="eastAsia"/>
          <w:sz w:val="24"/>
        </w:rPr>
        <w:t>b</w:t>
      </w:r>
      <w:r>
        <w:rPr>
          <w:rFonts w:ascii="Times New Roman" w:hAnsi="Times New Roman" w:cs="Times New Roman"/>
          <w:sz w:val="24"/>
        </w:rPr>
        <w:t xml:space="preserve">etween the </w:t>
      </w:r>
      <w:r>
        <w:rPr>
          <w:rFonts w:ascii="Times New Roman" w:hAnsi="Times New Roman" w:cs="Times New Roman" w:hint="eastAsia"/>
          <w:sz w:val="24"/>
        </w:rPr>
        <w:t>t</w:t>
      </w:r>
      <w:r>
        <w:rPr>
          <w:rFonts w:ascii="Times New Roman" w:hAnsi="Times New Roman" w:cs="Times New Roman"/>
          <w:sz w:val="24"/>
        </w:rPr>
        <w:t xml:space="preserve">wo </w:t>
      </w:r>
      <w:r>
        <w:rPr>
          <w:rFonts w:ascii="Times New Roman" w:hAnsi="Times New Roman" w:cs="Times New Roman" w:hint="eastAsia"/>
          <w:sz w:val="24"/>
        </w:rPr>
        <w:t>g</w:t>
      </w:r>
      <w:r>
        <w:rPr>
          <w:rFonts w:ascii="Times New Roman" w:hAnsi="Times New Roman" w:cs="Times New Roman"/>
          <w:sz w:val="24"/>
        </w:rPr>
        <w:t xml:space="preserve">roups at </w:t>
      </w:r>
      <w:r>
        <w:rPr>
          <w:rFonts w:ascii="Times New Roman" w:hAnsi="Times New Roman" w:cs="Times New Roman" w:hint="eastAsia"/>
          <w:sz w:val="24"/>
        </w:rPr>
        <w:t>d</w:t>
      </w:r>
      <w:r>
        <w:rPr>
          <w:rFonts w:ascii="Times New Roman" w:hAnsi="Times New Roman" w:cs="Times New Roman"/>
          <w:sz w:val="24"/>
        </w:rPr>
        <w:t xml:space="preserve">ifferent </w:t>
      </w:r>
      <w:r>
        <w:rPr>
          <w:rFonts w:ascii="Times New Roman" w:hAnsi="Times New Roman" w:cs="Times New Roman" w:hint="eastAsia"/>
          <w:sz w:val="24"/>
        </w:rPr>
        <w:t>t</w:t>
      </w:r>
      <w:r>
        <w:rPr>
          <w:rFonts w:ascii="Times New Roman" w:hAnsi="Times New Roman" w:cs="Times New Roman"/>
          <w:sz w:val="24"/>
        </w:rPr>
        <w:t xml:space="preserve">ime </w:t>
      </w:r>
      <w:r>
        <w:rPr>
          <w:rFonts w:ascii="Times New Roman" w:hAnsi="Times New Roman" w:cs="Times New Roman" w:hint="eastAsia"/>
          <w:sz w:val="24"/>
        </w:rPr>
        <w:t>p</w:t>
      </w:r>
      <w:r>
        <w:rPr>
          <w:rFonts w:ascii="Times New Roman" w:hAnsi="Times New Roman" w:cs="Times New Roman"/>
          <w:sz w:val="24"/>
        </w:rPr>
        <w:t xml:space="preserve">oints </w:t>
      </w:r>
      <w:r>
        <w:rPr>
          <w:rFonts w:ascii="Times New Roman" w:hAnsi="Times New Roman" w:cs="Times New Roman" w:hint="eastAsia"/>
          <w:sz w:val="24"/>
        </w:rPr>
        <w:t>a</w:t>
      </w:r>
      <w:r>
        <w:rPr>
          <w:rFonts w:ascii="Times New Roman" w:hAnsi="Times New Roman" w:cs="Times New Roman"/>
          <w:sz w:val="24"/>
        </w:rPr>
        <w:t xml:space="preserve">fter </w:t>
      </w:r>
      <w:r>
        <w:rPr>
          <w:rFonts w:ascii="Times New Roman" w:hAnsi="Times New Roman" w:cs="Times New Roman" w:hint="eastAsia"/>
          <w:sz w:val="24"/>
        </w:rPr>
        <w:t>s</w:t>
      </w:r>
      <w:r>
        <w:rPr>
          <w:rFonts w:ascii="Times New Roman" w:hAnsi="Times New Roman" w:cs="Times New Roman"/>
          <w:sz w:val="24"/>
        </w:rPr>
        <w:t xml:space="preserve">urgery (points, </w:t>
      </w:r>
      <w:r>
        <w:rPr>
          <w:rFonts w:ascii="Times New Roman" w:eastAsia="SimSun" w:hAnsi="Times New Roman" w:cs="Times New Roman"/>
          <w:color w:val="0000FF"/>
          <w:position w:val="-6"/>
          <w:sz w:val="24"/>
        </w:rPr>
        <w:object w:dxaOrig="220" w:dyaOrig="270" w14:anchorId="0025BE3F">
          <v:shape id="_x0000_i1029" type="#_x0000_t75" style="width:10.9pt;height:13.65pt" o:ole="">
            <v:imagedata r:id="rId4" o:title=""/>
          </v:shape>
          <o:OLEObject Type="Embed" ProgID="Equation.DSMT4" ShapeID="_x0000_i1029" DrawAspect="Content" ObjectID="_1844494057" r:id="rId9"/>
        </w:object>
      </w:r>
      <w:r>
        <w:rPr>
          <w:rFonts w:ascii="Times New Roman" w:hAnsi="Times New Roman"/>
          <w:sz w:val="24"/>
        </w:rPr>
        <w:t>± s</w:t>
      </w:r>
      <w:r>
        <w:rPr>
          <w:rFonts w:ascii="Times New Roman" w:hAnsi="Times New Roman" w:cs="Times New Roman"/>
          <w:sz w:val="24"/>
        </w:rPr>
        <w:t>)</w:t>
      </w:r>
    </w:p>
    <w:tbl>
      <w:tblPr>
        <w:tblStyle w:val="TableGrid"/>
        <w:tblW w:w="4997"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1937"/>
        <w:gridCol w:w="1752"/>
        <w:gridCol w:w="1908"/>
        <w:gridCol w:w="2018"/>
        <w:gridCol w:w="2017"/>
      </w:tblGrid>
      <w:tr w:rsidR="00C32645" w14:paraId="07A20FD3" w14:textId="77777777" w:rsidTr="00CB525F">
        <w:trPr>
          <w:tblHeader/>
          <w:jc w:val="center"/>
        </w:trPr>
        <w:tc>
          <w:tcPr>
            <w:tcW w:w="1005" w:type="pct"/>
            <w:tcBorders>
              <w:top w:val="single" w:sz="4" w:space="0" w:color="auto"/>
              <w:left w:val="nil"/>
              <w:bottom w:val="nil"/>
              <w:right w:val="nil"/>
            </w:tcBorders>
            <w:tcMar>
              <w:top w:w="-1" w:type="dxa"/>
              <w:left w:w="-1" w:type="dxa"/>
              <w:bottom w:w="-1" w:type="dxa"/>
              <w:right w:w="-1" w:type="dxa"/>
            </w:tcMar>
          </w:tcPr>
          <w:p w14:paraId="13CFADF1" w14:textId="77777777" w:rsidR="00C32645" w:rsidRDefault="00C44B25" w:rsidP="00CB525F">
            <w:pPr>
              <w:pStyle w:val="NormalWeb"/>
              <w:widowControl/>
              <w:snapToGrid w:val="0"/>
              <w:jc w:val="left"/>
              <w:rPr>
                <w:rFonts w:ascii="Times New Roman" w:hAnsi="Times New Roman" w:cs="Times New Roman"/>
                <w:b/>
                <w:bCs/>
              </w:rPr>
            </w:pPr>
            <w:r>
              <w:rPr>
                <w:rFonts w:ascii="Times New Roman" w:eastAsia="Segoe UI" w:hAnsi="Times New Roman" w:cs="Times New Roman"/>
                <w:b/>
                <w:bCs/>
                <w:snapToGrid w:val="0"/>
                <w:color w:val="0F1115"/>
                <w:shd w:val="clear" w:color="auto" w:fill="FFFFFF"/>
              </w:rPr>
              <w:t>Group</w:t>
            </w:r>
          </w:p>
        </w:tc>
        <w:tc>
          <w:tcPr>
            <w:tcW w:w="909" w:type="pct"/>
            <w:tcBorders>
              <w:top w:val="single" w:sz="4" w:space="0" w:color="auto"/>
              <w:left w:val="nil"/>
              <w:bottom w:val="nil"/>
              <w:right w:val="nil"/>
            </w:tcBorders>
            <w:tcMar>
              <w:top w:w="-1" w:type="dxa"/>
              <w:left w:w="-1" w:type="dxa"/>
              <w:bottom w:w="-1" w:type="dxa"/>
              <w:right w:w="-1" w:type="dxa"/>
            </w:tcMar>
          </w:tcPr>
          <w:p w14:paraId="2150A815" w14:textId="77777777" w:rsidR="00C32645" w:rsidRDefault="00C44B25" w:rsidP="00CB525F">
            <w:pPr>
              <w:pStyle w:val="NormalWeb"/>
              <w:widowControl/>
              <w:snapToGrid w:val="0"/>
              <w:jc w:val="center"/>
              <w:rPr>
                <w:rFonts w:ascii="Times New Roman" w:hAnsi="Times New Roman" w:cs="Times New Roman"/>
                <w:b/>
                <w:bCs/>
              </w:rPr>
            </w:pPr>
            <w:r>
              <w:rPr>
                <w:rFonts w:ascii="Times New Roman" w:eastAsia="Segoe UI" w:hAnsi="Times New Roman" w:cs="Times New Roman"/>
                <w:b/>
                <w:bCs/>
                <w:snapToGrid w:val="0"/>
                <w:color w:val="0F1115"/>
                <w:shd w:val="clear" w:color="auto" w:fill="FFFFFF"/>
              </w:rPr>
              <w:t>Number of cases</w:t>
            </w:r>
          </w:p>
        </w:tc>
        <w:tc>
          <w:tcPr>
            <w:tcW w:w="990" w:type="pct"/>
            <w:tcBorders>
              <w:top w:val="single" w:sz="4" w:space="0" w:color="auto"/>
              <w:left w:val="nil"/>
              <w:bottom w:val="nil"/>
              <w:right w:val="nil"/>
            </w:tcBorders>
            <w:tcMar>
              <w:top w:w="-1" w:type="dxa"/>
              <w:left w:w="-1" w:type="dxa"/>
              <w:bottom w:w="-1" w:type="dxa"/>
              <w:right w:w="-1" w:type="dxa"/>
            </w:tcMar>
          </w:tcPr>
          <w:p w14:paraId="2E4CE394" w14:textId="77777777" w:rsidR="00C32645" w:rsidRDefault="00C44B25" w:rsidP="00CB525F">
            <w:pPr>
              <w:pStyle w:val="NormalWeb"/>
              <w:widowControl/>
              <w:snapToGrid w:val="0"/>
              <w:jc w:val="center"/>
              <w:rPr>
                <w:rFonts w:ascii="Times New Roman" w:hAnsi="Times New Roman" w:cs="Times New Roman"/>
                <w:b/>
                <w:bCs/>
              </w:rPr>
            </w:pPr>
            <w:r>
              <w:rPr>
                <w:rFonts w:ascii="Times New Roman" w:eastAsia="Segoe UI" w:hAnsi="Times New Roman" w:cs="Times New Roman"/>
                <w:b/>
                <w:bCs/>
                <w:snapToGrid w:val="0"/>
                <w:color w:val="0F1115"/>
                <w:shd w:val="clear" w:color="auto" w:fill="FFFFFF"/>
              </w:rPr>
              <w:t>6h postoperatively</w:t>
            </w:r>
          </w:p>
        </w:tc>
        <w:tc>
          <w:tcPr>
            <w:tcW w:w="1047" w:type="pct"/>
            <w:tcBorders>
              <w:top w:val="single" w:sz="4" w:space="0" w:color="auto"/>
              <w:left w:val="nil"/>
              <w:bottom w:val="nil"/>
              <w:right w:val="nil"/>
            </w:tcBorders>
            <w:tcMar>
              <w:top w:w="-1" w:type="dxa"/>
              <w:left w:w="-1" w:type="dxa"/>
              <w:bottom w:w="-1" w:type="dxa"/>
              <w:right w:w="-1" w:type="dxa"/>
            </w:tcMar>
          </w:tcPr>
          <w:p w14:paraId="56C37636" w14:textId="77777777" w:rsidR="00C32645" w:rsidRDefault="00C44B25" w:rsidP="00CB525F">
            <w:pPr>
              <w:pStyle w:val="NormalWeb"/>
              <w:widowControl/>
              <w:snapToGrid w:val="0"/>
              <w:jc w:val="center"/>
              <w:rPr>
                <w:rFonts w:ascii="Times New Roman" w:hAnsi="Times New Roman" w:cs="Times New Roman"/>
                <w:b/>
                <w:bCs/>
              </w:rPr>
            </w:pPr>
            <w:r>
              <w:rPr>
                <w:rFonts w:ascii="Times New Roman" w:eastAsia="Segoe UI" w:hAnsi="Times New Roman" w:cs="Times New Roman"/>
                <w:b/>
                <w:bCs/>
                <w:snapToGrid w:val="0"/>
                <w:color w:val="0F1115"/>
                <w:shd w:val="clear" w:color="auto" w:fill="FFFFFF"/>
              </w:rPr>
              <w:t>24h postoperatively</w:t>
            </w:r>
          </w:p>
        </w:tc>
        <w:tc>
          <w:tcPr>
            <w:tcW w:w="1047" w:type="pct"/>
            <w:tcBorders>
              <w:top w:val="single" w:sz="4" w:space="0" w:color="auto"/>
              <w:left w:val="nil"/>
              <w:bottom w:val="nil"/>
              <w:right w:val="nil"/>
            </w:tcBorders>
            <w:tcMar>
              <w:top w:w="-1" w:type="dxa"/>
              <w:left w:w="-1" w:type="dxa"/>
              <w:bottom w:w="-1" w:type="dxa"/>
              <w:right w:w="-1" w:type="dxa"/>
            </w:tcMar>
          </w:tcPr>
          <w:p w14:paraId="239AE078" w14:textId="77777777" w:rsidR="00C32645" w:rsidRDefault="00C44B25" w:rsidP="00CB525F">
            <w:pPr>
              <w:pStyle w:val="NormalWeb"/>
              <w:widowControl/>
              <w:snapToGrid w:val="0"/>
              <w:jc w:val="center"/>
              <w:rPr>
                <w:rFonts w:ascii="Times New Roman" w:hAnsi="Times New Roman" w:cs="Times New Roman"/>
                <w:b/>
                <w:bCs/>
              </w:rPr>
            </w:pPr>
            <w:r>
              <w:rPr>
                <w:rFonts w:ascii="Times New Roman" w:eastAsia="Segoe UI" w:hAnsi="Times New Roman" w:cs="Times New Roman"/>
                <w:b/>
                <w:bCs/>
                <w:snapToGrid w:val="0"/>
                <w:color w:val="0F1115"/>
                <w:shd w:val="clear" w:color="auto" w:fill="FFFFFF"/>
              </w:rPr>
              <w:t>48h postoperatively</w:t>
            </w:r>
          </w:p>
        </w:tc>
      </w:tr>
      <w:tr w:rsidR="00C32645" w14:paraId="1560B292" w14:textId="77777777">
        <w:trPr>
          <w:tblHeader/>
          <w:jc w:val="center"/>
        </w:trPr>
        <w:tc>
          <w:tcPr>
            <w:tcW w:w="1005" w:type="pct"/>
            <w:tcBorders>
              <w:top w:val="single" w:sz="4" w:space="0" w:color="auto"/>
              <w:left w:val="nil"/>
              <w:bottom w:val="nil"/>
              <w:right w:val="nil"/>
            </w:tcBorders>
            <w:tcMar>
              <w:top w:w="-1" w:type="dxa"/>
              <w:left w:w="-1" w:type="dxa"/>
              <w:bottom w:w="-1" w:type="dxa"/>
              <w:right w:w="-1" w:type="dxa"/>
            </w:tcMar>
          </w:tcPr>
          <w:p w14:paraId="6F45B5EA" w14:textId="77777777" w:rsidR="00C32645" w:rsidRDefault="00C44B25" w:rsidP="00CB525F">
            <w:pPr>
              <w:pStyle w:val="NormalWeb"/>
              <w:widowControl/>
              <w:snapToGrid w:val="0"/>
              <w:jc w:val="left"/>
              <w:rPr>
                <w:rFonts w:ascii="Times New Roman" w:hAnsi="Times New Roman" w:cs="Times New Roman"/>
              </w:rPr>
            </w:pPr>
            <w:r>
              <w:rPr>
                <w:rFonts w:ascii="Times New Roman" w:eastAsia="Segoe UI" w:hAnsi="Times New Roman" w:cs="Times New Roman"/>
                <w:snapToGrid w:val="0"/>
                <w:color w:val="0F1115"/>
                <w:shd w:val="clear" w:color="auto" w:fill="FFFFFF"/>
              </w:rPr>
              <w:t>Control group</w:t>
            </w:r>
          </w:p>
        </w:tc>
        <w:tc>
          <w:tcPr>
            <w:tcW w:w="909" w:type="pct"/>
            <w:tcBorders>
              <w:top w:val="single" w:sz="4" w:space="0" w:color="auto"/>
              <w:left w:val="nil"/>
              <w:bottom w:val="nil"/>
              <w:right w:val="nil"/>
            </w:tcBorders>
            <w:tcMar>
              <w:top w:w="-1" w:type="dxa"/>
              <w:left w:w="-1" w:type="dxa"/>
              <w:bottom w:w="-1" w:type="dxa"/>
              <w:right w:w="-1" w:type="dxa"/>
            </w:tcMar>
          </w:tcPr>
          <w:p w14:paraId="6060CEE9" w14:textId="77777777" w:rsidR="00C32645" w:rsidRDefault="00C44B25" w:rsidP="00CB525F">
            <w:pPr>
              <w:pStyle w:val="NormalWeb"/>
              <w:widowControl/>
              <w:snapToGrid w:val="0"/>
              <w:jc w:val="center"/>
              <w:rPr>
                <w:rFonts w:ascii="Times New Roman" w:hAnsi="Times New Roman" w:cs="Times New Roman"/>
              </w:rPr>
            </w:pPr>
            <w:r>
              <w:rPr>
                <w:rFonts w:ascii="Times New Roman" w:eastAsia="Segoe UI" w:hAnsi="Times New Roman" w:cs="Times New Roman"/>
                <w:snapToGrid w:val="0"/>
                <w:color w:val="0F1115"/>
                <w:shd w:val="clear" w:color="auto" w:fill="FFFFFF"/>
              </w:rPr>
              <w:t>78</w:t>
            </w:r>
          </w:p>
        </w:tc>
        <w:tc>
          <w:tcPr>
            <w:tcW w:w="990" w:type="pct"/>
            <w:tcBorders>
              <w:top w:val="single" w:sz="4" w:space="0" w:color="auto"/>
              <w:left w:val="nil"/>
              <w:bottom w:val="nil"/>
              <w:right w:val="nil"/>
            </w:tcBorders>
            <w:tcMar>
              <w:top w:w="-1" w:type="dxa"/>
              <w:left w:w="-1" w:type="dxa"/>
              <w:bottom w:w="-1" w:type="dxa"/>
              <w:right w:w="-1" w:type="dxa"/>
            </w:tcMar>
          </w:tcPr>
          <w:p w14:paraId="7CEEB90D" w14:textId="53F1A1E9" w:rsidR="00C32645" w:rsidRDefault="00C44B25" w:rsidP="00CB525F">
            <w:pPr>
              <w:pStyle w:val="NormalWeb"/>
              <w:widowControl/>
              <w:snapToGrid w:val="0"/>
              <w:jc w:val="center"/>
              <w:rPr>
                <w:rFonts w:ascii="Times New Roman" w:hAnsi="Times New Roman" w:cs="Times New Roman"/>
              </w:rPr>
            </w:pPr>
            <w:r>
              <w:rPr>
                <w:rFonts w:ascii="Times New Roman" w:eastAsia="Segoe UI" w:hAnsi="Times New Roman" w:cs="Times New Roman"/>
                <w:snapToGrid w:val="0"/>
                <w:color w:val="0F1115"/>
                <w:shd w:val="clear" w:color="auto" w:fill="FFFFFF"/>
              </w:rPr>
              <w:t>4.27</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1.38</w:t>
            </w:r>
          </w:p>
        </w:tc>
        <w:tc>
          <w:tcPr>
            <w:tcW w:w="1047" w:type="pct"/>
            <w:tcBorders>
              <w:top w:val="single" w:sz="4" w:space="0" w:color="auto"/>
              <w:left w:val="nil"/>
              <w:bottom w:val="nil"/>
              <w:right w:val="nil"/>
            </w:tcBorders>
            <w:tcMar>
              <w:top w:w="-1" w:type="dxa"/>
              <w:left w:w="-1" w:type="dxa"/>
              <w:bottom w:w="-1" w:type="dxa"/>
              <w:right w:w="-1" w:type="dxa"/>
            </w:tcMar>
          </w:tcPr>
          <w:p w14:paraId="6D3E23F4" w14:textId="1E2FEACB" w:rsidR="00C32645" w:rsidRDefault="00C44B25" w:rsidP="00CB525F">
            <w:pPr>
              <w:pStyle w:val="NormalWeb"/>
              <w:widowControl/>
              <w:snapToGrid w:val="0"/>
              <w:jc w:val="center"/>
              <w:rPr>
                <w:rFonts w:ascii="Times New Roman" w:hAnsi="Times New Roman" w:cs="Times New Roman"/>
              </w:rPr>
            </w:pPr>
            <w:r>
              <w:rPr>
                <w:rFonts w:ascii="Times New Roman" w:eastAsia="Segoe UI" w:hAnsi="Times New Roman" w:cs="Times New Roman"/>
                <w:snapToGrid w:val="0"/>
                <w:color w:val="0F1115"/>
                <w:shd w:val="clear" w:color="auto" w:fill="FFFFFF"/>
              </w:rPr>
              <w:t>3.86</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1.34</w:t>
            </w:r>
          </w:p>
        </w:tc>
        <w:tc>
          <w:tcPr>
            <w:tcW w:w="1047" w:type="pct"/>
            <w:tcBorders>
              <w:top w:val="single" w:sz="4" w:space="0" w:color="auto"/>
              <w:left w:val="nil"/>
              <w:bottom w:val="nil"/>
              <w:right w:val="nil"/>
            </w:tcBorders>
            <w:tcMar>
              <w:top w:w="-1" w:type="dxa"/>
              <w:left w:w="-1" w:type="dxa"/>
              <w:bottom w:w="-1" w:type="dxa"/>
              <w:right w:w="-1" w:type="dxa"/>
            </w:tcMar>
          </w:tcPr>
          <w:p w14:paraId="03F627C7" w14:textId="67BE5804" w:rsidR="00C32645" w:rsidRDefault="00C44B25" w:rsidP="00CB525F">
            <w:pPr>
              <w:pStyle w:val="NormalWeb"/>
              <w:widowControl/>
              <w:snapToGrid w:val="0"/>
              <w:jc w:val="center"/>
              <w:rPr>
                <w:rFonts w:ascii="Times New Roman" w:hAnsi="Times New Roman" w:cs="Times New Roman"/>
              </w:rPr>
            </w:pPr>
            <w:r>
              <w:rPr>
                <w:rFonts w:ascii="Times New Roman" w:eastAsia="Segoe UI" w:hAnsi="Times New Roman" w:cs="Times New Roman"/>
                <w:snapToGrid w:val="0"/>
                <w:color w:val="0F1115"/>
                <w:shd w:val="clear" w:color="auto" w:fill="FFFFFF"/>
              </w:rPr>
              <w:t>3.06</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1.19</w:t>
            </w:r>
          </w:p>
        </w:tc>
      </w:tr>
      <w:tr w:rsidR="00C32645" w14:paraId="2E2F5F31" w14:textId="77777777">
        <w:trPr>
          <w:tblHeader/>
          <w:jc w:val="center"/>
        </w:trPr>
        <w:tc>
          <w:tcPr>
            <w:tcW w:w="1005" w:type="pct"/>
            <w:tcBorders>
              <w:top w:val="nil"/>
              <w:left w:val="nil"/>
              <w:bottom w:val="nil"/>
              <w:right w:val="nil"/>
            </w:tcBorders>
            <w:tcMar>
              <w:top w:w="-1" w:type="dxa"/>
              <w:left w:w="-1" w:type="dxa"/>
              <w:bottom w:w="-1" w:type="dxa"/>
              <w:right w:w="-1" w:type="dxa"/>
            </w:tcMar>
          </w:tcPr>
          <w:p w14:paraId="39AF4423" w14:textId="77777777" w:rsidR="00C32645" w:rsidRDefault="00C44B25" w:rsidP="00CB525F">
            <w:pPr>
              <w:pStyle w:val="NormalWeb"/>
              <w:widowControl/>
              <w:snapToGrid w:val="0"/>
              <w:jc w:val="left"/>
              <w:rPr>
                <w:rFonts w:ascii="Times New Roman" w:hAnsi="Times New Roman" w:cs="Times New Roman"/>
              </w:rPr>
            </w:pPr>
            <w:r>
              <w:rPr>
                <w:rFonts w:ascii="Times New Roman" w:eastAsia="Segoe UI" w:hAnsi="Times New Roman" w:cs="Times New Roman"/>
                <w:snapToGrid w:val="0"/>
                <w:color w:val="0F1115"/>
                <w:shd w:val="clear" w:color="auto" w:fill="FFFFFF"/>
              </w:rPr>
              <w:t>Intervention group</w:t>
            </w:r>
          </w:p>
        </w:tc>
        <w:tc>
          <w:tcPr>
            <w:tcW w:w="909" w:type="pct"/>
            <w:tcBorders>
              <w:top w:val="nil"/>
              <w:left w:val="nil"/>
              <w:bottom w:val="nil"/>
              <w:right w:val="nil"/>
            </w:tcBorders>
            <w:tcMar>
              <w:top w:w="-1" w:type="dxa"/>
              <w:left w:w="-1" w:type="dxa"/>
              <w:bottom w:w="-1" w:type="dxa"/>
              <w:right w:w="-1" w:type="dxa"/>
            </w:tcMar>
          </w:tcPr>
          <w:p w14:paraId="13D5B5EE" w14:textId="77777777" w:rsidR="00C32645" w:rsidRDefault="00C44B25" w:rsidP="00CB525F">
            <w:pPr>
              <w:pStyle w:val="NormalWeb"/>
              <w:widowControl/>
              <w:snapToGrid w:val="0"/>
              <w:jc w:val="center"/>
              <w:rPr>
                <w:rFonts w:ascii="Times New Roman" w:hAnsi="Times New Roman" w:cs="Times New Roman"/>
              </w:rPr>
            </w:pPr>
            <w:r>
              <w:rPr>
                <w:rFonts w:ascii="Times New Roman" w:eastAsia="Segoe UI" w:hAnsi="Times New Roman" w:cs="Times New Roman"/>
                <w:snapToGrid w:val="0"/>
                <w:color w:val="0F1115"/>
                <w:shd w:val="clear" w:color="auto" w:fill="FFFFFF"/>
              </w:rPr>
              <w:t>78</w:t>
            </w:r>
          </w:p>
        </w:tc>
        <w:tc>
          <w:tcPr>
            <w:tcW w:w="990" w:type="pct"/>
            <w:tcBorders>
              <w:top w:val="nil"/>
              <w:left w:val="nil"/>
              <w:bottom w:val="nil"/>
              <w:right w:val="nil"/>
            </w:tcBorders>
            <w:tcMar>
              <w:top w:w="-1" w:type="dxa"/>
              <w:left w:w="-1" w:type="dxa"/>
              <w:bottom w:w="-1" w:type="dxa"/>
              <w:right w:w="-1" w:type="dxa"/>
            </w:tcMar>
          </w:tcPr>
          <w:p w14:paraId="08B11C51" w14:textId="0206175E" w:rsidR="00C32645" w:rsidRDefault="00C44B25" w:rsidP="00CB525F">
            <w:pPr>
              <w:pStyle w:val="NormalWeb"/>
              <w:widowControl/>
              <w:snapToGrid w:val="0"/>
              <w:jc w:val="center"/>
              <w:rPr>
                <w:rFonts w:ascii="Times New Roman" w:hAnsi="Times New Roman" w:cs="Times New Roman"/>
              </w:rPr>
            </w:pPr>
            <w:r>
              <w:rPr>
                <w:rFonts w:ascii="Times New Roman" w:eastAsia="Segoe UI" w:hAnsi="Times New Roman" w:cs="Times New Roman"/>
                <w:snapToGrid w:val="0"/>
                <w:color w:val="0F1115"/>
                <w:shd w:val="clear" w:color="auto" w:fill="FFFFFF"/>
              </w:rPr>
              <w:t>3.48</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1.53</w:t>
            </w:r>
          </w:p>
        </w:tc>
        <w:tc>
          <w:tcPr>
            <w:tcW w:w="1047" w:type="pct"/>
            <w:tcBorders>
              <w:top w:val="nil"/>
              <w:left w:val="nil"/>
              <w:bottom w:val="nil"/>
              <w:right w:val="nil"/>
            </w:tcBorders>
            <w:tcMar>
              <w:top w:w="-1" w:type="dxa"/>
              <w:left w:w="-1" w:type="dxa"/>
              <w:bottom w:w="-1" w:type="dxa"/>
              <w:right w:w="-1" w:type="dxa"/>
            </w:tcMar>
          </w:tcPr>
          <w:p w14:paraId="0D981364" w14:textId="60C3C911" w:rsidR="00C32645" w:rsidRDefault="00C44B25" w:rsidP="00CB525F">
            <w:pPr>
              <w:pStyle w:val="NormalWeb"/>
              <w:widowControl/>
              <w:snapToGrid w:val="0"/>
              <w:jc w:val="center"/>
              <w:rPr>
                <w:rFonts w:ascii="Times New Roman" w:hAnsi="Times New Roman" w:cs="Times New Roman"/>
              </w:rPr>
            </w:pPr>
            <w:r>
              <w:rPr>
                <w:rFonts w:ascii="Times New Roman" w:eastAsia="Segoe UI" w:hAnsi="Times New Roman" w:cs="Times New Roman"/>
                <w:snapToGrid w:val="0"/>
                <w:color w:val="0F1115"/>
                <w:shd w:val="clear" w:color="auto" w:fill="FFFFFF"/>
              </w:rPr>
              <w:t>2.77</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1.36</w:t>
            </w:r>
          </w:p>
        </w:tc>
        <w:tc>
          <w:tcPr>
            <w:tcW w:w="1047" w:type="pct"/>
            <w:tcBorders>
              <w:top w:val="nil"/>
              <w:left w:val="nil"/>
              <w:bottom w:val="nil"/>
              <w:right w:val="nil"/>
            </w:tcBorders>
            <w:tcMar>
              <w:top w:w="-1" w:type="dxa"/>
              <w:left w:w="-1" w:type="dxa"/>
              <w:bottom w:w="-1" w:type="dxa"/>
              <w:right w:w="-1" w:type="dxa"/>
            </w:tcMar>
          </w:tcPr>
          <w:p w14:paraId="1E2C8D24" w14:textId="05693353" w:rsidR="00C32645" w:rsidRDefault="00C44B25" w:rsidP="00CB525F">
            <w:pPr>
              <w:pStyle w:val="NormalWeb"/>
              <w:widowControl/>
              <w:snapToGrid w:val="0"/>
              <w:jc w:val="center"/>
              <w:rPr>
                <w:rFonts w:ascii="Times New Roman" w:hAnsi="Times New Roman" w:cs="Times New Roman"/>
              </w:rPr>
            </w:pPr>
            <w:r>
              <w:rPr>
                <w:rFonts w:ascii="Times New Roman" w:eastAsia="Segoe UI" w:hAnsi="Times New Roman" w:cs="Times New Roman"/>
                <w:snapToGrid w:val="0"/>
                <w:color w:val="0F1115"/>
                <w:shd w:val="clear" w:color="auto" w:fill="FFFFFF"/>
              </w:rPr>
              <w:t>2.24</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1.12</w:t>
            </w:r>
          </w:p>
        </w:tc>
      </w:tr>
      <w:tr w:rsidR="00C32645" w14:paraId="283EDB19" w14:textId="77777777">
        <w:trPr>
          <w:trHeight w:val="298"/>
          <w:tblHeader/>
          <w:jc w:val="center"/>
        </w:trPr>
        <w:tc>
          <w:tcPr>
            <w:tcW w:w="1005" w:type="pct"/>
            <w:tcBorders>
              <w:top w:val="nil"/>
              <w:left w:val="nil"/>
              <w:bottom w:val="nil"/>
              <w:right w:val="nil"/>
            </w:tcBorders>
            <w:tcMar>
              <w:top w:w="-1" w:type="dxa"/>
              <w:left w:w="-1" w:type="dxa"/>
              <w:bottom w:w="-1" w:type="dxa"/>
              <w:right w:w="-1" w:type="dxa"/>
            </w:tcMar>
          </w:tcPr>
          <w:p w14:paraId="6A63AEB8" w14:textId="77777777" w:rsidR="00C32645" w:rsidRDefault="00C44B25" w:rsidP="00CB525F">
            <w:pPr>
              <w:pStyle w:val="NormalWeb"/>
              <w:widowControl/>
              <w:snapToGrid w:val="0"/>
              <w:jc w:val="left"/>
              <w:rPr>
                <w:rFonts w:ascii="Times New Roman" w:hAnsi="Times New Roman" w:cs="Times New Roman"/>
              </w:rPr>
            </w:pPr>
            <w:r>
              <w:rPr>
                <w:rFonts w:ascii="Times New Roman" w:eastAsia="Segoe UI" w:hAnsi="Times New Roman" w:cs="Times New Roman"/>
                <w:i/>
                <w:iCs/>
                <w:snapToGrid w:val="0"/>
                <w:color w:val="0F1115"/>
                <w:shd w:val="clear" w:color="auto" w:fill="FFFFFF"/>
              </w:rPr>
              <w:t>t</w:t>
            </w:r>
            <w:r>
              <w:rPr>
                <w:rFonts w:ascii="Times New Roman" w:eastAsia="Segoe UI" w:hAnsi="Times New Roman" w:cs="Times New Roman"/>
                <w:snapToGrid w:val="0"/>
                <w:color w:val="0F1115"/>
                <w:shd w:val="clear" w:color="auto" w:fill="FFFFFF"/>
              </w:rPr>
              <w:t xml:space="preserve"> value</w:t>
            </w:r>
          </w:p>
        </w:tc>
        <w:tc>
          <w:tcPr>
            <w:tcW w:w="909" w:type="pct"/>
            <w:tcBorders>
              <w:top w:val="nil"/>
              <w:left w:val="nil"/>
              <w:bottom w:val="nil"/>
              <w:right w:val="nil"/>
            </w:tcBorders>
            <w:tcMar>
              <w:top w:w="-1" w:type="dxa"/>
              <w:left w:w="-1" w:type="dxa"/>
              <w:bottom w:w="-1" w:type="dxa"/>
              <w:right w:w="-1" w:type="dxa"/>
            </w:tcMar>
          </w:tcPr>
          <w:p w14:paraId="0D32B378" w14:textId="77777777" w:rsidR="00C32645" w:rsidRDefault="00C44B25" w:rsidP="00CB525F">
            <w:pPr>
              <w:pStyle w:val="NormalWeb"/>
              <w:widowControl/>
              <w:snapToGrid w:val="0"/>
              <w:jc w:val="center"/>
              <w:rPr>
                <w:rFonts w:ascii="Times New Roman" w:hAnsi="Times New Roman" w:cs="Times New Roman"/>
              </w:rPr>
            </w:pPr>
            <w:r>
              <w:rPr>
                <w:rFonts w:ascii="Times New Roman" w:eastAsia="Segoe UI" w:hAnsi="Times New Roman" w:cs="Times New Roman"/>
                <w:snapToGrid w:val="0"/>
                <w:color w:val="0F1115"/>
                <w:shd w:val="clear" w:color="auto" w:fill="FFFFFF"/>
              </w:rPr>
              <w:t>-</w:t>
            </w:r>
          </w:p>
        </w:tc>
        <w:tc>
          <w:tcPr>
            <w:tcW w:w="990" w:type="pct"/>
            <w:tcBorders>
              <w:top w:val="nil"/>
              <w:left w:val="nil"/>
              <w:bottom w:val="nil"/>
              <w:right w:val="nil"/>
            </w:tcBorders>
            <w:tcMar>
              <w:top w:w="-1" w:type="dxa"/>
              <w:left w:w="-1" w:type="dxa"/>
              <w:bottom w:w="-1" w:type="dxa"/>
              <w:right w:w="-1" w:type="dxa"/>
            </w:tcMar>
          </w:tcPr>
          <w:p w14:paraId="6D1BC846" w14:textId="77777777" w:rsidR="00C32645" w:rsidRDefault="00C44B25" w:rsidP="00CB525F">
            <w:pPr>
              <w:pStyle w:val="NormalWeb"/>
              <w:widowControl/>
              <w:snapToGrid w:val="0"/>
              <w:jc w:val="center"/>
              <w:rPr>
                <w:rFonts w:ascii="Times New Roman" w:hAnsi="Times New Roman" w:cs="Times New Roman"/>
              </w:rPr>
            </w:pPr>
            <w:r>
              <w:rPr>
                <w:rFonts w:ascii="Times New Roman" w:eastAsia="Segoe UI" w:hAnsi="Times New Roman" w:cs="Times New Roman"/>
                <w:snapToGrid w:val="0"/>
                <w:color w:val="0F1115"/>
                <w:shd w:val="clear" w:color="auto" w:fill="FFFFFF"/>
              </w:rPr>
              <w:t>3.58</w:t>
            </w:r>
          </w:p>
        </w:tc>
        <w:tc>
          <w:tcPr>
            <w:tcW w:w="1047" w:type="pct"/>
            <w:tcBorders>
              <w:top w:val="nil"/>
              <w:left w:val="nil"/>
              <w:bottom w:val="nil"/>
              <w:right w:val="nil"/>
            </w:tcBorders>
            <w:tcMar>
              <w:top w:w="-1" w:type="dxa"/>
              <w:left w:w="-1" w:type="dxa"/>
              <w:bottom w:w="-1" w:type="dxa"/>
              <w:right w:w="-1" w:type="dxa"/>
            </w:tcMar>
          </w:tcPr>
          <w:p w14:paraId="5DDF22C9" w14:textId="77777777" w:rsidR="00C32645" w:rsidRDefault="00C44B25" w:rsidP="00CB525F">
            <w:pPr>
              <w:pStyle w:val="NormalWeb"/>
              <w:widowControl/>
              <w:snapToGrid w:val="0"/>
              <w:jc w:val="center"/>
              <w:rPr>
                <w:rFonts w:ascii="Times New Roman" w:hAnsi="Times New Roman" w:cs="Times New Roman"/>
              </w:rPr>
            </w:pPr>
            <w:r>
              <w:rPr>
                <w:rFonts w:ascii="Times New Roman" w:eastAsia="Segoe UI" w:hAnsi="Times New Roman" w:cs="Times New Roman"/>
                <w:snapToGrid w:val="0"/>
                <w:color w:val="0F1115"/>
                <w:shd w:val="clear" w:color="auto" w:fill="FFFFFF"/>
              </w:rPr>
              <w:t>5.31</w:t>
            </w:r>
          </w:p>
        </w:tc>
        <w:tc>
          <w:tcPr>
            <w:tcW w:w="1047" w:type="pct"/>
            <w:tcBorders>
              <w:top w:val="nil"/>
              <w:left w:val="nil"/>
              <w:bottom w:val="nil"/>
              <w:right w:val="nil"/>
            </w:tcBorders>
            <w:tcMar>
              <w:top w:w="-1" w:type="dxa"/>
              <w:left w:w="-1" w:type="dxa"/>
              <w:bottom w:w="-1" w:type="dxa"/>
              <w:right w:w="-1" w:type="dxa"/>
            </w:tcMar>
          </w:tcPr>
          <w:p w14:paraId="54464E83" w14:textId="77777777" w:rsidR="00C32645" w:rsidRDefault="00C44B25" w:rsidP="00CB525F">
            <w:pPr>
              <w:pStyle w:val="NormalWeb"/>
              <w:widowControl/>
              <w:snapToGrid w:val="0"/>
              <w:jc w:val="center"/>
              <w:rPr>
                <w:rFonts w:ascii="Times New Roman" w:hAnsi="Times New Roman" w:cs="Times New Roman"/>
              </w:rPr>
            </w:pPr>
            <w:r>
              <w:rPr>
                <w:rFonts w:ascii="Times New Roman" w:eastAsia="Segoe UI" w:hAnsi="Times New Roman" w:cs="Times New Roman"/>
                <w:snapToGrid w:val="0"/>
                <w:color w:val="0F1115"/>
                <w:shd w:val="clear" w:color="auto" w:fill="FFFFFF"/>
              </w:rPr>
              <w:t>4.95</w:t>
            </w:r>
          </w:p>
        </w:tc>
      </w:tr>
      <w:tr w:rsidR="00C32645" w14:paraId="1FB9AFEA" w14:textId="77777777" w:rsidTr="00CB525F">
        <w:trPr>
          <w:tblHeader/>
          <w:jc w:val="center"/>
        </w:trPr>
        <w:tc>
          <w:tcPr>
            <w:tcW w:w="1005" w:type="pct"/>
            <w:tcBorders>
              <w:top w:val="nil"/>
              <w:left w:val="nil"/>
              <w:bottom w:val="single" w:sz="4" w:space="0" w:color="auto"/>
              <w:right w:val="nil"/>
            </w:tcBorders>
            <w:tcMar>
              <w:top w:w="-1" w:type="dxa"/>
              <w:left w:w="-1" w:type="dxa"/>
              <w:bottom w:w="-1" w:type="dxa"/>
              <w:right w:w="-1" w:type="dxa"/>
            </w:tcMar>
          </w:tcPr>
          <w:p w14:paraId="0E6809F4" w14:textId="70F0F2B7" w:rsidR="00C32645" w:rsidRDefault="00E17E46" w:rsidP="00CB525F">
            <w:pPr>
              <w:pStyle w:val="NormalWeb"/>
              <w:widowControl/>
              <w:snapToGrid w:val="0"/>
              <w:jc w:val="left"/>
              <w:rPr>
                <w:rFonts w:ascii="Times New Roman" w:hAnsi="Times New Roman" w:cs="Times New Roman"/>
              </w:rPr>
            </w:pPr>
            <w:r>
              <w:rPr>
                <w:rFonts w:ascii="Times New Roman" w:eastAsia="Segoe UI" w:hAnsi="Times New Roman" w:cs="Times New Roman"/>
                <w:i/>
                <w:iCs/>
                <w:snapToGrid w:val="0"/>
                <w:color w:val="0F1115"/>
                <w:shd w:val="clear" w:color="auto" w:fill="FFFFFF"/>
              </w:rPr>
              <w:t>p</w:t>
            </w:r>
            <w:r>
              <w:rPr>
                <w:rFonts w:ascii="Times New Roman" w:eastAsia="Segoe UI" w:hAnsi="Times New Roman" w:cs="Times New Roman"/>
                <w:snapToGrid w:val="0"/>
                <w:color w:val="0F1115"/>
                <w:shd w:val="clear" w:color="auto" w:fill="FFFFFF"/>
              </w:rPr>
              <w:t xml:space="preserve"> </w:t>
            </w:r>
            <w:r w:rsidR="00C44B25">
              <w:rPr>
                <w:rFonts w:ascii="Times New Roman" w:eastAsia="Segoe UI" w:hAnsi="Times New Roman" w:cs="Times New Roman"/>
                <w:snapToGrid w:val="0"/>
                <w:color w:val="0F1115"/>
                <w:shd w:val="clear" w:color="auto" w:fill="FFFFFF"/>
              </w:rPr>
              <w:t>value</w:t>
            </w:r>
          </w:p>
        </w:tc>
        <w:tc>
          <w:tcPr>
            <w:tcW w:w="909" w:type="pct"/>
            <w:tcBorders>
              <w:top w:val="nil"/>
              <w:left w:val="nil"/>
              <w:bottom w:val="single" w:sz="4" w:space="0" w:color="auto"/>
              <w:right w:val="nil"/>
            </w:tcBorders>
            <w:tcMar>
              <w:top w:w="-1" w:type="dxa"/>
              <w:left w:w="-1" w:type="dxa"/>
              <w:bottom w:w="-1" w:type="dxa"/>
              <w:right w:w="-1" w:type="dxa"/>
            </w:tcMar>
          </w:tcPr>
          <w:p w14:paraId="48528E23" w14:textId="77777777" w:rsidR="00C32645" w:rsidRDefault="00C44B25" w:rsidP="00CB525F">
            <w:pPr>
              <w:pStyle w:val="NormalWeb"/>
              <w:widowControl/>
              <w:snapToGrid w:val="0"/>
              <w:jc w:val="center"/>
              <w:rPr>
                <w:rFonts w:ascii="Times New Roman" w:hAnsi="Times New Roman" w:cs="Times New Roman"/>
              </w:rPr>
            </w:pPr>
            <w:r>
              <w:rPr>
                <w:rFonts w:ascii="Times New Roman" w:eastAsia="Segoe UI" w:hAnsi="Times New Roman" w:cs="Times New Roman"/>
                <w:snapToGrid w:val="0"/>
                <w:color w:val="0F1115"/>
                <w:shd w:val="clear" w:color="auto" w:fill="FFFFFF"/>
              </w:rPr>
              <w:t>-</w:t>
            </w:r>
          </w:p>
        </w:tc>
        <w:tc>
          <w:tcPr>
            <w:tcW w:w="990" w:type="pct"/>
            <w:tcBorders>
              <w:top w:val="nil"/>
              <w:left w:val="nil"/>
              <w:bottom w:val="single" w:sz="4" w:space="0" w:color="auto"/>
              <w:right w:val="nil"/>
            </w:tcBorders>
            <w:tcMar>
              <w:top w:w="-1" w:type="dxa"/>
              <w:left w:w="-1" w:type="dxa"/>
              <w:bottom w:w="-1" w:type="dxa"/>
              <w:right w:w="-1" w:type="dxa"/>
            </w:tcMar>
          </w:tcPr>
          <w:p w14:paraId="2223ACE8" w14:textId="77777777" w:rsidR="00C32645" w:rsidRDefault="00C44B25" w:rsidP="00CB525F">
            <w:pPr>
              <w:pStyle w:val="NormalWeb"/>
              <w:widowControl/>
              <w:snapToGrid w:val="0"/>
              <w:jc w:val="center"/>
              <w:rPr>
                <w:rFonts w:ascii="Times New Roman" w:hAnsi="Times New Roman" w:cs="Times New Roman"/>
              </w:rPr>
            </w:pPr>
            <w:r>
              <w:rPr>
                <w:rFonts w:ascii="Times New Roman" w:eastAsia="Segoe UI" w:hAnsi="Times New Roman" w:cs="Times New Roman"/>
                <w:snapToGrid w:val="0"/>
                <w:color w:val="0F1115"/>
                <w:shd w:val="clear" w:color="auto" w:fill="FFFFFF"/>
              </w:rPr>
              <w:t>0.001</w:t>
            </w:r>
          </w:p>
        </w:tc>
        <w:tc>
          <w:tcPr>
            <w:tcW w:w="1047" w:type="pct"/>
            <w:tcBorders>
              <w:top w:val="nil"/>
              <w:left w:val="nil"/>
              <w:bottom w:val="single" w:sz="4" w:space="0" w:color="auto"/>
              <w:right w:val="nil"/>
            </w:tcBorders>
            <w:tcMar>
              <w:top w:w="-1" w:type="dxa"/>
              <w:left w:w="-1" w:type="dxa"/>
              <w:bottom w:w="-1" w:type="dxa"/>
              <w:right w:w="-1" w:type="dxa"/>
            </w:tcMar>
          </w:tcPr>
          <w:p w14:paraId="4DAD121A" w14:textId="09C23F98" w:rsidR="00C32645" w:rsidRDefault="00C44B25" w:rsidP="00CB525F">
            <w:pPr>
              <w:pStyle w:val="NormalWeb"/>
              <w:widowControl/>
              <w:snapToGrid w:val="0"/>
              <w:jc w:val="center"/>
              <w:rPr>
                <w:rFonts w:ascii="Times New Roman" w:hAnsi="Times New Roman" w:cs="Times New Roman"/>
              </w:rPr>
            </w:pPr>
            <w:r>
              <w:rPr>
                <w:rFonts w:ascii="Times New Roman" w:eastAsia="Segoe UI" w:hAnsi="Times New Roman" w:cs="Times New Roman"/>
                <w:snapToGrid w:val="0"/>
                <w:color w:val="0F1115"/>
                <w:shd w:val="clear" w:color="auto" w:fill="FFFFFF"/>
              </w:rPr>
              <w:t>&lt;</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0.001</w:t>
            </w:r>
          </w:p>
        </w:tc>
        <w:tc>
          <w:tcPr>
            <w:tcW w:w="1047" w:type="pct"/>
            <w:tcBorders>
              <w:top w:val="nil"/>
              <w:left w:val="nil"/>
              <w:bottom w:val="single" w:sz="4" w:space="0" w:color="auto"/>
              <w:right w:val="nil"/>
            </w:tcBorders>
            <w:tcMar>
              <w:top w:w="-1" w:type="dxa"/>
              <w:left w:w="-1" w:type="dxa"/>
              <w:bottom w:w="-1" w:type="dxa"/>
              <w:right w:w="-1" w:type="dxa"/>
            </w:tcMar>
          </w:tcPr>
          <w:p w14:paraId="039C56C7" w14:textId="63B029CA" w:rsidR="00C32645" w:rsidRDefault="00C44B25" w:rsidP="00CB525F">
            <w:pPr>
              <w:pStyle w:val="NormalWeb"/>
              <w:widowControl/>
              <w:snapToGrid w:val="0"/>
              <w:jc w:val="center"/>
              <w:rPr>
                <w:rFonts w:ascii="Times New Roman" w:hAnsi="Times New Roman" w:cs="Times New Roman"/>
              </w:rPr>
            </w:pPr>
            <w:r>
              <w:rPr>
                <w:rFonts w:ascii="Times New Roman" w:eastAsia="Segoe UI" w:hAnsi="Times New Roman" w:cs="Times New Roman"/>
                <w:snapToGrid w:val="0"/>
                <w:color w:val="0F1115"/>
                <w:shd w:val="clear" w:color="auto" w:fill="FFFFFF"/>
              </w:rPr>
              <w:t>&lt;</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0.001</w:t>
            </w:r>
          </w:p>
        </w:tc>
      </w:tr>
    </w:tbl>
    <w:p w14:paraId="319E7083" w14:textId="77777777" w:rsidR="00C32645" w:rsidRDefault="00C32645" w:rsidP="00CB525F">
      <w:pPr>
        <w:snapToGrid w:val="0"/>
        <w:rPr>
          <w:rFonts w:ascii="Times New Roman" w:hAnsi="Times New Roman" w:cs="Times New Roman"/>
          <w:sz w:val="24"/>
        </w:rPr>
      </w:pPr>
    </w:p>
    <w:p w14:paraId="264F1687" w14:textId="77777777" w:rsidR="00C32645" w:rsidRDefault="00C44B25" w:rsidP="00CB525F">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.3</w:t>
      </w:r>
      <w:r>
        <w:rPr>
          <w:rFonts w:ascii="Times New Roman" w:hAnsi="Times New Roman" w:cs="Times New Roman"/>
          <w:b/>
          <w:bCs/>
          <w:sz w:val="24"/>
        </w:rPr>
        <w:t>.</w:t>
      </w:r>
      <w:r>
        <w:rPr>
          <w:rFonts w:ascii="Times New Roman" w:hAnsi="Times New Roman" w:cs="Times New Roman"/>
          <w:b/>
          <w:bCs/>
          <w:sz w:val="24"/>
        </w:rPr>
        <w:t xml:space="preserve"> Comparison of </w:t>
      </w:r>
      <w:r>
        <w:rPr>
          <w:rFonts w:ascii="Times New Roman" w:hAnsi="Times New Roman" w:cs="Times New Roman" w:hint="eastAsia"/>
          <w:b/>
          <w:bCs/>
          <w:sz w:val="24"/>
        </w:rPr>
        <w:t>p</w:t>
      </w:r>
      <w:r>
        <w:rPr>
          <w:rFonts w:ascii="Times New Roman" w:hAnsi="Times New Roman" w:cs="Times New Roman"/>
          <w:b/>
          <w:bCs/>
          <w:sz w:val="24"/>
        </w:rPr>
        <w:t xml:space="preserve">ostoperative </w:t>
      </w:r>
      <w:r>
        <w:rPr>
          <w:rFonts w:ascii="Times New Roman" w:hAnsi="Times New Roman" w:cs="Times New Roman" w:hint="eastAsia"/>
          <w:b/>
          <w:bCs/>
          <w:sz w:val="24"/>
        </w:rPr>
        <w:t>a</w:t>
      </w:r>
      <w:r>
        <w:rPr>
          <w:rFonts w:ascii="Times New Roman" w:hAnsi="Times New Roman" w:cs="Times New Roman"/>
          <w:b/>
          <w:bCs/>
          <w:sz w:val="24"/>
        </w:rPr>
        <w:t xml:space="preserve">nalgesic </w:t>
      </w:r>
      <w:r>
        <w:rPr>
          <w:rFonts w:ascii="Times New Roman" w:hAnsi="Times New Roman" w:cs="Times New Roman" w:hint="eastAsia"/>
          <w:b/>
          <w:bCs/>
          <w:sz w:val="24"/>
        </w:rPr>
        <w:t>e</w:t>
      </w:r>
      <w:r>
        <w:rPr>
          <w:rFonts w:ascii="Times New Roman" w:hAnsi="Times New Roman" w:cs="Times New Roman"/>
          <w:b/>
          <w:bCs/>
          <w:sz w:val="24"/>
        </w:rPr>
        <w:t xml:space="preserve">ffects and </w:t>
      </w:r>
      <w:r>
        <w:rPr>
          <w:rFonts w:ascii="Times New Roman" w:hAnsi="Times New Roman" w:cs="Times New Roman" w:hint="eastAsia"/>
          <w:b/>
          <w:bCs/>
          <w:sz w:val="24"/>
        </w:rPr>
        <w:t>a</w:t>
      </w:r>
      <w:r>
        <w:rPr>
          <w:rFonts w:ascii="Times New Roman" w:hAnsi="Times New Roman" w:cs="Times New Roman"/>
          <w:b/>
          <w:bCs/>
          <w:sz w:val="24"/>
        </w:rPr>
        <w:t xml:space="preserve">dverse </w:t>
      </w:r>
      <w:r>
        <w:rPr>
          <w:rFonts w:ascii="Times New Roman" w:hAnsi="Times New Roman" w:cs="Times New Roman" w:hint="eastAsia"/>
          <w:b/>
          <w:bCs/>
          <w:sz w:val="24"/>
        </w:rPr>
        <w:t>r</w:t>
      </w:r>
      <w:r>
        <w:rPr>
          <w:rFonts w:ascii="Times New Roman" w:hAnsi="Times New Roman" w:cs="Times New Roman"/>
          <w:b/>
          <w:bCs/>
          <w:sz w:val="24"/>
        </w:rPr>
        <w:t xml:space="preserve">eactions </w:t>
      </w:r>
      <w:r>
        <w:rPr>
          <w:rFonts w:ascii="Times New Roman" w:hAnsi="Times New Roman" w:cs="Times New Roman" w:hint="eastAsia"/>
          <w:b/>
          <w:bCs/>
          <w:sz w:val="24"/>
        </w:rPr>
        <w:t>b</w:t>
      </w:r>
      <w:r>
        <w:rPr>
          <w:rFonts w:ascii="Times New Roman" w:hAnsi="Times New Roman" w:cs="Times New Roman"/>
          <w:b/>
          <w:bCs/>
          <w:sz w:val="24"/>
        </w:rPr>
        <w:t xml:space="preserve">etween the </w:t>
      </w:r>
      <w:r>
        <w:rPr>
          <w:rFonts w:ascii="Times New Roman" w:hAnsi="Times New Roman" w:cs="Times New Roman" w:hint="eastAsia"/>
          <w:b/>
          <w:bCs/>
          <w:sz w:val="24"/>
        </w:rPr>
        <w:t>t</w:t>
      </w:r>
      <w:r>
        <w:rPr>
          <w:rFonts w:ascii="Times New Roman" w:hAnsi="Times New Roman" w:cs="Times New Roman"/>
          <w:b/>
          <w:bCs/>
          <w:sz w:val="24"/>
        </w:rPr>
        <w:t xml:space="preserve">wo </w:t>
      </w:r>
      <w:r>
        <w:rPr>
          <w:rFonts w:ascii="Times New Roman" w:hAnsi="Times New Roman" w:cs="Times New Roman" w:hint="eastAsia"/>
          <w:b/>
          <w:bCs/>
          <w:sz w:val="24"/>
        </w:rPr>
        <w:t>g</w:t>
      </w:r>
      <w:r>
        <w:rPr>
          <w:rFonts w:ascii="Times New Roman" w:hAnsi="Times New Roman" w:cs="Times New Roman"/>
          <w:b/>
          <w:bCs/>
          <w:sz w:val="24"/>
        </w:rPr>
        <w:t>roups</w:t>
      </w:r>
    </w:p>
    <w:p w14:paraId="431FF0B7" w14:textId="027106C4" w:rsidR="00C32645" w:rsidRDefault="00C44B25" w:rsidP="00CB525F">
      <w:pPr>
        <w:snapToGrid w:val="0"/>
        <w:rPr>
          <w:rFonts w:ascii="Times New Roman" w:hAnsi="Times New Roman" w:cs="Times New Roman"/>
          <w:sz w:val="24"/>
        </w:rPr>
      </w:pPr>
      <w:r>
        <w:rPr>
          <w:rFonts w:ascii="Times New Roman" w:hAnsi="Times New Roman" w:cs="Times New Roman"/>
          <w:sz w:val="24"/>
        </w:rPr>
        <w:t>The number of effective presses on the analgesic pump within 48 hours after surgery in the intervention group was significantly lower than that in the control group (</w:t>
      </w:r>
      <w:r w:rsidR="005A1CFE">
        <w:rPr>
          <w:rFonts w:ascii="Times New Roman" w:hAnsi="Times New Roman" w:cs="Times New Roman"/>
          <w:i/>
          <w:iCs/>
          <w:sz w:val="24"/>
        </w:rPr>
        <w:t>p</w:t>
      </w:r>
      <w:r w:rsidR="005A1CFE">
        <w:rPr>
          <w:rFonts w:ascii="Times New Roman" w:hAnsi="Times New Roman" w:cs="Times New Roman"/>
          <w:sz w:val="24"/>
        </w:rPr>
        <w:t xml:space="preserve"> </w:t>
      </w:r>
      <w:r>
        <w:rPr>
          <w:rFonts w:ascii="Times New Roman" w:hAnsi="Times New Roman" w:cs="Times New Roman"/>
          <w:sz w:val="24"/>
        </w:rPr>
        <w:t>&lt; 0.001), and the rate of rescue analgesia was also lower in the intervention group (</w:t>
      </w:r>
      <w:r w:rsidR="005A1CFE">
        <w:rPr>
          <w:rFonts w:ascii="Times New Roman" w:hAnsi="Times New Roman" w:cs="Times New Roman"/>
          <w:i/>
          <w:iCs/>
          <w:sz w:val="24"/>
        </w:rPr>
        <w:t>p</w:t>
      </w:r>
      <w:r w:rsidR="005A1CFE">
        <w:rPr>
          <w:rFonts w:ascii="Times New Roman" w:hAnsi="Times New Roman" w:cs="Times New Roman"/>
          <w:sz w:val="24"/>
        </w:rPr>
        <w:t xml:space="preserve"> </w:t>
      </w:r>
      <w:r>
        <w:rPr>
          <w:rFonts w:ascii="Times New Roman" w:hAnsi="Times New Roman" w:cs="Times New Roman"/>
          <w:sz w:val="24"/>
        </w:rPr>
        <w:t xml:space="preserve">= 0.015), as shown in </w:t>
      </w:r>
      <w:r>
        <w:rPr>
          <w:rFonts w:ascii="Times New Roman" w:hAnsi="Times New Roman" w:cs="Times New Roman"/>
          <w:b/>
          <w:bCs/>
          <w:sz w:val="24"/>
        </w:rPr>
        <w:t>Table 3</w:t>
      </w:r>
      <w:r>
        <w:rPr>
          <w:rFonts w:ascii="Times New Roman" w:hAnsi="Times New Roman" w:cs="Times New Roman"/>
          <w:sz w:val="24"/>
        </w:rPr>
        <w:t>.</w:t>
      </w:r>
    </w:p>
    <w:p w14:paraId="3B6274BF" w14:textId="77777777" w:rsidR="00C32645" w:rsidRDefault="00C32645" w:rsidP="00CB525F">
      <w:pPr>
        <w:snapToGrid w:val="0"/>
        <w:rPr>
          <w:rFonts w:ascii="Times New Roman" w:hAnsi="Times New Roman" w:cs="Times New Roman"/>
          <w:sz w:val="24"/>
        </w:rPr>
      </w:pPr>
    </w:p>
    <w:p w14:paraId="4B259C2D" w14:textId="77777777" w:rsidR="00C32645" w:rsidRDefault="00C44B25" w:rsidP="00CB525F">
      <w:pPr>
        <w:snapToGrid w:val="0"/>
        <w:rPr>
          <w:rFonts w:ascii="Times New Roman" w:hAnsi="Times New Roman" w:cs="Times New Roman"/>
          <w:sz w:val="24"/>
        </w:rPr>
      </w:pPr>
      <w:r>
        <w:rPr>
          <w:rFonts w:ascii="Times New Roman" w:hAnsi="Times New Roman" w:cs="Times New Roman"/>
          <w:b/>
          <w:bCs/>
          <w:sz w:val="24"/>
        </w:rPr>
        <w:t>Table 3</w:t>
      </w:r>
      <w:r>
        <w:rPr>
          <w:rFonts w:ascii="Times New Roman" w:hAnsi="Times New Roman" w:cs="Times New Roman"/>
          <w:b/>
          <w:bCs/>
          <w:sz w:val="24"/>
        </w:rPr>
        <w:t>.</w:t>
      </w:r>
      <w:r>
        <w:rPr>
          <w:rFonts w:ascii="Times New Roman" w:hAnsi="Times New Roman" w:cs="Times New Roman"/>
          <w:sz w:val="24"/>
        </w:rPr>
        <w:t xml:space="preserve"> Comparison of </w:t>
      </w:r>
      <w:r>
        <w:rPr>
          <w:rFonts w:ascii="Times New Roman" w:hAnsi="Times New Roman" w:cs="Times New Roman" w:hint="eastAsia"/>
          <w:sz w:val="24"/>
        </w:rPr>
        <w:t>p</w:t>
      </w:r>
      <w:r>
        <w:rPr>
          <w:rFonts w:ascii="Times New Roman" w:hAnsi="Times New Roman" w:cs="Times New Roman"/>
          <w:sz w:val="24"/>
        </w:rPr>
        <w:t xml:space="preserve">ostoperative </w:t>
      </w:r>
      <w:r>
        <w:rPr>
          <w:rFonts w:ascii="Times New Roman" w:hAnsi="Times New Roman" w:cs="Times New Roman" w:hint="eastAsia"/>
          <w:sz w:val="24"/>
        </w:rPr>
        <w:t>a</w:t>
      </w:r>
      <w:r>
        <w:rPr>
          <w:rFonts w:ascii="Times New Roman" w:hAnsi="Times New Roman" w:cs="Times New Roman"/>
          <w:sz w:val="24"/>
        </w:rPr>
        <w:t xml:space="preserve">nalgesic </w:t>
      </w:r>
      <w:r>
        <w:rPr>
          <w:rFonts w:ascii="Times New Roman" w:hAnsi="Times New Roman" w:cs="Times New Roman" w:hint="eastAsia"/>
          <w:sz w:val="24"/>
        </w:rPr>
        <w:t>e</w:t>
      </w:r>
      <w:r>
        <w:rPr>
          <w:rFonts w:ascii="Times New Roman" w:hAnsi="Times New Roman" w:cs="Times New Roman"/>
          <w:sz w:val="24"/>
        </w:rPr>
        <w:t xml:space="preserve">ffects </w:t>
      </w:r>
      <w:r>
        <w:rPr>
          <w:rFonts w:ascii="Times New Roman" w:hAnsi="Times New Roman" w:cs="Times New Roman" w:hint="eastAsia"/>
          <w:sz w:val="24"/>
        </w:rPr>
        <w:t>w</w:t>
      </w:r>
      <w:r>
        <w:rPr>
          <w:rFonts w:ascii="Times New Roman" w:hAnsi="Times New Roman" w:cs="Times New Roman"/>
          <w:sz w:val="24"/>
        </w:rPr>
        <w:t xml:space="preserve">ithin 48 </w:t>
      </w:r>
      <w:r>
        <w:rPr>
          <w:rFonts w:ascii="Times New Roman" w:hAnsi="Times New Roman" w:cs="Times New Roman" w:hint="eastAsia"/>
          <w:sz w:val="24"/>
        </w:rPr>
        <w:t>h</w:t>
      </w:r>
      <w:r>
        <w:rPr>
          <w:rFonts w:ascii="Times New Roman" w:hAnsi="Times New Roman" w:cs="Times New Roman"/>
          <w:sz w:val="24"/>
        </w:rPr>
        <w:t xml:space="preserve">ours </w:t>
      </w:r>
      <w:r>
        <w:rPr>
          <w:rFonts w:ascii="Times New Roman" w:hAnsi="Times New Roman" w:cs="Times New Roman" w:hint="eastAsia"/>
          <w:sz w:val="24"/>
        </w:rPr>
        <w:t>b</w:t>
      </w:r>
      <w:r>
        <w:rPr>
          <w:rFonts w:ascii="Times New Roman" w:hAnsi="Times New Roman" w:cs="Times New Roman"/>
          <w:sz w:val="24"/>
        </w:rPr>
        <w:t xml:space="preserve">etween the </w:t>
      </w:r>
      <w:r>
        <w:rPr>
          <w:rFonts w:ascii="Times New Roman" w:hAnsi="Times New Roman" w:cs="Times New Roman" w:hint="eastAsia"/>
          <w:sz w:val="24"/>
        </w:rPr>
        <w:t>t</w:t>
      </w:r>
      <w:r>
        <w:rPr>
          <w:rFonts w:ascii="Times New Roman" w:hAnsi="Times New Roman" w:cs="Times New Roman"/>
          <w:sz w:val="24"/>
        </w:rPr>
        <w:t xml:space="preserve">wo </w:t>
      </w:r>
      <w:r>
        <w:rPr>
          <w:rFonts w:ascii="Times New Roman" w:hAnsi="Times New Roman" w:cs="Times New Roman" w:hint="eastAsia"/>
          <w:sz w:val="24"/>
        </w:rPr>
        <w:t>g</w:t>
      </w:r>
      <w:r>
        <w:rPr>
          <w:rFonts w:ascii="Times New Roman" w:hAnsi="Times New Roman" w:cs="Times New Roman"/>
          <w:sz w:val="24"/>
        </w:rPr>
        <w:t>roups</w:t>
      </w:r>
    </w:p>
    <w:tbl>
      <w:tblPr>
        <w:tblStyle w:val="TableGrid"/>
        <w:tblW w:w="5111"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3368"/>
        <w:gridCol w:w="2046"/>
        <w:gridCol w:w="2434"/>
        <w:gridCol w:w="1070"/>
        <w:gridCol w:w="934"/>
      </w:tblGrid>
      <w:tr w:rsidR="00C32645" w14:paraId="418A5106" w14:textId="77777777" w:rsidTr="00CB525F">
        <w:trPr>
          <w:tblHeader/>
          <w:jc w:val="center"/>
        </w:trPr>
        <w:tc>
          <w:tcPr>
            <w:tcW w:w="1708" w:type="pct"/>
            <w:tcBorders>
              <w:top w:val="single" w:sz="4" w:space="0" w:color="auto"/>
              <w:left w:val="nil"/>
              <w:bottom w:val="nil"/>
              <w:right w:val="nil"/>
            </w:tcBorders>
            <w:tcMar>
              <w:top w:w="-1" w:type="dxa"/>
              <w:left w:w="-1" w:type="dxa"/>
              <w:bottom w:w="-1" w:type="dxa"/>
              <w:right w:w="-1" w:type="dxa"/>
            </w:tcMar>
            <w:vAlign w:val="center"/>
          </w:tcPr>
          <w:p w14:paraId="7CE54D8D" w14:textId="77777777" w:rsidR="00C32645" w:rsidRDefault="00C44B25" w:rsidP="00CB525F">
            <w:pPr>
              <w:pStyle w:val="NormalWeb"/>
              <w:widowControl/>
              <w:snapToGrid w:val="0"/>
              <w:jc w:val="left"/>
              <w:rPr>
                <w:rFonts w:ascii="Times New Roman" w:eastAsia="Segoe UI" w:hAnsi="Times New Roman" w:cs="Times New Roman"/>
                <w:b/>
              </w:rPr>
            </w:pPr>
            <w:r>
              <w:rPr>
                <w:rFonts w:ascii="Times New Roman" w:eastAsia="Segoe UI" w:hAnsi="Times New Roman" w:cs="Times New Roman"/>
                <w:b/>
                <w:snapToGrid w:val="0"/>
                <w:color w:val="0F1115"/>
                <w:shd w:val="clear" w:color="auto" w:fill="FFFFFF"/>
              </w:rPr>
              <w:t xml:space="preserve">Indicator </w:t>
            </w:r>
          </w:p>
        </w:tc>
        <w:tc>
          <w:tcPr>
            <w:tcW w:w="1038" w:type="pct"/>
            <w:tcBorders>
              <w:top w:val="single" w:sz="4" w:space="0" w:color="auto"/>
              <w:left w:val="nil"/>
              <w:bottom w:val="nil"/>
              <w:right w:val="nil"/>
            </w:tcBorders>
            <w:tcMar>
              <w:top w:w="-1" w:type="dxa"/>
              <w:left w:w="-1" w:type="dxa"/>
              <w:bottom w:w="-1" w:type="dxa"/>
              <w:right w:w="-1" w:type="dxa"/>
            </w:tcMar>
            <w:vAlign w:val="center"/>
          </w:tcPr>
          <w:p w14:paraId="03DD06F3" w14:textId="2061130F" w:rsidR="00C32645" w:rsidRDefault="00C44B25" w:rsidP="005A1CFE">
            <w:pPr>
              <w:pStyle w:val="NormalWeb"/>
              <w:widowControl/>
              <w:snapToGrid w:val="0"/>
              <w:jc w:val="center"/>
              <w:rPr>
                <w:rFonts w:ascii="Times New Roman" w:eastAsia="Segoe UI" w:hAnsi="Times New Roman" w:cs="Times New Roman"/>
                <w:b/>
              </w:rPr>
            </w:pPr>
            <w:r>
              <w:rPr>
                <w:rFonts w:ascii="Times New Roman" w:eastAsia="Segoe UI" w:hAnsi="Times New Roman" w:cs="Times New Roman"/>
                <w:b/>
                <w:snapToGrid w:val="0"/>
                <w:color w:val="0F1115"/>
                <w:shd w:val="clear" w:color="auto" w:fill="FFFFFF"/>
              </w:rPr>
              <w:t>Control group (n</w:t>
            </w:r>
            <w:r w:rsidR="005A1CFE">
              <w:rPr>
                <w:rFonts w:ascii="Times New Roman" w:eastAsia="Segoe UI" w:hAnsi="Times New Roman" w:cs="Times New Roman"/>
                <w:b/>
                <w:snapToGrid w:val="0"/>
                <w:color w:val="0F1115"/>
                <w:shd w:val="clear" w:color="auto" w:fill="FFFFFF"/>
              </w:rPr>
              <w:t xml:space="preserve"> </w:t>
            </w:r>
            <w:r>
              <w:rPr>
                <w:rFonts w:ascii="Times New Roman" w:eastAsia="Segoe UI" w:hAnsi="Times New Roman" w:cs="Times New Roman"/>
                <w:b/>
                <w:snapToGrid w:val="0"/>
                <w:color w:val="0F1115"/>
                <w:shd w:val="clear" w:color="auto" w:fill="FFFFFF"/>
              </w:rPr>
              <w:t>=</w:t>
            </w:r>
            <w:r w:rsidR="005A1CFE">
              <w:rPr>
                <w:rFonts w:ascii="Times New Roman" w:eastAsia="Segoe UI" w:hAnsi="Times New Roman" w:cs="Times New Roman"/>
                <w:b/>
                <w:snapToGrid w:val="0"/>
                <w:color w:val="0F1115"/>
                <w:shd w:val="clear" w:color="auto" w:fill="FFFFFF"/>
              </w:rPr>
              <w:t xml:space="preserve"> </w:t>
            </w:r>
            <w:r>
              <w:rPr>
                <w:rFonts w:ascii="Times New Roman" w:eastAsia="Segoe UI" w:hAnsi="Times New Roman" w:cs="Times New Roman"/>
                <w:b/>
                <w:snapToGrid w:val="0"/>
                <w:color w:val="0F1115"/>
                <w:shd w:val="clear" w:color="auto" w:fill="FFFFFF"/>
              </w:rPr>
              <w:t xml:space="preserve">78) </w:t>
            </w:r>
          </w:p>
        </w:tc>
        <w:tc>
          <w:tcPr>
            <w:tcW w:w="1235" w:type="pct"/>
            <w:tcBorders>
              <w:top w:val="single" w:sz="4" w:space="0" w:color="auto"/>
              <w:left w:val="nil"/>
              <w:bottom w:val="nil"/>
              <w:right w:val="nil"/>
            </w:tcBorders>
            <w:tcMar>
              <w:top w:w="-1" w:type="dxa"/>
              <w:left w:w="-1" w:type="dxa"/>
              <w:bottom w:w="-1" w:type="dxa"/>
              <w:right w:w="-1" w:type="dxa"/>
            </w:tcMar>
            <w:vAlign w:val="center"/>
          </w:tcPr>
          <w:p w14:paraId="51603AF8" w14:textId="3F6D14D6" w:rsidR="00C32645" w:rsidRDefault="00C44B25" w:rsidP="005A1CFE">
            <w:pPr>
              <w:pStyle w:val="NormalWeb"/>
              <w:widowControl/>
              <w:snapToGrid w:val="0"/>
              <w:jc w:val="center"/>
              <w:rPr>
                <w:rFonts w:ascii="Times New Roman" w:eastAsia="Segoe UI" w:hAnsi="Times New Roman" w:cs="Times New Roman"/>
                <w:b/>
              </w:rPr>
            </w:pPr>
            <w:r>
              <w:rPr>
                <w:rFonts w:ascii="Times New Roman" w:eastAsia="Segoe UI" w:hAnsi="Times New Roman" w:cs="Times New Roman"/>
                <w:b/>
                <w:snapToGrid w:val="0"/>
                <w:color w:val="0F1115"/>
                <w:shd w:val="clear" w:color="auto" w:fill="FFFFFF"/>
              </w:rPr>
              <w:t>Intervention group (n</w:t>
            </w:r>
            <w:r w:rsidR="005A1CFE">
              <w:rPr>
                <w:rFonts w:ascii="Times New Roman" w:eastAsia="Segoe UI" w:hAnsi="Times New Roman" w:cs="Times New Roman"/>
                <w:b/>
                <w:snapToGrid w:val="0"/>
                <w:color w:val="0F1115"/>
                <w:shd w:val="clear" w:color="auto" w:fill="FFFFFF"/>
              </w:rPr>
              <w:t xml:space="preserve"> </w:t>
            </w:r>
            <w:r>
              <w:rPr>
                <w:rFonts w:ascii="Times New Roman" w:eastAsia="Segoe UI" w:hAnsi="Times New Roman" w:cs="Times New Roman"/>
                <w:b/>
                <w:snapToGrid w:val="0"/>
                <w:color w:val="0F1115"/>
                <w:shd w:val="clear" w:color="auto" w:fill="FFFFFF"/>
              </w:rPr>
              <w:t>=</w:t>
            </w:r>
            <w:r w:rsidR="005A1CFE">
              <w:rPr>
                <w:rFonts w:ascii="Times New Roman" w:eastAsia="Segoe UI" w:hAnsi="Times New Roman" w:cs="Times New Roman"/>
                <w:b/>
                <w:snapToGrid w:val="0"/>
                <w:color w:val="0F1115"/>
                <w:shd w:val="clear" w:color="auto" w:fill="FFFFFF"/>
              </w:rPr>
              <w:t xml:space="preserve"> </w:t>
            </w:r>
            <w:r>
              <w:rPr>
                <w:rFonts w:ascii="Times New Roman" w:eastAsia="Segoe UI" w:hAnsi="Times New Roman" w:cs="Times New Roman"/>
                <w:b/>
                <w:snapToGrid w:val="0"/>
                <w:color w:val="0F1115"/>
                <w:shd w:val="clear" w:color="auto" w:fill="FFFFFF"/>
              </w:rPr>
              <w:t xml:space="preserve">78) </w:t>
            </w:r>
          </w:p>
        </w:tc>
        <w:tc>
          <w:tcPr>
            <w:tcW w:w="543" w:type="pct"/>
            <w:tcBorders>
              <w:top w:val="single" w:sz="4" w:space="0" w:color="auto"/>
              <w:left w:val="nil"/>
              <w:bottom w:val="nil"/>
              <w:right w:val="nil"/>
            </w:tcBorders>
            <w:tcMar>
              <w:top w:w="-1" w:type="dxa"/>
              <w:left w:w="-1" w:type="dxa"/>
              <w:bottom w:w="-1" w:type="dxa"/>
              <w:right w:w="-1" w:type="dxa"/>
            </w:tcMar>
            <w:vAlign w:val="center"/>
          </w:tcPr>
          <w:p w14:paraId="73C319C0" w14:textId="77777777" w:rsidR="00C32645" w:rsidRDefault="00C44B25" w:rsidP="005A1CFE">
            <w:pPr>
              <w:pStyle w:val="NormalWeb"/>
              <w:widowControl/>
              <w:snapToGrid w:val="0"/>
              <w:jc w:val="center"/>
              <w:rPr>
                <w:rFonts w:ascii="Times New Roman" w:eastAsia="Segoe UI" w:hAnsi="Times New Roman" w:cs="Times New Roman"/>
                <w:b/>
              </w:rPr>
            </w:pPr>
            <w:r>
              <w:rPr>
                <w:rFonts w:ascii="Times New Roman" w:eastAsia="Segoe UI" w:hAnsi="Times New Roman" w:cs="Times New Roman"/>
                <w:b/>
                <w:snapToGrid w:val="0"/>
                <w:color w:val="0F1115"/>
                <w:shd w:val="clear" w:color="auto" w:fill="FFFFFF"/>
              </w:rPr>
              <w:t xml:space="preserve">Statistic </w:t>
            </w:r>
          </w:p>
        </w:tc>
        <w:tc>
          <w:tcPr>
            <w:tcW w:w="474" w:type="pct"/>
            <w:tcBorders>
              <w:top w:val="single" w:sz="4" w:space="0" w:color="auto"/>
              <w:left w:val="nil"/>
              <w:bottom w:val="nil"/>
              <w:right w:val="nil"/>
            </w:tcBorders>
            <w:tcMar>
              <w:top w:w="-1" w:type="dxa"/>
              <w:left w:w="-1" w:type="dxa"/>
              <w:bottom w:w="-1" w:type="dxa"/>
              <w:right w:w="-1" w:type="dxa"/>
            </w:tcMar>
            <w:vAlign w:val="center"/>
          </w:tcPr>
          <w:p w14:paraId="1EBFDCE7" w14:textId="0D3BD0EA" w:rsidR="00C32645" w:rsidRDefault="005A1CFE" w:rsidP="005A1CFE">
            <w:pPr>
              <w:pStyle w:val="NormalWeb"/>
              <w:widowControl/>
              <w:snapToGrid w:val="0"/>
              <w:jc w:val="center"/>
              <w:rPr>
                <w:rFonts w:ascii="Times New Roman" w:eastAsia="Segoe UI" w:hAnsi="Times New Roman" w:cs="Times New Roman"/>
                <w:b/>
              </w:rPr>
            </w:pPr>
            <w:r>
              <w:rPr>
                <w:rFonts w:ascii="Times New Roman" w:eastAsia="Segoe UI" w:hAnsi="Times New Roman" w:cs="Times New Roman"/>
                <w:b/>
                <w:i/>
                <w:iCs/>
                <w:snapToGrid w:val="0"/>
                <w:color w:val="0F1115"/>
                <w:shd w:val="clear" w:color="auto" w:fill="FFFFFF"/>
              </w:rPr>
              <w:t>p</w:t>
            </w:r>
            <w:r>
              <w:rPr>
                <w:rFonts w:ascii="Times New Roman" w:eastAsia="Segoe UI" w:hAnsi="Times New Roman" w:cs="Times New Roman"/>
                <w:b/>
                <w:snapToGrid w:val="0"/>
                <w:color w:val="0F1115"/>
                <w:shd w:val="clear" w:color="auto" w:fill="FFFFFF"/>
              </w:rPr>
              <w:t xml:space="preserve"> </w:t>
            </w:r>
            <w:r w:rsidR="00C44B25">
              <w:rPr>
                <w:rFonts w:ascii="Times New Roman" w:eastAsia="Segoe UI" w:hAnsi="Times New Roman" w:cs="Times New Roman"/>
                <w:b/>
                <w:snapToGrid w:val="0"/>
                <w:color w:val="0F1115"/>
                <w:shd w:val="clear" w:color="auto" w:fill="FFFFFF"/>
              </w:rPr>
              <w:t>value</w:t>
            </w:r>
          </w:p>
        </w:tc>
      </w:tr>
      <w:tr w:rsidR="00C32645" w14:paraId="2E7D79AC" w14:textId="77777777">
        <w:trPr>
          <w:jc w:val="center"/>
        </w:trPr>
        <w:tc>
          <w:tcPr>
            <w:tcW w:w="1708" w:type="pct"/>
            <w:tcBorders>
              <w:top w:val="single" w:sz="4" w:space="0" w:color="auto"/>
              <w:left w:val="nil"/>
              <w:bottom w:val="nil"/>
              <w:right w:val="nil"/>
            </w:tcBorders>
            <w:tcMar>
              <w:top w:w="-1" w:type="dxa"/>
              <w:left w:w="-1" w:type="dxa"/>
              <w:bottom w:w="-1" w:type="dxa"/>
              <w:right w:w="-1" w:type="dxa"/>
            </w:tcMar>
            <w:vAlign w:val="center"/>
          </w:tcPr>
          <w:p w14:paraId="72533B7A" w14:textId="77777777" w:rsidR="00C32645" w:rsidRDefault="00C44B25" w:rsidP="00CB525F">
            <w:pPr>
              <w:pStyle w:val="NormalWeb"/>
              <w:widowControl/>
              <w:snapToGrid w:val="0"/>
              <w:jc w:val="left"/>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Effective compressions (times, </w:t>
            </w:r>
            <w:r>
              <w:rPr>
                <w:rFonts w:ascii="Times New Roman" w:eastAsia="SimSun" w:hAnsi="Times New Roman" w:cs="Times New Roman"/>
                <w:color w:val="0000FF"/>
                <w:position w:val="-6"/>
              </w:rPr>
              <w:object w:dxaOrig="220" w:dyaOrig="270" w14:anchorId="43001E39">
                <v:shape id="_x0000_i1030" type="#_x0000_t75" style="width:10.9pt;height:13.65pt" o:ole="">
                  <v:imagedata r:id="rId4" o:title=""/>
                </v:shape>
                <o:OLEObject Type="Embed" ProgID="Equation.DSMT4" ShapeID="_x0000_i1030" DrawAspect="Content" ObjectID="_1844494058" r:id="rId10"/>
              </w:object>
            </w:r>
            <w:r>
              <w:rPr>
                <w:rFonts w:ascii="Times New Roman" w:hAnsi="Times New Roman"/>
              </w:rPr>
              <w:t>± s</w:t>
            </w:r>
            <w:r>
              <w:rPr>
                <w:rFonts w:ascii="Times New Roman" w:eastAsia="Segoe UI" w:hAnsi="Times New Roman" w:cs="Times New Roman"/>
                <w:snapToGrid w:val="0"/>
                <w:color w:val="0F1115"/>
                <w:shd w:val="clear" w:color="auto" w:fill="FFFFFF"/>
              </w:rPr>
              <w:t xml:space="preserve">) </w:t>
            </w:r>
          </w:p>
        </w:tc>
        <w:tc>
          <w:tcPr>
            <w:tcW w:w="1038" w:type="pct"/>
            <w:tcBorders>
              <w:top w:val="single" w:sz="4" w:space="0" w:color="auto"/>
              <w:left w:val="nil"/>
              <w:bottom w:val="nil"/>
              <w:right w:val="nil"/>
            </w:tcBorders>
            <w:tcMar>
              <w:top w:w="-1" w:type="dxa"/>
              <w:left w:w="-1" w:type="dxa"/>
              <w:bottom w:w="-1" w:type="dxa"/>
              <w:right w:w="-1" w:type="dxa"/>
            </w:tcMar>
            <w:vAlign w:val="center"/>
          </w:tcPr>
          <w:p w14:paraId="7E1DB186" w14:textId="1D939F56"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12.60</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 xml:space="preserve">5.31 </w:t>
            </w:r>
          </w:p>
        </w:tc>
        <w:tc>
          <w:tcPr>
            <w:tcW w:w="1235" w:type="pct"/>
            <w:tcBorders>
              <w:top w:val="single" w:sz="4" w:space="0" w:color="auto"/>
              <w:left w:val="nil"/>
              <w:bottom w:val="nil"/>
              <w:right w:val="nil"/>
            </w:tcBorders>
            <w:tcMar>
              <w:top w:w="-1" w:type="dxa"/>
              <w:left w:w="-1" w:type="dxa"/>
              <w:bottom w:w="-1" w:type="dxa"/>
              <w:right w:w="-1" w:type="dxa"/>
            </w:tcMar>
            <w:vAlign w:val="center"/>
          </w:tcPr>
          <w:p w14:paraId="54306BC6" w14:textId="7A0D79A0"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8.41</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 xml:space="preserve">4.73 </w:t>
            </w:r>
          </w:p>
        </w:tc>
        <w:tc>
          <w:tcPr>
            <w:tcW w:w="543" w:type="pct"/>
            <w:tcBorders>
              <w:top w:val="single" w:sz="4" w:space="0" w:color="auto"/>
              <w:left w:val="nil"/>
              <w:bottom w:val="nil"/>
              <w:right w:val="nil"/>
            </w:tcBorders>
            <w:tcMar>
              <w:top w:w="-1" w:type="dxa"/>
              <w:left w:w="-1" w:type="dxa"/>
              <w:bottom w:w="-1" w:type="dxa"/>
              <w:right w:w="-1" w:type="dxa"/>
            </w:tcMar>
            <w:vAlign w:val="center"/>
          </w:tcPr>
          <w:p w14:paraId="60A35BC7" w14:textId="133F6F86"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i/>
                <w:iCs/>
                <w:snapToGrid w:val="0"/>
                <w:color w:val="0F1115"/>
                <w:shd w:val="clear" w:color="auto" w:fill="FFFFFF"/>
              </w:rPr>
              <w:t>t</w:t>
            </w:r>
            <w:r w:rsidR="005A1CFE">
              <w:rPr>
                <w:rFonts w:ascii="Times New Roman" w:eastAsia="Segoe UI" w:hAnsi="Times New Roman" w:cs="Times New Roman"/>
                <w:i/>
                <w:iCs/>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 xml:space="preserve">5.267 </w:t>
            </w:r>
          </w:p>
        </w:tc>
        <w:tc>
          <w:tcPr>
            <w:tcW w:w="474" w:type="pct"/>
            <w:tcBorders>
              <w:top w:val="single" w:sz="4" w:space="0" w:color="auto"/>
              <w:left w:val="nil"/>
              <w:bottom w:val="nil"/>
              <w:right w:val="nil"/>
            </w:tcBorders>
            <w:tcMar>
              <w:top w:w="-1" w:type="dxa"/>
              <w:left w:w="-1" w:type="dxa"/>
              <w:bottom w:w="-1" w:type="dxa"/>
              <w:right w:w="-1" w:type="dxa"/>
            </w:tcMar>
            <w:vAlign w:val="center"/>
          </w:tcPr>
          <w:p w14:paraId="7604BAC1" w14:textId="6BE266E9"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&lt;</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0.001</w:t>
            </w:r>
          </w:p>
        </w:tc>
      </w:tr>
      <w:tr w:rsidR="00C32645" w14:paraId="522AE77C" w14:textId="77777777" w:rsidTr="00CB525F">
        <w:trPr>
          <w:jc w:val="center"/>
        </w:trPr>
        <w:tc>
          <w:tcPr>
            <w:tcW w:w="1708" w:type="pct"/>
            <w:tcBorders>
              <w:top w:val="nil"/>
              <w:left w:val="nil"/>
              <w:bottom w:val="single" w:sz="4" w:space="0" w:color="auto"/>
              <w:right w:val="nil"/>
            </w:tcBorders>
            <w:tcMar>
              <w:top w:w="-1" w:type="dxa"/>
              <w:left w:w="-1" w:type="dxa"/>
              <w:bottom w:w="-1" w:type="dxa"/>
              <w:right w:w="-1" w:type="dxa"/>
            </w:tcMar>
            <w:vAlign w:val="center"/>
          </w:tcPr>
          <w:p w14:paraId="1EB18331" w14:textId="77777777" w:rsidR="00C32645" w:rsidRDefault="00C44B25" w:rsidP="00CB525F">
            <w:pPr>
              <w:pStyle w:val="NormalWeb"/>
              <w:widowControl/>
              <w:snapToGrid w:val="0"/>
              <w:jc w:val="left"/>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Rescue analgesia [cases (%)] </w:t>
            </w:r>
          </w:p>
        </w:tc>
        <w:tc>
          <w:tcPr>
            <w:tcW w:w="1038" w:type="pct"/>
            <w:tcBorders>
              <w:top w:val="nil"/>
              <w:left w:val="nil"/>
              <w:bottom w:val="single" w:sz="4" w:space="0" w:color="auto"/>
              <w:right w:val="nil"/>
            </w:tcBorders>
            <w:tcMar>
              <w:top w:w="-1" w:type="dxa"/>
              <w:left w:w="-1" w:type="dxa"/>
              <w:bottom w:w="-1" w:type="dxa"/>
              <w:right w:w="-1" w:type="dxa"/>
            </w:tcMar>
            <w:vAlign w:val="center"/>
          </w:tcPr>
          <w:p w14:paraId="1B02C220" w14:textId="77777777"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21 (26.92) </w:t>
            </w:r>
          </w:p>
        </w:tc>
        <w:tc>
          <w:tcPr>
            <w:tcW w:w="1235" w:type="pct"/>
            <w:tcBorders>
              <w:top w:val="nil"/>
              <w:left w:val="nil"/>
              <w:bottom w:val="single" w:sz="4" w:space="0" w:color="auto"/>
              <w:right w:val="nil"/>
            </w:tcBorders>
            <w:tcMar>
              <w:top w:w="-1" w:type="dxa"/>
              <w:left w:w="-1" w:type="dxa"/>
              <w:bottom w:w="-1" w:type="dxa"/>
              <w:right w:w="-1" w:type="dxa"/>
            </w:tcMar>
            <w:vAlign w:val="center"/>
          </w:tcPr>
          <w:p w14:paraId="53DDF880" w14:textId="77777777"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9 (11.54) </w:t>
            </w:r>
          </w:p>
        </w:tc>
        <w:tc>
          <w:tcPr>
            <w:tcW w:w="543" w:type="pct"/>
            <w:tcBorders>
              <w:top w:val="nil"/>
              <w:left w:val="nil"/>
              <w:bottom w:val="single" w:sz="4" w:space="0" w:color="auto"/>
              <w:right w:val="nil"/>
            </w:tcBorders>
            <w:tcMar>
              <w:top w:w="-1" w:type="dxa"/>
              <w:left w:w="-1" w:type="dxa"/>
              <w:bottom w:w="-1" w:type="dxa"/>
              <w:right w:w="-1" w:type="dxa"/>
            </w:tcMar>
            <w:vAlign w:val="center"/>
          </w:tcPr>
          <w:p w14:paraId="05932D28" w14:textId="4ACA6AA9"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χ</w:t>
            </w:r>
            <w:r w:rsidR="005A1CFE">
              <w:rPr>
                <w:rFonts w:ascii="Times New Roman" w:eastAsia="Segoe UI" w:hAnsi="Times New Roman" w:cs="Times New Roman"/>
                <w:snapToGrid w:val="0"/>
                <w:color w:val="0F1115"/>
                <w:shd w:val="clear" w:color="auto" w:fill="FFFFFF"/>
                <w:vertAlign w:val="superscript"/>
              </w:rPr>
              <w:t>2</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 xml:space="preserve">5.912 </w:t>
            </w:r>
          </w:p>
        </w:tc>
        <w:tc>
          <w:tcPr>
            <w:tcW w:w="474" w:type="pct"/>
            <w:tcBorders>
              <w:top w:val="nil"/>
              <w:left w:val="nil"/>
              <w:bottom w:val="single" w:sz="4" w:space="0" w:color="auto"/>
              <w:right w:val="nil"/>
            </w:tcBorders>
            <w:tcMar>
              <w:top w:w="-1" w:type="dxa"/>
              <w:left w:w="-1" w:type="dxa"/>
              <w:bottom w:w="-1" w:type="dxa"/>
              <w:right w:w="-1" w:type="dxa"/>
            </w:tcMar>
            <w:vAlign w:val="center"/>
          </w:tcPr>
          <w:p w14:paraId="7A380529" w14:textId="77777777"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0.015</w:t>
            </w:r>
          </w:p>
        </w:tc>
      </w:tr>
    </w:tbl>
    <w:p w14:paraId="52FF67F9" w14:textId="77777777" w:rsidR="00C32645" w:rsidRDefault="00C32645" w:rsidP="00CB525F">
      <w:pPr>
        <w:snapToGrid w:val="0"/>
        <w:rPr>
          <w:rFonts w:ascii="Times New Roman" w:hAnsi="Times New Roman" w:cs="Times New Roman"/>
          <w:sz w:val="24"/>
        </w:rPr>
      </w:pPr>
    </w:p>
    <w:p w14:paraId="2B4492D3" w14:textId="2EFA3128" w:rsidR="00C32645" w:rsidRDefault="00C44B25" w:rsidP="00CB525F">
      <w:pPr>
        <w:snapToGrid w:val="0"/>
        <w:ind w:firstLineChars="200" w:firstLine="480"/>
        <w:rPr>
          <w:rFonts w:ascii="Times New Roman" w:hAnsi="Times New Roman" w:cs="Times New Roman"/>
          <w:sz w:val="24"/>
        </w:rPr>
      </w:pPr>
      <w:r>
        <w:rPr>
          <w:rFonts w:ascii="Times New Roman" w:hAnsi="Times New Roman" w:cs="Times New Roman"/>
          <w:sz w:val="24"/>
        </w:rPr>
        <w:t>In terms of adverse reactions, the incidence of nausea and vomiting in the intervention group was significantly lower than that in the control group (</w:t>
      </w:r>
      <w:r w:rsidR="005A1CFE">
        <w:rPr>
          <w:rFonts w:ascii="Times New Roman" w:hAnsi="Times New Roman" w:cs="Times New Roman"/>
          <w:i/>
          <w:iCs/>
          <w:sz w:val="24"/>
        </w:rPr>
        <w:t>p</w:t>
      </w:r>
      <w:r w:rsidR="005A1CFE">
        <w:rPr>
          <w:rFonts w:ascii="Times New Roman" w:hAnsi="Times New Roman" w:cs="Times New Roman"/>
          <w:sz w:val="24"/>
        </w:rPr>
        <w:t xml:space="preserve"> </w:t>
      </w:r>
      <w:r>
        <w:rPr>
          <w:rFonts w:ascii="Times New Roman" w:hAnsi="Times New Roman" w:cs="Times New Roman"/>
          <w:sz w:val="24"/>
        </w:rPr>
        <w:t>= 0.036). There was no statistically significant difference in the incidence of dizziness and excessive sedation between the two groups (</w:t>
      </w:r>
      <w:r w:rsidR="005A1CFE">
        <w:rPr>
          <w:rFonts w:ascii="Times New Roman" w:hAnsi="Times New Roman" w:cs="Times New Roman"/>
          <w:i/>
          <w:iCs/>
          <w:sz w:val="24"/>
        </w:rPr>
        <w:t>p</w:t>
      </w:r>
      <w:r w:rsidR="005A1CFE">
        <w:rPr>
          <w:rFonts w:ascii="Times New Roman" w:hAnsi="Times New Roman" w:cs="Times New Roman"/>
          <w:sz w:val="24"/>
        </w:rPr>
        <w:t xml:space="preserve"> </w:t>
      </w:r>
      <w:r>
        <w:rPr>
          <w:rFonts w:ascii="Times New Roman" w:hAnsi="Times New Roman" w:cs="Times New Roman"/>
          <w:sz w:val="24"/>
        </w:rPr>
        <w:t>&gt; 0.05), although the absolute values were lower in the intervention group compared to the control group, as shown in</w:t>
      </w:r>
      <w:r>
        <w:rPr>
          <w:rFonts w:ascii="Times New Roman" w:hAnsi="Times New Roman" w:cs="Times New Roman"/>
          <w:b/>
          <w:bCs/>
          <w:sz w:val="24"/>
        </w:rPr>
        <w:t xml:space="preserve"> Table 4</w:t>
      </w:r>
      <w:r>
        <w:rPr>
          <w:rFonts w:ascii="Times New Roman" w:hAnsi="Times New Roman" w:cs="Times New Roman"/>
          <w:sz w:val="24"/>
        </w:rPr>
        <w:t>.</w:t>
      </w:r>
    </w:p>
    <w:p w14:paraId="00C17A8E" w14:textId="77777777" w:rsidR="00C32645" w:rsidRDefault="00C32645" w:rsidP="00CB525F">
      <w:pPr>
        <w:snapToGrid w:val="0"/>
        <w:rPr>
          <w:rFonts w:ascii="Times New Roman" w:hAnsi="Times New Roman" w:cs="Times New Roman"/>
          <w:sz w:val="24"/>
        </w:rPr>
      </w:pPr>
    </w:p>
    <w:p w14:paraId="19873B28" w14:textId="77777777" w:rsidR="00C32645" w:rsidRDefault="00C44B25" w:rsidP="00CB525F">
      <w:pPr>
        <w:snapToGrid w:val="0"/>
        <w:rPr>
          <w:rFonts w:ascii="Times New Roman" w:hAnsi="Times New Roman" w:cs="Times New Roman"/>
          <w:sz w:val="24"/>
        </w:rPr>
      </w:pPr>
      <w:r>
        <w:rPr>
          <w:rFonts w:ascii="Times New Roman" w:hAnsi="Times New Roman" w:cs="Times New Roman"/>
          <w:b/>
          <w:bCs/>
          <w:sz w:val="24"/>
        </w:rPr>
        <w:t>Table 4</w:t>
      </w:r>
      <w:r>
        <w:rPr>
          <w:rFonts w:ascii="Times New Roman" w:hAnsi="Times New Roman" w:cs="Times New Roman"/>
          <w:b/>
          <w:bCs/>
          <w:sz w:val="24"/>
        </w:rPr>
        <w:t>.</w:t>
      </w:r>
      <w:r>
        <w:rPr>
          <w:rFonts w:ascii="Times New Roman" w:hAnsi="Times New Roman" w:cs="Times New Roman"/>
          <w:b/>
          <w:bCs/>
          <w:sz w:val="24"/>
        </w:rPr>
        <w:t xml:space="preserve"> </w:t>
      </w:r>
      <w:r>
        <w:rPr>
          <w:rFonts w:ascii="Times New Roman" w:hAnsi="Times New Roman" w:cs="Times New Roman"/>
          <w:sz w:val="24"/>
        </w:rPr>
        <w:t xml:space="preserve">Comparison of </w:t>
      </w:r>
      <w:r>
        <w:rPr>
          <w:rFonts w:ascii="Times New Roman" w:hAnsi="Times New Roman" w:cs="Times New Roman" w:hint="eastAsia"/>
          <w:sz w:val="24"/>
        </w:rPr>
        <w:t>a</w:t>
      </w:r>
      <w:r>
        <w:rPr>
          <w:rFonts w:ascii="Times New Roman" w:hAnsi="Times New Roman" w:cs="Times New Roman"/>
          <w:sz w:val="24"/>
        </w:rPr>
        <w:t xml:space="preserve">dverse </w:t>
      </w:r>
      <w:r>
        <w:rPr>
          <w:rFonts w:ascii="Times New Roman" w:hAnsi="Times New Roman" w:cs="Times New Roman" w:hint="eastAsia"/>
          <w:sz w:val="24"/>
        </w:rPr>
        <w:t>r</w:t>
      </w:r>
      <w:r>
        <w:rPr>
          <w:rFonts w:ascii="Times New Roman" w:hAnsi="Times New Roman" w:cs="Times New Roman"/>
          <w:sz w:val="24"/>
        </w:rPr>
        <w:t xml:space="preserve">eactions </w:t>
      </w:r>
      <w:r>
        <w:rPr>
          <w:rFonts w:ascii="Times New Roman" w:hAnsi="Times New Roman" w:cs="Times New Roman" w:hint="eastAsia"/>
          <w:sz w:val="24"/>
        </w:rPr>
        <w:t>w</w:t>
      </w:r>
      <w:r>
        <w:rPr>
          <w:rFonts w:ascii="Times New Roman" w:hAnsi="Times New Roman" w:cs="Times New Roman"/>
          <w:sz w:val="24"/>
        </w:rPr>
        <w:t xml:space="preserve">ithin 48 </w:t>
      </w:r>
      <w:r>
        <w:rPr>
          <w:rFonts w:ascii="Times New Roman" w:hAnsi="Times New Roman" w:cs="Times New Roman" w:hint="eastAsia"/>
          <w:sz w:val="24"/>
        </w:rPr>
        <w:t>h</w:t>
      </w:r>
      <w:r>
        <w:rPr>
          <w:rFonts w:ascii="Times New Roman" w:hAnsi="Times New Roman" w:cs="Times New Roman"/>
          <w:sz w:val="24"/>
        </w:rPr>
        <w:t xml:space="preserve">ours </w:t>
      </w:r>
      <w:r>
        <w:rPr>
          <w:rFonts w:ascii="Times New Roman" w:hAnsi="Times New Roman" w:cs="Times New Roman" w:hint="eastAsia"/>
          <w:sz w:val="24"/>
        </w:rPr>
        <w:t>a</w:t>
      </w:r>
      <w:r>
        <w:rPr>
          <w:rFonts w:ascii="Times New Roman" w:hAnsi="Times New Roman" w:cs="Times New Roman"/>
          <w:sz w:val="24"/>
        </w:rPr>
        <w:t xml:space="preserve">fter </w:t>
      </w:r>
      <w:r>
        <w:rPr>
          <w:rFonts w:ascii="Times New Roman" w:hAnsi="Times New Roman" w:cs="Times New Roman" w:hint="eastAsia"/>
          <w:sz w:val="24"/>
        </w:rPr>
        <w:t>s</w:t>
      </w:r>
      <w:r>
        <w:rPr>
          <w:rFonts w:ascii="Times New Roman" w:hAnsi="Times New Roman" w:cs="Times New Roman"/>
          <w:sz w:val="24"/>
        </w:rPr>
        <w:t xml:space="preserve">urgery </w:t>
      </w:r>
      <w:r>
        <w:rPr>
          <w:rFonts w:ascii="Times New Roman" w:hAnsi="Times New Roman" w:cs="Times New Roman" w:hint="eastAsia"/>
          <w:sz w:val="24"/>
        </w:rPr>
        <w:t>b</w:t>
      </w:r>
      <w:r>
        <w:rPr>
          <w:rFonts w:ascii="Times New Roman" w:hAnsi="Times New Roman" w:cs="Times New Roman"/>
          <w:sz w:val="24"/>
        </w:rPr>
        <w:t xml:space="preserve">etween the </w:t>
      </w:r>
      <w:r>
        <w:rPr>
          <w:rFonts w:ascii="Times New Roman" w:hAnsi="Times New Roman" w:cs="Times New Roman" w:hint="eastAsia"/>
          <w:sz w:val="24"/>
        </w:rPr>
        <w:t>t</w:t>
      </w:r>
      <w:r>
        <w:rPr>
          <w:rFonts w:ascii="Times New Roman" w:hAnsi="Times New Roman" w:cs="Times New Roman"/>
          <w:sz w:val="24"/>
        </w:rPr>
        <w:t xml:space="preserve">wo </w:t>
      </w:r>
      <w:r>
        <w:rPr>
          <w:rFonts w:ascii="Times New Roman" w:hAnsi="Times New Roman" w:cs="Times New Roman" w:hint="eastAsia"/>
          <w:sz w:val="24"/>
        </w:rPr>
        <w:t>g</w:t>
      </w:r>
      <w:r>
        <w:rPr>
          <w:rFonts w:ascii="Times New Roman" w:hAnsi="Times New Roman" w:cs="Times New Roman"/>
          <w:sz w:val="24"/>
        </w:rPr>
        <w:t>roups</w:t>
      </w:r>
    </w:p>
    <w:tbl>
      <w:tblPr>
        <w:tblStyle w:val="TableGrid"/>
        <w:tblW w:w="4997"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2886"/>
        <w:gridCol w:w="2194"/>
        <w:gridCol w:w="2610"/>
        <w:gridCol w:w="1042"/>
        <w:gridCol w:w="900"/>
      </w:tblGrid>
      <w:tr w:rsidR="00C32645" w14:paraId="34AE7523" w14:textId="77777777" w:rsidTr="00CB525F">
        <w:trPr>
          <w:tblHeader/>
          <w:jc w:val="center"/>
        </w:trPr>
        <w:tc>
          <w:tcPr>
            <w:tcW w:w="1497" w:type="pct"/>
            <w:tcBorders>
              <w:top w:val="single" w:sz="4" w:space="0" w:color="auto"/>
              <w:left w:val="nil"/>
              <w:bottom w:val="nil"/>
              <w:right w:val="nil"/>
            </w:tcBorders>
            <w:tcMar>
              <w:top w:w="-1" w:type="dxa"/>
              <w:left w:w="-1" w:type="dxa"/>
              <w:bottom w:w="-1" w:type="dxa"/>
              <w:right w:w="-1" w:type="dxa"/>
            </w:tcMar>
            <w:vAlign w:val="center"/>
          </w:tcPr>
          <w:p w14:paraId="73F52F64" w14:textId="77777777" w:rsidR="00C32645" w:rsidRDefault="00C44B25" w:rsidP="00CB525F">
            <w:pPr>
              <w:pStyle w:val="NormalWeb"/>
              <w:widowControl/>
              <w:snapToGrid w:val="0"/>
              <w:jc w:val="left"/>
              <w:rPr>
                <w:rFonts w:ascii="Times New Roman" w:eastAsia="Segoe UI" w:hAnsi="Times New Roman" w:cs="Times New Roman"/>
                <w:b/>
              </w:rPr>
            </w:pPr>
            <w:r>
              <w:rPr>
                <w:rFonts w:ascii="Times New Roman" w:eastAsia="Segoe UI" w:hAnsi="Times New Roman" w:cs="Times New Roman"/>
                <w:b/>
                <w:snapToGrid w:val="0"/>
                <w:color w:val="0F1115"/>
                <w:shd w:val="clear" w:color="auto" w:fill="FFFFFF"/>
              </w:rPr>
              <w:t>Indicator</w:t>
            </w:r>
          </w:p>
        </w:tc>
        <w:tc>
          <w:tcPr>
            <w:tcW w:w="1138" w:type="pct"/>
            <w:tcBorders>
              <w:top w:val="single" w:sz="4" w:space="0" w:color="auto"/>
              <w:left w:val="nil"/>
              <w:bottom w:val="nil"/>
              <w:right w:val="nil"/>
            </w:tcBorders>
            <w:tcMar>
              <w:top w:w="-1" w:type="dxa"/>
              <w:left w:w="-1" w:type="dxa"/>
              <w:bottom w:w="-1" w:type="dxa"/>
              <w:right w:w="-1" w:type="dxa"/>
            </w:tcMar>
            <w:vAlign w:val="center"/>
          </w:tcPr>
          <w:p w14:paraId="20280E12" w14:textId="3A5F228B" w:rsidR="00C32645" w:rsidRDefault="00C44B25" w:rsidP="005A1CFE">
            <w:pPr>
              <w:pStyle w:val="NormalWeb"/>
              <w:widowControl/>
              <w:snapToGrid w:val="0"/>
              <w:jc w:val="center"/>
              <w:rPr>
                <w:rFonts w:ascii="Times New Roman" w:eastAsia="Segoe UI" w:hAnsi="Times New Roman" w:cs="Times New Roman"/>
                <w:b/>
              </w:rPr>
            </w:pPr>
            <w:r>
              <w:rPr>
                <w:rFonts w:ascii="Times New Roman" w:eastAsia="Segoe UI" w:hAnsi="Times New Roman" w:cs="Times New Roman"/>
                <w:b/>
                <w:snapToGrid w:val="0"/>
                <w:color w:val="0F1115"/>
                <w:shd w:val="clear" w:color="auto" w:fill="FFFFFF"/>
              </w:rPr>
              <w:t>Control group (n</w:t>
            </w:r>
            <w:r w:rsidR="005A1CFE">
              <w:rPr>
                <w:rFonts w:ascii="Times New Roman" w:eastAsia="Segoe UI" w:hAnsi="Times New Roman" w:cs="Times New Roman"/>
                <w:b/>
                <w:snapToGrid w:val="0"/>
                <w:color w:val="0F1115"/>
                <w:shd w:val="clear" w:color="auto" w:fill="FFFFFF"/>
              </w:rPr>
              <w:t xml:space="preserve"> </w:t>
            </w:r>
            <w:r>
              <w:rPr>
                <w:rFonts w:ascii="Times New Roman" w:eastAsia="Segoe UI" w:hAnsi="Times New Roman" w:cs="Times New Roman"/>
                <w:b/>
                <w:snapToGrid w:val="0"/>
                <w:color w:val="0F1115"/>
                <w:shd w:val="clear" w:color="auto" w:fill="FFFFFF"/>
              </w:rPr>
              <w:t>=</w:t>
            </w:r>
            <w:r w:rsidR="005A1CFE">
              <w:rPr>
                <w:rFonts w:ascii="Times New Roman" w:eastAsia="Segoe UI" w:hAnsi="Times New Roman" w:cs="Times New Roman"/>
                <w:b/>
                <w:snapToGrid w:val="0"/>
                <w:color w:val="0F1115"/>
                <w:shd w:val="clear" w:color="auto" w:fill="FFFFFF"/>
              </w:rPr>
              <w:t xml:space="preserve"> </w:t>
            </w:r>
            <w:r>
              <w:rPr>
                <w:rFonts w:ascii="Times New Roman" w:eastAsia="Segoe UI" w:hAnsi="Times New Roman" w:cs="Times New Roman"/>
                <w:b/>
                <w:snapToGrid w:val="0"/>
                <w:color w:val="0F1115"/>
                <w:shd w:val="clear" w:color="auto" w:fill="FFFFFF"/>
              </w:rPr>
              <w:t>78)</w:t>
            </w:r>
          </w:p>
        </w:tc>
        <w:tc>
          <w:tcPr>
            <w:tcW w:w="1354" w:type="pct"/>
            <w:tcBorders>
              <w:top w:val="single" w:sz="4" w:space="0" w:color="auto"/>
              <w:left w:val="nil"/>
              <w:bottom w:val="nil"/>
              <w:right w:val="nil"/>
            </w:tcBorders>
            <w:tcMar>
              <w:top w:w="-1" w:type="dxa"/>
              <w:left w:w="-1" w:type="dxa"/>
              <w:bottom w:w="-1" w:type="dxa"/>
              <w:right w:w="-1" w:type="dxa"/>
            </w:tcMar>
            <w:vAlign w:val="center"/>
          </w:tcPr>
          <w:p w14:paraId="3BB098A3" w14:textId="25F94B32" w:rsidR="00C32645" w:rsidRDefault="00C44B25" w:rsidP="005A1CFE">
            <w:pPr>
              <w:pStyle w:val="NormalWeb"/>
              <w:widowControl/>
              <w:snapToGrid w:val="0"/>
              <w:jc w:val="center"/>
              <w:rPr>
                <w:rFonts w:ascii="Times New Roman" w:eastAsia="Segoe UI" w:hAnsi="Times New Roman" w:cs="Times New Roman"/>
                <w:b/>
              </w:rPr>
            </w:pPr>
            <w:r>
              <w:rPr>
                <w:rFonts w:ascii="Times New Roman" w:eastAsia="Segoe UI" w:hAnsi="Times New Roman" w:cs="Times New Roman"/>
                <w:b/>
                <w:snapToGrid w:val="0"/>
                <w:color w:val="0F1115"/>
                <w:shd w:val="clear" w:color="auto" w:fill="FFFFFF"/>
              </w:rPr>
              <w:t>Intervention group (n</w:t>
            </w:r>
            <w:r w:rsidR="005A1CFE">
              <w:rPr>
                <w:rFonts w:ascii="Times New Roman" w:eastAsia="Segoe UI" w:hAnsi="Times New Roman" w:cs="Times New Roman"/>
                <w:b/>
                <w:snapToGrid w:val="0"/>
                <w:color w:val="0F1115"/>
                <w:shd w:val="clear" w:color="auto" w:fill="FFFFFF"/>
              </w:rPr>
              <w:t xml:space="preserve"> </w:t>
            </w:r>
            <w:r>
              <w:rPr>
                <w:rFonts w:ascii="Times New Roman" w:eastAsia="Segoe UI" w:hAnsi="Times New Roman" w:cs="Times New Roman"/>
                <w:b/>
                <w:snapToGrid w:val="0"/>
                <w:color w:val="0F1115"/>
                <w:shd w:val="clear" w:color="auto" w:fill="FFFFFF"/>
              </w:rPr>
              <w:t>=</w:t>
            </w:r>
            <w:r w:rsidR="005A1CFE">
              <w:rPr>
                <w:rFonts w:ascii="Times New Roman" w:eastAsia="Segoe UI" w:hAnsi="Times New Roman" w:cs="Times New Roman"/>
                <w:b/>
                <w:snapToGrid w:val="0"/>
                <w:color w:val="0F1115"/>
                <w:shd w:val="clear" w:color="auto" w:fill="FFFFFF"/>
              </w:rPr>
              <w:t xml:space="preserve"> </w:t>
            </w:r>
            <w:r>
              <w:rPr>
                <w:rFonts w:ascii="Times New Roman" w:eastAsia="Segoe UI" w:hAnsi="Times New Roman" w:cs="Times New Roman"/>
                <w:b/>
                <w:snapToGrid w:val="0"/>
                <w:color w:val="0F1115"/>
                <w:shd w:val="clear" w:color="auto" w:fill="FFFFFF"/>
              </w:rPr>
              <w:t>78)</w:t>
            </w:r>
          </w:p>
        </w:tc>
        <w:tc>
          <w:tcPr>
            <w:tcW w:w="541" w:type="pct"/>
            <w:tcBorders>
              <w:top w:val="single" w:sz="4" w:space="0" w:color="auto"/>
              <w:left w:val="nil"/>
              <w:bottom w:val="nil"/>
              <w:right w:val="nil"/>
            </w:tcBorders>
            <w:tcMar>
              <w:top w:w="-1" w:type="dxa"/>
              <w:left w:w="-1" w:type="dxa"/>
              <w:bottom w:w="-1" w:type="dxa"/>
              <w:right w:w="-1" w:type="dxa"/>
            </w:tcMar>
            <w:vAlign w:val="center"/>
          </w:tcPr>
          <w:p w14:paraId="00DC85BA" w14:textId="77777777" w:rsidR="00C32645" w:rsidRDefault="00C44B25" w:rsidP="005A1CFE">
            <w:pPr>
              <w:pStyle w:val="NormalWeb"/>
              <w:widowControl/>
              <w:snapToGrid w:val="0"/>
              <w:jc w:val="center"/>
              <w:rPr>
                <w:rFonts w:ascii="Times New Roman" w:eastAsia="Segoe UI" w:hAnsi="Times New Roman" w:cs="Times New Roman"/>
                <w:b/>
              </w:rPr>
            </w:pPr>
            <w:r>
              <w:rPr>
                <w:rFonts w:ascii="Times New Roman" w:eastAsia="Segoe UI" w:hAnsi="Times New Roman" w:cs="Times New Roman"/>
                <w:b/>
                <w:snapToGrid w:val="0"/>
                <w:color w:val="0F1115"/>
                <w:shd w:val="clear" w:color="auto" w:fill="FFFFFF"/>
              </w:rPr>
              <w:t>Statistic</w:t>
            </w:r>
          </w:p>
        </w:tc>
        <w:tc>
          <w:tcPr>
            <w:tcW w:w="467" w:type="pct"/>
            <w:tcBorders>
              <w:top w:val="single" w:sz="4" w:space="0" w:color="auto"/>
              <w:left w:val="nil"/>
              <w:bottom w:val="nil"/>
              <w:right w:val="nil"/>
            </w:tcBorders>
            <w:tcMar>
              <w:top w:w="-1" w:type="dxa"/>
              <w:left w:w="-1" w:type="dxa"/>
              <w:bottom w:w="-1" w:type="dxa"/>
              <w:right w:w="-1" w:type="dxa"/>
            </w:tcMar>
            <w:vAlign w:val="center"/>
          </w:tcPr>
          <w:p w14:paraId="2702E240" w14:textId="62A43613" w:rsidR="00C32645" w:rsidRDefault="005A1CFE" w:rsidP="005A1CFE">
            <w:pPr>
              <w:pStyle w:val="NormalWeb"/>
              <w:widowControl/>
              <w:snapToGrid w:val="0"/>
              <w:jc w:val="center"/>
              <w:rPr>
                <w:rFonts w:ascii="Times New Roman" w:eastAsia="Segoe UI" w:hAnsi="Times New Roman" w:cs="Times New Roman"/>
                <w:b/>
              </w:rPr>
            </w:pPr>
            <w:r>
              <w:rPr>
                <w:rFonts w:ascii="Times New Roman" w:eastAsia="Segoe UI" w:hAnsi="Times New Roman" w:cs="Times New Roman"/>
                <w:b/>
                <w:i/>
                <w:iCs/>
                <w:snapToGrid w:val="0"/>
                <w:color w:val="0F1115"/>
                <w:shd w:val="clear" w:color="auto" w:fill="FFFFFF"/>
              </w:rPr>
              <w:t>p</w:t>
            </w:r>
            <w:r>
              <w:rPr>
                <w:rFonts w:ascii="Times New Roman" w:eastAsia="Segoe UI" w:hAnsi="Times New Roman" w:cs="Times New Roman"/>
                <w:b/>
                <w:snapToGrid w:val="0"/>
                <w:color w:val="0F1115"/>
                <w:shd w:val="clear" w:color="auto" w:fill="FFFFFF"/>
              </w:rPr>
              <w:t xml:space="preserve"> </w:t>
            </w:r>
            <w:r w:rsidR="00C44B25">
              <w:rPr>
                <w:rFonts w:ascii="Times New Roman" w:eastAsia="Segoe UI" w:hAnsi="Times New Roman" w:cs="Times New Roman"/>
                <w:b/>
                <w:snapToGrid w:val="0"/>
                <w:color w:val="0F1115"/>
                <w:shd w:val="clear" w:color="auto" w:fill="FFFFFF"/>
              </w:rPr>
              <w:t>value</w:t>
            </w:r>
          </w:p>
        </w:tc>
      </w:tr>
      <w:tr w:rsidR="00C32645" w14:paraId="43640E70" w14:textId="77777777">
        <w:trPr>
          <w:jc w:val="center"/>
        </w:trPr>
        <w:tc>
          <w:tcPr>
            <w:tcW w:w="1497" w:type="pct"/>
            <w:tcBorders>
              <w:top w:val="single" w:sz="4" w:space="0" w:color="auto"/>
              <w:left w:val="nil"/>
              <w:bottom w:val="nil"/>
              <w:right w:val="nil"/>
            </w:tcBorders>
            <w:tcMar>
              <w:top w:w="-1" w:type="dxa"/>
              <w:left w:w="-1" w:type="dxa"/>
              <w:bottom w:w="-1" w:type="dxa"/>
              <w:right w:w="-1" w:type="dxa"/>
            </w:tcMar>
            <w:vAlign w:val="center"/>
          </w:tcPr>
          <w:p w14:paraId="23D0946C" w14:textId="77777777" w:rsidR="00C32645" w:rsidRDefault="00C44B25" w:rsidP="00CB525F">
            <w:pPr>
              <w:pStyle w:val="NormalWeb"/>
              <w:widowControl/>
              <w:snapToGrid w:val="0"/>
              <w:jc w:val="left"/>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Nausea and vomiting [n (%)]</w:t>
            </w:r>
          </w:p>
        </w:tc>
        <w:tc>
          <w:tcPr>
            <w:tcW w:w="1138" w:type="pct"/>
            <w:tcBorders>
              <w:top w:val="single" w:sz="4" w:space="0" w:color="auto"/>
              <w:left w:val="nil"/>
              <w:bottom w:val="nil"/>
              <w:right w:val="nil"/>
            </w:tcBorders>
            <w:tcMar>
              <w:top w:w="-1" w:type="dxa"/>
              <w:left w:w="-1" w:type="dxa"/>
              <w:bottom w:w="-1" w:type="dxa"/>
              <w:right w:w="-1" w:type="dxa"/>
            </w:tcMar>
            <w:vAlign w:val="center"/>
          </w:tcPr>
          <w:p w14:paraId="13DAC71F" w14:textId="77777777"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24 (30.77)</w:t>
            </w:r>
          </w:p>
        </w:tc>
        <w:tc>
          <w:tcPr>
            <w:tcW w:w="1354" w:type="pct"/>
            <w:tcBorders>
              <w:top w:val="single" w:sz="4" w:space="0" w:color="auto"/>
              <w:left w:val="nil"/>
              <w:bottom w:val="nil"/>
              <w:right w:val="nil"/>
            </w:tcBorders>
            <w:tcMar>
              <w:top w:w="-1" w:type="dxa"/>
              <w:left w:w="-1" w:type="dxa"/>
              <w:bottom w:w="-1" w:type="dxa"/>
              <w:right w:w="-1" w:type="dxa"/>
            </w:tcMar>
            <w:vAlign w:val="center"/>
          </w:tcPr>
          <w:p w14:paraId="4B159DDB" w14:textId="77777777"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13 (16.67)</w:t>
            </w:r>
          </w:p>
        </w:tc>
        <w:tc>
          <w:tcPr>
            <w:tcW w:w="541" w:type="pct"/>
            <w:tcBorders>
              <w:top w:val="single" w:sz="4" w:space="0" w:color="auto"/>
              <w:left w:val="nil"/>
              <w:bottom w:val="nil"/>
              <w:right w:val="nil"/>
            </w:tcBorders>
            <w:tcMar>
              <w:top w:w="-1" w:type="dxa"/>
              <w:left w:w="-1" w:type="dxa"/>
              <w:bottom w:w="-1" w:type="dxa"/>
              <w:right w:w="-1" w:type="dxa"/>
            </w:tcMar>
            <w:vAlign w:val="center"/>
          </w:tcPr>
          <w:p w14:paraId="1755B57D" w14:textId="50BB50D1"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χ</w:t>
            </w:r>
            <w:r w:rsidR="005A1CFE">
              <w:rPr>
                <w:rFonts w:ascii="Times New Roman" w:eastAsia="Segoe UI" w:hAnsi="Times New Roman" w:cs="Times New Roman"/>
                <w:snapToGrid w:val="0"/>
                <w:color w:val="0F1115"/>
                <w:shd w:val="clear" w:color="auto" w:fill="FFFFFF"/>
                <w:vertAlign w:val="superscript"/>
              </w:rPr>
              <w:t>2</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4.396</w:t>
            </w:r>
          </w:p>
        </w:tc>
        <w:tc>
          <w:tcPr>
            <w:tcW w:w="467" w:type="pct"/>
            <w:tcBorders>
              <w:top w:val="single" w:sz="4" w:space="0" w:color="auto"/>
              <w:left w:val="nil"/>
              <w:bottom w:val="nil"/>
              <w:right w:val="nil"/>
            </w:tcBorders>
            <w:tcMar>
              <w:top w:w="-1" w:type="dxa"/>
              <w:left w:w="-1" w:type="dxa"/>
              <w:bottom w:w="-1" w:type="dxa"/>
              <w:right w:w="-1" w:type="dxa"/>
            </w:tcMar>
            <w:vAlign w:val="center"/>
          </w:tcPr>
          <w:p w14:paraId="4E202CD0" w14:textId="77777777"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0.036</w:t>
            </w:r>
          </w:p>
        </w:tc>
      </w:tr>
      <w:tr w:rsidR="00C32645" w14:paraId="7BA4DD62" w14:textId="77777777">
        <w:trPr>
          <w:jc w:val="center"/>
        </w:trPr>
        <w:tc>
          <w:tcPr>
            <w:tcW w:w="1497" w:type="pct"/>
            <w:tcBorders>
              <w:top w:val="nil"/>
              <w:left w:val="nil"/>
              <w:bottom w:val="nil"/>
              <w:right w:val="nil"/>
            </w:tcBorders>
            <w:tcMar>
              <w:top w:w="-1" w:type="dxa"/>
              <w:left w:w="-1" w:type="dxa"/>
              <w:bottom w:w="-1" w:type="dxa"/>
              <w:right w:w="-1" w:type="dxa"/>
            </w:tcMar>
            <w:vAlign w:val="center"/>
          </w:tcPr>
          <w:p w14:paraId="708AC796" w14:textId="77777777" w:rsidR="00C32645" w:rsidRDefault="00C44B25" w:rsidP="00CB525F">
            <w:pPr>
              <w:pStyle w:val="NormalWeb"/>
              <w:widowControl/>
              <w:snapToGrid w:val="0"/>
              <w:jc w:val="left"/>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Dizziness [n (%)]</w:t>
            </w:r>
          </w:p>
        </w:tc>
        <w:tc>
          <w:tcPr>
            <w:tcW w:w="1138" w:type="pct"/>
            <w:tcBorders>
              <w:top w:val="nil"/>
              <w:left w:val="nil"/>
              <w:bottom w:val="nil"/>
              <w:right w:val="nil"/>
            </w:tcBorders>
            <w:tcMar>
              <w:top w:w="-1" w:type="dxa"/>
              <w:left w:w="-1" w:type="dxa"/>
              <w:bottom w:w="-1" w:type="dxa"/>
              <w:right w:w="-1" w:type="dxa"/>
            </w:tcMar>
            <w:vAlign w:val="center"/>
          </w:tcPr>
          <w:p w14:paraId="1717AAB9" w14:textId="77777777"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10 (12.82)</w:t>
            </w:r>
          </w:p>
        </w:tc>
        <w:tc>
          <w:tcPr>
            <w:tcW w:w="1354" w:type="pct"/>
            <w:tcBorders>
              <w:top w:val="nil"/>
              <w:left w:val="nil"/>
              <w:bottom w:val="nil"/>
              <w:right w:val="nil"/>
            </w:tcBorders>
            <w:tcMar>
              <w:top w:w="-1" w:type="dxa"/>
              <w:left w:w="-1" w:type="dxa"/>
              <w:bottom w:w="-1" w:type="dxa"/>
              <w:right w:w="-1" w:type="dxa"/>
            </w:tcMar>
            <w:vAlign w:val="center"/>
          </w:tcPr>
          <w:p w14:paraId="01FD3DF9" w14:textId="77777777"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6 (7.69)</w:t>
            </w:r>
          </w:p>
        </w:tc>
        <w:tc>
          <w:tcPr>
            <w:tcW w:w="541" w:type="pct"/>
            <w:tcBorders>
              <w:top w:val="nil"/>
              <w:left w:val="nil"/>
              <w:bottom w:val="nil"/>
              <w:right w:val="nil"/>
            </w:tcBorders>
            <w:tcMar>
              <w:top w:w="-1" w:type="dxa"/>
              <w:left w:w="-1" w:type="dxa"/>
              <w:bottom w:w="-1" w:type="dxa"/>
              <w:right w:w="-1" w:type="dxa"/>
            </w:tcMar>
            <w:vAlign w:val="center"/>
          </w:tcPr>
          <w:p w14:paraId="6B3F26DC" w14:textId="3D183A91"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χ</w:t>
            </w:r>
            <w:r w:rsidR="005A1CFE">
              <w:rPr>
                <w:rFonts w:ascii="Times New Roman" w:eastAsia="Segoe UI" w:hAnsi="Times New Roman" w:cs="Times New Roman"/>
                <w:snapToGrid w:val="0"/>
                <w:color w:val="0F1115"/>
                <w:shd w:val="clear" w:color="auto" w:fill="FFFFFF"/>
                <w:vertAlign w:val="superscript"/>
              </w:rPr>
              <w:t>2</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1.099</w:t>
            </w:r>
          </w:p>
        </w:tc>
        <w:tc>
          <w:tcPr>
            <w:tcW w:w="467" w:type="pct"/>
            <w:tcBorders>
              <w:top w:val="nil"/>
              <w:left w:val="nil"/>
              <w:bottom w:val="nil"/>
              <w:right w:val="nil"/>
            </w:tcBorders>
            <w:tcMar>
              <w:top w:w="-1" w:type="dxa"/>
              <w:left w:w="-1" w:type="dxa"/>
              <w:bottom w:w="-1" w:type="dxa"/>
              <w:right w:w="-1" w:type="dxa"/>
            </w:tcMar>
            <w:vAlign w:val="center"/>
          </w:tcPr>
          <w:p w14:paraId="70C2C8F9" w14:textId="77777777"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0.294</w:t>
            </w:r>
          </w:p>
        </w:tc>
      </w:tr>
      <w:tr w:rsidR="00C32645" w14:paraId="7597D301" w14:textId="77777777" w:rsidTr="00CB525F">
        <w:trPr>
          <w:jc w:val="center"/>
        </w:trPr>
        <w:tc>
          <w:tcPr>
            <w:tcW w:w="1497" w:type="pct"/>
            <w:tcBorders>
              <w:top w:val="nil"/>
              <w:left w:val="nil"/>
              <w:bottom w:val="single" w:sz="4" w:space="0" w:color="auto"/>
              <w:right w:val="nil"/>
            </w:tcBorders>
            <w:tcMar>
              <w:top w:w="-1" w:type="dxa"/>
              <w:left w:w="-1" w:type="dxa"/>
              <w:bottom w:w="-1" w:type="dxa"/>
              <w:right w:w="-1" w:type="dxa"/>
            </w:tcMar>
            <w:vAlign w:val="center"/>
          </w:tcPr>
          <w:p w14:paraId="7ECDEC36" w14:textId="77777777" w:rsidR="00C32645" w:rsidRDefault="00C44B25" w:rsidP="00CB525F">
            <w:pPr>
              <w:pStyle w:val="NormalWeb"/>
              <w:widowControl/>
              <w:snapToGrid w:val="0"/>
              <w:jc w:val="left"/>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Excessive sedation [n (%)]</w:t>
            </w:r>
          </w:p>
        </w:tc>
        <w:tc>
          <w:tcPr>
            <w:tcW w:w="1138" w:type="pct"/>
            <w:tcBorders>
              <w:top w:val="nil"/>
              <w:left w:val="nil"/>
              <w:bottom w:val="single" w:sz="4" w:space="0" w:color="auto"/>
              <w:right w:val="nil"/>
            </w:tcBorders>
            <w:tcMar>
              <w:top w:w="-1" w:type="dxa"/>
              <w:left w:w="-1" w:type="dxa"/>
              <w:bottom w:w="-1" w:type="dxa"/>
              <w:right w:w="-1" w:type="dxa"/>
            </w:tcMar>
            <w:vAlign w:val="center"/>
          </w:tcPr>
          <w:p w14:paraId="3CEBDE4F" w14:textId="77777777"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5 (6.41)</w:t>
            </w:r>
          </w:p>
        </w:tc>
        <w:tc>
          <w:tcPr>
            <w:tcW w:w="1354" w:type="pct"/>
            <w:tcBorders>
              <w:top w:val="nil"/>
              <w:left w:val="nil"/>
              <w:bottom w:val="single" w:sz="4" w:space="0" w:color="auto"/>
              <w:right w:val="nil"/>
            </w:tcBorders>
            <w:tcMar>
              <w:top w:w="-1" w:type="dxa"/>
              <w:left w:w="-1" w:type="dxa"/>
              <w:bottom w:w="-1" w:type="dxa"/>
              <w:right w:w="-1" w:type="dxa"/>
            </w:tcMar>
            <w:vAlign w:val="center"/>
          </w:tcPr>
          <w:p w14:paraId="3FBC5EEE" w14:textId="77777777"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2 (2.56)</w:t>
            </w:r>
          </w:p>
        </w:tc>
        <w:tc>
          <w:tcPr>
            <w:tcW w:w="541" w:type="pct"/>
            <w:tcBorders>
              <w:top w:val="nil"/>
              <w:left w:val="nil"/>
              <w:bottom w:val="single" w:sz="4" w:space="0" w:color="auto"/>
              <w:right w:val="nil"/>
            </w:tcBorders>
            <w:tcMar>
              <w:top w:w="-1" w:type="dxa"/>
              <w:left w:w="-1" w:type="dxa"/>
              <w:bottom w:w="-1" w:type="dxa"/>
              <w:right w:w="-1" w:type="dxa"/>
            </w:tcMar>
            <w:vAlign w:val="center"/>
          </w:tcPr>
          <w:p w14:paraId="3892AF52" w14:textId="658BA1F1"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χ</w:t>
            </w:r>
            <w:r w:rsidR="005A1CFE">
              <w:rPr>
                <w:rFonts w:ascii="Times New Roman" w:eastAsia="Segoe UI" w:hAnsi="Times New Roman" w:cs="Times New Roman"/>
                <w:snapToGrid w:val="0"/>
                <w:color w:val="0F1115"/>
                <w:shd w:val="clear" w:color="auto" w:fill="FFFFFF"/>
                <w:vertAlign w:val="superscript"/>
              </w:rPr>
              <w:t>2</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w:t>
            </w:r>
            <w:r w:rsidR="005A1CFE">
              <w:rPr>
                <w:rFonts w:ascii="Times New Roman" w:eastAsia="Segoe UI" w:hAnsi="Times New Roman" w:cs="Times New Roman"/>
                <w:snapToGrid w:val="0"/>
                <w:color w:val="0F1115"/>
                <w:shd w:val="clear" w:color="auto" w:fill="FFFFFF"/>
              </w:rPr>
              <w:t xml:space="preserve"> </w:t>
            </w:r>
            <w:r>
              <w:rPr>
                <w:rFonts w:ascii="Times New Roman" w:eastAsia="Segoe UI" w:hAnsi="Times New Roman" w:cs="Times New Roman"/>
                <w:snapToGrid w:val="0"/>
                <w:color w:val="0F1115"/>
                <w:shd w:val="clear" w:color="auto" w:fill="FFFFFF"/>
              </w:rPr>
              <w:t>1.334</w:t>
            </w:r>
          </w:p>
        </w:tc>
        <w:tc>
          <w:tcPr>
            <w:tcW w:w="467" w:type="pct"/>
            <w:tcBorders>
              <w:top w:val="nil"/>
              <w:left w:val="nil"/>
              <w:bottom w:val="single" w:sz="4" w:space="0" w:color="auto"/>
              <w:right w:val="nil"/>
            </w:tcBorders>
            <w:tcMar>
              <w:top w:w="-1" w:type="dxa"/>
              <w:left w:w="-1" w:type="dxa"/>
              <w:bottom w:w="-1" w:type="dxa"/>
              <w:right w:w="-1" w:type="dxa"/>
            </w:tcMar>
            <w:vAlign w:val="center"/>
          </w:tcPr>
          <w:p w14:paraId="6E5CB4FA" w14:textId="77777777" w:rsidR="00C32645" w:rsidRDefault="00C44B25" w:rsidP="005A1CFE">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0.248</w:t>
            </w:r>
          </w:p>
        </w:tc>
      </w:tr>
    </w:tbl>
    <w:p w14:paraId="5C86B4B0" w14:textId="77777777" w:rsidR="00C32645" w:rsidRDefault="00C32645" w:rsidP="00CB525F">
      <w:pPr>
        <w:snapToGrid w:val="0"/>
        <w:rPr>
          <w:rFonts w:ascii="Times New Roman" w:hAnsi="Times New Roman" w:cs="Times New Roman"/>
          <w:sz w:val="24"/>
        </w:rPr>
      </w:pPr>
    </w:p>
    <w:p w14:paraId="36CEB05C" w14:textId="77777777" w:rsidR="00C32645" w:rsidRDefault="00C44B25" w:rsidP="00CB525F">
      <w:pPr>
        <w:snapToGrid w:val="0"/>
        <w:rPr>
          <w:rFonts w:ascii="Times New Roman" w:hAnsi="Times New Roman" w:cs="Times New Roman"/>
          <w:b/>
          <w:bCs/>
          <w:sz w:val="24"/>
        </w:rPr>
      </w:pPr>
      <w:r>
        <w:rPr>
          <w:rFonts w:ascii="Times New Roman" w:hAnsi="Times New Roman" w:cs="Times New Roman" w:hint="eastAsia"/>
          <w:b/>
          <w:bCs/>
          <w:sz w:val="24"/>
        </w:rPr>
        <w:t>4</w:t>
      </w:r>
      <w:r>
        <w:rPr>
          <w:rFonts w:ascii="Times New Roman" w:hAnsi="Times New Roman" w:cs="Times New Roman"/>
          <w:b/>
          <w:bCs/>
          <w:sz w:val="24"/>
        </w:rPr>
        <w:t>.</w:t>
      </w:r>
      <w:r>
        <w:rPr>
          <w:rFonts w:ascii="Times New Roman" w:hAnsi="Times New Roman" w:cs="Times New Roman"/>
          <w:b/>
          <w:bCs/>
          <w:sz w:val="24"/>
        </w:rPr>
        <w:t xml:space="preserve"> Discussion </w:t>
      </w:r>
    </w:p>
    <w:p w14:paraId="32508CE5" w14:textId="12C65062" w:rsidR="00C32645" w:rsidRDefault="00C44B25" w:rsidP="00CB525F">
      <w:pPr>
        <w:snapToGrid w:val="0"/>
        <w:rPr>
          <w:rFonts w:ascii="Times New Roman" w:hAnsi="Times New Roman" w:cs="Times New Roman"/>
          <w:sz w:val="24"/>
        </w:rPr>
      </w:pPr>
      <w:r>
        <w:rPr>
          <w:rFonts w:ascii="Times New Roman" w:hAnsi="Times New Roman" w:cs="Times New Roman"/>
          <w:sz w:val="24"/>
        </w:rPr>
        <w:t xml:space="preserve">Thoracoscopic lobectomy is the mainstream surgical approach for early-stage lung cancer and benign pulmonary lesions. Although it significantly reduces surgical trauma compared to traditional thoracotomy, moderate to severe postoperative pain remains a core obstacle to early patient recovery. </w:t>
      </w:r>
      <w:r>
        <w:rPr>
          <w:rFonts w:ascii="Times New Roman" w:hAnsi="Times New Roman" w:cs="Times New Roman"/>
          <w:sz w:val="24"/>
        </w:rPr>
        <w:lastRenderedPageBreak/>
        <w:t>Conventional postoperative pain management often relies on passive execution of medical orders, with nurses conducting rounds and assessments according to shifts and notifying physicians for intervention only when the Visual Analog Scale (VAS) score reaches ≥</w:t>
      </w:r>
      <w:r w:rsidR="005A1CFE">
        <w:rPr>
          <w:rFonts w:ascii="Times New Roman" w:hAnsi="Times New Roman" w:cs="Times New Roman"/>
          <w:sz w:val="24"/>
        </w:rPr>
        <w:t xml:space="preserve"> </w:t>
      </w:r>
      <w:r>
        <w:rPr>
          <w:rFonts w:ascii="Times New Roman" w:hAnsi="Times New Roman" w:cs="Times New Roman"/>
          <w:sz w:val="24"/>
        </w:rPr>
        <w:t xml:space="preserve">4. This approach lacks proactive prediction and stratified management of individual patient pain risks, often leading to delayed or inadequate analgesic interventions. </w:t>
      </w:r>
    </w:p>
    <w:p w14:paraId="5739EE01" w14:textId="77777777" w:rsidR="00C32645" w:rsidRDefault="00C44B25" w:rsidP="00CB525F">
      <w:pPr>
        <w:snapToGrid w:val="0"/>
        <w:ind w:firstLineChars="200" w:firstLine="480"/>
        <w:rPr>
          <w:rFonts w:ascii="Times New Roman" w:hAnsi="Times New Roman" w:cs="Times New Roman"/>
          <w:sz w:val="24"/>
        </w:rPr>
      </w:pPr>
      <w:r>
        <w:rPr>
          <w:rFonts w:ascii="Times New Roman" w:hAnsi="Times New Roman" w:cs="Times New Roman"/>
          <w:sz w:val="24"/>
        </w:rPr>
        <w:t>The PDCA (Plan-Do-Check-Act) cycle, as a standardized quality management tool, enables continuous optimization and improvement of nursing processes through iterative cycles of planning, implementation, inspection, and handling. In this study, it was applied to postoperative pain management following thoracoscopic lobectomy. During the planning phase, three key weaknesses were identified through retrospective analysis: the absence of preoperative risk stratification, passive and delayed assessment and interv</w:t>
      </w:r>
      <w:r>
        <w:rPr>
          <w:rFonts w:ascii="Times New Roman" w:hAnsi="Times New Roman" w:cs="Times New Roman"/>
          <w:sz w:val="24"/>
        </w:rPr>
        <w:t>ention, and inconsistent implementation of adverse reaction prevention measures. Based on these findings, a stratified and proactive improvement plan was developed. During the implementation phase, the plan was put into practice through measures such as standardized handover forms, increased assessment frequency, and setting a lower intervention threshold. The inspection and handling phases ensured the sustainability of improvements through quality control checks and iterative cycles, addressing the lack of</w:t>
      </w:r>
      <w:r>
        <w:rPr>
          <w:rFonts w:ascii="Times New Roman" w:hAnsi="Times New Roman" w:cs="Times New Roman"/>
          <w:sz w:val="24"/>
        </w:rPr>
        <w:t xml:space="preserve"> a systematic closed-loop in conventional management. </w:t>
      </w:r>
    </w:p>
    <w:p w14:paraId="646C7AC5" w14:textId="7047523E" w:rsidR="00C32645" w:rsidRDefault="00C44B25" w:rsidP="00CB525F">
      <w:pPr>
        <w:snapToGrid w:val="0"/>
        <w:ind w:firstLineChars="200" w:firstLine="480"/>
        <w:rPr>
          <w:rFonts w:ascii="Times New Roman" w:hAnsi="Times New Roman" w:cs="Times New Roman"/>
          <w:sz w:val="24"/>
        </w:rPr>
      </w:pPr>
      <w:r>
        <w:rPr>
          <w:rFonts w:ascii="Times New Roman" w:hAnsi="Times New Roman" w:cs="Times New Roman"/>
          <w:sz w:val="24"/>
        </w:rPr>
        <w:t>The core of proactive nursing lies in shifting interventions upstream by actively identifying and intervening before risk events occur. In this study, proactive nursing was manifested at two levels: First, the Pain Catastrophizing Scale (PCS) was used preoperatively to screen patients at high risk for pain catastrophizing. Early communication with anesthesiologists regarding multimodal analgesia strategies was established, and proactive visits were conducted to educate patients on postoperative pain pattern</w:t>
      </w:r>
      <w:r>
        <w:rPr>
          <w:rFonts w:ascii="Times New Roman" w:hAnsi="Times New Roman" w:cs="Times New Roman"/>
          <w:sz w:val="24"/>
        </w:rPr>
        <w:t>s, analgesic pump usage, and techniques for protecting incisions during coughing and sputum expectoration, thereby alleviating fear and anxiety about postoperative pain. Research indicates that preoperative pain catastrophizing is a significant predictor of postoperative acute pain intensity, and preoperative psychological counseling and pain expectation management can effectively reduce central sensitization and postoperative pain perception. Second, the first postoperative pain assessment was completed im</w:t>
      </w:r>
      <w:r>
        <w:rPr>
          <w:rFonts w:ascii="Times New Roman" w:hAnsi="Times New Roman" w:cs="Times New Roman"/>
          <w:sz w:val="24"/>
        </w:rPr>
        <w:t>mediately, followed by reassessments every 2 hours within the first 24 hours postoperatively. Intervention was initiated at a VAS score of ≥</w:t>
      </w:r>
      <w:r w:rsidR="005A1CFE">
        <w:rPr>
          <w:rFonts w:ascii="Times New Roman" w:hAnsi="Times New Roman" w:cs="Times New Roman"/>
          <w:sz w:val="24"/>
        </w:rPr>
        <w:t xml:space="preserve"> </w:t>
      </w:r>
      <w:r>
        <w:rPr>
          <w:rFonts w:ascii="Times New Roman" w:hAnsi="Times New Roman" w:cs="Times New Roman"/>
          <w:sz w:val="24"/>
        </w:rPr>
        <w:t>3, representing a lower threshold and faster response compared to the control group's threshold of ≥</w:t>
      </w:r>
      <w:r w:rsidR="005A1CFE">
        <w:rPr>
          <w:rFonts w:ascii="Times New Roman" w:hAnsi="Times New Roman" w:cs="Times New Roman"/>
          <w:sz w:val="24"/>
        </w:rPr>
        <w:t xml:space="preserve"> </w:t>
      </w:r>
      <w:r>
        <w:rPr>
          <w:rFonts w:ascii="Times New Roman" w:hAnsi="Times New Roman" w:cs="Times New Roman"/>
          <w:sz w:val="24"/>
        </w:rPr>
        <w:t xml:space="preserve">4, thereby transforming passive post-event handling into proactive pre-event prevention and in-event control. </w:t>
      </w:r>
    </w:p>
    <w:p w14:paraId="30AED2AD" w14:textId="15830AF5" w:rsidR="00C32645" w:rsidRDefault="00C44B25" w:rsidP="00CB525F">
      <w:pPr>
        <w:snapToGrid w:val="0"/>
        <w:ind w:firstLineChars="200" w:firstLine="480"/>
        <w:rPr>
          <w:rFonts w:ascii="Times New Roman" w:hAnsi="Times New Roman" w:cs="Times New Roman"/>
          <w:sz w:val="24"/>
        </w:rPr>
      </w:pPr>
      <w:r>
        <w:rPr>
          <w:rFonts w:ascii="Times New Roman" w:hAnsi="Times New Roman" w:cs="Times New Roman"/>
          <w:sz w:val="24"/>
        </w:rPr>
        <w:t>The results of this study showed that VAS scores at 6, 24, and 48 hours postoperatively in the intervention group were lower than those in the control group (</w:t>
      </w:r>
      <w:r w:rsidR="005A1CFE">
        <w:rPr>
          <w:rFonts w:ascii="Times New Roman" w:hAnsi="Times New Roman" w:cs="Times New Roman"/>
          <w:i/>
          <w:iCs/>
          <w:sz w:val="24"/>
        </w:rPr>
        <w:t>p</w:t>
      </w:r>
      <w:r w:rsidR="005A1CFE">
        <w:rPr>
          <w:rFonts w:ascii="Times New Roman" w:hAnsi="Times New Roman" w:cs="Times New Roman"/>
          <w:sz w:val="24"/>
        </w:rPr>
        <w:t xml:space="preserve"> </w:t>
      </w:r>
      <w:r>
        <w:rPr>
          <w:rFonts w:ascii="Times New Roman" w:hAnsi="Times New Roman" w:cs="Times New Roman"/>
          <w:sz w:val="24"/>
        </w:rPr>
        <w:t>&lt; 0.05). The number of effective analgesic pump presses decreased by approximately 33% compared to the control group, and the rescue analgesia rate dropped from 26.9% to 11.5% (</w:t>
      </w:r>
      <w:r w:rsidR="005A1CFE">
        <w:rPr>
          <w:rFonts w:ascii="Times New Roman" w:hAnsi="Times New Roman" w:cs="Times New Roman"/>
          <w:i/>
          <w:iCs/>
          <w:sz w:val="24"/>
        </w:rPr>
        <w:t>p</w:t>
      </w:r>
      <w:r w:rsidR="005A1CFE">
        <w:rPr>
          <w:rFonts w:ascii="Times New Roman" w:hAnsi="Times New Roman" w:cs="Times New Roman"/>
          <w:sz w:val="24"/>
        </w:rPr>
        <w:t xml:space="preserve"> </w:t>
      </w:r>
      <w:r>
        <w:rPr>
          <w:rFonts w:ascii="Times New Roman" w:hAnsi="Times New Roman" w:cs="Times New Roman"/>
          <w:sz w:val="24"/>
        </w:rPr>
        <w:t>&lt; 0.05), consistent with findings from previous studies on the application of the PDCA cycle in postoperative pain management. These results suggest that the PDCA cycle combined with proactive nursing can synergistically enhance analgesic quality from two dimensions: process optimization and risk proactivity. The PDCA cycle ensures standardized and sustained nursing behaviors, while proactive nursing preemptively addresses some pain triggers at the individual patient level, forming a complementary dynamic c</w:t>
      </w:r>
      <w:r>
        <w:rPr>
          <w:rFonts w:ascii="Times New Roman" w:hAnsi="Times New Roman" w:cs="Times New Roman"/>
          <w:sz w:val="24"/>
        </w:rPr>
        <w:t xml:space="preserve">losed-loop management system. </w:t>
      </w:r>
    </w:p>
    <w:p w14:paraId="3DD4FB08" w14:textId="77777777" w:rsidR="00C32645" w:rsidRDefault="00C32645" w:rsidP="00CB525F">
      <w:pPr>
        <w:snapToGrid w:val="0"/>
        <w:ind w:firstLineChars="200" w:firstLine="480"/>
        <w:rPr>
          <w:rFonts w:ascii="Times New Roman" w:hAnsi="Times New Roman" w:cs="Times New Roman"/>
          <w:sz w:val="24"/>
        </w:rPr>
      </w:pPr>
    </w:p>
    <w:p w14:paraId="2EAF46FC" w14:textId="77777777" w:rsidR="00C32645" w:rsidRDefault="00C44B25" w:rsidP="00CB525F">
      <w:pPr>
        <w:snapToGrid w:val="0"/>
        <w:rPr>
          <w:rFonts w:ascii="Times New Roman" w:hAnsi="Times New Roman" w:cs="Times New Roman"/>
          <w:b/>
          <w:bCs/>
          <w:sz w:val="24"/>
        </w:rPr>
      </w:pPr>
      <w:r>
        <w:rPr>
          <w:rFonts w:ascii="Times New Roman" w:hAnsi="Times New Roman" w:cs="Times New Roman" w:hint="eastAsia"/>
          <w:b/>
          <w:bCs/>
          <w:sz w:val="24"/>
        </w:rPr>
        <w:t>5</w:t>
      </w:r>
      <w:r>
        <w:rPr>
          <w:rFonts w:ascii="Times New Roman" w:hAnsi="Times New Roman" w:cs="Times New Roman"/>
          <w:b/>
          <w:bCs/>
          <w:sz w:val="24"/>
        </w:rPr>
        <w:t>.</w:t>
      </w:r>
      <w:r>
        <w:rPr>
          <w:rFonts w:ascii="Times New Roman" w:hAnsi="Times New Roman" w:cs="Times New Roman"/>
          <w:b/>
          <w:bCs/>
          <w:sz w:val="24"/>
        </w:rPr>
        <w:t xml:space="preserve"> Conclusion </w:t>
      </w:r>
    </w:p>
    <w:p w14:paraId="15430CAA" w14:textId="77777777" w:rsidR="00C32645" w:rsidRDefault="00C44B25" w:rsidP="00CB525F">
      <w:pPr>
        <w:snapToGrid w:val="0"/>
        <w:rPr>
          <w:rFonts w:ascii="Times New Roman" w:hAnsi="Times New Roman" w:cs="Times New Roman"/>
          <w:sz w:val="24"/>
        </w:rPr>
      </w:pPr>
      <w:r>
        <w:rPr>
          <w:rFonts w:ascii="Times New Roman" w:hAnsi="Times New Roman" w:cs="Times New Roman"/>
          <w:sz w:val="24"/>
        </w:rPr>
        <w:t>The combination of the PDCA cycle and proactive nursing, acting synergistically through process-oriented quality improvement and proactive risk avoidance, significantly reduces acute pain intensity, decreases the number of analgesic pump presses and the need for rescue analgesia, and lowers the incidence of drug-related adverse reactions such as nausea and vomiting in patients following thoracoscopic lobectomy. This integrated model transforms post-event handling into a dynamic management system encompassin</w:t>
      </w:r>
      <w:r>
        <w:rPr>
          <w:rFonts w:ascii="Times New Roman" w:hAnsi="Times New Roman" w:cs="Times New Roman"/>
          <w:sz w:val="24"/>
        </w:rPr>
        <w:t>g pre-event prevention, in-event control, and continuous optimization. It is operationally feasible, demonstrates clear effects, and can serve as a preferred option for postoperative pain management in accelerated rehabilitation surgery nursing within thoracic surgery, holding high clinical</w:t>
      </w:r>
      <w:r>
        <w:rPr>
          <w:rFonts w:ascii="Times New Roman" w:hAnsi="Times New Roman" w:cs="Times New Roman" w:hint="eastAsia"/>
          <w:sz w:val="24"/>
        </w:rPr>
        <w:t> application</w:t>
      </w:r>
      <w:r>
        <w:rPr>
          <w:rFonts w:ascii="Times New Roman" w:hAnsi="Times New Roman" w:cs="Times New Roman"/>
          <w:sz w:val="24"/>
        </w:rPr>
        <w:t xml:space="preserve"> value.</w:t>
      </w:r>
    </w:p>
    <w:p w14:paraId="48498470" w14:textId="77777777" w:rsidR="00C32645" w:rsidRDefault="00C32645" w:rsidP="00CB525F">
      <w:pPr>
        <w:snapToGrid w:val="0"/>
        <w:rPr>
          <w:rFonts w:ascii="Times New Roman" w:hAnsi="Times New Roman" w:cs="Times New Roman"/>
          <w:sz w:val="24"/>
        </w:rPr>
      </w:pPr>
    </w:p>
    <w:p w14:paraId="476A9CBF" w14:textId="77777777" w:rsidR="00C32645" w:rsidRDefault="00C44B25" w:rsidP="00CB525F">
      <w:pPr>
        <w:snapToGrid w:val="0"/>
        <w:rPr>
          <w:rFonts w:ascii="Times New Roman" w:hAnsi="Times New Roman"/>
          <w:b/>
          <w:bCs/>
          <w:sz w:val="24"/>
        </w:rPr>
      </w:pPr>
      <w:bookmarkStart w:id="0" w:name="_Hlk181689731"/>
      <w:r>
        <w:rPr>
          <w:rFonts w:ascii="Times New Roman" w:hAnsi="Times New Roman"/>
          <w:b/>
          <w:bCs/>
          <w:sz w:val="24"/>
        </w:rPr>
        <w:t>Disclosure statement</w:t>
      </w:r>
    </w:p>
    <w:p w14:paraId="600C1FFB" w14:textId="77777777" w:rsidR="00C32645" w:rsidRDefault="00C44B25" w:rsidP="00CB525F">
      <w:pPr>
        <w:snapToGrid w:val="0"/>
        <w:rPr>
          <w:rFonts w:ascii="Times New Roman" w:hAnsi="Times New Roman"/>
          <w:sz w:val="24"/>
        </w:rPr>
      </w:pPr>
      <w:r>
        <w:rPr>
          <w:rFonts w:ascii="Times New Roman" w:hAnsi="Times New Roman"/>
          <w:sz w:val="24"/>
        </w:rPr>
        <w:t>The author declare</w:t>
      </w:r>
      <w:r>
        <w:rPr>
          <w:rFonts w:ascii="Times New Roman" w:hAnsi="Times New Roman" w:hint="eastAsia"/>
          <w:sz w:val="24"/>
        </w:rPr>
        <w:t>s</w:t>
      </w:r>
      <w:r>
        <w:rPr>
          <w:rFonts w:ascii="Times New Roman" w:hAnsi="Times New Roman"/>
          <w:sz w:val="24"/>
        </w:rPr>
        <w:t xml:space="preserve"> no conflict of interest. </w:t>
      </w:r>
    </w:p>
    <w:bookmarkEnd w:id="0"/>
    <w:p w14:paraId="4C33BCCB" w14:textId="77777777" w:rsidR="00C32645" w:rsidRDefault="00C32645" w:rsidP="00CB525F">
      <w:pPr>
        <w:snapToGrid w:val="0"/>
        <w:rPr>
          <w:rFonts w:ascii="Times New Roman" w:hAnsi="Times New Roman" w:cs="Times New Roman"/>
          <w:sz w:val="24"/>
        </w:rPr>
      </w:pPr>
    </w:p>
    <w:p w14:paraId="77DEA510" w14:textId="77777777" w:rsidR="00C32645" w:rsidRDefault="00C44B25" w:rsidP="00CB525F">
      <w:pPr>
        <w:snapToGrid w:val="0"/>
        <w:rPr>
          <w:rFonts w:ascii="Times New Roman" w:hAnsi="Times New Roman" w:cs="Times New Roman"/>
          <w:b/>
          <w:bCs/>
          <w:sz w:val="24"/>
        </w:rPr>
      </w:pPr>
      <w:r>
        <w:rPr>
          <w:rFonts w:ascii="Times New Roman" w:hAnsi="Times New Roman" w:cs="Times New Roman"/>
          <w:b/>
          <w:bCs/>
          <w:sz w:val="24"/>
        </w:rPr>
        <w:t xml:space="preserve">References </w:t>
      </w:r>
    </w:p>
    <w:p w14:paraId="7885F04E" w14:textId="77777777" w:rsidR="00E17E46" w:rsidRDefault="00E17E46" w:rsidP="00E17E46">
      <w:pPr>
        <w:snapToGrid w:val="0"/>
        <w:ind w:left="709" w:hanging="709"/>
        <w:rPr>
          <w:rFonts w:ascii="Times New Roman" w:hAnsi="Times New Roman" w:cs="Times New Roman"/>
          <w:sz w:val="24"/>
          <w:lang w:val="en-MY"/>
        </w:rPr>
      </w:pPr>
      <w:r w:rsidRPr="00E17E46">
        <w:rPr>
          <w:rFonts w:ascii="Times New Roman" w:hAnsi="Times New Roman" w:cs="Times New Roman"/>
          <w:sz w:val="24"/>
          <w:lang w:val="en-MY"/>
        </w:rPr>
        <w:t xml:space="preserve">[1] </w:t>
      </w:r>
      <w:r>
        <w:rPr>
          <w:rFonts w:ascii="Times New Roman" w:hAnsi="Times New Roman" w:cs="Times New Roman"/>
          <w:sz w:val="24"/>
          <w:lang w:val="en-MY"/>
        </w:rPr>
        <w:tab/>
      </w:r>
      <w:r w:rsidRPr="00E17E46">
        <w:rPr>
          <w:rFonts w:ascii="Times New Roman" w:hAnsi="Times New Roman" w:cs="Times New Roman"/>
          <w:sz w:val="24"/>
          <w:lang w:val="en-MY"/>
        </w:rPr>
        <w:t>Deng B, Chen G, Jian J, et al., 2021, Application Research of PDCA Cycle Management Model in Postoperative Analgesic Pump Management. Modern Medicine and Health, 37(19): 3391–3393.</w:t>
      </w:r>
    </w:p>
    <w:p w14:paraId="4D192065" w14:textId="4BA11D83" w:rsidR="00E17E46" w:rsidRDefault="00E17E46" w:rsidP="00E17E46">
      <w:pPr>
        <w:snapToGrid w:val="0"/>
        <w:ind w:left="709" w:hanging="709"/>
        <w:rPr>
          <w:rFonts w:ascii="Times New Roman" w:hAnsi="Times New Roman" w:cs="Times New Roman"/>
          <w:sz w:val="24"/>
          <w:lang w:val="en-MY"/>
        </w:rPr>
      </w:pPr>
      <w:r w:rsidRPr="00E17E46">
        <w:rPr>
          <w:rFonts w:ascii="Times New Roman" w:hAnsi="Times New Roman" w:cs="Times New Roman"/>
          <w:sz w:val="24"/>
          <w:lang w:val="en-MY"/>
        </w:rPr>
        <w:t xml:space="preserve">[2] </w:t>
      </w:r>
      <w:r>
        <w:rPr>
          <w:rFonts w:ascii="Times New Roman" w:hAnsi="Times New Roman" w:cs="Times New Roman"/>
          <w:sz w:val="24"/>
          <w:lang w:val="en-MY"/>
        </w:rPr>
        <w:tab/>
      </w:r>
      <w:r w:rsidRPr="00E17E46">
        <w:rPr>
          <w:rFonts w:ascii="Times New Roman" w:hAnsi="Times New Roman" w:cs="Times New Roman"/>
          <w:sz w:val="24"/>
          <w:lang w:val="en-MY"/>
        </w:rPr>
        <w:t xml:space="preserve">Lei Y, 2021, Impact of Multimodal Pain Intervention Based on PDCA Management on Pain Levels in Patients </w:t>
      </w:r>
      <w:r>
        <w:rPr>
          <w:rFonts w:ascii="Times New Roman" w:hAnsi="Times New Roman" w:cs="Times New Roman"/>
          <w:sz w:val="24"/>
          <w:lang w:val="en-MY"/>
        </w:rPr>
        <w:t>w</w:t>
      </w:r>
      <w:r w:rsidRPr="00E17E46">
        <w:rPr>
          <w:rFonts w:ascii="Times New Roman" w:hAnsi="Times New Roman" w:cs="Times New Roman"/>
          <w:sz w:val="24"/>
          <w:lang w:val="en-MY"/>
        </w:rPr>
        <w:t xml:space="preserve">ith Emergency Traumatic </w:t>
      </w:r>
      <w:proofErr w:type="spellStart"/>
      <w:r w:rsidRPr="00E17E46">
        <w:rPr>
          <w:rFonts w:ascii="Times New Roman" w:hAnsi="Times New Roman" w:cs="Times New Roman"/>
          <w:sz w:val="24"/>
          <w:lang w:val="en-MY"/>
        </w:rPr>
        <w:t>Orthopedic</w:t>
      </w:r>
      <w:proofErr w:type="spellEnd"/>
      <w:r w:rsidRPr="00E17E46">
        <w:rPr>
          <w:rFonts w:ascii="Times New Roman" w:hAnsi="Times New Roman" w:cs="Times New Roman"/>
          <w:sz w:val="24"/>
          <w:lang w:val="en-MY"/>
        </w:rPr>
        <w:t xml:space="preserve"> Injuries. Journal of the Medical College of the Chinese People’s Armed Police Forces (Medical Edition), 30(11): 86–88.</w:t>
      </w:r>
    </w:p>
    <w:p w14:paraId="09D8AF66" w14:textId="77777777" w:rsidR="00E17E46" w:rsidRDefault="00E17E46" w:rsidP="00E17E46">
      <w:pPr>
        <w:snapToGrid w:val="0"/>
        <w:ind w:left="709" w:hanging="709"/>
        <w:rPr>
          <w:rFonts w:ascii="Times New Roman" w:hAnsi="Times New Roman" w:cs="Times New Roman"/>
          <w:sz w:val="24"/>
          <w:lang w:val="en-MY"/>
        </w:rPr>
      </w:pPr>
      <w:r w:rsidRPr="00E17E46">
        <w:rPr>
          <w:rFonts w:ascii="Times New Roman" w:hAnsi="Times New Roman" w:cs="Times New Roman"/>
          <w:sz w:val="24"/>
          <w:lang w:val="en-MY"/>
        </w:rPr>
        <w:t xml:space="preserve">[3] </w:t>
      </w:r>
      <w:r>
        <w:rPr>
          <w:rFonts w:ascii="Times New Roman" w:hAnsi="Times New Roman" w:cs="Times New Roman"/>
          <w:sz w:val="24"/>
          <w:lang w:val="en-MY"/>
        </w:rPr>
        <w:tab/>
      </w:r>
      <w:r w:rsidRPr="00E17E46">
        <w:rPr>
          <w:rFonts w:ascii="Times New Roman" w:hAnsi="Times New Roman" w:cs="Times New Roman"/>
          <w:sz w:val="24"/>
          <w:lang w:val="en-MY"/>
        </w:rPr>
        <w:t>Wang A, Luo Y, Xu H, et al., 2025, Application of the FOCUS-PDCA Cycle in Enhancing the Standardization of Emergency Collaboration Among Thoracic Surgery Nurses. Scientific Reports, 15(1): 18948.</w:t>
      </w:r>
    </w:p>
    <w:p w14:paraId="5676A62B" w14:textId="77777777" w:rsidR="00E17E46" w:rsidRDefault="00E17E46" w:rsidP="00E17E46">
      <w:pPr>
        <w:snapToGrid w:val="0"/>
        <w:ind w:left="709" w:hanging="709"/>
        <w:rPr>
          <w:rFonts w:ascii="Times New Roman" w:hAnsi="Times New Roman" w:cs="Times New Roman"/>
          <w:sz w:val="24"/>
          <w:lang w:val="en-MY"/>
        </w:rPr>
      </w:pPr>
      <w:r w:rsidRPr="00E17E46">
        <w:rPr>
          <w:rFonts w:ascii="Times New Roman" w:hAnsi="Times New Roman" w:cs="Times New Roman"/>
          <w:sz w:val="24"/>
          <w:lang w:val="en-MY"/>
        </w:rPr>
        <w:t xml:space="preserve">[4] </w:t>
      </w:r>
      <w:r>
        <w:rPr>
          <w:rFonts w:ascii="Times New Roman" w:hAnsi="Times New Roman" w:cs="Times New Roman"/>
          <w:sz w:val="24"/>
          <w:lang w:val="en-MY"/>
        </w:rPr>
        <w:tab/>
      </w:r>
      <w:r w:rsidRPr="00E17E46">
        <w:rPr>
          <w:rFonts w:ascii="Times New Roman" w:hAnsi="Times New Roman" w:cs="Times New Roman"/>
          <w:sz w:val="24"/>
          <w:lang w:val="en-MY"/>
        </w:rPr>
        <w:t xml:space="preserve">Wei S, Wang Q, Wang J, et al., 2022, Impact of Proactive Nursing on Pain and Agitation During General </w:t>
      </w:r>
      <w:proofErr w:type="spellStart"/>
      <w:r w:rsidRPr="00E17E46">
        <w:rPr>
          <w:rFonts w:ascii="Times New Roman" w:hAnsi="Times New Roman" w:cs="Times New Roman"/>
          <w:sz w:val="24"/>
          <w:lang w:val="en-MY"/>
        </w:rPr>
        <w:t>Anesthesia</w:t>
      </w:r>
      <w:proofErr w:type="spellEnd"/>
      <w:r w:rsidRPr="00E17E46">
        <w:rPr>
          <w:rFonts w:ascii="Times New Roman" w:hAnsi="Times New Roman" w:cs="Times New Roman"/>
          <w:sz w:val="24"/>
          <w:lang w:val="en-MY"/>
        </w:rPr>
        <w:t xml:space="preserve"> Recovery in Patients Undergoing Thoracoscopic Lobectomy. Chongqing Medicine, 51(11): 1852–1855</w:t>
      </w:r>
      <w:r>
        <w:rPr>
          <w:rFonts w:ascii="Times New Roman" w:hAnsi="Times New Roman" w:cs="Times New Roman"/>
          <w:sz w:val="24"/>
          <w:lang w:val="en-MY"/>
        </w:rPr>
        <w:t xml:space="preserve"> </w:t>
      </w:r>
      <w:r w:rsidRPr="00E17E46">
        <w:rPr>
          <w:rFonts w:ascii="Times New Roman" w:hAnsi="Times New Roman" w:cs="Times New Roman"/>
          <w:sz w:val="24"/>
          <w:lang w:val="en-MY"/>
        </w:rPr>
        <w:t>+</w:t>
      </w:r>
      <w:r>
        <w:rPr>
          <w:rFonts w:ascii="Times New Roman" w:hAnsi="Times New Roman" w:cs="Times New Roman"/>
          <w:sz w:val="24"/>
          <w:lang w:val="en-MY"/>
        </w:rPr>
        <w:t xml:space="preserve"> </w:t>
      </w:r>
      <w:r w:rsidRPr="00E17E46">
        <w:rPr>
          <w:rFonts w:ascii="Times New Roman" w:hAnsi="Times New Roman" w:cs="Times New Roman"/>
          <w:sz w:val="24"/>
          <w:lang w:val="en-MY"/>
        </w:rPr>
        <w:t>1860.</w:t>
      </w:r>
    </w:p>
    <w:p w14:paraId="34BB3EE1" w14:textId="77777777" w:rsidR="00E17E46" w:rsidRDefault="00E17E46" w:rsidP="00E17E46">
      <w:pPr>
        <w:snapToGrid w:val="0"/>
        <w:ind w:left="709" w:hanging="709"/>
        <w:rPr>
          <w:rFonts w:ascii="Times New Roman" w:hAnsi="Times New Roman" w:cs="Times New Roman"/>
          <w:sz w:val="24"/>
          <w:lang w:val="en-MY"/>
        </w:rPr>
      </w:pPr>
      <w:r w:rsidRPr="00E17E46">
        <w:rPr>
          <w:rFonts w:ascii="Times New Roman" w:hAnsi="Times New Roman" w:cs="Times New Roman"/>
          <w:sz w:val="24"/>
          <w:lang w:val="en-MY"/>
        </w:rPr>
        <w:t xml:space="preserve">[5] </w:t>
      </w:r>
      <w:r>
        <w:rPr>
          <w:rFonts w:ascii="Times New Roman" w:hAnsi="Times New Roman" w:cs="Times New Roman"/>
          <w:sz w:val="24"/>
          <w:lang w:val="en-MY"/>
        </w:rPr>
        <w:tab/>
      </w:r>
      <w:r w:rsidRPr="00E17E46">
        <w:rPr>
          <w:rFonts w:ascii="Times New Roman" w:hAnsi="Times New Roman" w:cs="Times New Roman"/>
          <w:sz w:val="24"/>
          <w:lang w:val="en-MY"/>
        </w:rPr>
        <w:t xml:space="preserve">Huang Z, Liu Y, Cheng X, et al., 2023, Clinical Effects of Multimodal </w:t>
      </w:r>
      <w:proofErr w:type="spellStart"/>
      <w:r w:rsidRPr="00E17E46">
        <w:rPr>
          <w:rFonts w:ascii="Times New Roman" w:hAnsi="Times New Roman" w:cs="Times New Roman"/>
          <w:sz w:val="24"/>
          <w:lang w:val="en-MY"/>
        </w:rPr>
        <w:t>Anesthesia</w:t>
      </w:r>
      <w:proofErr w:type="spellEnd"/>
      <w:r w:rsidRPr="00E17E46">
        <w:rPr>
          <w:rFonts w:ascii="Times New Roman" w:hAnsi="Times New Roman" w:cs="Times New Roman"/>
          <w:sz w:val="24"/>
          <w:lang w:val="en-MY"/>
        </w:rPr>
        <w:t xml:space="preserve"> Management Based on the Concept of Accelerated Rehabilitation Surgery During the Perioperative Period of Thoracoscopic Lobectomy. China Contemporary Medicine, 30(32): 106–109</w:t>
      </w:r>
      <w:r>
        <w:rPr>
          <w:rFonts w:ascii="Times New Roman" w:hAnsi="Times New Roman" w:cs="Times New Roman"/>
          <w:sz w:val="24"/>
          <w:lang w:val="en-MY"/>
        </w:rPr>
        <w:t xml:space="preserve"> </w:t>
      </w:r>
      <w:r w:rsidRPr="00E17E46">
        <w:rPr>
          <w:rFonts w:ascii="Times New Roman" w:hAnsi="Times New Roman" w:cs="Times New Roman"/>
          <w:sz w:val="24"/>
          <w:lang w:val="en-MY"/>
        </w:rPr>
        <w:t>+</w:t>
      </w:r>
      <w:r>
        <w:rPr>
          <w:rFonts w:ascii="Times New Roman" w:hAnsi="Times New Roman" w:cs="Times New Roman"/>
          <w:sz w:val="24"/>
          <w:lang w:val="en-MY"/>
        </w:rPr>
        <w:t xml:space="preserve"> </w:t>
      </w:r>
      <w:r w:rsidRPr="00E17E46">
        <w:rPr>
          <w:rFonts w:ascii="Times New Roman" w:hAnsi="Times New Roman" w:cs="Times New Roman"/>
          <w:sz w:val="24"/>
          <w:lang w:val="en-MY"/>
        </w:rPr>
        <w:t>113.</w:t>
      </w:r>
    </w:p>
    <w:p w14:paraId="7D795A10" w14:textId="77777777" w:rsidR="00E17E46" w:rsidRDefault="00E17E46" w:rsidP="00E17E46">
      <w:pPr>
        <w:snapToGrid w:val="0"/>
        <w:ind w:left="709" w:hanging="709"/>
        <w:rPr>
          <w:rFonts w:ascii="Times New Roman" w:hAnsi="Times New Roman" w:cs="Times New Roman"/>
          <w:sz w:val="24"/>
          <w:lang w:val="en-MY"/>
        </w:rPr>
      </w:pPr>
      <w:r w:rsidRPr="00E17E46">
        <w:rPr>
          <w:rFonts w:ascii="Times New Roman" w:hAnsi="Times New Roman" w:cs="Times New Roman"/>
          <w:sz w:val="24"/>
          <w:lang w:val="en-MY"/>
        </w:rPr>
        <w:t xml:space="preserve">[6] </w:t>
      </w:r>
      <w:r>
        <w:rPr>
          <w:rFonts w:ascii="Times New Roman" w:hAnsi="Times New Roman" w:cs="Times New Roman"/>
          <w:sz w:val="24"/>
          <w:lang w:val="en-MY"/>
        </w:rPr>
        <w:tab/>
      </w:r>
      <w:r w:rsidRPr="00E17E46">
        <w:rPr>
          <w:rFonts w:ascii="Times New Roman" w:hAnsi="Times New Roman" w:cs="Times New Roman"/>
          <w:sz w:val="24"/>
          <w:lang w:val="en-MY"/>
        </w:rPr>
        <w:t>Xing J, Gong L, Yang L, 2023, Application of ERAS Pain Management in Patients Undergoing Thoracoscopic Radical Resection for Lung Cancer. Journal of Shandong Medical College, 45(5): 346–347.</w:t>
      </w:r>
    </w:p>
    <w:p w14:paraId="18242529" w14:textId="77777777" w:rsidR="00E17E46" w:rsidRDefault="00E17E46" w:rsidP="00E17E46">
      <w:pPr>
        <w:snapToGrid w:val="0"/>
        <w:ind w:left="709" w:hanging="709"/>
        <w:rPr>
          <w:rFonts w:ascii="Times New Roman" w:hAnsi="Times New Roman" w:cs="Times New Roman"/>
          <w:sz w:val="24"/>
          <w:lang w:val="en-MY"/>
        </w:rPr>
      </w:pPr>
      <w:r w:rsidRPr="00E17E46">
        <w:rPr>
          <w:rFonts w:ascii="Times New Roman" w:hAnsi="Times New Roman" w:cs="Times New Roman"/>
          <w:sz w:val="24"/>
          <w:lang w:val="en-MY"/>
        </w:rPr>
        <w:t xml:space="preserve">[7] </w:t>
      </w:r>
      <w:r>
        <w:rPr>
          <w:rFonts w:ascii="Times New Roman" w:hAnsi="Times New Roman" w:cs="Times New Roman"/>
          <w:sz w:val="24"/>
          <w:lang w:val="en-MY"/>
        </w:rPr>
        <w:tab/>
      </w:r>
      <w:r w:rsidRPr="00E17E46">
        <w:rPr>
          <w:rFonts w:ascii="Times New Roman" w:hAnsi="Times New Roman" w:cs="Times New Roman"/>
          <w:sz w:val="24"/>
          <w:lang w:val="en-MY"/>
        </w:rPr>
        <w:t>Zhang X, Huang Y, 2021, Impact of PDCA Cycle Nursing on Postoperative Quality of Life and Complications in Patients Undergoing Radical Resection for Pancreatic Cancer. Chinese Journal of Clinical Oncology and Rehabilitation, 28(1): 98–101.</w:t>
      </w:r>
    </w:p>
    <w:p w14:paraId="7D4CDE95" w14:textId="2B83CF58" w:rsidR="00E17E46" w:rsidRDefault="00E17E46" w:rsidP="00E17E46">
      <w:pPr>
        <w:snapToGrid w:val="0"/>
        <w:ind w:left="709" w:hanging="709"/>
        <w:rPr>
          <w:rFonts w:ascii="Times New Roman" w:hAnsi="Times New Roman" w:cs="Times New Roman"/>
          <w:sz w:val="24"/>
          <w:lang w:val="en-MY"/>
        </w:rPr>
      </w:pPr>
      <w:r w:rsidRPr="00E17E46">
        <w:rPr>
          <w:rFonts w:ascii="Times New Roman" w:hAnsi="Times New Roman" w:cs="Times New Roman"/>
          <w:sz w:val="24"/>
          <w:lang w:val="en-MY"/>
        </w:rPr>
        <w:t xml:space="preserve">[8] </w:t>
      </w:r>
      <w:r>
        <w:rPr>
          <w:rFonts w:ascii="Times New Roman" w:hAnsi="Times New Roman" w:cs="Times New Roman"/>
          <w:sz w:val="24"/>
          <w:lang w:val="en-MY"/>
        </w:rPr>
        <w:tab/>
      </w:r>
      <w:r w:rsidRPr="00E17E46">
        <w:rPr>
          <w:rFonts w:ascii="Times New Roman" w:hAnsi="Times New Roman" w:cs="Times New Roman"/>
          <w:sz w:val="24"/>
          <w:lang w:val="en-MY"/>
        </w:rPr>
        <w:t xml:space="preserve">Shen K, Wang M, Xiao Y, et al., 2023, Impact of Esketamine Combined </w:t>
      </w:r>
      <w:r>
        <w:rPr>
          <w:rFonts w:ascii="Times New Roman" w:hAnsi="Times New Roman" w:cs="Times New Roman"/>
          <w:sz w:val="24"/>
          <w:lang w:val="en-MY"/>
        </w:rPr>
        <w:t>w</w:t>
      </w:r>
      <w:r w:rsidRPr="00E17E46">
        <w:rPr>
          <w:rFonts w:ascii="Times New Roman" w:hAnsi="Times New Roman" w:cs="Times New Roman"/>
          <w:sz w:val="24"/>
          <w:lang w:val="en-MY"/>
        </w:rPr>
        <w:t xml:space="preserve">ith Pregabalin on Acute and Chronic Pain After Thoracoscopic Surgery. Journal of Clinical </w:t>
      </w:r>
      <w:proofErr w:type="spellStart"/>
      <w:r w:rsidRPr="00E17E46">
        <w:rPr>
          <w:rFonts w:ascii="Times New Roman" w:hAnsi="Times New Roman" w:cs="Times New Roman"/>
          <w:sz w:val="24"/>
          <w:lang w:val="en-MY"/>
        </w:rPr>
        <w:t>Anesthesiology</w:t>
      </w:r>
      <w:proofErr w:type="spellEnd"/>
      <w:r w:rsidRPr="00E17E46">
        <w:rPr>
          <w:rFonts w:ascii="Times New Roman" w:hAnsi="Times New Roman" w:cs="Times New Roman"/>
          <w:sz w:val="24"/>
          <w:lang w:val="en-MY"/>
        </w:rPr>
        <w:t>, 39(12): 1265–1269.</w:t>
      </w:r>
    </w:p>
    <w:p w14:paraId="5D22C8DB" w14:textId="77777777" w:rsidR="00E17E46" w:rsidRDefault="00E17E46" w:rsidP="00E17E46">
      <w:pPr>
        <w:snapToGrid w:val="0"/>
        <w:ind w:left="709" w:hanging="709"/>
        <w:rPr>
          <w:rFonts w:ascii="Times New Roman" w:hAnsi="Times New Roman" w:cs="Times New Roman"/>
          <w:sz w:val="24"/>
          <w:lang w:val="en-MY"/>
        </w:rPr>
      </w:pPr>
      <w:r w:rsidRPr="00E17E46">
        <w:rPr>
          <w:rFonts w:ascii="Times New Roman" w:hAnsi="Times New Roman" w:cs="Times New Roman"/>
          <w:sz w:val="24"/>
          <w:lang w:val="en-MY"/>
        </w:rPr>
        <w:t xml:space="preserve">[9] </w:t>
      </w:r>
      <w:r>
        <w:rPr>
          <w:rFonts w:ascii="Times New Roman" w:hAnsi="Times New Roman" w:cs="Times New Roman"/>
          <w:sz w:val="24"/>
          <w:lang w:val="en-MY"/>
        </w:rPr>
        <w:tab/>
      </w:r>
      <w:r w:rsidRPr="00E17E46">
        <w:rPr>
          <w:rFonts w:ascii="Times New Roman" w:hAnsi="Times New Roman" w:cs="Times New Roman"/>
          <w:sz w:val="24"/>
          <w:lang w:val="en-MY"/>
        </w:rPr>
        <w:t xml:space="preserve">Zhang F, Wang X, Shi Z, 2023, Application of PENDER Health Promotion Theory in Perioperative </w:t>
      </w:r>
      <w:proofErr w:type="spellStart"/>
      <w:r w:rsidRPr="00E17E46">
        <w:rPr>
          <w:rFonts w:ascii="Times New Roman" w:hAnsi="Times New Roman" w:cs="Times New Roman"/>
          <w:sz w:val="24"/>
          <w:lang w:val="en-MY"/>
        </w:rPr>
        <w:t>Anesthesia</w:t>
      </w:r>
      <w:proofErr w:type="spellEnd"/>
      <w:r w:rsidRPr="00E17E46">
        <w:rPr>
          <w:rFonts w:ascii="Times New Roman" w:hAnsi="Times New Roman" w:cs="Times New Roman"/>
          <w:sz w:val="24"/>
          <w:lang w:val="en-MY"/>
        </w:rPr>
        <w:t xml:space="preserve"> for Patients Undergoing Single-Port Thoracoscopic Lobectomy. Journal of Qilu Nursing, 29(18): 120–122.</w:t>
      </w:r>
    </w:p>
    <w:p w14:paraId="7FAA0C66" w14:textId="6A3D0D13" w:rsidR="00E17E46" w:rsidRPr="00E17E46" w:rsidRDefault="00E17E46" w:rsidP="00CB525F">
      <w:pPr>
        <w:snapToGrid w:val="0"/>
        <w:ind w:left="709" w:hanging="709"/>
        <w:rPr>
          <w:rFonts w:ascii="Times New Roman" w:hAnsi="Times New Roman" w:cs="Times New Roman"/>
          <w:sz w:val="24"/>
          <w:lang w:val="en-MY"/>
        </w:rPr>
      </w:pPr>
      <w:r w:rsidRPr="00E17E46">
        <w:rPr>
          <w:rFonts w:ascii="Times New Roman" w:hAnsi="Times New Roman" w:cs="Times New Roman"/>
          <w:sz w:val="24"/>
          <w:lang w:val="en-MY"/>
        </w:rPr>
        <w:t xml:space="preserve">[10] </w:t>
      </w:r>
      <w:r>
        <w:rPr>
          <w:rFonts w:ascii="Times New Roman" w:hAnsi="Times New Roman" w:cs="Times New Roman"/>
          <w:sz w:val="24"/>
          <w:lang w:val="en-MY"/>
        </w:rPr>
        <w:tab/>
      </w:r>
      <w:r w:rsidRPr="00E17E46">
        <w:rPr>
          <w:rFonts w:ascii="Times New Roman" w:hAnsi="Times New Roman" w:cs="Times New Roman"/>
          <w:sz w:val="24"/>
          <w:lang w:val="en-MY"/>
        </w:rPr>
        <w:t>Guo J, Miao Q, Zhang Y, et al., 2023, Retrospective Large-Sample Cohort Study on the Application of a Wireless Analgesia System in Postoperative Pain Management Following Thoracoscopic Lung Resection. Chinese Journal of Thoracic and Cardiovascular Surgery, 30(6): 873–878.</w:t>
      </w:r>
    </w:p>
    <w:p w14:paraId="2C047D13" w14:textId="77777777" w:rsidR="00E17E46" w:rsidRDefault="00E17E46" w:rsidP="005A1CFE">
      <w:pPr>
        <w:snapToGrid w:val="0"/>
        <w:rPr>
          <w:rFonts w:ascii="Times New Roman" w:hAnsi="Times New Roman" w:cs="Times New Roman"/>
          <w:sz w:val="24"/>
        </w:rPr>
      </w:pPr>
    </w:p>
    <w:p w14:paraId="4D9DB831" w14:textId="77777777" w:rsidR="00E17E46" w:rsidRPr="00CB525F" w:rsidRDefault="00E17E46" w:rsidP="00E17E46">
      <w:pPr>
        <w:snapToGrid w:val="0"/>
        <w:rPr>
          <w:rFonts w:ascii="Times New Roman" w:hAnsi="Times New Roman" w:cs="Times New Roman"/>
          <w:b/>
          <w:bCs/>
          <w:sz w:val="20"/>
          <w:szCs w:val="20"/>
        </w:rPr>
      </w:pPr>
      <w:r w:rsidRPr="00CB525F">
        <w:rPr>
          <w:rFonts w:ascii="Times New Roman" w:hAnsi="Times New Roman" w:cs="Times New Roman"/>
          <w:b/>
          <w:bCs/>
          <w:sz w:val="20"/>
          <w:szCs w:val="20"/>
        </w:rPr>
        <w:t>Publisher’s note</w:t>
      </w:r>
    </w:p>
    <w:p w14:paraId="36B0182D" w14:textId="77777777" w:rsidR="00E17E46" w:rsidRPr="00CB525F" w:rsidRDefault="00E17E46" w:rsidP="00E17E46">
      <w:pPr>
        <w:snapToGrid w:val="0"/>
        <w:rPr>
          <w:rFonts w:ascii="Times New Roman" w:hAnsi="Times New Roman" w:cs="Times New Roman"/>
          <w:sz w:val="20"/>
          <w:szCs w:val="20"/>
        </w:rPr>
      </w:pPr>
      <w:r w:rsidRPr="00CB525F">
        <w:rPr>
          <w:rFonts w:ascii="Times New Roman" w:hAnsi="Times New Roman" w:cs="Times New Roman"/>
          <w:sz w:val="20"/>
          <w:szCs w:val="20"/>
        </w:rPr>
        <w:t xml:space="preserve">Bio-Byword Scientific Publishing remains neutral with regard to jurisdictional claims in published maps and institutional affiliations. </w:t>
      </w:r>
    </w:p>
    <w:p w14:paraId="1C26B0F3" w14:textId="77777777" w:rsidR="00E17E46" w:rsidRDefault="00E17E46" w:rsidP="00CB525F">
      <w:pPr>
        <w:snapToGrid w:val="0"/>
        <w:rPr>
          <w:rFonts w:ascii="Times New Roman" w:hAnsi="Times New Roman" w:cs="Times New Roman"/>
          <w:sz w:val="24"/>
        </w:rPr>
      </w:pPr>
    </w:p>
    <w:p w14:paraId="2DBB415A" w14:textId="5F4F76FC" w:rsidR="00C32645" w:rsidRDefault="00C32645" w:rsidP="00CB525F">
      <w:pPr>
        <w:snapToGrid w:val="0"/>
        <w:rPr>
          <w:rFonts w:ascii="Times New Roman" w:hAnsi="Times New Roman" w:cs="Times New Roman"/>
          <w:sz w:val="24"/>
        </w:rPr>
      </w:pPr>
    </w:p>
    <w:sectPr w:rsidR="00C32645" w:rsidSect="005A1CFE">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E05B987-0F51-4679-A57C-1231C84523C2}"/>
    <w:embedBold r:id="rId2" w:fontKey="{07CBD0E9-24FA-4313-93CB-68013B54604A}"/>
    <w:embedItalic r:id="rId3" w:fontKey="{12967BDC-60EC-4C79-AEEA-8146A7DF20AE}"/>
    <w:embedBoldItalic r:id="rId4" w:fontKey="{4BDAB5DB-9FDE-4027-892C-7374420E3757}"/>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5" w:fontKey="{75D52807-E465-46BA-AD78-0F148E5F7DC4}"/>
  </w:font>
  <w:font w:name="Segoe UI">
    <w:panose1 w:val="020B0502040204020203"/>
    <w:charset w:val="00"/>
    <w:family w:val="swiss"/>
    <w:pitch w:val="variable"/>
    <w:sig w:usb0="E4002EFF" w:usb1="C000E47F" w:usb2="00000009" w:usb3="00000000" w:csb0="000001FF" w:csb1="00000000"/>
    <w:embedRegular r:id="rId6" w:fontKey="{C43BA635-D46C-49FC-A2A5-0E3A9933B911}"/>
    <w:embedBold r:id="rId7" w:fontKey="{CD9960CD-0DFD-4EC1-A3D6-5E4E69B90EF6}"/>
    <w:embedItalic r:id="rId8" w:fontKey="{AB28C760-B218-4DB6-A696-7F0ED321CFC3}"/>
    <w:embedBoldItalic r:id="rId9" w:fontKey="{906D9FD4-6A1B-4406-AF3B-6AA2FC57D1F8}"/>
  </w:font>
  <w:font w:name="Calibri Light">
    <w:panose1 w:val="020F0302020204030204"/>
    <w:charset w:val="00"/>
    <w:family w:val="swiss"/>
    <w:pitch w:val="variable"/>
    <w:sig w:usb0="E4002EFF" w:usb1="C200247B" w:usb2="00000009" w:usb3="00000000" w:csb0="000001FF" w:csb1="00000000"/>
    <w:embedRegular r:id="rId10" w:fontKey="{B4AB3908-14ED-472F-96E3-35AB446F559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0811120"/>
    <w:rsid w:val="005A1CFE"/>
    <w:rsid w:val="00C32645"/>
    <w:rsid w:val="00C44B25"/>
    <w:rsid w:val="00CB525F"/>
    <w:rsid w:val="00E17E46"/>
    <w:rsid w:val="00E20238"/>
    <w:rsid w:val="18363646"/>
    <w:rsid w:val="30811120"/>
    <w:rsid w:val="646A0BE9"/>
    <w:rsid w:val="6A2922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AC50BA"/>
  <w15:docId w15:val="{DC5F17AF-6A1A-4D62-A2B3-730D37FA5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Pr>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5A1CFE"/>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4.bin"/><Relationship Id="rId3" Type="http://schemas.openxmlformats.org/officeDocument/2006/relationships/webSettings" Target="webSettings.xml"/><Relationship Id="rId7" Type="http://schemas.openxmlformats.org/officeDocument/2006/relationships/oleObject" Target="embeddings/oleObject3.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fontTable" Target="fontTable.xml"/><Relationship Id="rId5" Type="http://schemas.openxmlformats.org/officeDocument/2006/relationships/oleObject" Target="embeddings/oleObject1.bin"/><Relationship Id="rId10" Type="http://schemas.openxmlformats.org/officeDocument/2006/relationships/oleObject" Target="embeddings/oleObject6.bin"/><Relationship Id="rId4" Type="http://schemas.openxmlformats.org/officeDocument/2006/relationships/image" Target="media/image1.wmf"/><Relationship Id="rId9" Type="http://schemas.openxmlformats.org/officeDocument/2006/relationships/oleObject" Target="embeddings/oleObject5.bin"/></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3077</Words>
  <Characters>17539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NB1</cp:lastModifiedBy>
  <cp:revision>2</cp:revision>
  <dcterms:created xsi:type="dcterms:W3CDTF">2026-07-02T02:41:00Z</dcterms:created>
  <dcterms:modified xsi:type="dcterms:W3CDTF">2026-07-02T02:41:00Z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E0635BA8D6504BC988D1630782822AA4_11</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a419ab8b-0f69-49d5-bc13-859499a30dbc</vt:lpwstr>
  </property>
</Properties>
</file>