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6698E" w14:textId="77777777" w:rsidR="00946D07" w:rsidRDefault="00110F1E" w:rsidP="005C1004">
      <w:pPr>
        <w:snapToGrid w:val="0"/>
        <w:jc w:val="left"/>
        <w:rPr>
          <w:rFonts w:ascii="Times New Roman" w:hAnsi="Times New Roman" w:cs="Times New Roman"/>
          <w:b/>
          <w:bCs/>
          <w:sz w:val="44"/>
          <w:szCs w:val="44"/>
        </w:rPr>
      </w:pPr>
      <w:r>
        <w:rPr>
          <w:rFonts w:ascii="Times New Roman" w:hAnsi="Times New Roman" w:cs="Times New Roman"/>
          <w:b/>
          <w:bCs/>
          <w:sz w:val="44"/>
          <w:szCs w:val="44"/>
        </w:rPr>
        <w:t xml:space="preserve">Application of Esketamine in Laparoscopic Gynecological Malignancy Surgery </w:t>
      </w:r>
    </w:p>
    <w:p w14:paraId="5DEC5017" w14:textId="77777777" w:rsidR="00946D07" w:rsidRDefault="00110F1E" w:rsidP="005C1004">
      <w:pPr>
        <w:snapToGrid w:val="0"/>
        <w:rPr>
          <w:rFonts w:ascii="Times New Roman" w:hAnsi="Times New Roman" w:cs="Times New Roman"/>
          <w:b/>
          <w:bCs/>
          <w:sz w:val="24"/>
        </w:rPr>
      </w:pPr>
      <w:r>
        <w:rPr>
          <w:rFonts w:ascii="Times New Roman" w:hAnsi="Times New Roman" w:cs="Times New Roman"/>
          <w:b/>
          <w:bCs/>
          <w:sz w:val="24"/>
        </w:rPr>
        <w:t>Jie</w:t>
      </w:r>
      <w:r>
        <w:rPr>
          <w:rFonts w:ascii="Times New Roman" w:hAnsi="Times New Roman" w:cs="Times New Roman" w:hint="eastAsia"/>
          <w:b/>
          <w:bCs/>
          <w:sz w:val="24"/>
        </w:rPr>
        <w:t xml:space="preserve"> </w:t>
      </w:r>
      <w:r>
        <w:rPr>
          <w:rFonts w:ascii="Times New Roman" w:hAnsi="Times New Roman" w:cs="Times New Roman"/>
          <w:b/>
          <w:bCs/>
          <w:sz w:val="24"/>
        </w:rPr>
        <w:t>Ren, Xue</w:t>
      </w:r>
      <w:r>
        <w:rPr>
          <w:rFonts w:ascii="Times New Roman" w:hAnsi="Times New Roman" w:cs="Times New Roman" w:hint="eastAsia"/>
          <w:b/>
          <w:bCs/>
          <w:sz w:val="24"/>
        </w:rPr>
        <w:t xml:space="preserve"> </w:t>
      </w:r>
      <w:r>
        <w:rPr>
          <w:rFonts w:ascii="Times New Roman" w:hAnsi="Times New Roman" w:cs="Times New Roman"/>
          <w:b/>
          <w:bCs/>
          <w:sz w:val="24"/>
        </w:rPr>
        <w:t>Cao, Yuhua</w:t>
      </w:r>
      <w:r>
        <w:rPr>
          <w:rFonts w:ascii="Times New Roman" w:hAnsi="Times New Roman" w:cs="Times New Roman" w:hint="eastAsia"/>
          <w:b/>
          <w:bCs/>
          <w:sz w:val="24"/>
        </w:rPr>
        <w:t xml:space="preserve"> </w:t>
      </w:r>
      <w:r>
        <w:rPr>
          <w:rFonts w:ascii="Times New Roman" w:hAnsi="Times New Roman" w:cs="Times New Roman"/>
          <w:b/>
          <w:bCs/>
          <w:sz w:val="24"/>
        </w:rPr>
        <w:t xml:space="preserve">Ma, Lijing Zhong </w:t>
      </w:r>
    </w:p>
    <w:p w14:paraId="4DC96496" w14:textId="77777777" w:rsidR="00946D07" w:rsidRDefault="00110F1E" w:rsidP="005C1004">
      <w:pPr>
        <w:snapToGrid w:val="0"/>
        <w:rPr>
          <w:rFonts w:ascii="Times New Roman" w:hAnsi="Times New Roman" w:cs="Times New Roman"/>
          <w:sz w:val="24"/>
        </w:rPr>
      </w:pPr>
      <w:r>
        <w:rPr>
          <w:rFonts w:ascii="Times New Roman" w:hAnsi="Times New Roman" w:cs="Times New Roman"/>
          <w:sz w:val="24"/>
        </w:rPr>
        <w:t>Xing</w:t>
      </w:r>
      <w:r>
        <w:rPr>
          <w:rFonts w:ascii="Times New Roman" w:hAnsi="Times New Roman" w:cs="Times New Roman"/>
          <w:sz w:val="24"/>
        </w:rPr>
        <w:t>’</w:t>
      </w:r>
      <w:r>
        <w:rPr>
          <w:rFonts w:ascii="Times New Roman" w:hAnsi="Times New Roman" w:cs="Times New Roman"/>
          <w:sz w:val="24"/>
        </w:rPr>
        <w:t>an League People</w:t>
      </w:r>
      <w:r>
        <w:rPr>
          <w:rFonts w:ascii="Times New Roman" w:hAnsi="Times New Roman" w:cs="Times New Roman"/>
          <w:sz w:val="24"/>
        </w:rPr>
        <w:t>’</w:t>
      </w:r>
      <w:r>
        <w:rPr>
          <w:rFonts w:ascii="Times New Roman" w:hAnsi="Times New Roman" w:cs="Times New Roman"/>
          <w:sz w:val="24"/>
        </w:rPr>
        <w:t>s Hospital, Xing</w:t>
      </w:r>
      <w:r>
        <w:rPr>
          <w:rFonts w:ascii="Times New Roman" w:hAnsi="Times New Roman" w:cs="Times New Roman"/>
          <w:sz w:val="24"/>
        </w:rPr>
        <w:t>’</w:t>
      </w:r>
      <w:r>
        <w:rPr>
          <w:rFonts w:ascii="Times New Roman" w:hAnsi="Times New Roman" w:cs="Times New Roman"/>
          <w:sz w:val="24"/>
        </w:rPr>
        <w:t>an League</w:t>
      </w:r>
      <w:r>
        <w:rPr>
          <w:rFonts w:ascii="Times New Roman" w:hAnsi="Times New Roman" w:cs="Times New Roman" w:hint="eastAsia"/>
          <w:sz w:val="24"/>
        </w:rPr>
        <w:t xml:space="preserve"> </w:t>
      </w:r>
      <w:r>
        <w:rPr>
          <w:rFonts w:ascii="Times New Roman" w:hAnsi="Times New Roman" w:cs="Times New Roman"/>
          <w:sz w:val="24"/>
        </w:rPr>
        <w:t>137400, Inner Mongolia</w:t>
      </w:r>
      <w:r>
        <w:rPr>
          <w:rFonts w:ascii="Times New Roman" w:hAnsi="Times New Roman" w:cs="Times New Roman" w:hint="eastAsia"/>
          <w:sz w:val="24"/>
        </w:rPr>
        <w:t xml:space="preserve"> </w:t>
      </w:r>
      <w:r>
        <w:rPr>
          <w:rFonts w:ascii="Times New Roman" w:hAnsi="Times New Roman" w:cs="Times New Roman"/>
          <w:sz w:val="24"/>
        </w:rPr>
        <w:t>Autonomous Region</w:t>
      </w:r>
      <w:r>
        <w:rPr>
          <w:rFonts w:ascii="Times New Roman" w:hAnsi="Times New Roman" w:cs="Times New Roman" w:hint="eastAsia"/>
          <w:sz w:val="24"/>
        </w:rPr>
        <w:t>, China</w:t>
      </w:r>
      <w:r>
        <w:rPr>
          <w:rFonts w:ascii="Times New Roman" w:hAnsi="Times New Roman" w:cs="Times New Roman"/>
          <w:sz w:val="24"/>
        </w:rPr>
        <w:t xml:space="preserve">  </w:t>
      </w:r>
    </w:p>
    <w:p w14:paraId="4224AD5A" w14:textId="77777777" w:rsidR="00946D07" w:rsidRDefault="00946D07" w:rsidP="00216F12">
      <w:pPr>
        <w:snapToGrid w:val="0"/>
        <w:rPr>
          <w:rFonts w:ascii="Times New Roman" w:hAnsi="Times New Roman" w:cs="Times New Roman"/>
          <w:b/>
          <w:bCs/>
          <w:sz w:val="24"/>
        </w:rPr>
      </w:pPr>
    </w:p>
    <w:p w14:paraId="65253ADF" w14:textId="77777777" w:rsidR="00216F12" w:rsidRPr="005C1004" w:rsidRDefault="00216F12" w:rsidP="00216F12">
      <w:pPr>
        <w:snapToGrid w:val="0"/>
        <w:rPr>
          <w:rFonts w:ascii="Times New Roman" w:hAnsi="Times New Roman" w:cs="Times New Roman"/>
          <w:sz w:val="20"/>
          <w:szCs w:val="20"/>
        </w:rPr>
      </w:pPr>
      <w:r w:rsidRPr="005C1004">
        <w:rPr>
          <w:rFonts w:ascii="Times New Roman" w:hAnsi="Times New Roman" w:cs="Times New Roman"/>
          <w:b/>
          <w:bCs/>
          <w:sz w:val="20"/>
          <w:szCs w:val="20"/>
        </w:rPr>
        <w:t>Copyright:</w:t>
      </w:r>
      <w:r w:rsidRPr="005C1004">
        <w:rPr>
          <w:rFonts w:ascii="Times New Roman" w:hAnsi="Times New Roman"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015F86A1" w14:textId="77777777" w:rsidR="00216F12" w:rsidRDefault="00216F12" w:rsidP="005C1004">
      <w:pPr>
        <w:snapToGrid w:val="0"/>
        <w:rPr>
          <w:rFonts w:ascii="Times New Roman" w:hAnsi="Times New Roman" w:cs="Times New Roman"/>
          <w:b/>
          <w:bCs/>
          <w:sz w:val="24"/>
        </w:rPr>
      </w:pPr>
    </w:p>
    <w:p w14:paraId="141B2DE4" w14:textId="62BFEE2F" w:rsidR="00946D07" w:rsidRDefault="00110F1E" w:rsidP="005C1004">
      <w:pPr>
        <w:snapToGrid w:val="0"/>
        <w:rPr>
          <w:rFonts w:ascii="Times New Roman" w:hAnsi="Times New Roman" w:cs="Times New Roman"/>
          <w:sz w:val="24"/>
        </w:rPr>
      </w:pPr>
      <w:r>
        <w:rPr>
          <w:rFonts w:ascii="Times New Roman" w:hAnsi="Times New Roman" w:cs="Times New Roman"/>
          <w:b/>
          <w:bCs/>
          <w:sz w:val="24"/>
        </w:rPr>
        <w:t>A</w:t>
      </w:r>
      <w:r>
        <w:rPr>
          <w:rFonts w:ascii="Times New Roman" w:hAnsi="Times New Roman" w:cs="Times New Roman"/>
          <w:b/>
          <w:bCs/>
          <w:sz w:val="24"/>
        </w:rPr>
        <w:t xml:space="preserve">bstract: </w:t>
      </w:r>
      <w:r>
        <w:rPr>
          <w:rFonts w:ascii="Times New Roman" w:hAnsi="Times New Roman" w:cs="Times New Roman"/>
          <w:sz w:val="24"/>
        </w:rPr>
        <w:t xml:space="preserve">This article systematically analyzes the impact of esketamine on postoperative pain levels, cognitive function, and adverse reactions in patients undergoing laparoscopic gynecological malignancy surgery. A prospective, double-blind, randomized controlled study was conducted, selecting 22 patients from our hospital who underwent laparoscopic gynecological malignancy surgery. They were randomly divided into an experimental group (Group K) and a control group (Group C) using a random number table method, with </w:t>
      </w:r>
      <w:r>
        <w:rPr>
          <w:rFonts w:ascii="Times New Roman" w:hAnsi="Times New Roman" w:cs="Times New Roman"/>
          <w:sz w:val="24"/>
        </w:rPr>
        <w:t>11 patients in each group. Group K received a single intravenous infusion of 0.5 mg/kg esketamine before skin incision and a continuous infusion of normal saline during surgery; Group C received an equivalent amount of normal saline before skin incision and did not use any NMDA receptor antagonists throughout the procedure. Within 48 hours postoperatively, the numerical rating scale (NRS) scores for pain in Group K were lower than those in Group C (</w:t>
      </w:r>
      <w:r w:rsidR="00216F12">
        <w:rPr>
          <w:rFonts w:ascii="Times New Roman" w:hAnsi="Times New Roman" w:cs="Times New Roman"/>
          <w:i/>
          <w:iCs/>
          <w:sz w:val="24"/>
        </w:rPr>
        <w:t xml:space="preserve">p </w:t>
      </w:r>
      <w:r>
        <w:rPr>
          <w:rFonts w:ascii="Times New Roman" w:hAnsi="Times New Roman" w:cs="Times New Roman"/>
          <w:sz w:val="24"/>
        </w:rPr>
        <w:t>&lt;</w:t>
      </w:r>
      <w:r w:rsidR="00216F12">
        <w:rPr>
          <w:rFonts w:ascii="Times New Roman" w:hAnsi="Times New Roman" w:cs="Times New Roman"/>
          <w:sz w:val="24"/>
        </w:rPr>
        <w:t xml:space="preserve"> </w:t>
      </w:r>
      <w:r>
        <w:rPr>
          <w:rFonts w:ascii="Times New Roman" w:hAnsi="Times New Roman" w:cs="Times New Roman"/>
          <w:sz w:val="24"/>
        </w:rPr>
        <w:t>0.05); there was no significant difference in preoperative Mini-Mental State Examination (MMSE) scores between the two groups (</w:t>
      </w:r>
      <w:r w:rsidR="00216F12">
        <w:rPr>
          <w:rFonts w:ascii="Times New Roman" w:hAnsi="Times New Roman" w:cs="Times New Roman"/>
          <w:i/>
          <w:iCs/>
          <w:sz w:val="24"/>
        </w:rPr>
        <w:t xml:space="preserve">p </w:t>
      </w:r>
      <w:r>
        <w:rPr>
          <w:rFonts w:ascii="Times New Roman" w:hAnsi="Times New Roman" w:cs="Times New Roman"/>
          <w:sz w:val="24"/>
        </w:rPr>
        <w:t>&gt;</w:t>
      </w:r>
      <w:r w:rsidR="00216F12">
        <w:rPr>
          <w:rFonts w:ascii="Times New Roman" w:hAnsi="Times New Roman" w:cs="Times New Roman"/>
          <w:sz w:val="24"/>
        </w:rPr>
        <w:t xml:space="preserve"> </w:t>
      </w:r>
      <w:r>
        <w:rPr>
          <w:rFonts w:ascii="Times New Roman" w:hAnsi="Times New Roman" w:cs="Times New Roman"/>
          <w:sz w:val="24"/>
        </w:rPr>
        <w:t xml:space="preserve">0.05), but the postoperative decrease in MMSE scores was smaller in Group K than in Group C; the incidence of adverse reactions in Group K was 9.09% (1/11), which was lower than the 54.55% (6/11) in Group C. The use of esketamine in laparoscopic gynecological malignancy surgery can alleviate postoperative pain, reduce cognitive impairment, and lower the incidence of adverse reactions, making it suitable for clinical promotion. </w:t>
      </w:r>
    </w:p>
    <w:p w14:paraId="71BC2F49" w14:textId="77777777" w:rsidR="00946D07" w:rsidRDefault="00110F1E" w:rsidP="005C1004">
      <w:pPr>
        <w:snapToGrid w:val="0"/>
        <w:rPr>
          <w:rFonts w:ascii="Times New Roman" w:hAnsi="Times New Roman" w:cs="Times New Roman"/>
          <w:sz w:val="24"/>
        </w:rPr>
      </w:pPr>
      <w:r>
        <w:rPr>
          <w:rFonts w:ascii="Times New Roman" w:hAnsi="Times New Roman" w:cs="Times New Roman"/>
          <w:b/>
          <w:bCs/>
          <w:sz w:val="24"/>
        </w:rPr>
        <w:t xml:space="preserve">Keywords: </w:t>
      </w:r>
      <w:r>
        <w:rPr>
          <w:rFonts w:ascii="Times New Roman" w:hAnsi="Times New Roman" w:cs="Times New Roman"/>
          <w:sz w:val="24"/>
        </w:rPr>
        <w:t xml:space="preserve">Esketamine; Laparoscopy; Gynecological malignancy surgery </w:t>
      </w:r>
    </w:p>
    <w:p w14:paraId="5B6EEAD8" w14:textId="77777777" w:rsidR="00946D07" w:rsidRDefault="00946D07" w:rsidP="00216F12">
      <w:pPr>
        <w:snapToGrid w:val="0"/>
        <w:rPr>
          <w:rFonts w:ascii="Times New Roman" w:hAnsi="Times New Roman" w:cs="Times New Roman"/>
          <w:sz w:val="24"/>
        </w:rPr>
      </w:pPr>
    </w:p>
    <w:p w14:paraId="0EA15406" w14:textId="2687010B" w:rsidR="00216F12" w:rsidRPr="005C1004" w:rsidRDefault="00216F12" w:rsidP="00216F12">
      <w:pPr>
        <w:snapToGrid w:val="0"/>
        <w:rPr>
          <w:rFonts w:ascii="Times New Roman" w:hAnsi="Times New Roman" w:cs="Times New Roman"/>
          <w:b/>
          <w:bCs/>
          <w:sz w:val="24"/>
        </w:rPr>
      </w:pPr>
      <w:r w:rsidRPr="005C1004">
        <w:rPr>
          <w:rFonts w:ascii="Times New Roman" w:hAnsi="Times New Roman" w:cs="Times New Roman"/>
          <w:b/>
          <w:bCs/>
          <w:sz w:val="24"/>
        </w:rPr>
        <w:t>Online publication:</w:t>
      </w:r>
    </w:p>
    <w:p w14:paraId="76C8E375" w14:textId="77777777" w:rsidR="00216F12" w:rsidRDefault="00216F12" w:rsidP="005C1004">
      <w:pPr>
        <w:snapToGrid w:val="0"/>
        <w:rPr>
          <w:rFonts w:ascii="Times New Roman" w:hAnsi="Times New Roman" w:cs="Times New Roman"/>
          <w:sz w:val="24"/>
        </w:rPr>
      </w:pPr>
    </w:p>
    <w:p w14:paraId="49344CE4"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1. Introduction</w:t>
      </w:r>
    </w:p>
    <w:p w14:paraId="76769A4C" w14:textId="77777777" w:rsidR="00946D07" w:rsidRDefault="00110F1E" w:rsidP="005C1004">
      <w:pPr>
        <w:snapToGrid w:val="0"/>
        <w:rPr>
          <w:rFonts w:ascii="Times New Roman" w:hAnsi="Times New Roman" w:cs="Times New Roman"/>
          <w:sz w:val="24"/>
        </w:rPr>
      </w:pPr>
      <w:r>
        <w:rPr>
          <w:rFonts w:ascii="Times New Roman" w:hAnsi="Times New Roman" w:cs="Times New Roman"/>
          <w:sz w:val="24"/>
        </w:rPr>
        <w:t xml:space="preserve">Laparoscopic radical surgery for gynecological malignancies is currently one of the key surgical approaches for treating gynecological malignancies in clinical practice. Its main advantages lie in minimal trauma and rapid postoperative recovery, which have led to its widespread application and patient acceptance in clinical settings </w:t>
      </w:r>
      <w:r>
        <w:rPr>
          <w:rFonts w:ascii="Times New Roman" w:hAnsi="Times New Roman" w:cs="Times New Roman"/>
          <w:sz w:val="24"/>
          <w:vertAlign w:val="superscript"/>
        </w:rPr>
        <w:t>[1]</w:t>
      </w:r>
      <w:r>
        <w:rPr>
          <w:rFonts w:ascii="Times New Roman" w:hAnsi="Times New Roman" w:cs="Times New Roman"/>
          <w:sz w:val="24"/>
        </w:rPr>
        <w:t>. However, pain management during the perioperative period and improvement of postoperative cognitive function are critical challenges that need to be addressed in the field of clinical anesthesia. Postoperative pain often causes physical discomfort in patients, interferes with their psychological state, and delays the rehabilitation process. Meanwhile, postoperative cognitive dysfunction in patients can significantly reduce their quality of life, prolong hospital stays, and further increase the burden on f</w:t>
      </w:r>
      <w:r>
        <w:rPr>
          <w:rFonts w:ascii="Times New Roman" w:hAnsi="Times New Roman" w:cs="Times New Roman"/>
          <w:sz w:val="24"/>
        </w:rPr>
        <w:t xml:space="preserve">amilies and society </w:t>
      </w:r>
      <w:r>
        <w:rPr>
          <w:rFonts w:ascii="Times New Roman" w:hAnsi="Times New Roman" w:cs="Times New Roman"/>
          <w:sz w:val="24"/>
          <w:vertAlign w:val="superscript"/>
        </w:rPr>
        <w:t>[2]</w:t>
      </w:r>
      <w:r>
        <w:rPr>
          <w:rFonts w:ascii="Times New Roman" w:hAnsi="Times New Roman" w:cs="Times New Roman"/>
          <w:sz w:val="24"/>
        </w:rPr>
        <w:t xml:space="preserve">. Currently, esketamine, as a novel anesthetic analgesic, possesses unique pharmacological effects that provide efficient analgesia for patients and may have a positive impact on their cognitive function. However, there are relatively few specialized studies on the application effects of this drug in laparoscopic gynecological malignancy surgery </w:t>
      </w:r>
      <w:r>
        <w:rPr>
          <w:rFonts w:ascii="Times New Roman" w:hAnsi="Times New Roman" w:cs="Times New Roman"/>
          <w:sz w:val="24"/>
          <w:vertAlign w:val="superscript"/>
        </w:rPr>
        <w:t>[3]</w:t>
      </w:r>
      <w:r>
        <w:rPr>
          <w:rFonts w:ascii="Times New Roman" w:hAnsi="Times New Roman" w:cs="Times New Roman"/>
          <w:sz w:val="24"/>
        </w:rPr>
        <w:t>. This article designs a rigorous controlled trial to explore its application value in such surgeries, aiming to optimize clinical anesthesia protocols and improve patients</w:t>
      </w:r>
      <w:r>
        <w:rPr>
          <w:rFonts w:ascii="Times New Roman" w:hAnsi="Times New Roman" w:cs="Times New Roman"/>
          <w:sz w:val="24"/>
        </w:rPr>
        <w:t>’</w:t>
      </w:r>
      <w:r>
        <w:rPr>
          <w:rFonts w:ascii="Times New Roman" w:hAnsi="Times New Roman" w:cs="Times New Roman"/>
          <w:sz w:val="24"/>
        </w:rPr>
        <w:t xml:space="preserve"> postoperative rehabilitation quality. </w:t>
      </w:r>
    </w:p>
    <w:p w14:paraId="3F0A3CC9" w14:textId="77777777" w:rsidR="00946D07" w:rsidRDefault="00946D07" w:rsidP="005C1004">
      <w:pPr>
        <w:snapToGrid w:val="0"/>
        <w:rPr>
          <w:rFonts w:ascii="Times New Roman" w:hAnsi="Times New Roman" w:cs="Times New Roman"/>
          <w:sz w:val="24"/>
        </w:rPr>
      </w:pPr>
    </w:p>
    <w:p w14:paraId="06CAC982"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w:t>
      </w:r>
      <w:r>
        <w:rPr>
          <w:rFonts w:ascii="Times New Roman" w:hAnsi="Times New Roman" w:cs="Times New Roman"/>
          <w:b/>
          <w:bCs/>
          <w:sz w:val="24"/>
        </w:rPr>
        <w:t xml:space="preserve"> Materials and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2CA13594"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.1</w:t>
      </w:r>
      <w:r>
        <w:rPr>
          <w:rFonts w:ascii="Times New Roman" w:hAnsi="Times New Roman" w:cs="Times New Roman"/>
          <w:b/>
          <w:bCs/>
          <w:sz w:val="24"/>
        </w:rPr>
        <w:t>.</w:t>
      </w:r>
      <w:r>
        <w:rPr>
          <w:rFonts w:ascii="Times New Roman" w:hAnsi="Times New Roman" w:cs="Times New Roman"/>
          <w:b/>
          <w:bCs/>
          <w:sz w:val="24"/>
        </w:rPr>
        <w:t xml:space="preserve"> General </w:t>
      </w:r>
      <w:r>
        <w:rPr>
          <w:rFonts w:ascii="Times New Roman" w:hAnsi="Times New Roman" w:cs="Times New Roman" w:hint="eastAsia"/>
          <w:b/>
          <w:bCs/>
          <w:sz w:val="24"/>
        </w:rPr>
        <w:t>i</w:t>
      </w:r>
      <w:r>
        <w:rPr>
          <w:rFonts w:ascii="Times New Roman" w:hAnsi="Times New Roman" w:cs="Times New Roman"/>
          <w:b/>
          <w:bCs/>
          <w:sz w:val="24"/>
        </w:rPr>
        <w:t xml:space="preserve">nformation </w:t>
      </w:r>
    </w:p>
    <w:p w14:paraId="3F912ED4" w14:textId="34A65DCA" w:rsidR="00946D07" w:rsidRDefault="00110F1E" w:rsidP="005C1004">
      <w:pPr>
        <w:snapToGrid w:val="0"/>
        <w:rPr>
          <w:rFonts w:ascii="Times New Roman" w:hAnsi="Times New Roman" w:cs="Times New Roman"/>
          <w:sz w:val="24"/>
        </w:rPr>
      </w:pPr>
      <w:r>
        <w:rPr>
          <w:rFonts w:ascii="Times New Roman" w:hAnsi="Times New Roman" w:cs="Times New Roman"/>
          <w:sz w:val="24"/>
        </w:rPr>
        <w:t xml:space="preserve">The research protocol of this article has been reviewed and approved by the Medical Ethics Committee of our hospital. All participating patients signed informed consent forms after fully </w:t>
      </w:r>
      <w:r>
        <w:rPr>
          <w:rFonts w:ascii="Times New Roman" w:hAnsi="Times New Roman" w:cs="Times New Roman"/>
          <w:sz w:val="24"/>
        </w:rPr>
        <w:lastRenderedPageBreak/>
        <w:t>understanding the research content and potential risks. The study subjects were patients who underwent laparoscopic gynecological malignancy surgery in our hospital from January 2024 to December 2025. The inclusion criteria were as follows: aged 18 years or older, scheduled to undergo elective laparoscopic radical surgery for gynecological malignancies under general anesthesia, classified as American Society of Anesthesiologists (ASA) grade III, with an expected survival period of more than 3 months based o</w:t>
      </w:r>
      <w:r>
        <w:rPr>
          <w:rFonts w:ascii="Times New Roman" w:hAnsi="Times New Roman" w:cs="Times New Roman"/>
          <w:sz w:val="24"/>
        </w:rPr>
        <w:t>n clinical assessment, and voluntarily signed the research informed consent form. The exclusion criteria included patients expected to be transferred to the ICU for monitoring after surgery, patients with a history of allergy to esketamine injection, patients with concurrent psychiatric disorders, severe consciousness impairment, or preoperative cognitive dysfunction, patients with a serious cardiovascular history (such as congestive heart failure, severe angina attacks, unstable angina or myocardial infarc</w:t>
      </w:r>
      <w:r>
        <w:rPr>
          <w:rFonts w:ascii="Times New Roman" w:hAnsi="Times New Roman" w:cs="Times New Roman"/>
          <w:sz w:val="24"/>
        </w:rPr>
        <w:t>tion within the past 6 months), pregnant or lactating women, patients with a preoperative MMSE score ≤ 18, patients with contraindications to esketamine use (such as patients at risk of severe hypertension or increased intracranial pressure, patients with glaucoma with high intraocular pressure or concurrent penetrating eye injuries, uncontrolled hypertension (resting systolic blood pressure &gt; 180 mmHg or diastolic blood pressure &gt; 100 mmHg), hyperthyroidism, preeclampsia or eclampsia, or situations requiri</w:t>
      </w:r>
      <w:r>
        <w:rPr>
          <w:rFonts w:ascii="Times New Roman" w:hAnsi="Times New Roman" w:cs="Times New Roman"/>
          <w:sz w:val="24"/>
        </w:rPr>
        <w:t>ng the use of uterine relaxants). Ultimately, a total of 22 eligible patients were included and randomly divided into two groups using a random number table method. There were no significant differences in general clinical data between the two groups (</w:t>
      </w:r>
      <w:r w:rsidR="00216F12">
        <w:rPr>
          <w:rFonts w:ascii="Times New Roman" w:hAnsi="Times New Roman" w:cs="Times New Roman"/>
          <w:i/>
          <w:iCs/>
          <w:sz w:val="24"/>
        </w:rPr>
        <w:t>p</w:t>
      </w:r>
      <w:r w:rsidR="00216F12">
        <w:rPr>
          <w:rFonts w:ascii="Times New Roman" w:hAnsi="Times New Roman" w:cs="Times New Roman"/>
          <w:sz w:val="24"/>
        </w:rPr>
        <w:t xml:space="preserve"> </w:t>
      </w:r>
      <w:r>
        <w:rPr>
          <w:rFonts w:ascii="Times New Roman" w:hAnsi="Times New Roman" w:cs="Times New Roman"/>
          <w:sz w:val="24"/>
        </w:rPr>
        <w:t xml:space="preserve">&gt; 0.05), indicating comparability. Specific data are detailed in </w:t>
      </w:r>
      <w:r>
        <w:rPr>
          <w:rFonts w:ascii="Times New Roman" w:hAnsi="Times New Roman" w:cs="Times New Roman"/>
          <w:b/>
          <w:bCs/>
          <w:sz w:val="24"/>
        </w:rPr>
        <w:t>Table 1</w:t>
      </w:r>
      <w:r>
        <w:rPr>
          <w:rFonts w:ascii="Times New Roman" w:hAnsi="Times New Roman" w:cs="Times New Roman"/>
          <w:sz w:val="24"/>
        </w:rPr>
        <w:t xml:space="preserve">. </w:t>
      </w:r>
    </w:p>
    <w:p w14:paraId="3FBE6078" w14:textId="77777777" w:rsidR="00946D07" w:rsidRDefault="00946D07" w:rsidP="005C1004">
      <w:pPr>
        <w:snapToGrid w:val="0"/>
        <w:rPr>
          <w:rFonts w:ascii="Times New Roman" w:hAnsi="Times New Roman" w:cs="Times New Roman"/>
          <w:sz w:val="24"/>
        </w:rPr>
      </w:pPr>
    </w:p>
    <w:p w14:paraId="0587B330" w14:textId="77777777" w:rsidR="00946D07" w:rsidRDefault="00110F1E" w:rsidP="00216F12">
      <w:pPr>
        <w:snapToGrid w:val="0"/>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b/>
          <w:bCs/>
          <w:sz w:val="24"/>
        </w:rPr>
        <w:t>.</w:t>
      </w:r>
      <w:r>
        <w:rPr>
          <w:rFonts w:ascii="Times New Roman" w:hAnsi="Times New Roman" w:cs="Times New Roman"/>
          <w:sz w:val="24"/>
        </w:rPr>
        <w:t xml:space="preserve"> Baseline </w:t>
      </w:r>
      <w:r>
        <w:rPr>
          <w:rFonts w:ascii="Times New Roman" w:hAnsi="Times New Roman" w:cs="Times New Roman" w:hint="eastAsia"/>
          <w:sz w:val="24"/>
        </w:rPr>
        <w:t>d</w:t>
      </w:r>
      <w:r>
        <w:rPr>
          <w:rFonts w:ascii="Times New Roman" w:hAnsi="Times New Roman" w:cs="Times New Roman"/>
          <w:sz w:val="24"/>
        </w:rPr>
        <w:t xml:space="preserve">ata of the </w:t>
      </w:r>
      <w:r>
        <w:rPr>
          <w:rFonts w:ascii="Times New Roman" w:hAnsi="Times New Roman" w:cs="Times New Roman" w:hint="eastAsia"/>
          <w:sz w:val="24"/>
        </w:rPr>
        <w:t>t</w:t>
      </w:r>
      <w:r>
        <w:rPr>
          <w:rFonts w:ascii="Times New Roman" w:hAnsi="Times New Roman" w:cs="Times New Roman"/>
          <w:sz w:val="24"/>
        </w:rPr>
        <w:t xml:space="preserve">wo </w:t>
      </w:r>
      <w:r>
        <w:rPr>
          <w:rFonts w:ascii="Times New Roman" w:hAnsi="Times New Roman" w:cs="Times New Roman" w:hint="eastAsia"/>
          <w:sz w:val="24"/>
        </w:rPr>
        <w:t>g</w:t>
      </w:r>
      <w:r>
        <w:rPr>
          <w:rFonts w:ascii="Times New Roman" w:hAnsi="Times New Roman" w:cs="Times New Roman"/>
          <w:sz w:val="24"/>
        </w:rPr>
        <w:t>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5"/>
        <w:gridCol w:w="3050"/>
        <w:gridCol w:w="2753"/>
        <w:gridCol w:w="897"/>
        <w:gridCol w:w="763"/>
      </w:tblGrid>
      <w:tr w:rsidR="00216F12" w14:paraId="36D9B4F8" w14:textId="77777777" w:rsidTr="005C1004">
        <w:tc>
          <w:tcPr>
            <w:tcW w:w="2235" w:type="dxa"/>
            <w:tcBorders>
              <w:top w:val="single" w:sz="4" w:space="0" w:color="auto"/>
              <w:bottom w:val="single" w:sz="4" w:space="0" w:color="auto"/>
            </w:tcBorders>
            <w:vAlign w:val="center"/>
          </w:tcPr>
          <w:p w14:paraId="2770F255" w14:textId="1BDD1668" w:rsidR="00216F12" w:rsidRDefault="00216F12" w:rsidP="005C1004">
            <w:pPr>
              <w:snapToGrid w:val="0"/>
              <w:jc w:val="left"/>
              <w:rPr>
                <w:rFonts w:ascii="Times New Roman" w:hAnsi="Times New Roman" w:cs="Times New Roman"/>
                <w:sz w:val="24"/>
              </w:rPr>
            </w:pPr>
            <w:r>
              <w:rPr>
                <w:rFonts w:ascii="Times New Roman" w:eastAsia="Segoe UI" w:hAnsi="Times New Roman" w:cs="Times New Roman"/>
                <w:b/>
                <w:color w:val="0F1115"/>
                <w:sz w:val="24"/>
                <w:shd w:val="clear" w:color="auto" w:fill="FFFFFF"/>
              </w:rPr>
              <w:t xml:space="preserve">Item </w:t>
            </w:r>
          </w:p>
        </w:tc>
        <w:tc>
          <w:tcPr>
            <w:tcW w:w="3118" w:type="dxa"/>
            <w:tcBorders>
              <w:top w:val="single" w:sz="4" w:space="0" w:color="auto"/>
              <w:bottom w:val="single" w:sz="4" w:space="0" w:color="auto"/>
            </w:tcBorders>
            <w:vAlign w:val="center"/>
          </w:tcPr>
          <w:p w14:paraId="330D6BD0" w14:textId="2EF703B7"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b/>
                <w:color w:val="0F1115"/>
                <w:sz w:val="24"/>
                <w:shd w:val="clear" w:color="auto" w:fill="FFFFFF"/>
              </w:rPr>
              <w:t>Experimental group (Group K, n=11)</w:t>
            </w:r>
          </w:p>
        </w:tc>
        <w:tc>
          <w:tcPr>
            <w:tcW w:w="2835" w:type="dxa"/>
            <w:tcBorders>
              <w:top w:val="single" w:sz="4" w:space="0" w:color="auto"/>
              <w:bottom w:val="single" w:sz="4" w:space="0" w:color="auto"/>
            </w:tcBorders>
            <w:vAlign w:val="center"/>
          </w:tcPr>
          <w:p w14:paraId="24EDE899" w14:textId="1A20ADA4"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b/>
                <w:color w:val="0F1115"/>
                <w:sz w:val="24"/>
                <w:shd w:val="clear" w:color="auto" w:fill="FFFFFF"/>
              </w:rPr>
              <w:t>Control group (Group C, n</w:t>
            </w:r>
            <w:r>
              <w:rPr>
                <w:rFonts w:ascii="Times New Roman" w:eastAsia="Segoe UI" w:hAnsi="Times New Roman" w:cs="Times New Roman"/>
                <w:b/>
                <w:color w:val="0F1115"/>
                <w:sz w:val="24"/>
                <w:shd w:val="clear" w:color="auto" w:fill="FFFFFF"/>
              </w:rPr>
              <w:t xml:space="preserve"> </w:t>
            </w:r>
            <w:r>
              <w:rPr>
                <w:rFonts w:ascii="Times New Roman" w:eastAsia="Segoe UI" w:hAnsi="Times New Roman" w:cs="Times New Roman"/>
                <w:b/>
                <w:color w:val="0F1115"/>
                <w:sz w:val="24"/>
                <w:shd w:val="clear" w:color="auto" w:fill="FFFFFF"/>
              </w:rPr>
              <w:t>=</w:t>
            </w:r>
            <w:r>
              <w:rPr>
                <w:rFonts w:ascii="Times New Roman" w:eastAsia="Segoe UI" w:hAnsi="Times New Roman" w:cs="Times New Roman"/>
                <w:b/>
                <w:color w:val="0F1115"/>
                <w:sz w:val="24"/>
                <w:shd w:val="clear" w:color="auto" w:fill="FFFFFF"/>
              </w:rPr>
              <w:t xml:space="preserve"> </w:t>
            </w:r>
            <w:r>
              <w:rPr>
                <w:rFonts w:ascii="Times New Roman" w:eastAsia="Segoe UI" w:hAnsi="Times New Roman" w:cs="Times New Roman"/>
                <w:b/>
                <w:color w:val="0F1115"/>
                <w:sz w:val="24"/>
                <w:shd w:val="clear" w:color="auto" w:fill="FFFFFF"/>
              </w:rPr>
              <w:t>11)</w:t>
            </w:r>
          </w:p>
        </w:tc>
        <w:tc>
          <w:tcPr>
            <w:tcW w:w="903" w:type="dxa"/>
            <w:tcBorders>
              <w:top w:val="single" w:sz="4" w:space="0" w:color="auto"/>
              <w:bottom w:val="single" w:sz="4" w:space="0" w:color="auto"/>
            </w:tcBorders>
            <w:vAlign w:val="center"/>
          </w:tcPr>
          <w:p w14:paraId="56010DD9" w14:textId="6BBDC37B"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b/>
                <w:color w:val="0F1115"/>
                <w:sz w:val="24"/>
                <w:shd w:val="clear" w:color="auto" w:fill="FFFFFF"/>
              </w:rPr>
              <w:t>χ</w:t>
            </w:r>
            <w:r>
              <w:rPr>
                <w:rFonts w:ascii="Times New Roman" w:eastAsia="Segoe UI" w:hAnsi="Times New Roman" w:cs="Times New Roman"/>
                <w:b/>
                <w:color w:val="0F1115"/>
                <w:sz w:val="24"/>
                <w:shd w:val="clear" w:color="auto" w:fill="FFFFFF"/>
                <w:vertAlign w:val="superscript"/>
              </w:rPr>
              <w:t>2</w:t>
            </w:r>
            <w:r>
              <w:rPr>
                <w:rFonts w:ascii="Times New Roman" w:eastAsia="Segoe UI" w:hAnsi="Times New Roman" w:cs="Times New Roman"/>
                <w:b/>
                <w:color w:val="0F1115"/>
                <w:sz w:val="24"/>
                <w:shd w:val="clear" w:color="auto" w:fill="FFFFFF"/>
              </w:rPr>
              <w:t>/</w:t>
            </w:r>
            <w:r>
              <w:rPr>
                <w:rFonts w:ascii="Times New Roman" w:eastAsia="Segoe UI" w:hAnsi="Times New Roman" w:cs="Times New Roman"/>
                <w:b/>
                <w:i/>
                <w:iCs/>
                <w:color w:val="0F1115"/>
                <w:sz w:val="24"/>
                <w:shd w:val="clear" w:color="auto" w:fill="FFFFFF"/>
              </w:rPr>
              <w:t>t</w:t>
            </w:r>
            <w:r>
              <w:rPr>
                <w:rFonts w:ascii="Times New Roman" w:eastAsia="Segoe UI" w:hAnsi="Times New Roman" w:cs="Times New Roman"/>
                <w:b/>
                <w:color w:val="0F1115"/>
                <w:sz w:val="24"/>
                <w:shd w:val="clear" w:color="auto" w:fill="FFFFFF"/>
              </w:rPr>
              <w:t xml:space="preserve"> value</w:t>
            </w:r>
          </w:p>
        </w:tc>
        <w:tc>
          <w:tcPr>
            <w:tcW w:w="763" w:type="dxa"/>
            <w:tcBorders>
              <w:top w:val="single" w:sz="4" w:space="0" w:color="auto"/>
              <w:bottom w:val="single" w:sz="4" w:space="0" w:color="auto"/>
            </w:tcBorders>
            <w:vAlign w:val="center"/>
          </w:tcPr>
          <w:p w14:paraId="017D16A0" w14:textId="12D4294C"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b/>
                <w:i/>
                <w:iCs/>
                <w:color w:val="0F1115"/>
                <w:sz w:val="24"/>
                <w:shd w:val="clear" w:color="auto" w:fill="FFFFFF"/>
              </w:rPr>
              <w:t>p</w:t>
            </w:r>
            <w:r>
              <w:rPr>
                <w:rFonts w:ascii="Times New Roman" w:eastAsia="Segoe UI" w:hAnsi="Times New Roman" w:cs="Times New Roman"/>
                <w:b/>
                <w:color w:val="0F1115"/>
                <w:sz w:val="24"/>
                <w:shd w:val="clear" w:color="auto" w:fill="FFFFFF"/>
              </w:rPr>
              <w:t xml:space="preserve"> value</w:t>
            </w:r>
          </w:p>
        </w:tc>
      </w:tr>
      <w:tr w:rsidR="00216F12" w14:paraId="2D5348D5" w14:textId="77777777" w:rsidTr="005C1004">
        <w:tc>
          <w:tcPr>
            <w:tcW w:w="2235" w:type="dxa"/>
            <w:tcBorders>
              <w:top w:val="single" w:sz="4" w:space="0" w:color="auto"/>
            </w:tcBorders>
            <w:vAlign w:val="center"/>
          </w:tcPr>
          <w:p w14:paraId="59005474" w14:textId="5F1975CD" w:rsidR="00216F12" w:rsidRDefault="00216F12" w:rsidP="005C1004">
            <w:pPr>
              <w:snapToGrid w:val="0"/>
              <w:jc w:val="left"/>
              <w:rPr>
                <w:rFonts w:ascii="Times New Roman" w:hAnsi="Times New Roman" w:cs="Times New Roman"/>
                <w:sz w:val="24"/>
              </w:rPr>
            </w:pPr>
            <w:r>
              <w:rPr>
                <w:rFonts w:ascii="Times New Roman" w:eastAsia="Segoe UI" w:hAnsi="Times New Roman" w:cs="Times New Roman"/>
                <w:color w:val="0F1115"/>
                <w:sz w:val="24"/>
                <w:shd w:val="clear" w:color="auto" w:fill="FFFFFF"/>
              </w:rPr>
              <w:t xml:space="preserve">Age (years, </w:t>
            </w:r>
            <w:r>
              <w:rPr>
                <w:rFonts w:ascii="Times New Roman" w:eastAsia="SimSun" w:hAnsi="Times New Roman" w:cs="Times New Roman"/>
                <w:color w:val="0000FF"/>
                <w:position w:val="-6"/>
                <w:sz w:val="24"/>
              </w:rPr>
              <w:object w:dxaOrig="220" w:dyaOrig="270" w14:anchorId="5A433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22" type="#_x0000_t75" style="width:10.8pt;height:13.8pt" o:ole="">
                  <v:imagedata r:id="rId4" o:title=""/>
                </v:shape>
                <o:OLEObject Type="Embed" ProgID="Equation.DSMT4" ShapeID="_x0000_i1722" DrawAspect="Content" ObjectID="_1845179864" r:id="rId5"/>
              </w:object>
            </w:r>
            <w:r>
              <w:rPr>
                <w:rFonts w:ascii="Times New Roman" w:hAnsi="Times New Roman"/>
                <w:sz w:val="24"/>
              </w:rPr>
              <w:t>± s</w:t>
            </w:r>
            <w:r>
              <w:rPr>
                <w:rFonts w:ascii="Times New Roman" w:eastAsia="Segoe UI" w:hAnsi="Times New Roman" w:cs="Times New Roman"/>
                <w:color w:val="0F1115"/>
                <w:sz w:val="24"/>
                <w:shd w:val="clear" w:color="auto" w:fill="FFFFFF"/>
              </w:rPr>
              <w:t xml:space="preserve">) </w:t>
            </w:r>
          </w:p>
        </w:tc>
        <w:tc>
          <w:tcPr>
            <w:tcW w:w="3118" w:type="dxa"/>
            <w:tcBorders>
              <w:top w:val="single" w:sz="4" w:space="0" w:color="auto"/>
            </w:tcBorders>
            <w:vAlign w:val="center"/>
          </w:tcPr>
          <w:p w14:paraId="7CB4BA95" w14:textId="5749410B"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45.22</w:t>
            </w:r>
            <w:r>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8.51</w:t>
            </w:r>
          </w:p>
        </w:tc>
        <w:tc>
          <w:tcPr>
            <w:tcW w:w="2835" w:type="dxa"/>
            <w:tcBorders>
              <w:top w:val="single" w:sz="4" w:space="0" w:color="auto"/>
            </w:tcBorders>
            <w:vAlign w:val="center"/>
          </w:tcPr>
          <w:p w14:paraId="3C66DB2B" w14:textId="336188B1"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44.86</w:t>
            </w:r>
            <w:r>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9.10</w:t>
            </w:r>
          </w:p>
        </w:tc>
        <w:tc>
          <w:tcPr>
            <w:tcW w:w="903" w:type="dxa"/>
            <w:tcBorders>
              <w:top w:val="single" w:sz="4" w:space="0" w:color="auto"/>
            </w:tcBorders>
            <w:vAlign w:val="center"/>
          </w:tcPr>
          <w:p w14:paraId="50F2CFF8" w14:textId="3351F90C"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0.095</w:t>
            </w:r>
          </w:p>
        </w:tc>
        <w:tc>
          <w:tcPr>
            <w:tcW w:w="763" w:type="dxa"/>
            <w:tcBorders>
              <w:top w:val="single" w:sz="4" w:space="0" w:color="auto"/>
            </w:tcBorders>
            <w:vAlign w:val="center"/>
          </w:tcPr>
          <w:p w14:paraId="0E2144A6" w14:textId="5B8FD46B"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0.924</w:t>
            </w:r>
          </w:p>
        </w:tc>
      </w:tr>
      <w:tr w:rsidR="00216F12" w14:paraId="2C9E68A5" w14:textId="77777777" w:rsidTr="005C1004">
        <w:tc>
          <w:tcPr>
            <w:tcW w:w="2235" w:type="dxa"/>
            <w:vAlign w:val="center"/>
          </w:tcPr>
          <w:p w14:paraId="6F1DD384" w14:textId="01F933E0" w:rsidR="00216F12" w:rsidRDefault="00216F12" w:rsidP="005C1004">
            <w:pPr>
              <w:snapToGrid w:val="0"/>
              <w:jc w:val="left"/>
              <w:rPr>
                <w:rFonts w:ascii="Times New Roman" w:hAnsi="Times New Roman" w:cs="Times New Roman"/>
                <w:sz w:val="24"/>
              </w:rPr>
            </w:pPr>
            <w:r>
              <w:rPr>
                <w:rFonts w:ascii="Times New Roman" w:eastAsia="Segoe UI" w:hAnsi="Times New Roman" w:cs="Times New Roman"/>
                <w:color w:val="0F1115"/>
                <w:sz w:val="24"/>
                <w:shd w:val="clear" w:color="auto" w:fill="FFFFFF"/>
              </w:rPr>
              <w:t xml:space="preserve">Height (cm, </w:t>
            </w:r>
            <w:r>
              <w:rPr>
                <w:rFonts w:ascii="Times New Roman" w:eastAsia="SimSun" w:hAnsi="Times New Roman" w:cs="Times New Roman"/>
                <w:color w:val="0000FF"/>
                <w:position w:val="-6"/>
                <w:sz w:val="24"/>
              </w:rPr>
              <w:object w:dxaOrig="220" w:dyaOrig="270" w14:anchorId="37D503A2">
                <v:shape id="_x0000_i1723" type="#_x0000_t75" style="width:10.8pt;height:13.8pt" o:ole="">
                  <v:imagedata r:id="rId4" o:title=""/>
                </v:shape>
                <o:OLEObject Type="Embed" ProgID="Equation.DSMT4" ShapeID="_x0000_i1723" DrawAspect="Content" ObjectID="_1845179865" r:id="rId6"/>
              </w:object>
            </w:r>
            <w:r>
              <w:rPr>
                <w:rFonts w:ascii="Times New Roman" w:hAnsi="Times New Roman"/>
                <w:sz w:val="24"/>
              </w:rPr>
              <w:t>± s</w:t>
            </w:r>
            <w:r>
              <w:rPr>
                <w:rFonts w:ascii="Times New Roman" w:eastAsia="Segoe UI" w:hAnsi="Times New Roman" w:cs="Times New Roman"/>
                <w:color w:val="0F1115"/>
                <w:sz w:val="24"/>
                <w:shd w:val="clear" w:color="auto" w:fill="FFFFFF"/>
              </w:rPr>
              <w:t xml:space="preserve">) </w:t>
            </w:r>
          </w:p>
        </w:tc>
        <w:tc>
          <w:tcPr>
            <w:tcW w:w="3118" w:type="dxa"/>
            <w:vAlign w:val="center"/>
          </w:tcPr>
          <w:p w14:paraId="66485B5F" w14:textId="1E2C4653"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160.31</w:t>
            </w:r>
            <w:r>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5.20</w:t>
            </w:r>
          </w:p>
        </w:tc>
        <w:tc>
          <w:tcPr>
            <w:tcW w:w="2835" w:type="dxa"/>
            <w:vAlign w:val="center"/>
          </w:tcPr>
          <w:p w14:paraId="00E6456D" w14:textId="4DDA6642"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159.37</w:t>
            </w:r>
            <w:r>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4.97</w:t>
            </w:r>
          </w:p>
        </w:tc>
        <w:tc>
          <w:tcPr>
            <w:tcW w:w="903" w:type="dxa"/>
            <w:vAlign w:val="center"/>
          </w:tcPr>
          <w:p w14:paraId="1D020805" w14:textId="0353F1F8"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0.433</w:t>
            </w:r>
          </w:p>
        </w:tc>
        <w:tc>
          <w:tcPr>
            <w:tcW w:w="763" w:type="dxa"/>
            <w:vAlign w:val="center"/>
          </w:tcPr>
          <w:p w14:paraId="71FA5BBD" w14:textId="1A3A8DAF"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0.669</w:t>
            </w:r>
          </w:p>
        </w:tc>
      </w:tr>
      <w:tr w:rsidR="00216F12" w14:paraId="51A83642" w14:textId="77777777" w:rsidTr="005C1004">
        <w:tc>
          <w:tcPr>
            <w:tcW w:w="2235" w:type="dxa"/>
            <w:vAlign w:val="center"/>
          </w:tcPr>
          <w:p w14:paraId="5421514A" w14:textId="44C02EE7" w:rsidR="00216F12" w:rsidRDefault="00216F12" w:rsidP="005C1004">
            <w:pPr>
              <w:snapToGrid w:val="0"/>
              <w:jc w:val="left"/>
              <w:rPr>
                <w:rFonts w:ascii="Times New Roman" w:hAnsi="Times New Roman" w:cs="Times New Roman"/>
                <w:sz w:val="24"/>
              </w:rPr>
            </w:pPr>
            <w:r>
              <w:rPr>
                <w:rFonts w:ascii="Times New Roman" w:eastAsia="Segoe UI" w:hAnsi="Times New Roman" w:cs="Times New Roman"/>
                <w:color w:val="0F1115"/>
                <w:sz w:val="24"/>
                <w:shd w:val="clear" w:color="auto" w:fill="FFFFFF"/>
              </w:rPr>
              <w:t xml:space="preserve">Weight (kg, </w:t>
            </w:r>
            <w:r>
              <w:rPr>
                <w:rFonts w:ascii="Times New Roman" w:eastAsia="SimSun" w:hAnsi="Times New Roman" w:cs="Times New Roman"/>
                <w:color w:val="0000FF"/>
                <w:position w:val="-6"/>
                <w:sz w:val="24"/>
              </w:rPr>
              <w:object w:dxaOrig="220" w:dyaOrig="270" w14:anchorId="535A2812">
                <v:shape id="_x0000_i1724" type="#_x0000_t75" style="width:10.8pt;height:13.8pt" o:ole="">
                  <v:imagedata r:id="rId4" o:title=""/>
                </v:shape>
                <o:OLEObject Type="Embed" ProgID="Equation.DSMT4" ShapeID="_x0000_i1724" DrawAspect="Content" ObjectID="_1845179866" r:id="rId7"/>
              </w:object>
            </w:r>
            <w:r>
              <w:rPr>
                <w:rFonts w:ascii="Times New Roman" w:hAnsi="Times New Roman"/>
                <w:sz w:val="24"/>
              </w:rPr>
              <w:t>± s</w:t>
            </w:r>
            <w:r>
              <w:rPr>
                <w:rFonts w:ascii="Times New Roman" w:eastAsia="Segoe UI" w:hAnsi="Times New Roman" w:cs="Times New Roman"/>
                <w:color w:val="0F1115"/>
                <w:sz w:val="24"/>
                <w:shd w:val="clear" w:color="auto" w:fill="FFFFFF"/>
              </w:rPr>
              <w:t xml:space="preserve">) </w:t>
            </w:r>
          </w:p>
        </w:tc>
        <w:tc>
          <w:tcPr>
            <w:tcW w:w="3118" w:type="dxa"/>
            <w:vAlign w:val="center"/>
          </w:tcPr>
          <w:p w14:paraId="1D386B70" w14:textId="48ACB4F6"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58.65</w:t>
            </w:r>
            <w:r>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7.31</w:t>
            </w:r>
          </w:p>
        </w:tc>
        <w:tc>
          <w:tcPr>
            <w:tcW w:w="2835" w:type="dxa"/>
            <w:vAlign w:val="center"/>
          </w:tcPr>
          <w:p w14:paraId="187E5C37" w14:textId="3B3001E4"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59.13</w:t>
            </w:r>
            <w:r>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7.38</w:t>
            </w:r>
          </w:p>
        </w:tc>
        <w:tc>
          <w:tcPr>
            <w:tcW w:w="903" w:type="dxa"/>
            <w:vAlign w:val="center"/>
          </w:tcPr>
          <w:p w14:paraId="42A46A1F" w14:textId="2165BC38"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0.153</w:t>
            </w:r>
          </w:p>
        </w:tc>
        <w:tc>
          <w:tcPr>
            <w:tcW w:w="763" w:type="dxa"/>
            <w:vAlign w:val="center"/>
          </w:tcPr>
          <w:p w14:paraId="3887ED52" w14:textId="0861C984"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0.879</w:t>
            </w:r>
          </w:p>
        </w:tc>
      </w:tr>
      <w:tr w:rsidR="00216F12" w14:paraId="328B60BB" w14:textId="77777777" w:rsidTr="005C1004">
        <w:tc>
          <w:tcPr>
            <w:tcW w:w="2235" w:type="dxa"/>
            <w:tcBorders>
              <w:bottom w:val="single" w:sz="4" w:space="0" w:color="auto"/>
            </w:tcBorders>
            <w:vAlign w:val="center"/>
          </w:tcPr>
          <w:p w14:paraId="3D366927" w14:textId="083A8C66" w:rsidR="00216F12" w:rsidRDefault="00216F12" w:rsidP="005C1004">
            <w:pPr>
              <w:snapToGrid w:val="0"/>
              <w:jc w:val="left"/>
              <w:rPr>
                <w:rFonts w:ascii="Times New Roman" w:hAnsi="Times New Roman" w:cs="Times New Roman"/>
                <w:sz w:val="24"/>
              </w:rPr>
            </w:pPr>
            <w:r>
              <w:rPr>
                <w:rFonts w:ascii="Times New Roman" w:eastAsia="Segoe UI" w:hAnsi="Times New Roman" w:cs="Times New Roman"/>
                <w:color w:val="0F1115"/>
                <w:sz w:val="24"/>
                <w:shd w:val="clear" w:color="auto" w:fill="FFFFFF"/>
              </w:rPr>
              <w:t xml:space="preserve">BMI (kg/m², </w:t>
            </w:r>
            <w:r>
              <w:rPr>
                <w:rFonts w:ascii="Times New Roman" w:eastAsia="SimSun" w:hAnsi="Times New Roman" w:cs="Times New Roman"/>
                <w:color w:val="0000FF"/>
                <w:position w:val="-6"/>
                <w:sz w:val="24"/>
              </w:rPr>
              <w:object w:dxaOrig="220" w:dyaOrig="270" w14:anchorId="2A7C93B0">
                <v:shape id="_x0000_i1725" type="#_x0000_t75" style="width:10.8pt;height:13.8pt" o:ole="">
                  <v:imagedata r:id="rId4" o:title=""/>
                </v:shape>
                <o:OLEObject Type="Embed" ProgID="Equation.DSMT4" ShapeID="_x0000_i1725" DrawAspect="Content" ObjectID="_1845179867" r:id="rId8"/>
              </w:object>
            </w:r>
            <w:r>
              <w:rPr>
                <w:rFonts w:ascii="Times New Roman" w:hAnsi="Times New Roman"/>
                <w:sz w:val="24"/>
              </w:rPr>
              <w:t>± s</w:t>
            </w:r>
            <w:r>
              <w:rPr>
                <w:rFonts w:ascii="Times New Roman" w:eastAsia="Segoe UI" w:hAnsi="Times New Roman" w:cs="Times New Roman"/>
                <w:color w:val="0F1115"/>
                <w:sz w:val="24"/>
                <w:shd w:val="clear" w:color="auto" w:fill="FFFFFF"/>
              </w:rPr>
              <w:t xml:space="preserve">) </w:t>
            </w:r>
          </w:p>
        </w:tc>
        <w:tc>
          <w:tcPr>
            <w:tcW w:w="3118" w:type="dxa"/>
            <w:tcBorders>
              <w:bottom w:val="single" w:sz="4" w:space="0" w:color="auto"/>
            </w:tcBorders>
            <w:vAlign w:val="center"/>
          </w:tcPr>
          <w:p w14:paraId="6B6CDB93" w14:textId="1C5804C8"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22.85</w:t>
            </w:r>
            <w:r>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2.14</w:t>
            </w:r>
          </w:p>
        </w:tc>
        <w:tc>
          <w:tcPr>
            <w:tcW w:w="2835" w:type="dxa"/>
            <w:tcBorders>
              <w:bottom w:val="single" w:sz="4" w:space="0" w:color="auto"/>
            </w:tcBorders>
            <w:vAlign w:val="center"/>
          </w:tcPr>
          <w:p w14:paraId="4A309182" w14:textId="08997979"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22.95</w:t>
            </w:r>
            <w:r>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2.08</w:t>
            </w:r>
          </w:p>
        </w:tc>
        <w:tc>
          <w:tcPr>
            <w:tcW w:w="903" w:type="dxa"/>
            <w:tcBorders>
              <w:bottom w:val="single" w:sz="4" w:space="0" w:color="auto"/>
            </w:tcBorders>
            <w:vAlign w:val="center"/>
          </w:tcPr>
          <w:p w14:paraId="444B12D9" w14:textId="2884F57B"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0.111</w:t>
            </w:r>
          </w:p>
        </w:tc>
        <w:tc>
          <w:tcPr>
            <w:tcW w:w="763" w:type="dxa"/>
            <w:tcBorders>
              <w:bottom w:val="single" w:sz="4" w:space="0" w:color="auto"/>
            </w:tcBorders>
            <w:vAlign w:val="center"/>
          </w:tcPr>
          <w:p w14:paraId="0F1EFAE2" w14:textId="085CCDCD" w:rsidR="00216F12" w:rsidRDefault="00216F12"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0.912</w:t>
            </w:r>
          </w:p>
        </w:tc>
      </w:tr>
    </w:tbl>
    <w:p w14:paraId="351CDAAA" w14:textId="77777777" w:rsidR="00946D07" w:rsidRDefault="00946D07" w:rsidP="005C1004">
      <w:pPr>
        <w:snapToGrid w:val="0"/>
        <w:rPr>
          <w:rFonts w:ascii="Times New Roman" w:hAnsi="Times New Roman" w:cs="Times New Roman"/>
          <w:sz w:val="24"/>
        </w:rPr>
      </w:pPr>
    </w:p>
    <w:p w14:paraId="2EFD7F14"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w:t>
      </w:r>
      <w:r>
        <w:rPr>
          <w:rFonts w:ascii="Times New Roman" w:hAnsi="Times New Roman" w:cs="Times New Roman"/>
          <w:b/>
          <w:bCs/>
          <w:sz w:val="24"/>
        </w:rPr>
        <w:t>.</w:t>
      </w:r>
      <w:r>
        <w:rPr>
          <w:rFonts w:ascii="Times New Roman" w:hAnsi="Times New Roman" w:cs="Times New Roman"/>
          <w:b/>
          <w:bCs/>
          <w:sz w:val="24"/>
        </w:rPr>
        <w:t xml:space="preserve"> Methods </w:t>
      </w:r>
    </w:p>
    <w:p w14:paraId="4E00FB81"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.2.1</w:t>
      </w:r>
      <w:r>
        <w:rPr>
          <w:rFonts w:ascii="Times New Roman" w:hAnsi="Times New Roman" w:cs="Times New Roman"/>
          <w:b/>
          <w:bCs/>
          <w:sz w:val="24"/>
        </w:rPr>
        <w:t>.</w:t>
      </w:r>
      <w:r>
        <w:rPr>
          <w:rFonts w:ascii="Times New Roman" w:hAnsi="Times New Roman" w:cs="Times New Roman"/>
          <w:b/>
          <w:bCs/>
          <w:sz w:val="24"/>
        </w:rPr>
        <w:t xml:space="preserve"> Pre-anesthesia </w:t>
      </w:r>
      <w:r>
        <w:rPr>
          <w:rFonts w:ascii="Times New Roman" w:hAnsi="Times New Roman" w:cs="Times New Roman" w:hint="eastAsia"/>
          <w:b/>
          <w:bCs/>
          <w:sz w:val="24"/>
        </w:rPr>
        <w:t>p</w:t>
      </w:r>
      <w:r>
        <w:rPr>
          <w:rFonts w:ascii="Times New Roman" w:hAnsi="Times New Roman" w:cs="Times New Roman"/>
          <w:b/>
          <w:bCs/>
          <w:sz w:val="24"/>
        </w:rPr>
        <w:t xml:space="preserve">reparation </w:t>
      </w:r>
    </w:p>
    <w:p w14:paraId="16BD6A85" w14:textId="5A5D2BD7" w:rsidR="00946D07" w:rsidRDefault="00110F1E" w:rsidP="005C1004">
      <w:pPr>
        <w:snapToGrid w:val="0"/>
        <w:rPr>
          <w:rFonts w:ascii="Times New Roman" w:hAnsi="Times New Roman" w:cs="Times New Roman"/>
          <w:sz w:val="24"/>
        </w:rPr>
      </w:pPr>
      <w:r>
        <w:rPr>
          <w:rFonts w:ascii="Times New Roman" w:hAnsi="Times New Roman" w:cs="Times New Roman"/>
          <w:sz w:val="24"/>
        </w:rPr>
        <w:t>On the day before surgery, medical staff will conduct a risk assessment related to anesthesia for the patient, primarily by collecting their medical history, performing a physical examination, and identifying any contraindications to medication. They will also explain the anesthesia plan and potential risks to the patient and their family, obtaining their understanding and cooperation before signing an informed consent form. The patient</w:t>
      </w:r>
      <w:r>
        <w:rPr>
          <w:rFonts w:ascii="Times New Roman" w:hAnsi="Times New Roman" w:cs="Times New Roman"/>
          <w:sz w:val="24"/>
        </w:rPr>
        <w:t>’</w:t>
      </w:r>
      <w:r>
        <w:rPr>
          <w:rFonts w:ascii="Times New Roman" w:hAnsi="Times New Roman" w:cs="Times New Roman"/>
          <w:sz w:val="24"/>
        </w:rPr>
        <w:t>s preoperative cognitive function will be assessed using the MMSE scale, with the scoring criteria being: a score of 27</w:t>
      </w:r>
      <w:r w:rsidR="00216F12">
        <w:rPr>
          <w:rFonts w:ascii="Times New Roman" w:hAnsi="Times New Roman" w:cs="Times New Roman"/>
          <w:sz w:val="24"/>
        </w:rPr>
        <w:t>–</w:t>
      </w:r>
      <w:r>
        <w:rPr>
          <w:rFonts w:ascii="Times New Roman" w:hAnsi="Times New Roman" w:cs="Times New Roman"/>
          <w:sz w:val="24"/>
        </w:rPr>
        <w:t xml:space="preserve">30 indicates normal cognitive function, while a score below 27 suggests possible cognitive dysfunction. </w:t>
      </w:r>
    </w:p>
    <w:p w14:paraId="7BAC1DF2" w14:textId="77777777" w:rsidR="00946D07" w:rsidRDefault="00946D07" w:rsidP="005C1004">
      <w:pPr>
        <w:snapToGrid w:val="0"/>
        <w:rPr>
          <w:rFonts w:ascii="Times New Roman" w:hAnsi="Times New Roman" w:cs="Times New Roman"/>
          <w:sz w:val="24"/>
        </w:rPr>
      </w:pPr>
    </w:p>
    <w:p w14:paraId="1505BE82"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.2.2</w:t>
      </w:r>
      <w:r>
        <w:rPr>
          <w:rFonts w:ascii="Times New Roman" w:hAnsi="Times New Roman" w:cs="Times New Roman"/>
          <w:b/>
          <w:bCs/>
          <w:sz w:val="24"/>
        </w:rPr>
        <w:t>.</w:t>
      </w:r>
      <w:r>
        <w:rPr>
          <w:rFonts w:ascii="Times New Roman" w:hAnsi="Times New Roman" w:cs="Times New Roman"/>
          <w:b/>
          <w:bCs/>
          <w:sz w:val="24"/>
        </w:rPr>
        <w:t xml:space="preserve"> Anesthesia </w:t>
      </w:r>
      <w:r>
        <w:rPr>
          <w:rFonts w:ascii="Times New Roman" w:hAnsi="Times New Roman" w:cs="Times New Roman" w:hint="eastAsia"/>
          <w:b/>
          <w:bCs/>
          <w:sz w:val="24"/>
        </w:rPr>
        <w:t>i</w:t>
      </w:r>
      <w:r>
        <w:rPr>
          <w:rFonts w:ascii="Times New Roman" w:hAnsi="Times New Roman" w:cs="Times New Roman"/>
          <w:b/>
          <w:bCs/>
          <w:sz w:val="24"/>
        </w:rPr>
        <w:t xml:space="preserve">nduction and </w:t>
      </w:r>
      <w:r>
        <w:rPr>
          <w:rFonts w:ascii="Times New Roman" w:hAnsi="Times New Roman" w:cs="Times New Roman" w:hint="eastAsia"/>
          <w:b/>
          <w:bCs/>
          <w:sz w:val="24"/>
        </w:rPr>
        <w:t>m</w:t>
      </w:r>
      <w:r>
        <w:rPr>
          <w:rFonts w:ascii="Times New Roman" w:hAnsi="Times New Roman" w:cs="Times New Roman"/>
          <w:b/>
          <w:bCs/>
          <w:sz w:val="24"/>
        </w:rPr>
        <w:t xml:space="preserve">aintenance </w:t>
      </w:r>
    </w:p>
    <w:p w14:paraId="186A42CB" w14:textId="7E9CA752" w:rsidR="00946D07" w:rsidRDefault="00110F1E" w:rsidP="005C1004">
      <w:pPr>
        <w:snapToGrid w:val="0"/>
        <w:rPr>
          <w:rFonts w:ascii="Times New Roman" w:hAnsi="Times New Roman" w:cs="Times New Roman"/>
          <w:sz w:val="24"/>
        </w:rPr>
      </w:pPr>
      <w:r>
        <w:rPr>
          <w:rFonts w:ascii="Times New Roman" w:hAnsi="Times New Roman" w:cs="Times New Roman"/>
          <w:sz w:val="24"/>
        </w:rPr>
        <w:t>Upon entering the operating room, all patients will have an intravenous access established, and routine monitoring of blood pressure (BP), heart rate (HR), and oxygen saturation (SPO₂) will be initiated simultaneously. The general anesthesia induction process is as follows: 10 minutes before induction, dexmedetomidine will be administered at a dose of 1 μg/kg via infusion pump, followed by sequential intravenous injections of 2 mg/kg propofol, 0.3 μg/kg sufentanil, and 0.15 mg/kg cisatracurium. General anes</w:t>
      </w:r>
      <w:r>
        <w:rPr>
          <w:rFonts w:ascii="Times New Roman" w:hAnsi="Times New Roman" w:cs="Times New Roman"/>
          <w:sz w:val="24"/>
        </w:rPr>
        <w:t>thesia will be maintained through continuous infusion, with propofol at a dose of 4</w:t>
      </w:r>
      <w:r w:rsidR="00216F12">
        <w:rPr>
          <w:rFonts w:ascii="Times New Roman" w:hAnsi="Times New Roman" w:cs="Times New Roman"/>
          <w:sz w:val="24"/>
        </w:rPr>
        <w:t>–</w:t>
      </w:r>
      <w:r>
        <w:rPr>
          <w:rFonts w:ascii="Times New Roman" w:hAnsi="Times New Roman" w:cs="Times New Roman"/>
          <w:sz w:val="24"/>
        </w:rPr>
        <w:t>8 mg/kg/h, dexmedetomidine at 0.5 μg/kg/h, and remifentanil at 0.1</w:t>
      </w:r>
      <w:r w:rsidR="00216F12">
        <w:rPr>
          <w:rFonts w:ascii="Times New Roman" w:hAnsi="Times New Roman" w:cs="Times New Roman"/>
          <w:sz w:val="24"/>
        </w:rPr>
        <w:t>–</w:t>
      </w:r>
      <w:r>
        <w:rPr>
          <w:rFonts w:ascii="Times New Roman" w:hAnsi="Times New Roman" w:cs="Times New Roman"/>
          <w:sz w:val="24"/>
        </w:rPr>
        <w:t>0.2 μg/kg/min, while cisatracurium at 0.15 mg/kg will be administered intermittently intravenously to maintain muscle relaxation. Before the end of surgery, patients will receive an intravenous injection of 10 μg sufentanil and 30 mg ketorolac tromethamine for analgesic bridging. Group medication administration: Group K will receive a single intravenous infusion of 0.5 mg/kg esketamine before skin incision, with continuous saline infusion during surgery; Group C will receive an equivalent dose of saline bef</w:t>
      </w:r>
      <w:r>
        <w:rPr>
          <w:rFonts w:ascii="Times New Roman" w:hAnsi="Times New Roman" w:cs="Times New Roman"/>
          <w:sz w:val="24"/>
        </w:rPr>
        <w:t xml:space="preserve">ore </w:t>
      </w:r>
      <w:r>
        <w:rPr>
          <w:rFonts w:ascii="Times New Roman" w:hAnsi="Times New Roman" w:cs="Times New Roman"/>
          <w:sz w:val="24"/>
        </w:rPr>
        <w:lastRenderedPageBreak/>
        <w:t xml:space="preserve">skin incision, without the use of any NMDA receptor antagonists such as dextromethorphan or amantadine throughout the procedure. </w:t>
      </w:r>
    </w:p>
    <w:p w14:paraId="3F9116C0" w14:textId="77777777" w:rsidR="00946D07" w:rsidRDefault="00946D07" w:rsidP="005C1004">
      <w:pPr>
        <w:snapToGrid w:val="0"/>
        <w:rPr>
          <w:rFonts w:ascii="Times New Roman" w:hAnsi="Times New Roman" w:cs="Times New Roman"/>
          <w:sz w:val="24"/>
        </w:rPr>
      </w:pPr>
    </w:p>
    <w:p w14:paraId="3C2295A6"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.2.3</w:t>
      </w:r>
      <w:r>
        <w:rPr>
          <w:rFonts w:ascii="Times New Roman" w:hAnsi="Times New Roman" w:cs="Times New Roman"/>
          <w:b/>
          <w:bCs/>
          <w:sz w:val="24"/>
        </w:rPr>
        <w:t>.</w:t>
      </w:r>
      <w:r>
        <w:rPr>
          <w:rFonts w:ascii="Times New Roman" w:hAnsi="Times New Roman" w:cs="Times New Roman"/>
          <w:b/>
          <w:bCs/>
          <w:sz w:val="24"/>
        </w:rPr>
        <w:t xml:space="preserve"> Postoperative </w:t>
      </w:r>
      <w:r>
        <w:rPr>
          <w:rFonts w:ascii="Times New Roman" w:hAnsi="Times New Roman" w:cs="Times New Roman" w:hint="eastAsia"/>
          <w:b/>
          <w:bCs/>
          <w:sz w:val="24"/>
        </w:rPr>
        <w:t>a</w:t>
      </w:r>
      <w:r>
        <w:rPr>
          <w:rFonts w:ascii="Times New Roman" w:hAnsi="Times New Roman" w:cs="Times New Roman"/>
          <w:b/>
          <w:bCs/>
          <w:sz w:val="24"/>
        </w:rPr>
        <w:t xml:space="preserve">nalgesia </w:t>
      </w:r>
      <w:r>
        <w:rPr>
          <w:rFonts w:ascii="Times New Roman" w:hAnsi="Times New Roman" w:cs="Times New Roman" w:hint="eastAsia"/>
          <w:b/>
          <w:bCs/>
          <w:sz w:val="24"/>
        </w:rPr>
        <w:t>p</w:t>
      </w:r>
      <w:r>
        <w:rPr>
          <w:rFonts w:ascii="Times New Roman" w:hAnsi="Times New Roman" w:cs="Times New Roman"/>
          <w:b/>
          <w:bCs/>
          <w:sz w:val="24"/>
        </w:rPr>
        <w:t xml:space="preserve">lan </w:t>
      </w:r>
    </w:p>
    <w:p w14:paraId="15D3C93D" w14:textId="5ACBEF4C" w:rsidR="00946D07" w:rsidRDefault="00110F1E" w:rsidP="005C1004">
      <w:pPr>
        <w:snapToGrid w:val="0"/>
        <w:rPr>
          <w:rFonts w:ascii="Times New Roman" w:hAnsi="Times New Roman" w:cs="Times New Roman"/>
          <w:sz w:val="24"/>
        </w:rPr>
      </w:pPr>
      <w:r>
        <w:rPr>
          <w:rFonts w:ascii="Times New Roman" w:hAnsi="Times New Roman" w:cs="Times New Roman"/>
          <w:sz w:val="24"/>
        </w:rPr>
        <w:t>Both groups of patients will use a patient-controlled intravenous analgesia (PCIA) plan after surgery, with a drug concentration of 2 μg/ml sufentanil. The relevant parameters are set as follows: a loading dose of 1</w:t>
      </w:r>
      <w:r w:rsidR="00216F12">
        <w:rPr>
          <w:rFonts w:ascii="Times New Roman" w:hAnsi="Times New Roman" w:cs="Times New Roman"/>
          <w:sz w:val="24"/>
        </w:rPr>
        <w:t>–</w:t>
      </w:r>
      <w:r>
        <w:rPr>
          <w:rFonts w:ascii="Times New Roman" w:hAnsi="Times New Roman" w:cs="Times New Roman"/>
          <w:sz w:val="24"/>
        </w:rPr>
        <w:t xml:space="preserve">3 μg, a single bolus dose of 3 μg, a lockout time of 10 minutes, and a continuous infusion rate of 2 μg/h. This plan is formulated based on the </w:t>
      </w:r>
      <w:r>
        <w:rPr>
          <w:rFonts w:ascii="Times New Roman" w:hAnsi="Times New Roman" w:cs="Times New Roman"/>
          <w:sz w:val="24"/>
        </w:rPr>
        <w:t>“</w:t>
      </w:r>
      <w:r>
        <w:rPr>
          <w:rFonts w:ascii="Times New Roman" w:hAnsi="Times New Roman" w:cs="Times New Roman"/>
          <w:sz w:val="24"/>
        </w:rPr>
        <w:t>Expert Consensus on Postoperative Pain Management in Adults (2017 Edition)</w:t>
      </w:r>
      <w:r>
        <w:rPr>
          <w:rFonts w:ascii="Times New Roman" w:hAnsi="Times New Roman" w:cs="Times New Roman"/>
          <w:sz w:val="24"/>
        </w:rPr>
        <w:t>”</w:t>
      </w:r>
      <w:r>
        <w:rPr>
          <w:rFonts w:ascii="Times New Roman" w:hAnsi="Times New Roman" w:cs="Times New Roman"/>
          <w:sz w:val="24"/>
        </w:rPr>
        <w:t xml:space="preserve"> by the Anesthesiology Branch of the Chinese Medical Association. </w:t>
      </w:r>
    </w:p>
    <w:p w14:paraId="78DBEB05" w14:textId="77777777" w:rsidR="00946D07" w:rsidRDefault="00946D07" w:rsidP="005C1004">
      <w:pPr>
        <w:snapToGrid w:val="0"/>
        <w:rPr>
          <w:rFonts w:ascii="Times New Roman" w:hAnsi="Times New Roman" w:cs="Times New Roman"/>
          <w:sz w:val="24"/>
        </w:rPr>
      </w:pPr>
    </w:p>
    <w:p w14:paraId="27D4120F"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.2.4</w:t>
      </w:r>
      <w:r>
        <w:rPr>
          <w:rFonts w:ascii="Times New Roman" w:hAnsi="Times New Roman" w:cs="Times New Roman"/>
          <w:b/>
          <w:bCs/>
          <w:sz w:val="24"/>
        </w:rPr>
        <w:t>.</w:t>
      </w:r>
      <w:r>
        <w:rPr>
          <w:rFonts w:ascii="Times New Roman" w:hAnsi="Times New Roman" w:cs="Times New Roman"/>
          <w:b/>
          <w:bCs/>
          <w:sz w:val="24"/>
        </w:rPr>
        <w:t xml:space="preserve"> Pain </w:t>
      </w:r>
      <w:r>
        <w:rPr>
          <w:rFonts w:ascii="Times New Roman" w:hAnsi="Times New Roman" w:cs="Times New Roman" w:hint="eastAsia"/>
          <w:b/>
          <w:bCs/>
          <w:sz w:val="24"/>
        </w:rPr>
        <w:t>r</w:t>
      </w:r>
      <w:r>
        <w:rPr>
          <w:rFonts w:ascii="Times New Roman" w:hAnsi="Times New Roman" w:cs="Times New Roman"/>
          <w:b/>
          <w:bCs/>
          <w:sz w:val="24"/>
        </w:rPr>
        <w:t xml:space="preserve">escue </w:t>
      </w:r>
      <w:r>
        <w:rPr>
          <w:rFonts w:ascii="Times New Roman" w:hAnsi="Times New Roman" w:cs="Times New Roman" w:hint="eastAsia"/>
          <w:b/>
          <w:bCs/>
          <w:sz w:val="24"/>
        </w:rPr>
        <w:t>m</w:t>
      </w:r>
      <w:r>
        <w:rPr>
          <w:rFonts w:ascii="Times New Roman" w:hAnsi="Times New Roman" w:cs="Times New Roman"/>
          <w:b/>
          <w:bCs/>
          <w:sz w:val="24"/>
        </w:rPr>
        <w:t xml:space="preserve">easures </w:t>
      </w:r>
    </w:p>
    <w:p w14:paraId="0DC58B04" w14:textId="77777777" w:rsidR="00946D07" w:rsidRDefault="00110F1E" w:rsidP="005C1004">
      <w:pPr>
        <w:snapToGrid w:val="0"/>
        <w:rPr>
          <w:rFonts w:ascii="Times New Roman" w:hAnsi="Times New Roman" w:cs="Times New Roman"/>
          <w:sz w:val="24"/>
        </w:rPr>
      </w:pPr>
      <w:r>
        <w:rPr>
          <w:rFonts w:ascii="Times New Roman" w:hAnsi="Times New Roman" w:cs="Times New Roman"/>
          <w:sz w:val="24"/>
        </w:rPr>
        <w:t>After surgery, follow-up will be conducted, and the patient</w:t>
      </w:r>
      <w:r>
        <w:rPr>
          <w:rFonts w:ascii="Times New Roman" w:hAnsi="Times New Roman" w:cs="Times New Roman"/>
          <w:sz w:val="24"/>
        </w:rPr>
        <w:t>’</w:t>
      </w:r>
      <w:r>
        <w:rPr>
          <w:rFonts w:ascii="Times New Roman" w:hAnsi="Times New Roman" w:cs="Times New Roman"/>
          <w:sz w:val="24"/>
        </w:rPr>
        <w:t>s pain level will be assessed using the NRS scale. If the patient</w:t>
      </w:r>
      <w:r>
        <w:rPr>
          <w:rFonts w:ascii="Times New Roman" w:hAnsi="Times New Roman" w:cs="Times New Roman"/>
          <w:sz w:val="24"/>
        </w:rPr>
        <w:t>’</w:t>
      </w:r>
      <w:r>
        <w:rPr>
          <w:rFonts w:ascii="Times New Roman" w:hAnsi="Times New Roman" w:cs="Times New Roman"/>
          <w:sz w:val="24"/>
        </w:rPr>
        <w:t xml:space="preserve">s NRS score reaches 4 or above, rescue treatment with other analgesic drugs will be administered until the score drops to 3 or below, while recording the number of rescue analgesic administrations and the drug dosage used. </w:t>
      </w:r>
    </w:p>
    <w:p w14:paraId="6E72C974" w14:textId="77777777" w:rsidR="00946D07" w:rsidRDefault="00946D07" w:rsidP="005C1004">
      <w:pPr>
        <w:snapToGrid w:val="0"/>
        <w:rPr>
          <w:rFonts w:ascii="Times New Roman" w:hAnsi="Times New Roman" w:cs="Times New Roman"/>
          <w:sz w:val="24"/>
        </w:rPr>
      </w:pPr>
    </w:p>
    <w:p w14:paraId="44A75F67"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.3</w:t>
      </w:r>
      <w:r>
        <w:rPr>
          <w:rFonts w:ascii="Times New Roman" w:hAnsi="Times New Roman" w:cs="Times New Roman"/>
          <w:b/>
          <w:bCs/>
          <w:sz w:val="24"/>
        </w:rPr>
        <w:t>.</w:t>
      </w:r>
      <w:r>
        <w:rPr>
          <w:rFonts w:ascii="Times New Roman" w:hAnsi="Times New Roman" w:cs="Times New Roman"/>
          <w:b/>
          <w:bCs/>
          <w:sz w:val="24"/>
        </w:rPr>
        <w:t xml:space="preserve"> Observation </w:t>
      </w:r>
      <w:r>
        <w:rPr>
          <w:rFonts w:ascii="Times New Roman" w:hAnsi="Times New Roman" w:cs="Times New Roman" w:hint="eastAsia"/>
          <w:b/>
          <w:bCs/>
          <w:sz w:val="24"/>
        </w:rPr>
        <w:t>i</w:t>
      </w:r>
      <w:r>
        <w:rPr>
          <w:rFonts w:ascii="Times New Roman" w:hAnsi="Times New Roman" w:cs="Times New Roman"/>
          <w:b/>
          <w:bCs/>
          <w:sz w:val="24"/>
        </w:rPr>
        <w:t xml:space="preserve">ndicators </w:t>
      </w:r>
    </w:p>
    <w:p w14:paraId="626201A0" w14:textId="77777777" w:rsidR="00216F12" w:rsidRDefault="00110F1E" w:rsidP="00216F12">
      <w:pPr>
        <w:snapToGrid w:val="0"/>
        <w:ind w:left="709" w:hanging="709"/>
        <w:rPr>
          <w:rFonts w:ascii="Times New Roman" w:hAnsi="Times New Roman" w:cs="Times New Roman"/>
          <w:sz w:val="24"/>
        </w:rPr>
      </w:pPr>
      <w:r>
        <w:rPr>
          <w:rFonts w:ascii="Times New Roman" w:hAnsi="Times New Roman" w:cs="Times New Roman"/>
          <w:sz w:val="24"/>
        </w:rPr>
        <w:t xml:space="preserve">(1) </w:t>
      </w:r>
      <w:r w:rsidR="00216F12">
        <w:rPr>
          <w:rFonts w:ascii="Times New Roman" w:hAnsi="Times New Roman" w:cs="Times New Roman"/>
          <w:sz w:val="24"/>
        </w:rPr>
        <w:tab/>
      </w:r>
      <w:r>
        <w:rPr>
          <w:rFonts w:ascii="Times New Roman" w:hAnsi="Times New Roman" w:cs="Times New Roman"/>
          <w:sz w:val="24"/>
        </w:rPr>
        <w:t>Postoperative pain assessment</w:t>
      </w:r>
    </w:p>
    <w:p w14:paraId="12137F42" w14:textId="1CCF9C75" w:rsidR="00216F12" w:rsidRDefault="00216F12" w:rsidP="005C1004">
      <w:pPr>
        <w:snapToGrid w:val="0"/>
        <w:ind w:left="709" w:hanging="709"/>
        <w:rPr>
          <w:rFonts w:ascii="Times New Roman" w:hAnsi="Times New Roman" w:cs="Times New Roman"/>
          <w:sz w:val="24"/>
        </w:rPr>
      </w:pPr>
      <w:r>
        <w:rPr>
          <w:rFonts w:ascii="Times New Roman" w:hAnsi="Times New Roman" w:cs="Times New Roman"/>
          <w:sz w:val="24"/>
        </w:rPr>
        <w:tab/>
      </w:r>
      <w:r w:rsidR="00110F1E">
        <w:rPr>
          <w:rFonts w:ascii="Times New Roman" w:hAnsi="Times New Roman" w:cs="Times New Roman"/>
          <w:sz w:val="24"/>
        </w:rPr>
        <w:t>Record the NRS scores within 48 hours after surgery. The scale divides pain intensity into 0</w:t>
      </w:r>
      <w:r>
        <w:rPr>
          <w:rFonts w:ascii="Times New Roman" w:hAnsi="Times New Roman" w:cs="Times New Roman"/>
          <w:sz w:val="24"/>
        </w:rPr>
        <w:t>–</w:t>
      </w:r>
      <w:r w:rsidR="00110F1E">
        <w:rPr>
          <w:rFonts w:ascii="Times New Roman" w:hAnsi="Times New Roman" w:cs="Times New Roman"/>
          <w:sz w:val="24"/>
        </w:rPr>
        <w:t>10 points, with 0 indicating no pain, 1</w:t>
      </w:r>
      <w:r>
        <w:rPr>
          <w:rFonts w:ascii="Times New Roman" w:hAnsi="Times New Roman" w:cs="Times New Roman"/>
          <w:sz w:val="24"/>
        </w:rPr>
        <w:t>–</w:t>
      </w:r>
      <w:r w:rsidR="00110F1E">
        <w:rPr>
          <w:rFonts w:ascii="Times New Roman" w:hAnsi="Times New Roman" w:cs="Times New Roman"/>
          <w:sz w:val="24"/>
        </w:rPr>
        <w:t>3 indicating mild pain, 4</w:t>
      </w:r>
      <w:r>
        <w:rPr>
          <w:rFonts w:ascii="Times New Roman" w:hAnsi="Times New Roman" w:cs="Times New Roman"/>
          <w:sz w:val="24"/>
        </w:rPr>
        <w:t>–</w:t>
      </w:r>
      <w:r w:rsidR="00110F1E">
        <w:rPr>
          <w:rFonts w:ascii="Times New Roman" w:hAnsi="Times New Roman" w:cs="Times New Roman"/>
          <w:sz w:val="24"/>
        </w:rPr>
        <w:t>6 indicating moderate pain, 7</w:t>
      </w:r>
      <w:r>
        <w:rPr>
          <w:rFonts w:ascii="Times New Roman" w:hAnsi="Times New Roman" w:cs="Times New Roman"/>
          <w:sz w:val="24"/>
        </w:rPr>
        <w:t>–</w:t>
      </w:r>
      <w:r w:rsidR="00110F1E">
        <w:rPr>
          <w:rFonts w:ascii="Times New Roman" w:hAnsi="Times New Roman" w:cs="Times New Roman"/>
          <w:sz w:val="24"/>
        </w:rPr>
        <w:t xml:space="preserve">9 indicating severe pain, and 10 indicating excruciating pain. A higher score indicates a more severe level of pain. </w:t>
      </w:r>
    </w:p>
    <w:p w14:paraId="31537A48" w14:textId="77777777" w:rsidR="00216F12" w:rsidRDefault="00110F1E" w:rsidP="00216F12">
      <w:pPr>
        <w:snapToGrid w:val="0"/>
        <w:ind w:left="709" w:hanging="709"/>
        <w:rPr>
          <w:rFonts w:ascii="Times New Roman" w:hAnsi="Times New Roman" w:cs="Times New Roman"/>
          <w:sz w:val="24"/>
        </w:rPr>
      </w:pPr>
      <w:r>
        <w:rPr>
          <w:rFonts w:ascii="Times New Roman" w:hAnsi="Times New Roman" w:cs="Times New Roman"/>
          <w:sz w:val="24"/>
        </w:rPr>
        <w:t xml:space="preserve">(2) </w:t>
      </w:r>
      <w:r w:rsidR="00216F12">
        <w:rPr>
          <w:rFonts w:ascii="Times New Roman" w:hAnsi="Times New Roman" w:cs="Times New Roman"/>
          <w:sz w:val="24"/>
        </w:rPr>
        <w:tab/>
      </w:r>
      <w:r>
        <w:rPr>
          <w:rFonts w:ascii="Times New Roman" w:hAnsi="Times New Roman" w:cs="Times New Roman"/>
          <w:sz w:val="24"/>
        </w:rPr>
        <w:t>Cognitive function assessment</w:t>
      </w:r>
    </w:p>
    <w:p w14:paraId="518970EE" w14:textId="3700026F" w:rsidR="00216F12" w:rsidRDefault="00216F12" w:rsidP="005C1004">
      <w:pPr>
        <w:snapToGrid w:val="0"/>
        <w:ind w:left="709" w:hanging="709"/>
        <w:rPr>
          <w:rFonts w:ascii="Times New Roman" w:hAnsi="Times New Roman" w:cs="Times New Roman"/>
          <w:sz w:val="24"/>
        </w:rPr>
      </w:pPr>
      <w:r>
        <w:rPr>
          <w:rFonts w:ascii="Times New Roman" w:hAnsi="Times New Roman" w:cs="Times New Roman"/>
          <w:sz w:val="24"/>
        </w:rPr>
        <w:tab/>
      </w:r>
      <w:r w:rsidR="00110F1E">
        <w:rPr>
          <w:rFonts w:ascii="Times New Roman" w:hAnsi="Times New Roman" w:cs="Times New Roman"/>
          <w:sz w:val="24"/>
        </w:rPr>
        <w:t>The MMSE scale will be used to assess the patient</w:t>
      </w:r>
      <w:r w:rsidR="00110F1E">
        <w:rPr>
          <w:rFonts w:ascii="Times New Roman" w:hAnsi="Times New Roman" w:cs="Times New Roman"/>
          <w:sz w:val="24"/>
        </w:rPr>
        <w:t>’</w:t>
      </w:r>
      <w:r w:rsidR="00110F1E">
        <w:rPr>
          <w:rFonts w:ascii="Times New Roman" w:hAnsi="Times New Roman" w:cs="Times New Roman"/>
          <w:sz w:val="24"/>
        </w:rPr>
        <w:t xml:space="preserve">s cognitive function before and after surgery, comparing the preoperative score differences and the postoperative score reduction between the two groups. </w:t>
      </w:r>
    </w:p>
    <w:p w14:paraId="35414045" w14:textId="77777777" w:rsidR="00216F12" w:rsidRDefault="00110F1E" w:rsidP="00216F12">
      <w:pPr>
        <w:snapToGrid w:val="0"/>
        <w:ind w:left="709" w:hanging="709"/>
        <w:rPr>
          <w:rFonts w:ascii="Times New Roman" w:hAnsi="Times New Roman" w:cs="Times New Roman"/>
          <w:sz w:val="24"/>
        </w:rPr>
      </w:pPr>
      <w:r>
        <w:rPr>
          <w:rFonts w:ascii="Times New Roman" w:hAnsi="Times New Roman" w:cs="Times New Roman"/>
          <w:sz w:val="24"/>
        </w:rPr>
        <w:t xml:space="preserve">(3) </w:t>
      </w:r>
      <w:r w:rsidR="00216F12">
        <w:rPr>
          <w:rFonts w:ascii="Times New Roman" w:hAnsi="Times New Roman" w:cs="Times New Roman"/>
          <w:sz w:val="24"/>
        </w:rPr>
        <w:tab/>
      </w:r>
      <w:r>
        <w:rPr>
          <w:rFonts w:ascii="Times New Roman" w:hAnsi="Times New Roman" w:cs="Times New Roman"/>
          <w:sz w:val="24"/>
        </w:rPr>
        <w:t>Adverse reaction monitoring</w:t>
      </w:r>
    </w:p>
    <w:p w14:paraId="546434B7" w14:textId="166A3677" w:rsidR="00946D07" w:rsidRDefault="00216F12" w:rsidP="005C1004">
      <w:pPr>
        <w:snapToGrid w:val="0"/>
        <w:ind w:left="709" w:hanging="709"/>
        <w:rPr>
          <w:rFonts w:ascii="Times New Roman" w:hAnsi="Times New Roman" w:cs="Times New Roman"/>
          <w:sz w:val="24"/>
        </w:rPr>
      </w:pPr>
      <w:r>
        <w:rPr>
          <w:rFonts w:ascii="Times New Roman" w:hAnsi="Times New Roman" w:cs="Times New Roman"/>
          <w:sz w:val="24"/>
        </w:rPr>
        <w:tab/>
      </w:r>
      <w:r w:rsidR="00110F1E">
        <w:rPr>
          <w:rFonts w:ascii="Times New Roman" w:hAnsi="Times New Roman" w:cs="Times New Roman"/>
          <w:sz w:val="24"/>
        </w:rPr>
        <w:t xml:space="preserve">Record the occurrence of hypotension, hypertension, bradycardia, tachycardia, decreased oxygen saturation, coughing, laryngospasm, and body movement during the perioperative period. </w:t>
      </w:r>
    </w:p>
    <w:p w14:paraId="234738B5" w14:textId="77777777" w:rsidR="00946D07" w:rsidRDefault="00946D07" w:rsidP="005C1004">
      <w:pPr>
        <w:snapToGrid w:val="0"/>
        <w:rPr>
          <w:rFonts w:ascii="Times New Roman" w:hAnsi="Times New Roman" w:cs="Times New Roman"/>
          <w:sz w:val="24"/>
        </w:rPr>
      </w:pPr>
    </w:p>
    <w:p w14:paraId="7E5744A0"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.4</w:t>
      </w:r>
      <w:r>
        <w:rPr>
          <w:rFonts w:ascii="Times New Roman" w:hAnsi="Times New Roman" w:cs="Times New Roman"/>
          <w:b/>
          <w:bCs/>
          <w:sz w:val="24"/>
        </w:rPr>
        <w:t>.</w:t>
      </w:r>
      <w:r>
        <w:rPr>
          <w:rFonts w:ascii="Times New Roman" w:hAnsi="Times New Roman" w:cs="Times New Roman"/>
          <w:b/>
          <w:bCs/>
          <w:sz w:val="24"/>
        </w:rPr>
        <w:t xml:space="preserve"> Statistical </w:t>
      </w:r>
      <w:r>
        <w:rPr>
          <w:rFonts w:ascii="Times New Roman" w:hAnsi="Times New Roman" w:cs="Times New Roman" w:hint="eastAsia"/>
          <w:b/>
          <w:bCs/>
          <w:sz w:val="24"/>
        </w:rPr>
        <w:t>a</w:t>
      </w:r>
      <w:r>
        <w:rPr>
          <w:rFonts w:ascii="Times New Roman" w:hAnsi="Times New Roman" w:cs="Times New Roman"/>
          <w:b/>
          <w:bCs/>
          <w:sz w:val="24"/>
        </w:rPr>
        <w:t xml:space="preserve">nalysis </w:t>
      </w:r>
    </w:p>
    <w:p w14:paraId="74F0BC43" w14:textId="4DA5BD6A" w:rsidR="00946D07" w:rsidRDefault="00110F1E" w:rsidP="005C1004">
      <w:pPr>
        <w:snapToGrid w:val="0"/>
        <w:rPr>
          <w:rFonts w:ascii="Times New Roman" w:hAnsi="Times New Roman" w:cs="Times New Roman"/>
          <w:sz w:val="24"/>
        </w:rPr>
      </w:pPr>
      <w:r>
        <w:rPr>
          <w:rFonts w:ascii="Times New Roman" w:hAnsi="Times New Roman" w:cs="Times New Roman"/>
          <w:sz w:val="24"/>
        </w:rPr>
        <w:t>For data processing in this study, professional SPSS 26.0 software will be selected. Count data will be presented in the format of [n (%)], and the χ</w:t>
      </w:r>
      <w:r>
        <w:rPr>
          <w:rFonts w:ascii="Times New Roman" w:hAnsi="Times New Roman" w:cs="Times New Roman"/>
          <w:sz w:val="24"/>
          <w:vertAlign w:val="superscript"/>
        </w:rPr>
        <w:t>2</w:t>
      </w:r>
      <w:r>
        <w:rPr>
          <w:rFonts w:ascii="Times New Roman" w:hAnsi="Times New Roman" w:cs="Times New Roman"/>
          <w:sz w:val="24"/>
        </w:rPr>
        <w:t xml:space="preserve"> test will be used for comparison between groups. Measurement data will be processed using (</w:t>
      </w:r>
      <w:r>
        <w:rPr>
          <w:rFonts w:ascii="Times New Roman" w:eastAsia="SimSun" w:hAnsi="Times New Roman" w:cs="Times New Roman"/>
          <w:color w:val="0000FF"/>
          <w:position w:val="-6"/>
          <w:sz w:val="24"/>
        </w:rPr>
        <w:object w:dxaOrig="220" w:dyaOrig="270" w14:anchorId="49C0D98A">
          <v:shape id="_x0000_i1029" type="#_x0000_t75" style="width:10.8pt;height:13.8pt" o:ole="">
            <v:imagedata r:id="rId4" o:title=""/>
          </v:shape>
          <o:OLEObject Type="Embed" ProgID="Equation.DSMT4" ShapeID="_x0000_i1029" DrawAspect="Content" ObjectID="_1845179868" r:id="rId9"/>
        </w:object>
      </w:r>
      <w:r>
        <w:rPr>
          <w:rFonts w:ascii="Times New Roman" w:hAnsi="Times New Roman"/>
          <w:sz w:val="24"/>
        </w:rPr>
        <w:t>± s</w:t>
      </w:r>
      <w:r>
        <w:rPr>
          <w:rFonts w:ascii="Times New Roman" w:hAnsi="Times New Roman" w:cs="Times New Roman"/>
          <w:sz w:val="24"/>
        </w:rPr>
        <w:t xml:space="preserve">), and independent sample </w:t>
      </w:r>
      <w:r>
        <w:rPr>
          <w:rFonts w:ascii="Times New Roman" w:hAnsi="Times New Roman" w:cs="Times New Roman"/>
          <w:i/>
          <w:iCs/>
          <w:sz w:val="24"/>
        </w:rPr>
        <w:t>t</w:t>
      </w:r>
      <w:r>
        <w:rPr>
          <w:rFonts w:ascii="Times New Roman" w:hAnsi="Times New Roman" w:cs="Times New Roman"/>
          <w:sz w:val="24"/>
        </w:rPr>
        <w:t xml:space="preserve">-tests will be used for comparison between groups to determine whether the mean differences between two independent samples meet statistical standards. This study sets clear criteria: when </w:t>
      </w:r>
      <w:r w:rsidR="00216F12">
        <w:rPr>
          <w:rFonts w:ascii="Times New Roman" w:hAnsi="Times New Roman" w:cs="Times New Roman"/>
          <w:i/>
          <w:iCs/>
          <w:sz w:val="24"/>
        </w:rPr>
        <w:t>p</w:t>
      </w:r>
      <w:r w:rsidR="00216F12">
        <w:rPr>
          <w:rFonts w:ascii="Times New Roman" w:hAnsi="Times New Roman" w:cs="Times New Roman"/>
          <w:sz w:val="24"/>
        </w:rPr>
        <w:t xml:space="preserve"> </w:t>
      </w:r>
      <w:r>
        <w:rPr>
          <w:rFonts w:ascii="Times New Roman" w:hAnsi="Times New Roman" w:cs="Times New Roman"/>
          <w:sz w:val="24"/>
        </w:rPr>
        <w:t xml:space="preserve">&lt; 0.05, it indicates a difference between different groups. </w:t>
      </w:r>
    </w:p>
    <w:p w14:paraId="52734635" w14:textId="77777777" w:rsidR="00946D07" w:rsidRDefault="00946D07" w:rsidP="005C1004">
      <w:pPr>
        <w:snapToGrid w:val="0"/>
        <w:rPr>
          <w:rFonts w:ascii="Times New Roman" w:hAnsi="Times New Roman" w:cs="Times New Roman"/>
          <w:sz w:val="24"/>
        </w:rPr>
      </w:pPr>
    </w:p>
    <w:p w14:paraId="2B594070"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w:t>
      </w:r>
      <w:r>
        <w:rPr>
          <w:rFonts w:ascii="Times New Roman" w:hAnsi="Times New Roman" w:cs="Times New Roman"/>
          <w:b/>
          <w:bCs/>
          <w:sz w:val="24"/>
        </w:rPr>
        <w:t xml:space="preserve"> Results </w:t>
      </w:r>
    </w:p>
    <w:p w14:paraId="1A09D2B8" w14:textId="77777777" w:rsidR="00946D07" w:rsidRDefault="00110F1E" w:rsidP="005C1004">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.1</w:t>
      </w:r>
      <w:r>
        <w:rPr>
          <w:rFonts w:ascii="Times New Roman" w:hAnsi="Times New Roman" w:cs="Times New Roman"/>
          <w:b/>
          <w:bCs/>
          <w:sz w:val="24"/>
        </w:rPr>
        <w:t>.</w:t>
      </w:r>
      <w:r>
        <w:rPr>
          <w:rFonts w:ascii="Times New Roman" w:hAnsi="Times New Roman" w:cs="Times New Roman"/>
          <w:b/>
          <w:bCs/>
          <w:sz w:val="24"/>
        </w:rPr>
        <w:t xml:space="preserve"> Postoperative NRS </w:t>
      </w:r>
      <w:r>
        <w:rPr>
          <w:rFonts w:ascii="Times New Roman" w:hAnsi="Times New Roman" w:cs="Times New Roman" w:hint="eastAsia"/>
          <w:b/>
          <w:bCs/>
          <w:sz w:val="24"/>
        </w:rPr>
        <w:t>p</w:t>
      </w:r>
      <w:r>
        <w:rPr>
          <w:rFonts w:ascii="Times New Roman" w:hAnsi="Times New Roman" w:cs="Times New Roman"/>
          <w:b/>
          <w:bCs/>
          <w:sz w:val="24"/>
        </w:rPr>
        <w:t xml:space="preserve">ain </w:t>
      </w:r>
      <w:r>
        <w:rPr>
          <w:rFonts w:ascii="Times New Roman" w:hAnsi="Times New Roman" w:cs="Times New Roman" w:hint="eastAsia"/>
          <w:b/>
          <w:bCs/>
          <w:sz w:val="24"/>
        </w:rPr>
        <w:t>s</w:t>
      </w:r>
      <w:r>
        <w:rPr>
          <w:rFonts w:ascii="Times New Roman" w:hAnsi="Times New Roman" w:cs="Times New Roman"/>
          <w:b/>
          <w:bCs/>
          <w:sz w:val="24"/>
        </w:rPr>
        <w:t xml:space="preserve">cores of </w:t>
      </w:r>
      <w:r>
        <w:rPr>
          <w:rFonts w:ascii="Times New Roman" w:hAnsi="Times New Roman" w:cs="Times New Roman" w:hint="eastAsia"/>
          <w:b/>
          <w:bCs/>
          <w:sz w:val="24"/>
        </w:rPr>
        <w:t>p</w:t>
      </w:r>
      <w:r>
        <w:rPr>
          <w:rFonts w:ascii="Times New Roman" w:hAnsi="Times New Roman" w:cs="Times New Roman"/>
          <w:b/>
          <w:bCs/>
          <w:sz w:val="24"/>
        </w:rPr>
        <w:t xml:space="preserve">atients </w:t>
      </w:r>
    </w:p>
    <w:p w14:paraId="05E5A202" w14:textId="6A605B3B" w:rsidR="00946D07" w:rsidRDefault="00110F1E" w:rsidP="005C1004">
      <w:pPr>
        <w:snapToGrid w:val="0"/>
        <w:rPr>
          <w:rFonts w:ascii="Times New Roman" w:hAnsi="Times New Roman" w:cs="Times New Roman"/>
          <w:sz w:val="24"/>
        </w:rPr>
      </w:pPr>
      <w:r>
        <w:rPr>
          <w:rFonts w:ascii="Times New Roman" w:hAnsi="Times New Roman" w:cs="Times New Roman"/>
          <w:sz w:val="24"/>
        </w:rPr>
        <w:t>The scores of Group K were lower than those of Group C at all postoperative time points (</w:t>
      </w:r>
      <w:r w:rsidR="00216F12">
        <w:rPr>
          <w:rFonts w:ascii="Times New Roman" w:hAnsi="Times New Roman" w:cs="Times New Roman"/>
          <w:i/>
          <w:iCs/>
          <w:sz w:val="24"/>
        </w:rPr>
        <w:t>p</w:t>
      </w:r>
      <w:r>
        <w:rPr>
          <w:rFonts w:ascii="Times New Roman" w:hAnsi="Times New Roman" w:cs="Times New Roman"/>
          <w:sz w:val="24"/>
        </w:rPr>
        <w:t xml:space="preserve"> &lt; 0.05), as shown in </w:t>
      </w:r>
      <w:r>
        <w:rPr>
          <w:rFonts w:ascii="Times New Roman" w:hAnsi="Times New Roman" w:cs="Times New Roman"/>
          <w:b/>
          <w:bCs/>
          <w:sz w:val="24"/>
        </w:rPr>
        <w:t>Table 1</w:t>
      </w:r>
      <w:r>
        <w:rPr>
          <w:rFonts w:ascii="Times New Roman" w:hAnsi="Times New Roman" w:cs="Times New Roman" w:hint="eastAsia"/>
          <w:sz w:val="24"/>
        </w:rPr>
        <w:t>.</w:t>
      </w:r>
      <w:r>
        <w:rPr>
          <w:rFonts w:ascii="Times New Roman" w:hAnsi="Times New Roman" w:cs="Times New Roman"/>
          <w:sz w:val="24"/>
        </w:rPr>
        <w:t xml:space="preserve"> </w:t>
      </w:r>
    </w:p>
    <w:p w14:paraId="5584CCF0" w14:textId="77777777" w:rsidR="00946D07" w:rsidRDefault="00946D07" w:rsidP="005C1004">
      <w:pPr>
        <w:snapToGrid w:val="0"/>
        <w:rPr>
          <w:rFonts w:ascii="Times New Roman" w:hAnsi="Times New Roman" w:cs="Times New Roman"/>
          <w:sz w:val="24"/>
        </w:rPr>
      </w:pPr>
    </w:p>
    <w:p w14:paraId="62B70574" w14:textId="77777777" w:rsidR="00946D07" w:rsidRDefault="00110F1E" w:rsidP="005C1004">
      <w:pPr>
        <w:snapToGrid w:val="0"/>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w:t>
      </w:r>
      <w:r>
        <w:rPr>
          <w:rFonts w:ascii="Times New Roman" w:hAnsi="Times New Roman" w:cs="Times New Roman"/>
          <w:sz w:val="24"/>
        </w:rPr>
        <w:t xml:space="preserve"> Comparison of NRS </w:t>
      </w:r>
      <w:r>
        <w:rPr>
          <w:rFonts w:ascii="Times New Roman" w:hAnsi="Times New Roman" w:cs="Times New Roman" w:hint="eastAsia"/>
          <w:sz w:val="24"/>
        </w:rPr>
        <w:t>s</w:t>
      </w:r>
      <w:r>
        <w:rPr>
          <w:rFonts w:ascii="Times New Roman" w:hAnsi="Times New Roman" w:cs="Times New Roman"/>
          <w:sz w:val="24"/>
        </w:rPr>
        <w:t xml:space="preserve">cores </w:t>
      </w:r>
      <w:r>
        <w:rPr>
          <w:rFonts w:ascii="Times New Roman" w:hAnsi="Times New Roman" w:cs="Times New Roman" w:hint="eastAsia"/>
          <w:sz w:val="24"/>
        </w:rPr>
        <w:t>b</w:t>
      </w:r>
      <w:r>
        <w:rPr>
          <w:rFonts w:ascii="Times New Roman" w:hAnsi="Times New Roman" w:cs="Times New Roman"/>
          <w:sz w:val="24"/>
        </w:rPr>
        <w:t xml:space="preserve">etween the </w:t>
      </w:r>
      <w:r>
        <w:rPr>
          <w:rFonts w:ascii="Times New Roman" w:hAnsi="Times New Roman" w:cs="Times New Roman" w:hint="eastAsia"/>
          <w:sz w:val="24"/>
        </w:rPr>
        <w:t>t</w:t>
      </w:r>
      <w:r>
        <w:rPr>
          <w:rFonts w:ascii="Times New Roman" w:hAnsi="Times New Roman" w:cs="Times New Roman"/>
          <w:sz w:val="24"/>
        </w:rPr>
        <w:t xml:space="preserve">wo </w:t>
      </w:r>
      <w:r>
        <w:rPr>
          <w:rFonts w:ascii="Times New Roman" w:hAnsi="Times New Roman" w:cs="Times New Roman" w:hint="eastAsia"/>
          <w:sz w:val="24"/>
        </w:rPr>
        <w:t>g</w:t>
      </w:r>
      <w:r>
        <w:rPr>
          <w:rFonts w:ascii="Times New Roman" w:hAnsi="Times New Roman" w:cs="Times New Roman"/>
          <w:sz w:val="24"/>
        </w:rPr>
        <w:t>roups (</w:t>
      </w:r>
      <w:r>
        <w:rPr>
          <w:rFonts w:ascii="Times New Roman" w:eastAsia="SimSun" w:hAnsi="Times New Roman" w:cs="Times New Roman"/>
          <w:color w:val="0000FF"/>
          <w:position w:val="-6"/>
          <w:sz w:val="24"/>
        </w:rPr>
        <w:object w:dxaOrig="220" w:dyaOrig="270" w14:anchorId="0666721B">
          <v:shape id="_x0000_i1030" type="#_x0000_t75" style="width:10.8pt;height:13.8pt" o:ole="">
            <v:imagedata r:id="rId4" o:title=""/>
          </v:shape>
          <o:OLEObject Type="Embed" ProgID="Equation.DSMT4" ShapeID="_x0000_i1030" DrawAspect="Content" ObjectID="_1845179869" r:id="rId10"/>
        </w:object>
      </w:r>
      <w:r>
        <w:rPr>
          <w:rFonts w:ascii="Times New Roman" w:hAnsi="Times New Roman"/>
          <w:sz w:val="24"/>
        </w:rPr>
        <w:t>± s</w:t>
      </w:r>
      <w:r>
        <w:rPr>
          <w:rFonts w:ascii="Times New Roman" w:hAnsi="Times New Roman" w:cs="Times New Roman"/>
          <w:sz w:val="24"/>
        </w:rPr>
        <w:t>, points)</w:t>
      </w:r>
    </w:p>
    <w:tbl>
      <w:tblPr>
        <w:tblStyle w:val="TableGrid"/>
        <w:tblW w:w="50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947"/>
        <w:gridCol w:w="1134"/>
        <w:gridCol w:w="1890"/>
        <w:gridCol w:w="1889"/>
        <w:gridCol w:w="1889"/>
        <w:gridCol w:w="1889"/>
      </w:tblGrid>
      <w:tr w:rsidR="00946D07" w14:paraId="1E8CFCEA" w14:textId="77777777" w:rsidTr="005C1004">
        <w:trPr>
          <w:tblHeader/>
          <w:jc w:val="center"/>
        </w:trPr>
        <w:tc>
          <w:tcPr>
            <w:tcW w:w="491" w:type="pct"/>
            <w:tcBorders>
              <w:top w:val="single" w:sz="4" w:space="0" w:color="auto"/>
              <w:left w:val="nil"/>
              <w:bottom w:val="nil"/>
              <w:right w:val="nil"/>
            </w:tcBorders>
            <w:tcMar>
              <w:top w:w="-1" w:type="dxa"/>
              <w:left w:w="-1" w:type="dxa"/>
              <w:bottom w:w="-1" w:type="dxa"/>
              <w:right w:w="-1" w:type="dxa"/>
            </w:tcMar>
            <w:vAlign w:val="center"/>
          </w:tcPr>
          <w:p w14:paraId="22590D0F" w14:textId="77777777" w:rsidR="00946D07" w:rsidRDefault="00110F1E" w:rsidP="005C1004">
            <w:pPr>
              <w:snapToGrid w:val="0"/>
              <w:jc w:val="left"/>
              <w:rPr>
                <w:rFonts w:ascii="Times New Roman" w:hAnsi="Times New Roman" w:cs="Times New Roman"/>
                <w:b/>
                <w:bCs/>
                <w:sz w:val="24"/>
              </w:rPr>
            </w:pPr>
            <w:r>
              <w:rPr>
                <w:rFonts w:ascii="Times New Roman" w:eastAsia="Segoe UI" w:hAnsi="Times New Roman" w:cs="Times New Roman"/>
                <w:b/>
                <w:bCs/>
                <w:color w:val="0F1115"/>
                <w:sz w:val="24"/>
                <w:shd w:val="clear" w:color="auto" w:fill="FFFFFF"/>
              </w:rPr>
              <w:t>Group</w:t>
            </w:r>
          </w:p>
        </w:tc>
        <w:tc>
          <w:tcPr>
            <w:tcW w:w="588" w:type="pct"/>
            <w:tcBorders>
              <w:top w:val="single" w:sz="4" w:space="0" w:color="auto"/>
              <w:left w:val="nil"/>
              <w:bottom w:val="nil"/>
              <w:right w:val="nil"/>
            </w:tcBorders>
            <w:tcMar>
              <w:top w:w="-1" w:type="dxa"/>
              <w:left w:w="-1" w:type="dxa"/>
              <w:bottom w:w="-1" w:type="dxa"/>
              <w:right w:w="-1" w:type="dxa"/>
            </w:tcMar>
            <w:vAlign w:val="center"/>
          </w:tcPr>
          <w:p w14:paraId="4D56AABA" w14:textId="77777777" w:rsidR="00946D07" w:rsidRDefault="00110F1E" w:rsidP="005C1004">
            <w:pPr>
              <w:snapToGrid w:val="0"/>
              <w:jc w:val="center"/>
              <w:rPr>
                <w:rFonts w:ascii="Times New Roman" w:hAnsi="Times New Roman" w:cs="Times New Roman"/>
                <w:b/>
                <w:bCs/>
                <w:sz w:val="24"/>
              </w:rPr>
            </w:pPr>
            <w:r>
              <w:rPr>
                <w:rFonts w:ascii="Times New Roman" w:eastAsia="Segoe UI" w:hAnsi="Times New Roman" w:cs="Times New Roman"/>
                <w:b/>
                <w:bCs/>
                <w:color w:val="0F1115"/>
                <w:sz w:val="24"/>
                <w:shd w:val="clear" w:color="auto" w:fill="FFFFFF"/>
              </w:rPr>
              <w:t>Number of cases</w:t>
            </w:r>
          </w:p>
        </w:tc>
        <w:tc>
          <w:tcPr>
            <w:tcW w:w="980" w:type="pct"/>
            <w:tcBorders>
              <w:top w:val="single" w:sz="4" w:space="0" w:color="auto"/>
              <w:left w:val="nil"/>
              <w:bottom w:val="nil"/>
              <w:right w:val="nil"/>
            </w:tcBorders>
            <w:tcMar>
              <w:top w:w="-1" w:type="dxa"/>
              <w:left w:w="-1" w:type="dxa"/>
              <w:bottom w:w="-1" w:type="dxa"/>
              <w:right w:w="-1" w:type="dxa"/>
            </w:tcMar>
            <w:vAlign w:val="center"/>
          </w:tcPr>
          <w:p w14:paraId="10E076D8" w14:textId="77777777" w:rsidR="00946D07" w:rsidRDefault="00110F1E" w:rsidP="005C1004">
            <w:pPr>
              <w:snapToGrid w:val="0"/>
              <w:jc w:val="center"/>
              <w:rPr>
                <w:rFonts w:ascii="Times New Roman" w:hAnsi="Times New Roman" w:cs="Times New Roman"/>
                <w:b/>
                <w:bCs/>
                <w:sz w:val="24"/>
              </w:rPr>
            </w:pPr>
            <w:r>
              <w:rPr>
                <w:rFonts w:ascii="Times New Roman" w:eastAsia="Segoe UI" w:hAnsi="Times New Roman" w:cs="Times New Roman"/>
                <w:b/>
                <w:bCs/>
                <w:color w:val="0F1115"/>
                <w:sz w:val="24"/>
                <w:shd w:val="clear" w:color="auto" w:fill="FFFFFF"/>
              </w:rPr>
              <w:t>2h postoperatively</w:t>
            </w:r>
          </w:p>
        </w:tc>
        <w:tc>
          <w:tcPr>
            <w:tcW w:w="980" w:type="pct"/>
            <w:tcBorders>
              <w:top w:val="single" w:sz="4" w:space="0" w:color="auto"/>
              <w:left w:val="nil"/>
              <w:bottom w:val="nil"/>
              <w:right w:val="nil"/>
            </w:tcBorders>
            <w:tcMar>
              <w:top w:w="-1" w:type="dxa"/>
              <w:left w:w="-1" w:type="dxa"/>
              <w:bottom w:w="-1" w:type="dxa"/>
              <w:right w:w="-1" w:type="dxa"/>
            </w:tcMar>
            <w:vAlign w:val="center"/>
          </w:tcPr>
          <w:p w14:paraId="0E3BE4B5" w14:textId="77777777" w:rsidR="00946D07" w:rsidRDefault="00110F1E" w:rsidP="005C1004">
            <w:pPr>
              <w:snapToGrid w:val="0"/>
              <w:jc w:val="center"/>
              <w:rPr>
                <w:rFonts w:ascii="Times New Roman" w:hAnsi="Times New Roman" w:cs="Times New Roman"/>
                <w:b/>
                <w:bCs/>
                <w:sz w:val="24"/>
              </w:rPr>
            </w:pPr>
            <w:r>
              <w:rPr>
                <w:rFonts w:ascii="Times New Roman" w:eastAsia="Segoe UI" w:hAnsi="Times New Roman" w:cs="Times New Roman"/>
                <w:b/>
                <w:bCs/>
                <w:color w:val="0F1115"/>
                <w:sz w:val="24"/>
                <w:shd w:val="clear" w:color="auto" w:fill="FFFFFF"/>
              </w:rPr>
              <w:t>4h postoperatively</w:t>
            </w:r>
          </w:p>
        </w:tc>
        <w:tc>
          <w:tcPr>
            <w:tcW w:w="980" w:type="pct"/>
            <w:tcBorders>
              <w:top w:val="single" w:sz="4" w:space="0" w:color="auto"/>
              <w:left w:val="nil"/>
              <w:bottom w:val="nil"/>
              <w:right w:val="nil"/>
            </w:tcBorders>
            <w:tcMar>
              <w:top w:w="-1" w:type="dxa"/>
              <w:left w:w="-1" w:type="dxa"/>
              <w:bottom w:w="-1" w:type="dxa"/>
              <w:right w:w="-1" w:type="dxa"/>
            </w:tcMar>
            <w:vAlign w:val="center"/>
          </w:tcPr>
          <w:p w14:paraId="2AC1BBFD" w14:textId="77777777" w:rsidR="00946D07" w:rsidRDefault="00110F1E" w:rsidP="005C1004">
            <w:pPr>
              <w:snapToGrid w:val="0"/>
              <w:jc w:val="center"/>
              <w:rPr>
                <w:rFonts w:ascii="Times New Roman" w:hAnsi="Times New Roman" w:cs="Times New Roman"/>
                <w:b/>
                <w:bCs/>
                <w:sz w:val="24"/>
              </w:rPr>
            </w:pPr>
            <w:r>
              <w:rPr>
                <w:rFonts w:ascii="Times New Roman" w:eastAsia="Segoe UI" w:hAnsi="Times New Roman" w:cs="Times New Roman"/>
                <w:b/>
                <w:bCs/>
                <w:color w:val="0F1115"/>
                <w:sz w:val="24"/>
                <w:shd w:val="clear" w:color="auto" w:fill="FFFFFF"/>
              </w:rPr>
              <w:t>24h postoperatively</w:t>
            </w:r>
          </w:p>
        </w:tc>
        <w:tc>
          <w:tcPr>
            <w:tcW w:w="980" w:type="pct"/>
            <w:tcBorders>
              <w:top w:val="single" w:sz="4" w:space="0" w:color="auto"/>
              <w:left w:val="nil"/>
              <w:bottom w:val="nil"/>
              <w:right w:val="nil"/>
            </w:tcBorders>
            <w:tcMar>
              <w:top w:w="-1" w:type="dxa"/>
              <w:left w:w="-1" w:type="dxa"/>
              <w:bottom w:w="-1" w:type="dxa"/>
              <w:right w:w="-1" w:type="dxa"/>
            </w:tcMar>
            <w:vAlign w:val="center"/>
          </w:tcPr>
          <w:p w14:paraId="65559048" w14:textId="77777777" w:rsidR="00946D07" w:rsidRDefault="00110F1E" w:rsidP="005C1004">
            <w:pPr>
              <w:snapToGrid w:val="0"/>
              <w:jc w:val="center"/>
              <w:rPr>
                <w:rFonts w:ascii="Times New Roman" w:hAnsi="Times New Roman" w:cs="Times New Roman"/>
                <w:b/>
                <w:bCs/>
                <w:sz w:val="24"/>
              </w:rPr>
            </w:pPr>
            <w:r>
              <w:rPr>
                <w:rFonts w:ascii="Times New Roman" w:eastAsia="Segoe UI" w:hAnsi="Times New Roman" w:cs="Times New Roman"/>
                <w:b/>
                <w:bCs/>
                <w:color w:val="0F1115"/>
                <w:sz w:val="24"/>
                <w:shd w:val="clear" w:color="auto" w:fill="FFFFFF"/>
              </w:rPr>
              <w:t>48h postoperatively</w:t>
            </w:r>
          </w:p>
        </w:tc>
      </w:tr>
      <w:tr w:rsidR="00946D07" w14:paraId="1595442D" w14:textId="77777777" w:rsidTr="005C1004">
        <w:trPr>
          <w:tblHeader/>
          <w:jc w:val="center"/>
        </w:trPr>
        <w:tc>
          <w:tcPr>
            <w:tcW w:w="491" w:type="pct"/>
            <w:tcBorders>
              <w:top w:val="single" w:sz="4" w:space="0" w:color="auto"/>
              <w:left w:val="nil"/>
              <w:bottom w:val="nil"/>
              <w:right w:val="nil"/>
            </w:tcBorders>
            <w:tcMar>
              <w:top w:w="-1" w:type="dxa"/>
              <w:left w:w="-1" w:type="dxa"/>
              <w:bottom w:w="-1" w:type="dxa"/>
              <w:right w:w="-1" w:type="dxa"/>
            </w:tcMar>
            <w:vAlign w:val="center"/>
          </w:tcPr>
          <w:p w14:paraId="21CF5FEC" w14:textId="77777777" w:rsidR="00946D07" w:rsidRDefault="00110F1E" w:rsidP="005C1004">
            <w:pPr>
              <w:snapToGrid w:val="0"/>
              <w:jc w:val="left"/>
              <w:rPr>
                <w:rFonts w:ascii="Times New Roman" w:hAnsi="Times New Roman" w:cs="Times New Roman"/>
                <w:sz w:val="24"/>
              </w:rPr>
            </w:pPr>
            <w:r>
              <w:rPr>
                <w:rFonts w:ascii="Times New Roman" w:eastAsia="Segoe UI" w:hAnsi="Times New Roman" w:cs="Times New Roman"/>
                <w:color w:val="0F1115"/>
                <w:sz w:val="24"/>
                <w:shd w:val="clear" w:color="auto" w:fill="FFFFFF"/>
              </w:rPr>
              <w:t>K group</w:t>
            </w:r>
          </w:p>
        </w:tc>
        <w:tc>
          <w:tcPr>
            <w:tcW w:w="588" w:type="pct"/>
            <w:tcBorders>
              <w:top w:val="single" w:sz="4" w:space="0" w:color="auto"/>
              <w:left w:val="nil"/>
              <w:bottom w:val="nil"/>
              <w:right w:val="nil"/>
            </w:tcBorders>
            <w:tcMar>
              <w:top w:w="-1" w:type="dxa"/>
              <w:left w:w="-1" w:type="dxa"/>
              <w:bottom w:w="-1" w:type="dxa"/>
              <w:right w:w="-1" w:type="dxa"/>
            </w:tcMar>
            <w:vAlign w:val="center"/>
          </w:tcPr>
          <w:p w14:paraId="2B9F9C14"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11</w:t>
            </w:r>
          </w:p>
        </w:tc>
        <w:tc>
          <w:tcPr>
            <w:tcW w:w="980" w:type="pct"/>
            <w:tcBorders>
              <w:top w:val="single" w:sz="4" w:space="0" w:color="auto"/>
              <w:left w:val="nil"/>
              <w:bottom w:val="nil"/>
              <w:right w:val="nil"/>
            </w:tcBorders>
            <w:tcMar>
              <w:top w:w="-1" w:type="dxa"/>
              <w:left w:w="-1" w:type="dxa"/>
              <w:bottom w:w="-1" w:type="dxa"/>
              <w:right w:w="-1" w:type="dxa"/>
            </w:tcMar>
            <w:vAlign w:val="center"/>
          </w:tcPr>
          <w:p w14:paraId="25337FB6" w14:textId="0D98CA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3.19</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1.02</w:t>
            </w:r>
          </w:p>
        </w:tc>
        <w:tc>
          <w:tcPr>
            <w:tcW w:w="980" w:type="pct"/>
            <w:tcBorders>
              <w:top w:val="single" w:sz="4" w:space="0" w:color="auto"/>
              <w:left w:val="nil"/>
              <w:bottom w:val="nil"/>
              <w:right w:val="nil"/>
            </w:tcBorders>
            <w:tcMar>
              <w:top w:w="-1" w:type="dxa"/>
              <w:left w:w="-1" w:type="dxa"/>
              <w:bottom w:w="-1" w:type="dxa"/>
              <w:right w:w="-1" w:type="dxa"/>
            </w:tcMar>
            <w:vAlign w:val="center"/>
          </w:tcPr>
          <w:p w14:paraId="43B737CB" w14:textId="399BFD84"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2.57</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0.86</w:t>
            </w:r>
          </w:p>
        </w:tc>
        <w:tc>
          <w:tcPr>
            <w:tcW w:w="980" w:type="pct"/>
            <w:tcBorders>
              <w:top w:val="single" w:sz="4" w:space="0" w:color="auto"/>
              <w:left w:val="nil"/>
              <w:bottom w:val="nil"/>
              <w:right w:val="nil"/>
            </w:tcBorders>
            <w:tcMar>
              <w:top w:w="-1" w:type="dxa"/>
              <w:left w:w="-1" w:type="dxa"/>
              <w:bottom w:w="-1" w:type="dxa"/>
              <w:right w:w="-1" w:type="dxa"/>
            </w:tcMar>
            <w:vAlign w:val="center"/>
          </w:tcPr>
          <w:p w14:paraId="66E435F1" w14:textId="305972F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1.86</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0.64</w:t>
            </w:r>
          </w:p>
        </w:tc>
        <w:tc>
          <w:tcPr>
            <w:tcW w:w="980" w:type="pct"/>
            <w:tcBorders>
              <w:top w:val="single" w:sz="4" w:space="0" w:color="auto"/>
              <w:left w:val="nil"/>
              <w:bottom w:val="nil"/>
              <w:right w:val="nil"/>
            </w:tcBorders>
            <w:tcMar>
              <w:top w:w="-1" w:type="dxa"/>
              <w:left w:w="-1" w:type="dxa"/>
              <w:bottom w:w="-1" w:type="dxa"/>
              <w:right w:w="-1" w:type="dxa"/>
            </w:tcMar>
            <w:vAlign w:val="center"/>
          </w:tcPr>
          <w:p w14:paraId="5BF65E87" w14:textId="729C488A"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1.20</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0.42</w:t>
            </w:r>
          </w:p>
        </w:tc>
      </w:tr>
      <w:tr w:rsidR="00946D07" w14:paraId="2AF74227" w14:textId="77777777" w:rsidTr="005C1004">
        <w:trPr>
          <w:tblHeader/>
          <w:jc w:val="center"/>
        </w:trPr>
        <w:tc>
          <w:tcPr>
            <w:tcW w:w="491" w:type="pct"/>
            <w:tcBorders>
              <w:top w:val="nil"/>
              <w:left w:val="nil"/>
              <w:bottom w:val="nil"/>
              <w:right w:val="nil"/>
            </w:tcBorders>
            <w:tcMar>
              <w:top w:w="-1" w:type="dxa"/>
              <w:left w:w="-1" w:type="dxa"/>
              <w:bottom w:w="-1" w:type="dxa"/>
              <w:right w:w="-1" w:type="dxa"/>
            </w:tcMar>
            <w:vAlign w:val="center"/>
          </w:tcPr>
          <w:p w14:paraId="1A6531BD" w14:textId="77777777" w:rsidR="00946D07" w:rsidRDefault="00110F1E" w:rsidP="005C1004">
            <w:pPr>
              <w:snapToGrid w:val="0"/>
              <w:jc w:val="left"/>
              <w:rPr>
                <w:rFonts w:ascii="Times New Roman" w:hAnsi="Times New Roman" w:cs="Times New Roman"/>
                <w:sz w:val="24"/>
              </w:rPr>
            </w:pPr>
            <w:r>
              <w:rPr>
                <w:rFonts w:ascii="Times New Roman" w:eastAsia="Segoe UI" w:hAnsi="Times New Roman" w:cs="Times New Roman"/>
                <w:color w:val="0F1115"/>
                <w:sz w:val="24"/>
                <w:shd w:val="clear" w:color="auto" w:fill="FFFFFF"/>
              </w:rPr>
              <w:t>C group</w:t>
            </w:r>
          </w:p>
        </w:tc>
        <w:tc>
          <w:tcPr>
            <w:tcW w:w="588" w:type="pct"/>
            <w:tcBorders>
              <w:top w:val="nil"/>
              <w:left w:val="nil"/>
              <w:bottom w:val="nil"/>
              <w:right w:val="nil"/>
            </w:tcBorders>
            <w:tcMar>
              <w:top w:w="-1" w:type="dxa"/>
              <w:left w:w="-1" w:type="dxa"/>
              <w:bottom w:w="-1" w:type="dxa"/>
              <w:right w:w="-1" w:type="dxa"/>
            </w:tcMar>
            <w:vAlign w:val="center"/>
          </w:tcPr>
          <w:p w14:paraId="3731ECC3"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11</w:t>
            </w:r>
          </w:p>
        </w:tc>
        <w:tc>
          <w:tcPr>
            <w:tcW w:w="980" w:type="pct"/>
            <w:tcBorders>
              <w:top w:val="nil"/>
              <w:left w:val="nil"/>
              <w:bottom w:val="nil"/>
              <w:right w:val="nil"/>
            </w:tcBorders>
            <w:tcMar>
              <w:top w:w="-1" w:type="dxa"/>
              <w:left w:w="-1" w:type="dxa"/>
              <w:bottom w:w="-1" w:type="dxa"/>
              <w:right w:w="-1" w:type="dxa"/>
            </w:tcMar>
            <w:vAlign w:val="center"/>
          </w:tcPr>
          <w:p w14:paraId="1154CB29" w14:textId="7097DC0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4.61</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1.22</w:t>
            </w:r>
          </w:p>
        </w:tc>
        <w:tc>
          <w:tcPr>
            <w:tcW w:w="980" w:type="pct"/>
            <w:tcBorders>
              <w:top w:val="nil"/>
              <w:left w:val="nil"/>
              <w:bottom w:val="nil"/>
              <w:right w:val="nil"/>
            </w:tcBorders>
            <w:tcMar>
              <w:top w:w="-1" w:type="dxa"/>
              <w:left w:w="-1" w:type="dxa"/>
              <w:bottom w:w="-1" w:type="dxa"/>
              <w:right w:w="-1" w:type="dxa"/>
            </w:tcMar>
            <w:vAlign w:val="center"/>
          </w:tcPr>
          <w:p w14:paraId="7D02A0F5" w14:textId="0CE0E92A"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3.88</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1.13</w:t>
            </w:r>
          </w:p>
        </w:tc>
        <w:tc>
          <w:tcPr>
            <w:tcW w:w="980" w:type="pct"/>
            <w:tcBorders>
              <w:top w:val="nil"/>
              <w:left w:val="nil"/>
              <w:bottom w:val="nil"/>
              <w:right w:val="nil"/>
            </w:tcBorders>
            <w:tcMar>
              <w:top w:w="-1" w:type="dxa"/>
              <w:left w:w="-1" w:type="dxa"/>
              <w:bottom w:w="-1" w:type="dxa"/>
              <w:right w:w="-1" w:type="dxa"/>
            </w:tcMar>
            <w:vAlign w:val="center"/>
          </w:tcPr>
          <w:p w14:paraId="68E5D8A1" w14:textId="2B5DA409"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2.98</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0.95</w:t>
            </w:r>
          </w:p>
        </w:tc>
        <w:tc>
          <w:tcPr>
            <w:tcW w:w="980" w:type="pct"/>
            <w:tcBorders>
              <w:top w:val="nil"/>
              <w:left w:val="nil"/>
              <w:bottom w:val="nil"/>
              <w:right w:val="nil"/>
            </w:tcBorders>
            <w:tcMar>
              <w:top w:w="-1" w:type="dxa"/>
              <w:left w:w="-1" w:type="dxa"/>
              <w:bottom w:w="-1" w:type="dxa"/>
              <w:right w:w="-1" w:type="dxa"/>
            </w:tcMar>
            <w:vAlign w:val="center"/>
          </w:tcPr>
          <w:p w14:paraId="54B47B9E" w14:textId="426AB474"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2.14</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0.75</w:t>
            </w:r>
          </w:p>
        </w:tc>
      </w:tr>
      <w:tr w:rsidR="00946D07" w14:paraId="08BDADF8" w14:textId="77777777" w:rsidTr="005C1004">
        <w:trPr>
          <w:tblHeader/>
          <w:jc w:val="center"/>
        </w:trPr>
        <w:tc>
          <w:tcPr>
            <w:tcW w:w="491" w:type="pct"/>
            <w:tcBorders>
              <w:top w:val="nil"/>
              <w:left w:val="nil"/>
              <w:bottom w:val="nil"/>
              <w:right w:val="nil"/>
            </w:tcBorders>
            <w:tcMar>
              <w:top w:w="-1" w:type="dxa"/>
              <w:left w:w="-1" w:type="dxa"/>
              <w:bottom w:w="-1" w:type="dxa"/>
              <w:right w:w="-1" w:type="dxa"/>
            </w:tcMar>
            <w:vAlign w:val="center"/>
          </w:tcPr>
          <w:p w14:paraId="6AB19F44" w14:textId="77777777" w:rsidR="00946D07" w:rsidRDefault="00110F1E" w:rsidP="005C1004">
            <w:pPr>
              <w:snapToGrid w:val="0"/>
              <w:jc w:val="left"/>
              <w:rPr>
                <w:rFonts w:ascii="Times New Roman" w:hAnsi="Times New Roman" w:cs="Times New Roman"/>
                <w:i/>
                <w:iCs/>
                <w:sz w:val="24"/>
              </w:rPr>
            </w:pPr>
            <w:r>
              <w:rPr>
                <w:rFonts w:ascii="Times New Roman" w:eastAsia="Segoe UI" w:hAnsi="Times New Roman" w:cs="Times New Roman"/>
                <w:i/>
                <w:iCs/>
                <w:color w:val="0F1115"/>
                <w:sz w:val="24"/>
                <w:shd w:val="clear" w:color="auto" w:fill="FFFFFF"/>
              </w:rPr>
              <w:t>t</w:t>
            </w:r>
          </w:p>
        </w:tc>
        <w:tc>
          <w:tcPr>
            <w:tcW w:w="588" w:type="pct"/>
            <w:tcBorders>
              <w:top w:val="nil"/>
              <w:left w:val="nil"/>
              <w:bottom w:val="nil"/>
              <w:right w:val="nil"/>
            </w:tcBorders>
            <w:tcMar>
              <w:top w:w="-1" w:type="dxa"/>
              <w:left w:w="-1" w:type="dxa"/>
              <w:bottom w:w="-1" w:type="dxa"/>
              <w:right w:w="-1" w:type="dxa"/>
            </w:tcMar>
            <w:vAlign w:val="center"/>
          </w:tcPr>
          <w:p w14:paraId="3B37F062"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w:t>
            </w:r>
          </w:p>
        </w:tc>
        <w:tc>
          <w:tcPr>
            <w:tcW w:w="980" w:type="pct"/>
            <w:tcBorders>
              <w:top w:val="nil"/>
              <w:left w:val="nil"/>
              <w:bottom w:val="nil"/>
              <w:right w:val="nil"/>
            </w:tcBorders>
            <w:tcMar>
              <w:top w:w="-1" w:type="dxa"/>
              <w:left w:w="-1" w:type="dxa"/>
              <w:bottom w:w="-1" w:type="dxa"/>
              <w:right w:w="-1" w:type="dxa"/>
            </w:tcMar>
            <w:vAlign w:val="center"/>
          </w:tcPr>
          <w:p w14:paraId="6C0DC307"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2.961</w:t>
            </w:r>
          </w:p>
        </w:tc>
        <w:tc>
          <w:tcPr>
            <w:tcW w:w="980" w:type="pct"/>
            <w:tcBorders>
              <w:top w:val="nil"/>
              <w:left w:val="nil"/>
              <w:bottom w:val="nil"/>
              <w:right w:val="nil"/>
            </w:tcBorders>
            <w:tcMar>
              <w:top w:w="-1" w:type="dxa"/>
              <w:left w:w="-1" w:type="dxa"/>
              <w:bottom w:w="-1" w:type="dxa"/>
              <w:right w:w="-1" w:type="dxa"/>
            </w:tcMar>
            <w:vAlign w:val="center"/>
          </w:tcPr>
          <w:p w14:paraId="66FFE52B"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3.059</w:t>
            </w:r>
          </w:p>
        </w:tc>
        <w:tc>
          <w:tcPr>
            <w:tcW w:w="980" w:type="pct"/>
            <w:tcBorders>
              <w:top w:val="nil"/>
              <w:left w:val="nil"/>
              <w:bottom w:val="nil"/>
              <w:right w:val="nil"/>
            </w:tcBorders>
            <w:tcMar>
              <w:top w:w="-1" w:type="dxa"/>
              <w:left w:w="-1" w:type="dxa"/>
              <w:bottom w:w="-1" w:type="dxa"/>
              <w:right w:w="-1" w:type="dxa"/>
            </w:tcMar>
            <w:vAlign w:val="center"/>
          </w:tcPr>
          <w:p w14:paraId="020785C1"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3.242</w:t>
            </w:r>
          </w:p>
        </w:tc>
        <w:tc>
          <w:tcPr>
            <w:tcW w:w="980" w:type="pct"/>
            <w:tcBorders>
              <w:top w:val="nil"/>
              <w:left w:val="nil"/>
              <w:bottom w:val="nil"/>
              <w:right w:val="nil"/>
            </w:tcBorders>
            <w:tcMar>
              <w:top w:w="-1" w:type="dxa"/>
              <w:left w:w="-1" w:type="dxa"/>
              <w:bottom w:w="-1" w:type="dxa"/>
              <w:right w:w="-1" w:type="dxa"/>
            </w:tcMar>
            <w:vAlign w:val="center"/>
          </w:tcPr>
          <w:p w14:paraId="75A2FC80"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3.626</w:t>
            </w:r>
          </w:p>
        </w:tc>
      </w:tr>
      <w:tr w:rsidR="00946D07" w14:paraId="1AD95367" w14:textId="77777777" w:rsidTr="005C1004">
        <w:trPr>
          <w:tblHeader/>
          <w:jc w:val="center"/>
        </w:trPr>
        <w:tc>
          <w:tcPr>
            <w:tcW w:w="491" w:type="pct"/>
            <w:tcBorders>
              <w:top w:val="nil"/>
              <w:left w:val="nil"/>
              <w:bottom w:val="single" w:sz="4" w:space="0" w:color="auto"/>
              <w:right w:val="nil"/>
            </w:tcBorders>
            <w:tcMar>
              <w:top w:w="-1" w:type="dxa"/>
              <w:left w:w="-1" w:type="dxa"/>
              <w:bottom w:w="-1" w:type="dxa"/>
              <w:right w:w="-1" w:type="dxa"/>
            </w:tcMar>
            <w:vAlign w:val="center"/>
          </w:tcPr>
          <w:p w14:paraId="6FC7CA0C" w14:textId="12998F0D" w:rsidR="00946D07" w:rsidRDefault="00216F12" w:rsidP="005C1004">
            <w:pPr>
              <w:snapToGrid w:val="0"/>
              <w:jc w:val="left"/>
              <w:rPr>
                <w:rFonts w:ascii="Times New Roman" w:hAnsi="Times New Roman" w:cs="Times New Roman"/>
                <w:i/>
                <w:iCs/>
                <w:sz w:val="24"/>
              </w:rPr>
            </w:pPr>
            <w:r>
              <w:rPr>
                <w:rFonts w:ascii="Times New Roman" w:eastAsia="Segoe UI" w:hAnsi="Times New Roman" w:cs="Times New Roman"/>
                <w:i/>
                <w:iCs/>
                <w:color w:val="0F1115"/>
                <w:sz w:val="24"/>
                <w:shd w:val="clear" w:color="auto" w:fill="FFFFFF"/>
              </w:rPr>
              <w:t>p</w:t>
            </w:r>
          </w:p>
        </w:tc>
        <w:tc>
          <w:tcPr>
            <w:tcW w:w="588" w:type="pct"/>
            <w:tcBorders>
              <w:top w:val="nil"/>
              <w:left w:val="nil"/>
              <w:bottom w:val="single" w:sz="4" w:space="0" w:color="auto"/>
              <w:right w:val="nil"/>
            </w:tcBorders>
            <w:tcMar>
              <w:top w:w="-1" w:type="dxa"/>
              <w:left w:w="-1" w:type="dxa"/>
              <w:bottom w:w="-1" w:type="dxa"/>
              <w:right w:w="-1" w:type="dxa"/>
            </w:tcMar>
            <w:vAlign w:val="center"/>
          </w:tcPr>
          <w:p w14:paraId="5E9F2F16"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w:t>
            </w:r>
          </w:p>
        </w:tc>
        <w:tc>
          <w:tcPr>
            <w:tcW w:w="980" w:type="pct"/>
            <w:tcBorders>
              <w:top w:val="nil"/>
              <w:left w:val="nil"/>
              <w:bottom w:val="single" w:sz="4" w:space="0" w:color="auto"/>
              <w:right w:val="nil"/>
            </w:tcBorders>
            <w:tcMar>
              <w:top w:w="-1" w:type="dxa"/>
              <w:left w:w="-1" w:type="dxa"/>
              <w:bottom w:w="-1" w:type="dxa"/>
              <w:right w:w="-1" w:type="dxa"/>
            </w:tcMar>
            <w:vAlign w:val="center"/>
          </w:tcPr>
          <w:p w14:paraId="1BDE3B3B"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0.008</w:t>
            </w:r>
          </w:p>
        </w:tc>
        <w:tc>
          <w:tcPr>
            <w:tcW w:w="980" w:type="pct"/>
            <w:tcBorders>
              <w:top w:val="nil"/>
              <w:left w:val="nil"/>
              <w:bottom w:val="single" w:sz="4" w:space="0" w:color="auto"/>
              <w:right w:val="nil"/>
            </w:tcBorders>
            <w:tcMar>
              <w:top w:w="-1" w:type="dxa"/>
              <w:left w:w="-1" w:type="dxa"/>
              <w:bottom w:w="-1" w:type="dxa"/>
              <w:right w:w="-1" w:type="dxa"/>
            </w:tcMar>
            <w:vAlign w:val="center"/>
          </w:tcPr>
          <w:p w14:paraId="379310EA"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0.006</w:t>
            </w:r>
          </w:p>
        </w:tc>
        <w:tc>
          <w:tcPr>
            <w:tcW w:w="980" w:type="pct"/>
            <w:tcBorders>
              <w:top w:val="nil"/>
              <w:left w:val="nil"/>
              <w:bottom w:val="single" w:sz="4" w:space="0" w:color="auto"/>
              <w:right w:val="nil"/>
            </w:tcBorders>
            <w:tcMar>
              <w:top w:w="-1" w:type="dxa"/>
              <w:left w:w="-1" w:type="dxa"/>
              <w:bottom w:w="-1" w:type="dxa"/>
              <w:right w:w="-1" w:type="dxa"/>
            </w:tcMar>
            <w:vAlign w:val="center"/>
          </w:tcPr>
          <w:p w14:paraId="1FFCA99E"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0.004</w:t>
            </w:r>
          </w:p>
        </w:tc>
        <w:tc>
          <w:tcPr>
            <w:tcW w:w="980" w:type="pct"/>
            <w:tcBorders>
              <w:top w:val="nil"/>
              <w:left w:val="nil"/>
              <w:bottom w:val="single" w:sz="4" w:space="0" w:color="auto"/>
              <w:right w:val="nil"/>
            </w:tcBorders>
            <w:tcMar>
              <w:top w:w="-1" w:type="dxa"/>
              <w:left w:w="-1" w:type="dxa"/>
              <w:bottom w:w="-1" w:type="dxa"/>
              <w:right w:w="-1" w:type="dxa"/>
            </w:tcMar>
            <w:vAlign w:val="center"/>
          </w:tcPr>
          <w:p w14:paraId="3B03C640" w14:textId="77777777" w:rsidR="00946D07" w:rsidRDefault="00110F1E" w:rsidP="005C1004">
            <w:pPr>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0.002</w:t>
            </w:r>
          </w:p>
        </w:tc>
      </w:tr>
    </w:tbl>
    <w:p w14:paraId="1E615B34" w14:textId="77777777" w:rsidR="00946D07" w:rsidRDefault="00946D07" w:rsidP="005C1004">
      <w:pPr>
        <w:snapToGrid w:val="0"/>
        <w:rPr>
          <w:rFonts w:ascii="Times New Roman" w:eastAsia="Segoe UI" w:hAnsi="Times New Roman" w:cs="Times New Roman"/>
          <w:color w:val="0F1115"/>
          <w:sz w:val="24"/>
          <w:shd w:val="clear" w:color="auto" w:fill="FFFFFF"/>
        </w:rPr>
      </w:pPr>
    </w:p>
    <w:p w14:paraId="17F4A9FE" w14:textId="77777777" w:rsidR="00946D07" w:rsidRDefault="00110F1E" w:rsidP="005C1004">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3</w:t>
      </w:r>
      <w:r>
        <w:rPr>
          <w:rFonts w:ascii="Times New Roman" w:eastAsia="Segoe UI" w:hAnsi="Times New Roman" w:cs="Times New Roman"/>
          <w:b/>
          <w:bCs/>
          <w:color w:val="0F1115"/>
          <w:sz w:val="24"/>
          <w:shd w:val="clear" w:color="auto" w:fill="FFFFFF"/>
        </w:rPr>
        <w:t>.2</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Preoperative and </w:t>
      </w:r>
      <w:r>
        <w:rPr>
          <w:rFonts w:ascii="Times New Roman" w:eastAsia="SimSun" w:hAnsi="Times New Roman" w:cs="Times New Roman" w:hint="eastAsia"/>
          <w:b/>
          <w:bCs/>
          <w:color w:val="0F1115"/>
          <w:sz w:val="24"/>
          <w:shd w:val="clear" w:color="auto" w:fill="FFFFFF"/>
        </w:rPr>
        <w:t>p</w:t>
      </w:r>
      <w:r>
        <w:rPr>
          <w:rFonts w:ascii="Times New Roman" w:eastAsia="Segoe UI" w:hAnsi="Times New Roman" w:cs="Times New Roman"/>
          <w:b/>
          <w:bCs/>
          <w:color w:val="0F1115"/>
          <w:sz w:val="24"/>
          <w:shd w:val="clear" w:color="auto" w:fill="FFFFFF"/>
        </w:rPr>
        <w:t xml:space="preserve">ostoperative MMSE </w:t>
      </w:r>
      <w:r>
        <w:rPr>
          <w:rFonts w:ascii="Times New Roman" w:eastAsia="SimSun" w:hAnsi="Times New Roman" w:cs="Times New Roman" w:hint="eastAsia"/>
          <w:b/>
          <w:bCs/>
          <w:color w:val="0F1115"/>
          <w:sz w:val="24"/>
          <w:shd w:val="clear" w:color="auto" w:fill="FFFFFF"/>
        </w:rPr>
        <w:t>s</w:t>
      </w:r>
      <w:r>
        <w:rPr>
          <w:rFonts w:ascii="Times New Roman" w:eastAsia="Segoe UI" w:hAnsi="Times New Roman" w:cs="Times New Roman"/>
          <w:b/>
          <w:bCs/>
          <w:color w:val="0F1115"/>
          <w:sz w:val="24"/>
          <w:shd w:val="clear" w:color="auto" w:fill="FFFFFF"/>
        </w:rPr>
        <w:t xml:space="preserve">cores of </w:t>
      </w:r>
      <w:r>
        <w:rPr>
          <w:rFonts w:ascii="Times New Roman" w:eastAsia="SimSun" w:hAnsi="Times New Roman" w:cs="Times New Roman" w:hint="eastAsia"/>
          <w:b/>
          <w:bCs/>
          <w:color w:val="0F1115"/>
          <w:sz w:val="24"/>
          <w:shd w:val="clear" w:color="auto" w:fill="FFFFFF"/>
        </w:rPr>
        <w:t>p</w:t>
      </w:r>
      <w:r>
        <w:rPr>
          <w:rFonts w:ascii="Times New Roman" w:eastAsia="Segoe UI" w:hAnsi="Times New Roman" w:cs="Times New Roman"/>
          <w:b/>
          <w:bCs/>
          <w:color w:val="0F1115"/>
          <w:sz w:val="24"/>
          <w:shd w:val="clear" w:color="auto" w:fill="FFFFFF"/>
        </w:rPr>
        <w:t xml:space="preserve">atients </w:t>
      </w:r>
    </w:p>
    <w:p w14:paraId="202A2F6C" w14:textId="44AAFCA9" w:rsidR="00946D07" w:rsidRDefault="00110F1E" w:rsidP="005C1004">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The decrease in MMSE scores in Group K after surgery was </w:t>
      </w:r>
      <w:r w:rsidR="00216F12">
        <w:rPr>
          <w:rFonts w:ascii="Times New Roman" w:eastAsia="Segoe UI" w:hAnsi="Times New Roman" w:cs="Times New Roman"/>
          <w:color w:val="0F1115"/>
          <w:sz w:val="24"/>
          <w:shd w:val="clear" w:color="auto" w:fill="FFFFFF"/>
        </w:rPr>
        <w:t>slighter</w:t>
      </w:r>
      <w:r>
        <w:rPr>
          <w:rFonts w:ascii="Times New Roman" w:eastAsia="Segoe UI" w:hAnsi="Times New Roman" w:cs="Times New Roman"/>
          <w:color w:val="0F1115"/>
          <w:sz w:val="24"/>
          <w:shd w:val="clear" w:color="auto" w:fill="FFFFFF"/>
        </w:rPr>
        <w:t xml:space="preserve"> than that in Group C (</w:t>
      </w:r>
      <w:r w:rsidR="00216F12">
        <w:rPr>
          <w:rFonts w:ascii="Times New Roman" w:eastAsia="Segoe UI" w:hAnsi="Times New Roman" w:cs="Times New Roman"/>
          <w:i/>
          <w:iCs/>
          <w:color w:val="0F1115"/>
          <w:sz w:val="24"/>
          <w:shd w:val="clear" w:color="auto" w:fill="FFFFFF"/>
        </w:rPr>
        <w:t>p</w:t>
      </w:r>
      <w:r>
        <w:rPr>
          <w:rFonts w:ascii="Times New Roman" w:eastAsia="Segoe UI" w:hAnsi="Times New Roman" w:cs="Times New Roman"/>
          <w:color w:val="0F1115"/>
          <w:sz w:val="24"/>
          <w:shd w:val="clear" w:color="auto" w:fill="FFFFFF"/>
        </w:rPr>
        <w:t xml:space="preserve">&lt; 0.05), as shown in </w:t>
      </w:r>
      <w:r>
        <w:rPr>
          <w:rFonts w:ascii="Times New Roman" w:eastAsia="Segoe UI" w:hAnsi="Times New Roman" w:cs="Times New Roman"/>
          <w:b/>
          <w:bCs/>
          <w:color w:val="0F1115"/>
          <w:sz w:val="24"/>
          <w:shd w:val="clear" w:color="auto" w:fill="FFFFFF"/>
        </w:rPr>
        <w:t>Table 2</w:t>
      </w:r>
      <w:r>
        <w:rPr>
          <w:rFonts w:ascii="Times New Roman" w:eastAsia="SimSun" w:hAnsi="Times New Roman" w:cs="Times New Roman" w:hint="eastAsia"/>
          <w:color w:val="0F1115"/>
          <w:sz w:val="24"/>
          <w:shd w:val="clear" w:color="auto" w:fill="FFFFFF"/>
        </w:rPr>
        <w:t>.</w:t>
      </w:r>
      <w:r>
        <w:rPr>
          <w:rFonts w:ascii="Times New Roman" w:eastAsia="Segoe UI" w:hAnsi="Times New Roman" w:cs="Times New Roman"/>
          <w:color w:val="0F1115"/>
          <w:sz w:val="24"/>
          <w:shd w:val="clear" w:color="auto" w:fill="FFFFFF"/>
        </w:rPr>
        <w:t xml:space="preserve"> </w:t>
      </w:r>
    </w:p>
    <w:p w14:paraId="0D69F3EA" w14:textId="77777777" w:rsidR="00946D07" w:rsidRDefault="00946D07" w:rsidP="005C1004">
      <w:pPr>
        <w:snapToGrid w:val="0"/>
        <w:rPr>
          <w:rFonts w:ascii="Times New Roman" w:eastAsia="Segoe UI" w:hAnsi="Times New Roman" w:cs="Times New Roman"/>
          <w:color w:val="0F1115"/>
          <w:sz w:val="24"/>
          <w:shd w:val="clear" w:color="auto" w:fill="FFFFFF"/>
        </w:rPr>
      </w:pPr>
    </w:p>
    <w:p w14:paraId="34BF1BE5" w14:textId="77777777" w:rsidR="00946D07" w:rsidRDefault="00110F1E" w:rsidP="005C1004">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Table 2</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color w:val="0F1115"/>
          <w:sz w:val="24"/>
          <w:shd w:val="clear" w:color="auto" w:fill="FFFFFF"/>
        </w:rPr>
        <w:t xml:space="preserve"> Comparison of MMSE Scores Between the Two Groups (</w:t>
      </w:r>
      <w:r>
        <w:rPr>
          <w:rFonts w:ascii="Times New Roman" w:eastAsia="SimSun" w:hAnsi="Times New Roman" w:cs="Times New Roman"/>
          <w:color w:val="0000FF"/>
          <w:position w:val="-6"/>
          <w:sz w:val="24"/>
        </w:rPr>
        <w:object w:dxaOrig="220" w:dyaOrig="270" w14:anchorId="233429A9">
          <v:shape id="_x0000_i1031" type="#_x0000_t75" style="width:10.8pt;height:13.8pt" o:ole="">
            <v:imagedata r:id="rId4" o:title=""/>
          </v:shape>
          <o:OLEObject Type="Embed" ProgID="Equation.DSMT4" ShapeID="_x0000_i1031" DrawAspect="Content" ObjectID="_1845179870" r:id="rId11"/>
        </w:object>
      </w:r>
      <w:r>
        <w:rPr>
          <w:rFonts w:ascii="Times New Roman" w:hAnsi="Times New Roman"/>
          <w:sz w:val="24"/>
        </w:rPr>
        <w:t>± s</w:t>
      </w:r>
      <w:r>
        <w:rPr>
          <w:rFonts w:ascii="Times New Roman" w:eastAsia="Segoe UI" w:hAnsi="Times New Roman" w:cs="Times New Roman"/>
          <w:color w:val="0F1115"/>
          <w:sz w:val="24"/>
          <w:shd w:val="clear" w:color="auto" w:fill="FFFFFF"/>
        </w:rPr>
        <w:t>, points)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3055"/>
        <w:gridCol w:w="2429"/>
        <w:gridCol w:w="2575"/>
      </w:tblGrid>
      <w:tr w:rsidR="00946D07" w14:paraId="386BE350" w14:textId="77777777" w:rsidTr="005C1004">
        <w:trPr>
          <w:tblHeader/>
          <w:jc w:val="center"/>
        </w:trPr>
        <w:tc>
          <w:tcPr>
            <w:tcW w:w="819" w:type="pct"/>
            <w:tcBorders>
              <w:bottom w:val="single" w:sz="4" w:space="0" w:color="auto"/>
            </w:tcBorders>
          </w:tcPr>
          <w:p w14:paraId="229DE966" w14:textId="77777777" w:rsidR="00946D07" w:rsidRDefault="00110F1E" w:rsidP="00216F12">
            <w:pPr>
              <w:keepNext/>
              <w:snapToGrid w:val="0"/>
              <w:rPr>
                <w:rFonts w:ascii="Times New Roman" w:hAnsi="Times New Roman" w:cs="Times New Roman"/>
                <w:b/>
                <w:bCs/>
                <w:sz w:val="24"/>
              </w:rPr>
            </w:pPr>
            <w:r>
              <w:rPr>
                <w:rFonts w:ascii="Times New Roman" w:eastAsia="Segoe UI" w:hAnsi="Times New Roman" w:cs="Times New Roman"/>
                <w:b/>
                <w:bCs/>
                <w:color w:val="0F1115"/>
                <w:sz w:val="24"/>
                <w:shd w:val="clear" w:color="auto" w:fill="FFFFFF"/>
              </w:rPr>
              <w:t xml:space="preserve">Group </w:t>
            </w:r>
          </w:p>
        </w:tc>
        <w:tc>
          <w:tcPr>
            <w:tcW w:w="1585" w:type="pct"/>
            <w:tcBorders>
              <w:bottom w:val="single" w:sz="4" w:space="0" w:color="auto"/>
            </w:tcBorders>
          </w:tcPr>
          <w:p w14:paraId="1F0FB34A" w14:textId="07043FDF" w:rsidR="00946D07" w:rsidRDefault="00110F1E" w:rsidP="005C1004">
            <w:pPr>
              <w:keepNext/>
              <w:snapToGrid w:val="0"/>
              <w:jc w:val="center"/>
              <w:rPr>
                <w:rFonts w:ascii="Times New Roman" w:hAnsi="Times New Roman" w:cs="Times New Roman"/>
                <w:b/>
                <w:bCs/>
                <w:sz w:val="24"/>
              </w:rPr>
            </w:pPr>
            <w:r>
              <w:rPr>
                <w:rFonts w:ascii="Times New Roman" w:eastAsia="Segoe UI" w:hAnsi="Times New Roman" w:cs="Times New Roman"/>
                <w:b/>
                <w:bCs/>
                <w:color w:val="0F1115"/>
                <w:sz w:val="24"/>
                <w:shd w:val="clear" w:color="auto" w:fill="FFFFFF"/>
              </w:rPr>
              <w:t>Number of cases</w:t>
            </w:r>
          </w:p>
        </w:tc>
        <w:tc>
          <w:tcPr>
            <w:tcW w:w="1260" w:type="pct"/>
            <w:tcBorders>
              <w:bottom w:val="single" w:sz="4" w:space="0" w:color="auto"/>
            </w:tcBorders>
          </w:tcPr>
          <w:p w14:paraId="385DF16E" w14:textId="7915EB1D" w:rsidR="00946D07" w:rsidRDefault="00110F1E" w:rsidP="005C1004">
            <w:pPr>
              <w:keepNext/>
              <w:snapToGrid w:val="0"/>
              <w:jc w:val="center"/>
              <w:rPr>
                <w:rFonts w:ascii="Times New Roman" w:hAnsi="Times New Roman" w:cs="Times New Roman"/>
                <w:b/>
                <w:bCs/>
                <w:sz w:val="24"/>
              </w:rPr>
            </w:pPr>
            <w:r>
              <w:rPr>
                <w:rFonts w:ascii="Times New Roman" w:eastAsia="Segoe UI" w:hAnsi="Times New Roman" w:cs="Times New Roman"/>
                <w:b/>
                <w:bCs/>
                <w:color w:val="0F1115"/>
                <w:sz w:val="24"/>
                <w:shd w:val="clear" w:color="auto" w:fill="FFFFFF"/>
              </w:rPr>
              <w:t>Preoperative</w:t>
            </w:r>
          </w:p>
        </w:tc>
        <w:tc>
          <w:tcPr>
            <w:tcW w:w="1336" w:type="pct"/>
            <w:tcBorders>
              <w:bottom w:val="single" w:sz="4" w:space="0" w:color="auto"/>
            </w:tcBorders>
          </w:tcPr>
          <w:p w14:paraId="0703D0BF" w14:textId="58E9B1E4" w:rsidR="00946D07" w:rsidRDefault="00110F1E" w:rsidP="005C1004">
            <w:pPr>
              <w:keepNext/>
              <w:snapToGrid w:val="0"/>
              <w:jc w:val="center"/>
              <w:rPr>
                <w:rFonts w:ascii="Times New Roman" w:hAnsi="Times New Roman" w:cs="Times New Roman"/>
                <w:b/>
                <w:bCs/>
                <w:sz w:val="24"/>
              </w:rPr>
            </w:pPr>
            <w:r>
              <w:rPr>
                <w:rFonts w:ascii="Times New Roman" w:eastAsia="Segoe UI" w:hAnsi="Times New Roman" w:cs="Times New Roman"/>
                <w:b/>
                <w:bCs/>
                <w:color w:val="0F1115"/>
                <w:sz w:val="24"/>
                <w:shd w:val="clear" w:color="auto" w:fill="FFFFFF"/>
              </w:rPr>
              <w:t>Postoperative</w:t>
            </w:r>
          </w:p>
        </w:tc>
      </w:tr>
      <w:tr w:rsidR="00946D07" w14:paraId="557898C8" w14:textId="77777777" w:rsidTr="005C1004">
        <w:trPr>
          <w:tblHeader/>
          <w:jc w:val="center"/>
        </w:trPr>
        <w:tc>
          <w:tcPr>
            <w:tcW w:w="819" w:type="pct"/>
            <w:tcBorders>
              <w:top w:val="single" w:sz="4" w:space="0" w:color="auto"/>
            </w:tcBorders>
          </w:tcPr>
          <w:p w14:paraId="1DFC492F" w14:textId="77777777" w:rsidR="00946D07" w:rsidRDefault="00110F1E" w:rsidP="00216F12">
            <w:pPr>
              <w:keepNext/>
              <w:snapToGrid w:val="0"/>
              <w:rPr>
                <w:rFonts w:ascii="Times New Roman" w:hAnsi="Times New Roman" w:cs="Times New Roman"/>
                <w:sz w:val="24"/>
              </w:rPr>
            </w:pPr>
            <w:r>
              <w:rPr>
                <w:rFonts w:ascii="Times New Roman" w:eastAsia="Segoe UI" w:hAnsi="Times New Roman" w:cs="Times New Roman"/>
                <w:color w:val="0F1115"/>
                <w:sz w:val="24"/>
                <w:shd w:val="clear" w:color="auto" w:fill="FFFFFF"/>
              </w:rPr>
              <w:t xml:space="preserve">K group </w:t>
            </w:r>
          </w:p>
        </w:tc>
        <w:tc>
          <w:tcPr>
            <w:tcW w:w="1585" w:type="pct"/>
            <w:tcBorders>
              <w:top w:val="single" w:sz="4" w:space="0" w:color="auto"/>
            </w:tcBorders>
          </w:tcPr>
          <w:p w14:paraId="729050BC" w14:textId="5F8DF5AA"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11</w:t>
            </w:r>
          </w:p>
        </w:tc>
        <w:tc>
          <w:tcPr>
            <w:tcW w:w="1260" w:type="pct"/>
            <w:tcBorders>
              <w:top w:val="single" w:sz="4" w:space="0" w:color="auto"/>
            </w:tcBorders>
          </w:tcPr>
          <w:p w14:paraId="25763323" w14:textId="6EABA5AD"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28.50</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1.24</w:t>
            </w:r>
          </w:p>
        </w:tc>
        <w:tc>
          <w:tcPr>
            <w:tcW w:w="1336" w:type="pct"/>
            <w:tcBorders>
              <w:top w:val="single" w:sz="4" w:space="0" w:color="auto"/>
            </w:tcBorders>
          </w:tcPr>
          <w:p w14:paraId="42947C7D" w14:textId="49FFC639"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27.99</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1.02</w:t>
            </w:r>
          </w:p>
        </w:tc>
      </w:tr>
      <w:tr w:rsidR="00946D07" w14:paraId="78D0B4D3" w14:textId="77777777" w:rsidTr="005C1004">
        <w:trPr>
          <w:tblHeader/>
          <w:jc w:val="center"/>
        </w:trPr>
        <w:tc>
          <w:tcPr>
            <w:tcW w:w="819" w:type="pct"/>
          </w:tcPr>
          <w:p w14:paraId="0E8A148A" w14:textId="77777777" w:rsidR="00946D07" w:rsidRDefault="00110F1E" w:rsidP="00216F12">
            <w:pPr>
              <w:keepNext/>
              <w:snapToGrid w:val="0"/>
              <w:rPr>
                <w:rFonts w:ascii="Times New Roman" w:hAnsi="Times New Roman" w:cs="Times New Roman"/>
                <w:sz w:val="24"/>
              </w:rPr>
            </w:pPr>
            <w:r>
              <w:rPr>
                <w:rFonts w:ascii="Times New Roman" w:eastAsia="Segoe UI" w:hAnsi="Times New Roman" w:cs="Times New Roman"/>
                <w:color w:val="0F1115"/>
                <w:sz w:val="24"/>
                <w:shd w:val="clear" w:color="auto" w:fill="FFFFFF"/>
              </w:rPr>
              <w:t xml:space="preserve">C group </w:t>
            </w:r>
          </w:p>
        </w:tc>
        <w:tc>
          <w:tcPr>
            <w:tcW w:w="1585" w:type="pct"/>
          </w:tcPr>
          <w:p w14:paraId="6242AA7A" w14:textId="049DA311"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11</w:t>
            </w:r>
          </w:p>
        </w:tc>
        <w:tc>
          <w:tcPr>
            <w:tcW w:w="1260" w:type="pct"/>
          </w:tcPr>
          <w:p w14:paraId="3292FAF0" w14:textId="74645398"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28.35</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1.13</w:t>
            </w:r>
          </w:p>
        </w:tc>
        <w:tc>
          <w:tcPr>
            <w:tcW w:w="1336" w:type="pct"/>
          </w:tcPr>
          <w:p w14:paraId="4BB1A340" w14:textId="47E7D4B8"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26.58</w:t>
            </w:r>
            <w:r w:rsidR="00216F12">
              <w:rPr>
                <w:rFonts w:ascii="Times New Roman" w:eastAsia="Segoe UI" w:hAnsi="Times New Roman" w:cs="Times New Roman"/>
                <w:color w:val="0F1115"/>
                <w:sz w:val="24"/>
                <w:shd w:val="clear" w:color="auto" w:fill="FFFFFF"/>
              </w:rPr>
              <w:t xml:space="preserve"> ± </w:t>
            </w:r>
            <w:r>
              <w:rPr>
                <w:rFonts w:ascii="Times New Roman" w:eastAsia="Segoe UI" w:hAnsi="Times New Roman" w:cs="Times New Roman"/>
                <w:color w:val="0F1115"/>
                <w:sz w:val="24"/>
                <w:shd w:val="clear" w:color="auto" w:fill="FFFFFF"/>
              </w:rPr>
              <w:t>1.35</w:t>
            </w:r>
          </w:p>
        </w:tc>
      </w:tr>
      <w:tr w:rsidR="00946D07" w14:paraId="0AC94E49" w14:textId="77777777" w:rsidTr="005C1004">
        <w:trPr>
          <w:tblHeader/>
          <w:jc w:val="center"/>
        </w:trPr>
        <w:tc>
          <w:tcPr>
            <w:tcW w:w="819" w:type="pct"/>
          </w:tcPr>
          <w:p w14:paraId="79B5F60A" w14:textId="77777777" w:rsidR="00946D07" w:rsidRDefault="00110F1E" w:rsidP="00216F12">
            <w:pPr>
              <w:keepNext/>
              <w:snapToGrid w:val="0"/>
              <w:rPr>
                <w:rFonts w:ascii="Times New Roman" w:hAnsi="Times New Roman" w:cs="Times New Roman"/>
                <w:i/>
                <w:iCs/>
                <w:sz w:val="24"/>
              </w:rPr>
            </w:pPr>
            <w:r>
              <w:rPr>
                <w:rFonts w:ascii="Times New Roman" w:eastAsia="Segoe UI" w:hAnsi="Times New Roman" w:cs="Times New Roman"/>
                <w:i/>
                <w:iCs/>
                <w:color w:val="0F1115"/>
                <w:sz w:val="24"/>
                <w:shd w:val="clear" w:color="auto" w:fill="FFFFFF"/>
              </w:rPr>
              <w:t xml:space="preserve">t </w:t>
            </w:r>
          </w:p>
        </w:tc>
        <w:tc>
          <w:tcPr>
            <w:tcW w:w="1585" w:type="pct"/>
          </w:tcPr>
          <w:p w14:paraId="54ACD358" w14:textId="599E24F5"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w:t>
            </w:r>
          </w:p>
        </w:tc>
        <w:tc>
          <w:tcPr>
            <w:tcW w:w="1260" w:type="pct"/>
          </w:tcPr>
          <w:p w14:paraId="0534BE99" w14:textId="510D9273"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0.296</w:t>
            </w:r>
          </w:p>
        </w:tc>
        <w:tc>
          <w:tcPr>
            <w:tcW w:w="1336" w:type="pct"/>
          </w:tcPr>
          <w:p w14:paraId="5380AF13" w14:textId="10B82517"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2.763</w:t>
            </w:r>
          </w:p>
        </w:tc>
      </w:tr>
      <w:tr w:rsidR="00946D07" w14:paraId="0B96D93E" w14:textId="77777777" w:rsidTr="005C1004">
        <w:trPr>
          <w:tblHeader/>
          <w:jc w:val="center"/>
        </w:trPr>
        <w:tc>
          <w:tcPr>
            <w:tcW w:w="819" w:type="pct"/>
          </w:tcPr>
          <w:p w14:paraId="67CD0CF3" w14:textId="77777777" w:rsidR="00946D07" w:rsidRDefault="00110F1E" w:rsidP="00216F12">
            <w:pPr>
              <w:keepNext/>
              <w:snapToGrid w:val="0"/>
              <w:rPr>
                <w:rFonts w:ascii="Times New Roman" w:hAnsi="Times New Roman" w:cs="Times New Roman"/>
                <w:i/>
                <w:iCs/>
                <w:sz w:val="24"/>
              </w:rPr>
            </w:pPr>
            <w:r>
              <w:rPr>
                <w:rFonts w:ascii="Times New Roman" w:eastAsia="Segoe UI" w:hAnsi="Times New Roman" w:cs="Times New Roman"/>
                <w:i/>
                <w:iCs/>
                <w:color w:val="0F1115"/>
                <w:sz w:val="24"/>
                <w:shd w:val="clear" w:color="auto" w:fill="FFFFFF"/>
              </w:rPr>
              <w:t xml:space="preserve">P </w:t>
            </w:r>
          </w:p>
        </w:tc>
        <w:tc>
          <w:tcPr>
            <w:tcW w:w="1585" w:type="pct"/>
          </w:tcPr>
          <w:p w14:paraId="4076BC97" w14:textId="04B337F3"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w:t>
            </w:r>
          </w:p>
        </w:tc>
        <w:tc>
          <w:tcPr>
            <w:tcW w:w="1260" w:type="pct"/>
          </w:tcPr>
          <w:p w14:paraId="262DBF6E" w14:textId="51FC1AA0"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0.770</w:t>
            </w:r>
          </w:p>
        </w:tc>
        <w:tc>
          <w:tcPr>
            <w:tcW w:w="1336" w:type="pct"/>
          </w:tcPr>
          <w:p w14:paraId="441598E1" w14:textId="4F965673" w:rsidR="00946D07" w:rsidRDefault="00110F1E" w:rsidP="005C1004">
            <w:pPr>
              <w:keepNext/>
              <w:snapToGrid w:val="0"/>
              <w:jc w:val="center"/>
              <w:rPr>
                <w:rFonts w:ascii="Times New Roman" w:hAnsi="Times New Roman" w:cs="Times New Roman"/>
                <w:sz w:val="24"/>
              </w:rPr>
            </w:pPr>
            <w:r>
              <w:rPr>
                <w:rFonts w:ascii="Times New Roman" w:eastAsia="Segoe UI" w:hAnsi="Times New Roman" w:cs="Times New Roman"/>
                <w:color w:val="0F1115"/>
                <w:sz w:val="24"/>
                <w:shd w:val="clear" w:color="auto" w:fill="FFFFFF"/>
              </w:rPr>
              <w:t>0.012</w:t>
            </w:r>
          </w:p>
        </w:tc>
      </w:tr>
    </w:tbl>
    <w:p w14:paraId="3518C969" w14:textId="77777777" w:rsidR="00946D07" w:rsidRDefault="00946D07" w:rsidP="005C1004">
      <w:pPr>
        <w:snapToGrid w:val="0"/>
        <w:rPr>
          <w:rFonts w:ascii="Times New Roman" w:eastAsia="Segoe UI" w:hAnsi="Times New Roman" w:cs="Times New Roman"/>
          <w:color w:val="0F1115"/>
          <w:sz w:val="24"/>
          <w:shd w:val="clear" w:color="auto" w:fill="FFFFFF"/>
        </w:rPr>
      </w:pPr>
    </w:p>
    <w:p w14:paraId="12F3893B" w14:textId="77777777" w:rsidR="00946D07" w:rsidRDefault="00110F1E" w:rsidP="005C1004">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3</w:t>
      </w:r>
      <w:r>
        <w:rPr>
          <w:rFonts w:ascii="Times New Roman" w:eastAsia="Segoe UI" w:hAnsi="Times New Roman" w:cs="Times New Roman"/>
          <w:b/>
          <w:bCs/>
          <w:color w:val="0F1115"/>
          <w:sz w:val="24"/>
          <w:shd w:val="clear" w:color="auto" w:fill="FFFFFF"/>
        </w:rPr>
        <w:t>.3</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Incidence of Adverse Reactions </w:t>
      </w:r>
    </w:p>
    <w:p w14:paraId="23E445DF" w14:textId="44309B2C" w:rsidR="00946D07" w:rsidRDefault="00110F1E" w:rsidP="005C1004">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The incidence rates in the two groups were 9.09% and 54.55%, respectively, with Group K showing a lower rate (</w:t>
      </w:r>
      <w:r w:rsidR="00216F12">
        <w:rPr>
          <w:rFonts w:ascii="Times New Roman" w:eastAsia="Segoe UI" w:hAnsi="Times New Roman" w:cs="Times New Roman"/>
          <w:i/>
          <w:iCs/>
          <w:color w:val="0F1115"/>
          <w:sz w:val="24"/>
          <w:shd w:val="clear" w:color="auto" w:fill="FFFFFF"/>
        </w:rPr>
        <w:t>p</w:t>
      </w:r>
      <w:r w:rsidR="00216F12">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&lt; 0.05), as shown in </w:t>
      </w:r>
      <w:r>
        <w:rPr>
          <w:rFonts w:ascii="Times New Roman" w:eastAsia="Segoe UI" w:hAnsi="Times New Roman" w:cs="Times New Roman"/>
          <w:b/>
          <w:bCs/>
          <w:color w:val="0F1115"/>
          <w:sz w:val="24"/>
          <w:shd w:val="clear" w:color="auto" w:fill="FFFFFF"/>
        </w:rPr>
        <w:t>Table 3</w:t>
      </w:r>
      <w:r>
        <w:rPr>
          <w:rFonts w:ascii="Times New Roman" w:eastAsia="SimSun" w:hAnsi="Times New Roman" w:cs="Times New Roman" w:hint="eastAsia"/>
          <w:color w:val="0F1115"/>
          <w:sz w:val="24"/>
          <w:shd w:val="clear" w:color="auto" w:fill="FFFFFF"/>
        </w:rPr>
        <w:t>.</w:t>
      </w:r>
      <w:r>
        <w:rPr>
          <w:rFonts w:ascii="Times New Roman" w:eastAsia="Segoe UI" w:hAnsi="Times New Roman" w:cs="Times New Roman"/>
          <w:color w:val="0F1115"/>
          <w:sz w:val="24"/>
          <w:shd w:val="clear" w:color="auto" w:fill="FFFFFF"/>
        </w:rPr>
        <w:t xml:space="preserve"> </w:t>
      </w:r>
    </w:p>
    <w:p w14:paraId="075940A6" w14:textId="77777777" w:rsidR="00946D07" w:rsidRDefault="00946D07" w:rsidP="005C1004">
      <w:pPr>
        <w:snapToGrid w:val="0"/>
        <w:rPr>
          <w:rFonts w:ascii="Times New Roman" w:eastAsia="Segoe UI" w:hAnsi="Times New Roman" w:cs="Times New Roman"/>
          <w:color w:val="0F1115"/>
          <w:sz w:val="24"/>
          <w:shd w:val="clear" w:color="auto" w:fill="FFFFFF"/>
        </w:rPr>
      </w:pPr>
    </w:p>
    <w:p w14:paraId="0611E278" w14:textId="77777777" w:rsidR="00946D07" w:rsidRDefault="00110F1E" w:rsidP="00216F12">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Table 3</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color w:val="0F1115"/>
          <w:sz w:val="24"/>
          <w:shd w:val="clear" w:color="auto" w:fill="FFFFFF"/>
        </w:rPr>
        <w:t xml:space="preserve"> Comparison of </w:t>
      </w:r>
      <w:r>
        <w:rPr>
          <w:rFonts w:ascii="Times New Roman" w:eastAsia="SimSun" w:hAnsi="Times New Roman" w:cs="Times New Roman" w:hint="eastAsia"/>
          <w:color w:val="0F1115"/>
          <w:sz w:val="24"/>
          <w:shd w:val="clear" w:color="auto" w:fill="FFFFFF"/>
        </w:rPr>
        <w:t>a</w:t>
      </w:r>
      <w:r>
        <w:rPr>
          <w:rFonts w:ascii="Times New Roman" w:eastAsia="Segoe UI" w:hAnsi="Times New Roman" w:cs="Times New Roman"/>
          <w:color w:val="0F1115"/>
          <w:sz w:val="24"/>
          <w:shd w:val="clear" w:color="auto" w:fill="FFFFFF"/>
        </w:rPr>
        <w:t xml:space="preserve">dverse </w:t>
      </w:r>
      <w:r>
        <w:rPr>
          <w:rFonts w:ascii="Times New Roman" w:eastAsia="SimSun" w:hAnsi="Times New Roman" w:cs="Times New Roman" w:hint="eastAsia"/>
          <w:color w:val="0F1115"/>
          <w:sz w:val="24"/>
          <w:shd w:val="clear" w:color="auto" w:fill="FFFFFF"/>
        </w:rPr>
        <w:t>r</w:t>
      </w:r>
      <w:r>
        <w:rPr>
          <w:rFonts w:ascii="Times New Roman" w:eastAsia="Segoe UI" w:hAnsi="Times New Roman" w:cs="Times New Roman"/>
          <w:color w:val="0F1115"/>
          <w:sz w:val="24"/>
          <w:shd w:val="clear" w:color="auto" w:fill="FFFFFF"/>
        </w:rPr>
        <w:t xml:space="preserve">eactions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etween the </w:t>
      </w:r>
      <w:r>
        <w:rPr>
          <w:rFonts w:ascii="Times New Roman" w:eastAsia="SimSun" w:hAnsi="Times New Roman" w:cs="Times New Roman" w:hint="eastAsia"/>
          <w:color w:val="0F1115"/>
          <w:sz w:val="24"/>
          <w:shd w:val="clear" w:color="auto" w:fill="FFFFFF"/>
        </w:rPr>
        <w:t>t</w:t>
      </w:r>
      <w:r>
        <w:rPr>
          <w:rFonts w:ascii="Times New Roman" w:eastAsia="Segoe UI" w:hAnsi="Times New Roman" w:cs="Times New Roman"/>
          <w:color w:val="0F1115"/>
          <w:sz w:val="24"/>
          <w:shd w:val="clear" w:color="auto" w:fill="FFFFFF"/>
        </w:rPr>
        <w:t xml:space="preserve">wo </w:t>
      </w:r>
      <w:r>
        <w:rPr>
          <w:rFonts w:ascii="Times New Roman" w:eastAsia="SimSun" w:hAnsi="Times New Roman" w:cs="Times New Roman" w:hint="eastAsia"/>
          <w:color w:val="0F1115"/>
          <w:sz w:val="24"/>
          <w:shd w:val="clear" w:color="auto" w:fill="FFFFFF"/>
        </w:rPr>
        <w:t>g</w:t>
      </w:r>
      <w:r>
        <w:rPr>
          <w:rFonts w:ascii="Times New Roman" w:eastAsia="Segoe UI" w:hAnsi="Times New Roman" w:cs="Times New Roman"/>
          <w:color w:val="0F1115"/>
          <w:sz w:val="24"/>
          <w:shd w:val="clear" w:color="auto" w:fill="FFFFFF"/>
        </w:rPr>
        <w:t>roups (n,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705"/>
        <w:gridCol w:w="961"/>
        <w:gridCol w:w="1014"/>
        <w:gridCol w:w="961"/>
        <w:gridCol w:w="948"/>
        <w:gridCol w:w="961"/>
        <w:gridCol w:w="792"/>
        <w:gridCol w:w="1092"/>
        <w:gridCol w:w="830"/>
        <w:gridCol w:w="769"/>
      </w:tblGrid>
      <w:tr w:rsidR="00216F12" w14:paraId="3367232C" w14:textId="77777777" w:rsidTr="005C1004">
        <w:tc>
          <w:tcPr>
            <w:tcW w:w="617" w:type="dxa"/>
            <w:tcBorders>
              <w:top w:val="single" w:sz="4" w:space="0" w:color="auto"/>
              <w:bottom w:val="single" w:sz="4" w:space="0" w:color="auto"/>
            </w:tcBorders>
            <w:vAlign w:val="center"/>
          </w:tcPr>
          <w:p w14:paraId="04AF3F4B" w14:textId="62B19508" w:rsidR="00216F12" w:rsidRDefault="00216F12" w:rsidP="00216F12">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Group</w:t>
            </w:r>
          </w:p>
        </w:tc>
        <w:tc>
          <w:tcPr>
            <w:tcW w:w="719" w:type="dxa"/>
            <w:tcBorders>
              <w:top w:val="single" w:sz="4" w:space="0" w:color="auto"/>
              <w:bottom w:val="single" w:sz="4" w:space="0" w:color="auto"/>
            </w:tcBorders>
            <w:vAlign w:val="center"/>
          </w:tcPr>
          <w:p w14:paraId="521BE57B" w14:textId="51AF4246"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Number of cases</w:t>
            </w:r>
          </w:p>
        </w:tc>
        <w:tc>
          <w:tcPr>
            <w:tcW w:w="983" w:type="dxa"/>
            <w:tcBorders>
              <w:top w:val="single" w:sz="4" w:space="0" w:color="auto"/>
              <w:bottom w:val="single" w:sz="4" w:space="0" w:color="auto"/>
            </w:tcBorders>
            <w:vAlign w:val="center"/>
          </w:tcPr>
          <w:p w14:paraId="133F733B" w14:textId="4B8E669F"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Hypotension</w:t>
            </w:r>
          </w:p>
        </w:tc>
        <w:tc>
          <w:tcPr>
            <w:tcW w:w="1038" w:type="dxa"/>
            <w:tcBorders>
              <w:top w:val="single" w:sz="4" w:space="0" w:color="auto"/>
              <w:bottom w:val="single" w:sz="4" w:space="0" w:color="auto"/>
            </w:tcBorders>
            <w:vAlign w:val="center"/>
          </w:tcPr>
          <w:p w14:paraId="04346638" w14:textId="3103D0E2"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Hypertension</w:t>
            </w:r>
          </w:p>
        </w:tc>
        <w:tc>
          <w:tcPr>
            <w:tcW w:w="983" w:type="dxa"/>
            <w:tcBorders>
              <w:top w:val="single" w:sz="4" w:space="0" w:color="auto"/>
              <w:bottom w:val="single" w:sz="4" w:space="0" w:color="auto"/>
            </w:tcBorders>
            <w:vAlign w:val="center"/>
          </w:tcPr>
          <w:p w14:paraId="69422644" w14:textId="7A712FE3"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Bradycardia</w:t>
            </w:r>
          </w:p>
        </w:tc>
        <w:tc>
          <w:tcPr>
            <w:tcW w:w="970" w:type="dxa"/>
            <w:tcBorders>
              <w:top w:val="single" w:sz="4" w:space="0" w:color="auto"/>
              <w:bottom w:val="single" w:sz="4" w:space="0" w:color="auto"/>
            </w:tcBorders>
            <w:vAlign w:val="center"/>
          </w:tcPr>
          <w:p w14:paraId="29C2FA30" w14:textId="634703BC"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Tachycardia</w:t>
            </w:r>
          </w:p>
        </w:tc>
        <w:tc>
          <w:tcPr>
            <w:tcW w:w="983" w:type="dxa"/>
            <w:tcBorders>
              <w:top w:val="single" w:sz="4" w:space="0" w:color="auto"/>
              <w:bottom w:val="single" w:sz="4" w:space="0" w:color="auto"/>
            </w:tcBorders>
            <w:vAlign w:val="center"/>
          </w:tcPr>
          <w:p w14:paraId="3804C41A" w14:textId="36672F45"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Oxygen desaturation</w:t>
            </w:r>
          </w:p>
        </w:tc>
        <w:tc>
          <w:tcPr>
            <w:tcW w:w="809" w:type="dxa"/>
            <w:tcBorders>
              <w:top w:val="single" w:sz="4" w:space="0" w:color="auto"/>
              <w:bottom w:val="single" w:sz="4" w:space="0" w:color="auto"/>
            </w:tcBorders>
            <w:vAlign w:val="center"/>
          </w:tcPr>
          <w:p w14:paraId="29E3E9EC" w14:textId="2F8D3A17"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Coughing</w:t>
            </w:r>
          </w:p>
        </w:tc>
        <w:tc>
          <w:tcPr>
            <w:tcW w:w="1118" w:type="dxa"/>
            <w:tcBorders>
              <w:top w:val="single" w:sz="4" w:space="0" w:color="auto"/>
              <w:bottom w:val="single" w:sz="4" w:space="0" w:color="auto"/>
            </w:tcBorders>
            <w:vAlign w:val="center"/>
          </w:tcPr>
          <w:p w14:paraId="2791B95C" w14:textId="57FA5DE5"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Laryngospasm</w:t>
            </w:r>
          </w:p>
        </w:tc>
        <w:tc>
          <w:tcPr>
            <w:tcW w:w="849" w:type="dxa"/>
            <w:tcBorders>
              <w:top w:val="single" w:sz="4" w:space="0" w:color="auto"/>
              <w:bottom w:val="single" w:sz="4" w:space="0" w:color="auto"/>
            </w:tcBorders>
            <w:vAlign w:val="center"/>
          </w:tcPr>
          <w:p w14:paraId="1C80C1DC" w14:textId="3AF0F65B"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Body movement</w:t>
            </w:r>
          </w:p>
        </w:tc>
        <w:tc>
          <w:tcPr>
            <w:tcW w:w="785" w:type="dxa"/>
            <w:tcBorders>
              <w:top w:val="single" w:sz="4" w:space="0" w:color="auto"/>
              <w:bottom w:val="single" w:sz="4" w:space="0" w:color="auto"/>
            </w:tcBorders>
            <w:vAlign w:val="center"/>
          </w:tcPr>
          <w:p w14:paraId="1299DAAF" w14:textId="4927C492"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Total incidence rate (%)</w:t>
            </w:r>
          </w:p>
        </w:tc>
      </w:tr>
      <w:tr w:rsidR="00216F12" w14:paraId="32B4798E" w14:textId="77777777" w:rsidTr="005C1004">
        <w:tc>
          <w:tcPr>
            <w:tcW w:w="617" w:type="dxa"/>
            <w:tcBorders>
              <w:top w:val="single" w:sz="4" w:space="0" w:color="auto"/>
            </w:tcBorders>
            <w:vAlign w:val="center"/>
          </w:tcPr>
          <w:p w14:paraId="16BD2049" w14:textId="15ACE1C5" w:rsidR="00216F12" w:rsidRDefault="00216F12" w:rsidP="00216F12">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K group</w:t>
            </w:r>
          </w:p>
        </w:tc>
        <w:tc>
          <w:tcPr>
            <w:tcW w:w="719" w:type="dxa"/>
            <w:tcBorders>
              <w:top w:val="single" w:sz="4" w:space="0" w:color="auto"/>
            </w:tcBorders>
            <w:vAlign w:val="center"/>
          </w:tcPr>
          <w:p w14:paraId="708C4711" w14:textId="245DF60B"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11</w:t>
            </w:r>
          </w:p>
        </w:tc>
        <w:tc>
          <w:tcPr>
            <w:tcW w:w="983" w:type="dxa"/>
            <w:tcBorders>
              <w:top w:val="single" w:sz="4" w:space="0" w:color="auto"/>
            </w:tcBorders>
            <w:vAlign w:val="center"/>
          </w:tcPr>
          <w:p w14:paraId="508F3A01" w14:textId="43B4D5AB"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1</w:t>
            </w:r>
          </w:p>
        </w:tc>
        <w:tc>
          <w:tcPr>
            <w:tcW w:w="1038" w:type="dxa"/>
            <w:tcBorders>
              <w:top w:val="single" w:sz="4" w:space="0" w:color="auto"/>
            </w:tcBorders>
            <w:vAlign w:val="center"/>
          </w:tcPr>
          <w:p w14:paraId="21B128AF" w14:textId="0B75DA84"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0</w:t>
            </w:r>
          </w:p>
        </w:tc>
        <w:tc>
          <w:tcPr>
            <w:tcW w:w="983" w:type="dxa"/>
            <w:tcBorders>
              <w:top w:val="single" w:sz="4" w:space="0" w:color="auto"/>
            </w:tcBorders>
            <w:vAlign w:val="center"/>
          </w:tcPr>
          <w:p w14:paraId="24727FC4" w14:textId="434CA1D1"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0</w:t>
            </w:r>
          </w:p>
        </w:tc>
        <w:tc>
          <w:tcPr>
            <w:tcW w:w="970" w:type="dxa"/>
            <w:tcBorders>
              <w:top w:val="single" w:sz="4" w:space="0" w:color="auto"/>
            </w:tcBorders>
            <w:vAlign w:val="center"/>
          </w:tcPr>
          <w:p w14:paraId="579C52E6" w14:textId="6DE89AAD"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0</w:t>
            </w:r>
          </w:p>
        </w:tc>
        <w:tc>
          <w:tcPr>
            <w:tcW w:w="983" w:type="dxa"/>
            <w:tcBorders>
              <w:top w:val="single" w:sz="4" w:space="0" w:color="auto"/>
            </w:tcBorders>
            <w:vAlign w:val="center"/>
          </w:tcPr>
          <w:p w14:paraId="23253373" w14:textId="0F82D131"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0</w:t>
            </w:r>
          </w:p>
        </w:tc>
        <w:tc>
          <w:tcPr>
            <w:tcW w:w="809" w:type="dxa"/>
            <w:tcBorders>
              <w:top w:val="single" w:sz="4" w:space="0" w:color="auto"/>
            </w:tcBorders>
            <w:vAlign w:val="center"/>
          </w:tcPr>
          <w:p w14:paraId="653379D9" w14:textId="289FFF79"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0</w:t>
            </w:r>
          </w:p>
        </w:tc>
        <w:tc>
          <w:tcPr>
            <w:tcW w:w="1118" w:type="dxa"/>
            <w:tcBorders>
              <w:top w:val="single" w:sz="4" w:space="0" w:color="auto"/>
            </w:tcBorders>
            <w:vAlign w:val="center"/>
          </w:tcPr>
          <w:p w14:paraId="02D66715" w14:textId="1D18810D"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0</w:t>
            </w:r>
          </w:p>
        </w:tc>
        <w:tc>
          <w:tcPr>
            <w:tcW w:w="849" w:type="dxa"/>
            <w:tcBorders>
              <w:top w:val="single" w:sz="4" w:space="0" w:color="auto"/>
            </w:tcBorders>
            <w:vAlign w:val="center"/>
          </w:tcPr>
          <w:p w14:paraId="763D3DA8" w14:textId="501B9D1F"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0</w:t>
            </w:r>
          </w:p>
        </w:tc>
        <w:tc>
          <w:tcPr>
            <w:tcW w:w="785" w:type="dxa"/>
            <w:tcBorders>
              <w:top w:val="single" w:sz="4" w:space="0" w:color="auto"/>
            </w:tcBorders>
            <w:vAlign w:val="center"/>
          </w:tcPr>
          <w:p w14:paraId="26735C9B" w14:textId="4E67A074"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9.09</w:t>
            </w:r>
          </w:p>
        </w:tc>
      </w:tr>
      <w:tr w:rsidR="00216F12" w14:paraId="02690311" w14:textId="77777777" w:rsidTr="005C1004">
        <w:tc>
          <w:tcPr>
            <w:tcW w:w="617" w:type="dxa"/>
            <w:vAlign w:val="center"/>
          </w:tcPr>
          <w:p w14:paraId="50A80EDB" w14:textId="78835515" w:rsidR="00216F12" w:rsidRDefault="00216F12" w:rsidP="00216F12">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C group</w:t>
            </w:r>
          </w:p>
        </w:tc>
        <w:tc>
          <w:tcPr>
            <w:tcW w:w="719" w:type="dxa"/>
            <w:vAlign w:val="center"/>
          </w:tcPr>
          <w:p w14:paraId="5A4ED255" w14:textId="616409C0"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11</w:t>
            </w:r>
          </w:p>
        </w:tc>
        <w:tc>
          <w:tcPr>
            <w:tcW w:w="983" w:type="dxa"/>
            <w:vAlign w:val="center"/>
          </w:tcPr>
          <w:p w14:paraId="1CE7DA80" w14:textId="55D70628"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1</w:t>
            </w:r>
          </w:p>
        </w:tc>
        <w:tc>
          <w:tcPr>
            <w:tcW w:w="1038" w:type="dxa"/>
            <w:vAlign w:val="center"/>
          </w:tcPr>
          <w:p w14:paraId="05B62F41" w14:textId="35140C97"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1</w:t>
            </w:r>
          </w:p>
        </w:tc>
        <w:tc>
          <w:tcPr>
            <w:tcW w:w="983" w:type="dxa"/>
            <w:vAlign w:val="center"/>
          </w:tcPr>
          <w:p w14:paraId="393F806B" w14:textId="5D33D173"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0</w:t>
            </w:r>
          </w:p>
        </w:tc>
        <w:tc>
          <w:tcPr>
            <w:tcW w:w="970" w:type="dxa"/>
            <w:vAlign w:val="center"/>
          </w:tcPr>
          <w:p w14:paraId="542E5E5D" w14:textId="27F70564"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1</w:t>
            </w:r>
          </w:p>
        </w:tc>
        <w:tc>
          <w:tcPr>
            <w:tcW w:w="983" w:type="dxa"/>
            <w:vAlign w:val="center"/>
          </w:tcPr>
          <w:p w14:paraId="11E6F94B" w14:textId="4A969449"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1</w:t>
            </w:r>
          </w:p>
        </w:tc>
        <w:tc>
          <w:tcPr>
            <w:tcW w:w="809" w:type="dxa"/>
            <w:vAlign w:val="center"/>
          </w:tcPr>
          <w:p w14:paraId="64F66E1D" w14:textId="0DC38EE3"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1</w:t>
            </w:r>
          </w:p>
        </w:tc>
        <w:tc>
          <w:tcPr>
            <w:tcW w:w="1118" w:type="dxa"/>
            <w:vAlign w:val="center"/>
          </w:tcPr>
          <w:p w14:paraId="5CEB2D65" w14:textId="224D5031"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0</w:t>
            </w:r>
          </w:p>
        </w:tc>
        <w:tc>
          <w:tcPr>
            <w:tcW w:w="849" w:type="dxa"/>
            <w:vAlign w:val="center"/>
          </w:tcPr>
          <w:p w14:paraId="453953E2" w14:textId="0B0A2459"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1</w:t>
            </w:r>
          </w:p>
        </w:tc>
        <w:tc>
          <w:tcPr>
            <w:tcW w:w="785" w:type="dxa"/>
            <w:vAlign w:val="center"/>
          </w:tcPr>
          <w:p w14:paraId="4353D6EC" w14:textId="1F2114D2"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54.55</w:t>
            </w:r>
          </w:p>
        </w:tc>
      </w:tr>
      <w:tr w:rsidR="00216F12" w14:paraId="42267CB5" w14:textId="77777777" w:rsidTr="005C1004">
        <w:tc>
          <w:tcPr>
            <w:tcW w:w="617" w:type="dxa"/>
            <w:vAlign w:val="center"/>
          </w:tcPr>
          <w:p w14:paraId="11A742CC" w14:textId="2FCB14F2" w:rsidR="00216F12" w:rsidRPr="005C1004" w:rsidRDefault="00216F12" w:rsidP="00216F12">
            <w:pPr>
              <w:snapToGrid w:val="0"/>
              <w:rPr>
                <w:rFonts w:ascii="Times New Roman" w:eastAsia="Segoe UI" w:hAnsi="Times New Roman" w:cs="Times New Roman"/>
                <w:color w:val="0F1115"/>
                <w:sz w:val="24"/>
                <w:shd w:val="clear" w:color="auto" w:fill="FFFFFF"/>
                <w:vertAlign w:val="superscript"/>
              </w:rPr>
            </w:pPr>
            <w:r>
              <w:rPr>
                <w:rFonts w:ascii="Times New Roman" w:eastAsia="Segoe UI" w:hAnsi="Times New Roman" w:cs="Times New Roman"/>
                <w:color w:val="0F1115"/>
                <w:sz w:val="24"/>
                <w:shd w:val="clear" w:color="auto" w:fill="FFFFFF"/>
              </w:rPr>
              <w:t>χ</w:t>
            </w:r>
            <w:r>
              <w:rPr>
                <w:rFonts w:ascii="Times New Roman" w:eastAsia="Segoe UI" w:hAnsi="Times New Roman" w:cs="Times New Roman"/>
                <w:color w:val="0F1115"/>
                <w:sz w:val="24"/>
                <w:shd w:val="clear" w:color="auto" w:fill="FFFFFF"/>
                <w:vertAlign w:val="superscript"/>
              </w:rPr>
              <w:t>2</w:t>
            </w:r>
          </w:p>
        </w:tc>
        <w:tc>
          <w:tcPr>
            <w:tcW w:w="719" w:type="dxa"/>
            <w:vAlign w:val="center"/>
          </w:tcPr>
          <w:p w14:paraId="58BA589D" w14:textId="51462485"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983" w:type="dxa"/>
            <w:vAlign w:val="center"/>
          </w:tcPr>
          <w:p w14:paraId="7FE65AF8" w14:textId="0AF3F051"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1038" w:type="dxa"/>
            <w:vAlign w:val="center"/>
          </w:tcPr>
          <w:p w14:paraId="433CD76D" w14:textId="4B56F96A"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983" w:type="dxa"/>
            <w:vAlign w:val="center"/>
          </w:tcPr>
          <w:p w14:paraId="102149D7" w14:textId="62AB34DE"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970" w:type="dxa"/>
            <w:vAlign w:val="center"/>
          </w:tcPr>
          <w:p w14:paraId="681A7D64" w14:textId="5D180EED"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983" w:type="dxa"/>
            <w:vAlign w:val="center"/>
          </w:tcPr>
          <w:p w14:paraId="5B495FAF" w14:textId="7F01719C"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809" w:type="dxa"/>
            <w:vAlign w:val="center"/>
          </w:tcPr>
          <w:p w14:paraId="28E8AE2B" w14:textId="757073DE"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1118" w:type="dxa"/>
            <w:vAlign w:val="center"/>
          </w:tcPr>
          <w:p w14:paraId="016E6930" w14:textId="7619F1C6"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849" w:type="dxa"/>
            <w:vAlign w:val="center"/>
          </w:tcPr>
          <w:p w14:paraId="03C60772" w14:textId="5C5D28F2"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785" w:type="dxa"/>
            <w:vAlign w:val="center"/>
          </w:tcPr>
          <w:p w14:paraId="5F184BF2" w14:textId="7CF8BB08"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5.238</w:t>
            </w:r>
          </w:p>
        </w:tc>
      </w:tr>
      <w:tr w:rsidR="00216F12" w14:paraId="77FF8A81" w14:textId="77777777" w:rsidTr="005C1004">
        <w:tc>
          <w:tcPr>
            <w:tcW w:w="617" w:type="dxa"/>
            <w:tcBorders>
              <w:bottom w:val="single" w:sz="4" w:space="0" w:color="auto"/>
            </w:tcBorders>
            <w:vAlign w:val="center"/>
          </w:tcPr>
          <w:p w14:paraId="598AF4A8" w14:textId="20C531B2" w:rsidR="00216F12" w:rsidRPr="005C1004" w:rsidRDefault="00216F12" w:rsidP="00216F12">
            <w:pPr>
              <w:snapToGrid w:val="0"/>
              <w:rPr>
                <w:rFonts w:ascii="Times New Roman" w:eastAsia="Segoe UI" w:hAnsi="Times New Roman" w:cs="Times New Roman"/>
                <w:i/>
                <w:iCs/>
                <w:color w:val="0F1115"/>
                <w:sz w:val="24"/>
                <w:shd w:val="clear" w:color="auto" w:fill="FFFFFF"/>
              </w:rPr>
            </w:pPr>
            <w:r w:rsidRPr="005C1004">
              <w:rPr>
                <w:rFonts w:ascii="Times New Roman" w:eastAsia="Segoe UI" w:hAnsi="Times New Roman" w:cs="Times New Roman"/>
                <w:i/>
                <w:iCs/>
                <w:color w:val="0F1115"/>
                <w:sz w:val="24"/>
                <w:shd w:val="clear" w:color="auto" w:fill="FFFFFF"/>
              </w:rPr>
              <w:t>p</w:t>
            </w:r>
          </w:p>
        </w:tc>
        <w:tc>
          <w:tcPr>
            <w:tcW w:w="719" w:type="dxa"/>
            <w:tcBorders>
              <w:bottom w:val="single" w:sz="4" w:space="0" w:color="auto"/>
            </w:tcBorders>
            <w:vAlign w:val="center"/>
          </w:tcPr>
          <w:p w14:paraId="42D8C71E" w14:textId="4D8AA782"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983" w:type="dxa"/>
            <w:tcBorders>
              <w:bottom w:val="single" w:sz="4" w:space="0" w:color="auto"/>
            </w:tcBorders>
            <w:vAlign w:val="center"/>
          </w:tcPr>
          <w:p w14:paraId="115BADEE" w14:textId="5B48F9C5"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1038" w:type="dxa"/>
            <w:tcBorders>
              <w:bottom w:val="single" w:sz="4" w:space="0" w:color="auto"/>
            </w:tcBorders>
            <w:vAlign w:val="center"/>
          </w:tcPr>
          <w:p w14:paraId="052C49BF" w14:textId="19A2E8B7"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983" w:type="dxa"/>
            <w:tcBorders>
              <w:bottom w:val="single" w:sz="4" w:space="0" w:color="auto"/>
            </w:tcBorders>
            <w:vAlign w:val="center"/>
          </w:tcPr>
          <w:p w14:paraId="0F15E667" w14:textId="19C66869"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970" w:type="dxa"/>
            <w:tcBorders>
              <w:bottom w:val="single" w:sz="4" w:space="0" w:color="auto"/>
            </w:tcBorders>
            <w:vAlign w:val="center"/>
          </w:tcPr>
          <w:p w14:paraId="5634B1DE" w14:textId="6BA032E6"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983" w:type="dxa"/>
            <w:tcBorders>
              <w:bottom w:val="single" w:sz="4" w:space="0" w:color="auto"/>
            </w:tcBorders>
            <w:vAlign w:val="center"/>
          </w:tcPr>
          <w:p w14:paraId="3E98712F" w14:textId="7BCD8894"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809" w:type="dxa"/>
            <w:tcBorders>
              <w:bottom w:val="single" w:sz="4" w:space="0" w:color="auto"/>
            </w:tcBorders>
            <w:vAlign w:val="center"/>
          </w:tcPr>
          <w:p w14:paraId="793AE240" w14:textId="16FD8CAE"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1118" w:type="dxa"/>
            <w:tcBorders>
              <w:bottom w:val="single" w:sz="4" w:space="0" w:color="auto"/>
            </w:tcBorders>
            <w:vAlign w:val="center"/>
          </w:tcPr>
          <w:p w14:paraId="6306AAB5" w14:textId="180AACE1"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849" w:type="dxa"/>
            <w:tcBorders>
              <w:bottom w:val="single" w:sz="4" w:space="0" w:color="auto"/>
            </w:tcBorders>
            <w:vAlign w:val="center"/>
          </w:tcPr>
          <w:p w14:paraId="11CFCC88" w14:textId="6C96FA05"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t>
            </w:r>
          </w:p>
        </w:tc>
        <w:tc>
          <w:tcPr>
            <w:tcW w:w="785" w:type="dxa"/>
            <w:tcBorders>
              <w:bottom w:val="single" w:sz="4" w:space="0" w:color="auto"/>
            </w:tcBorders>
            <w:vAlign w:val="center"/>
          </w:tcPr>
          <w:p w14:paraId="6BE62AA9" w14:textId="77027A30" w:rsidR="00216F12" w:rsidRDefault="00216F12" w:rsidP="005C1004">
            <w:pPr>
              <w:snapToGrid w:val="0"/>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0.022</w:t>
            </w:r>
          </w:p>
        </w:tc>
      </w:tr>
    </w:tbl>
    <w:p w14:paraId="339EDCB5" w14:textId="77777777" w:rsidR="00946D07" w:rsidRDefault="00946D07" w:rsidP="005C1004">
      <w:pPr>
        <w:snapToGrid w:val="0"/>
        <w:rPr>
          <w:rFonts w:ascii="Times New Roman" w:eastAsia="Segoe UI" w:hAnsi="Times New Roman" w:cs="Times New Roman"/>
          <w:color w:val="0F1115"/>
          <w:sz w:val="24"/>
          <w:shd w:val="clear" w:color="auto" w:fill="FFFFFF"/>
        </w:rPr>
      </w:pPr>
    </w:p>
    <w:p w14:paraId="7085E750" w14:textId="77777777" w:rsidR="00946D07" w:rsidRDefault="00110F1E" w:rsidP="005C1004">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4</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Discussion </w:t>
      </w:r>
    </w:p>
    <w:p w14:paraId="5C07E6EA" w14:textId="77777777" w:rsidR="00946D07" w:rsidRDefault="00110F1E" w:rsidP="005C1004">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This study employed a prospective, double-blind, randomized controlled trial to systematically investigate the clinical performance of esketamine in laparoscopic gynecological malignancy surgery, providing reliable evidence-based grounds for optimizing anesthesia protocols for such procedures. The NRS scores at all time points within 48 hours postoperatively were lower in Group K than in Group C, indicating that esketamine effectively alleviates postoperative pain. This analgesic effect may stem from esketa</w:t>
      </w:r>
      <w:r>
        <w:rPr>
          <w:rFonts w:ascii="Times New Roman" w:eastAsia="Segoe UI" w:hAnsi="Times New Roman" w:cs="Times New Roman"/>
          <w:color w:val="0F1115"/>
          <w:sz w:val="24"/>
          <w:shd w:val="clear" w:color="auto" w:fill="FFFFFF"/>
        </w:rPr>
        <w:t>mine</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s specific blockade of NMDA receptors, which are key targets mediating central transmission and sensitization of pain signals. Blocking these receptors inhibits the process of central nervous system pain sensitization. Additionally, esketamine may enhance analgesic effects through multiple pathways, such as modulating the endogenous opioid system </w:t>
      </w:r>
      <w:r>
        <w:rPr>
          <w:rFonts w:ascii="Times New Roman" w:eastAsia="Segoe UI" w:hAnsi="Times New Roman" w:cs="Times New Roman"/>
          <w:color w:val="0F1115"/>
          <w:sz w:val="24"/>
          <w:shd w:val="clear" w:color="auto" w:fill="FFFFFF"/>
          <w:vertAlign w:val="superscript"/>
        </w:rPr>
        <w:t>[4]</w:t>
      </w:r>
      <w:r>
        <w:rPr>
          <w:rFonts w:ascii="Times New Roman" w:eastAsia="Segoe UI" w:hAnsi="Times New Roman" w:cs="Times New Roman"/>
          <w:color w:val="0F1115"/>
          <w:sz w:val="24"/>
          <w:shd w:val="clear" w:color="auto" w:fill="FFFFFF"/>
        </w:rPr>
        <w:t>. Effective postoperative analgesia can reduce physical suffering in patients, mitigate stress responses triggered by pain, and promote postoperative recovery. Regarding cognitive function protection, there was no difference in preoperative MMSE scores between the two groups, indicating that baseline cognitive function was at the same level. Postoperatively, the decline in MMSE scores was smaller in Group K, suggesting that esketamine has a certain protective effect on patients</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postoperative cognitive function. Surgical trauma, exposure to anesthetic drugs, and stress responses during the perioperative period can all lead to cognitive impairment in patients. Esketamine can regulate neurotransmitter release, reduce central inflammatory responses, decrease the extent of brain damage caused by surgery and anesthesia, and maintain stable cognitive function. The practical value of this study lies in improving patients</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postoperative quality of life and reducing adverse events related to cognitive dysfunction </w:t>
      </w:r>
      <w:r>
        <w:rPr>
          <w:rFonts w:ascii="Times New Roman" w:eastAsia="Segoe UI" w:hAnsi="Times New Roman" w:cs="Times New Roman"/>
          <w:color w:val="0F1115"/>
          <w:sz w:val="24"/>
          <w:shd w:val="clear" w:color="auto" w:fill="FFFFFF"/>
          <w:vertAlign w:val="superscript"/>
        </w:rPr>
        <w:t>[5]</w:t>
      </w:r>
      <w:r>
        <w:rPr>
          <w:rFonts w:ascii="Times New Roman" w:eastAsia="Segoe UI" w:hAnsi="Times New Roman" w:cs="Times New Roman"/>
          <w:color w:val="0F1115"/>
          <w:sz w:val="24"/>
          <w:shd w:val="clear" w:color="auto" w:fill="FFFFFF"/>
        </w:rPr>
        <w:t xml:space="preserve">. When comparing the safety profiles of the two groups, the incidence of adverse reactions was lower </w:t>
      </w:r>
      <w:r>
        <w:rPr>
          <w:rFonts w:ascii="Times New Roman" w:eastAsia="Segoe UI" w:hAnsi="Times New Roman" w:cs="Times New Roman"/>
          <w:color w:val="0F1115"/>
          <w:sz w:val="24"/>
          <w:shd w:val="clear" w:color="auto" w:fill="FFFFFF"/>
        </w:rPr>
        <w:lastRenderedPageBreak/>
        <w:t xml:space="preserve">in Group K than in Group C, indicating that esketamine has good safety in clinical applications. This low incidence of adverse reactions is related to its unique pharmacological properties. Esketamine can achieve anesthesia and analgesia while having a relatively mild impact on the cardiovascular and respiratory systems, reducing the risk of related adverse reactions. </w:t>
      </w:r>
    </w:p>
    <w:p w14:paraId="36328CC7" w14:textId="77777777" w:rsidR="00946D07" w:rsidRDefault="00946D07" w:rsidP="005C1004">
      <w:pPr>
        <w:snapToGrid w:val="0"/>
        <w:rPr>
          <w:rFonts w:ascii="Times New Roman" w:eastAsia="Segoe UI" w:hAnsi="Times New Roman" w:cs="Times New Roman"/>
          <w:color w:val="0F1115"/>
          <w:sz w:val="24"/>
          <w:shd w:val="clear" w:color="auto" w:fill="FFFFFF"/>
        </w:rPr>
      </w:pPr>
    </w:p>
    <w:p w14:paraId="4C4F8C1A" w14:textId="77777777" w:rsidR="00946D07" w:rsidRDefault="00110F1E" w:rsidP="005C1004">
      <w:pPr>
        <w:snapToGrid w:val="0"/>
        <w:rPr>
          <w:rFonts w:ascii="Times New Roman" w:eastAsia="SimSun"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5. Conclusion</w:t>
      </w:r>
    </w:p>
    <w:p w14:paraId="22BEAB2C" w14:textId="77777777" w:rsidR="00946D07" w:rsidRDefault="00110F1E" w:rsidP="00216F12">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The use of esketamine in patients undergoing laparoscopic gynecological malignancy surgery can significantly reduce postoperative pain, protect cognitive function, minimize the occurrence of adverse reactions, and enhance patients</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surgical experience and recovery quality, making it suitable for clinical promotion. However, this study also has various limitations, such as a small sample size, which may limit the generalizability of the results, and a short observation period, which prevents the determination of the long-term effects of the drug. Therefore, subsequent studies could appropriately expand the sample size and conduct multicenter research to analyze the actual effects of different doses of this drug and its synergistic eff</w:t>
      </w:r>
      <w:r>
        <w:rPr>
          <w:rFonts w:ascii="Times New Roman" w:eastAsia="Segoe UI" w:hAnsi="Times New Roman" w:cs="Times New Roman"/>
          <w:color w:val="0F1115"/>
          <w:sz w:val="24"/>
          <w:shd w:val="clear" w:color="auto" w:fill="FFFFFF"/>
        </w:rPr>
        <w:t xml:space="preserve">ects with other drugs, effectively optimizing clinical anesthesia protocols and enhancing the quality and safety of anesthesia. As relevant research progresses, esketamine can play an even more satisfactory role in the anesthesia management of laparoscopic gynecological malignancy surgery. </w:t>
      </w:r>
    </w:p>
    <w:p w14:paraId="3DCD8831" w14:textId="77777777" w:rsidR="00216F12" w:rsidRDefault="00216F12" w:rsidP="00216F12">
      <w:pPr>
        <w:snapToGrid w:val="0"/>
        <w:rPr>
          <w:rFonts w:ascii="Times New Roman" w:eastAsia="Segoe UI" w:hAnsi="Times New Roman" w:cs="Times New Roman"/>
          <w:color w:val="0F1115"/>
          <w:sz w:val="24"/>
          <w:shd w:val="clear" w:color="auto" w:fill="FFFFFF"/>
        </w:rPr>
      </w:pPr>
    </w:p>
    <w:p w14:paraId="457479FF" w14:textId="77777777" w:rsidR="00216F12" w:rsidRDefault="00216F12" w:rsidP="00216F12">
      <w:pPr>
        <w:snapToGrid w:val="0"/>
        <w:rPr>
          <w:rFonts w:ascii="Times New Roman" w:hAnsi="Times New Roman" w:cs="Times New Roman"/>
          <w:b/>
          <w:bCs/>
          <w:color w:val="FF0000"/>
          <w:sz w:val="24"/>
        </w:rPr>
      </w:pPr>
      <w:r>
        <w:rPr>
          <w:rFonts w:ascii="Times New Roman" w:hAnsi="Times New Roman" w:cs="Times New Roman"/>
          <w:b/>
          <w:bCs/>
          <w:sz w:val="24"/>
        </w:rPr>
        <w:t>Ethics Review Number</w:t>
      </w:r>
    </w:p>
    <w:p w14:paraId="20790720" w14:textId="77777777" w:rsidR="00216F12" w:rsidRDefault="00216F12" w:rsidP="00216F12">
      <w:pPr>
        <w:snapToGrid w:val="0"/>
        <w:rPr>
          <w:rFonts w:ascii="Times New Roman" w:hAnsi="Times New Roman" w:cs="Times New Roman"/>
          <w:sz w:val="24"/>
        </w:rPr>
      </w:pPr>
      <w:r>
        <w:rPr>
          <w:rFonts w:ascii="Times New Roman" w:hAnsi="Times New Roman" w:cs="Times New Roman"/>
          <w:sz w:val="24"/>
        </w:rPr>
        <w:t>Ethics Committee of Xing’an League People’s Hospital (XYLS2025-40)</w:t>
      </w:r>
      <w:r>
        <w:rPr>
          <w:rFonts w:ascii="Times New Roman" w:hAnsi="Times New Roman" w:cs="Times New Roman" w:hint="eastAsia"/>
          <w:sz w:val="24"/>
        </w:rPr>
        <w:t>.</w:t>
      </w:r>
    </w:p>
    <w:p w14:paraId="07B975C7" w14:textId="77777777" w:rsidR="00946D07" w:rsidRDefault="00946D07" w:rsidP="005C1004">
      <w:pPr>
        <w:snapToGrid w:val="0"/>
        <w:rPr>
          <w:rFonts w:ascii="Times New Roman" w:eastAsia="Segoe UI" w:hAnsi="Times New Roman" w:cs="Times New Roman"/>
          <w:color w:val="0F1115"/>
          <w:sz w:val="24"/>
          <w:shd w:val="clear" w:color="auto" w:fill="FFFFFF"/>
        </w:rPr>
      </w:pPr>
    </w:p>
    <w:p w14:paraId="70E80F02" w14:textId="77777777" w:rsidR="00946D07" w:rsidRDefault="00110F1E" w:rsidP="005C1004">
      <w:pPr>
        <w:snapToGrid w:val="0"/>
        <w:rPr>
          <w:rFonts w:ascii="Times New Roman" w:hAnsi="Times New Roman" w:cs="Times New Roman"/>
          <w:b/>
          <w:bCs/>
          <w:sz w:val="24"/>
        </w:rPr>
      </w:pPr>
      <w:r>
        <w:rPr>
          <w:rFonts w:ascii="Times New Roman" w:hAnsi="Times New Roman" w:cs="Times New Roman"/>
          <w:b/>
          <w:bCs/>
          <w:sz w:val="24"/>
        </w:rPr>
        <w:t xml:space="preserve">Funding  </w:t>
      </w:r>
    </w:p>
    <w:p w14:paraId="1194B704" w14:textId="283BCE5F" w:rsidR="00946D07" w:rsidRDefault="00110F1E" w:rsidP="005C1004">
      <w:pPr>
        <w:snapToGrid w:val="0"/>
        <w:rPr>
          <w:rFonts w:ascii="Times New Roman" w:hAnsi="Times New Roman" w:cs="Times New Roman"/>
          <w:sz w:val="24"/>
        </w:rPr>
      </w:pPr>
      <w:r>
        <w:rPr>
          <w:rFonts w:ascii="Times New Roman" w:hAnsi="Times New Roman" w:cs="Times New Roman"/>
          <w:sz w:val="24"/>
        </w:rPr>
        <w:t>Scientific Research Joint Fund for Public Hospitals of the Inner Mongolia Medical Academy of Sciences (</w:t>
      </w:r>
      <w:r w:rsidR="00216F12">
        <w:rPr>
          <w:rFonts w:ascii="Times New Roman" w:hAnsi="Times New Roman" w:cs="Times New Roman"/>
          <w:sz w:val="24"/>
        </w:rPr>
        <w:t xml:space="preserve">Project No.: </w:t>
      </w:r>
      <w:r>
        <w:rPr>
          <w:rFonts w:ascii="Times New Roman" w:hAnsi="Times New Roman" w:cs="Times New Roman"/>
          <w:sz w:val="24"/>
        </w:rPr>
        <w:t>2023GLLH0455)</w:t>
      </w:r>
    </w:p>
    <w:p w14:paraId="113DCE87" w14:textId="77777777" w:rsidR="00946D07" w:rsidRDefault="00946D07" w:rsidP="005C1004">
      <w:pPr>
        <w:snapToGrid w:val="0"/>
        <w:rPr>
          <w:rFonts w:ascii="Times New Roman" w:hAnsi="Times New Roman" w:cs="Times New Roman"/>
          <w:sz w:val="24"/>
        </w:rPr>
      </w:pPr>
    </w:p>
    <w:p w14:paraId="1B3F527A" w14:textId="77777777" w:rsidR="00946D07" w:rsidRDefault="00110F1E" w:rsidP="005C1004">
      <w:pPr>
        <w:snapToGrid w:val="0"/>
        <w:rPr>
          <w:rFonts w:ascii="Times New Roman" w:hAnsi="Times New Roman"/>
          <w:b/>
          <w:bCs/>
          <w:sz w:val="24"/>
        </w:rPr>
      </w:pPr>
      <w:bookmarkStart w:id="0" w:name="_Hlk181689731"/>
      <w:r>
        <w:rPr>
          <w:rFonts w:ascii="Times New Roman" w:hAnsi="Times New Roman"/>
          <w:b/>
          <w:bCs/>
          <w:sz w:val="24"/>
        </w:rPr>
        <w:t>Disclosure statement</w:t>
      </w:r>
    </w:p>
    <w:p w14:paraId="674BD41B" w14:textId="77777777" w:rsidR="00946D07" w:rsidRDefault="00110F1E" w:rsidP="005C1004">
      <w:pPr>
        <w:snapToGrid w:val="0"/>
        <w:rPr>
          <w:rFonts w:ascii="Times New Roman" w:hAnsi="Times New Roman"/>
          <w:sz w:val="24"/>
        </w:rPr>
      </w:pPr>
      <w:r>
        <w:rPr>
          <w:rFonts w:ascii="Times New Roman" w:hAnsi="Times New Roman"/>
          <w:sz w:val="24"/>
        </w:rPr>
        <w:t xml:space="preserve">The authors declare no conflict of interest. </w:t>
      </w:r>
    </w:p>
    <w:bookmarkEnd w:id="0"/>
    <w:p w14:paraId="6314FC14" w14:textId="77777777" w:rsidR="00946D07" w:rsidRDefault="00946D07" w:rsidP="005C1004">
      <w:pPr>
        <w:snapToGrid w:val="0"/>
        <w:rPr>
          <w:rFonts w:ascii="Times New Roman" w:eastAsia="Segoe UI" w:hAnsi="Times New Roman" w:cs="Times New Roman"/>
          <w:color w:val="0F1115"/>
          <w:sz w:val="24"/>
          <w:shd w:val="clear" w:color="auto" w:fill="FFFFFF"/>
        </w:rPr>
      </w:pPr>
    </w:p>
    <w:p w14:paraId="3717772A" w14:textId="77777777" w:rsidR="00946D07" w:rsidRDefault="00110F1E" w:rsidP="005C1004">
      <w:pPr>
        <w:snapToGrid w:val="0"/>
        <w:rPr>
          <w:rFonts w:ascii="Times New Roman" w:eastAsia="Segoe UI" w:hAnsi="Times New Roman" w:cs="Times New Roman"/>
          <w:b/>
          <w:bCs/>
          <w:color w:val="0F1115"/>
          <w:sz w:val="24"/>
          <w:shd w:val="clear" w:color="auto" w:fill="FFFFFF"/>
        </w:rPr>
      </w:pPr>
      <w:r>
        <w:rPr>
          <w:rFonts w:ascii="Times New Roman" w:eastAsia="Segoe UI" w:hAnsi="Times New Roman" w:cs="Times New Roman"/>
          <w:b/>
          <w:bCs/>
          <w:color w:val="0F1115"/>
          <w:sz w:val="24"/>
          <w:shd w:val="clear" w:color="auto" w:fill="FFFFFF"/>
        </w:rPr>
        <w:t xml:space="preserve">References </w:t>
      </w:r>
    </w:p>
    <w:p w14:paraId="71DE54DE" w14:textId="2E1ADF59" w:rsidR="00807EAE" w:rsidRDefault="00807EAE" w:rsidP="00807EAE">
      <w:pPr>
        <w:snapToGrid w:val="0"/>
        <w:ind w:left="709" w:hanging="709"/>
        <w:rPr>
          <w:rFonts w:ascii="Times New Roman" w:eastAsia="Segoe UI" w:hAnsi="Times New Roman" w:cs="Times New Roman"/>
          <w:color w:val="0F1115"/>
          <w:sz w:val="24"/>
          <w:shd w:val="clear" w:color="auto" w:fill="FFFFFF"/>
        </w:rPr>
      </w:pPr>
      <w:r w:rsidRPr="00807EAE">
        <w:rPr>
          <w:rFonts w:ascii="Times New Roman" w:eastAsia="Segoe UI" w:hAnsi="Times New Roman" w:cs="Times New Roman"/>
          <w:color w:val="0F1115"/>
          <w:sz w:val="24"/>
          <w:shd w:val="clear" w:color="auto" w:fill="FFFFFF"/>
        </w:rPr>
        <w:t xml:space="preserve">[1] </w:t>
      </w:r>
      <w:r>
        <w:rPr>
          <w:rFonts w:ascii="Times New Roman" w:eastAsia="Segoe UI" w:hAnsi="Times New Roman" w:cs="Times New Roman"/>
          <w:color w:val="0F1115"/>
          <w:sz w:val="24"/>
          <w:shd w:val="clear" w:color="auto" w:fill="FFFFFF"/>
        </w:rPr>
        <w:tab/>
      </w:r>
      <w:r w:rsidRPr="00807EAE">
        <w:rPr>
          <w:rFonts w:ascii="Times New Roman" w:eastAsia="Segoe UI" w:hAnsi="Times New Roman" w:cs="Times New Roman"/>
          <w:color w:val="0F1115"/>
          <w:sz w:val="24"/>
          <w:shd w:val="clear" w:color="auto" w:fill="FFFFFF"/>
        </w:rPr>
        <w:t>Pan T, Deng J, Liu T, et al., 2025, Effect of Intraoperative Infusion of Esketamine Combined with Dexmedetomidine on Postoperative Sleep Disorders in Patients Undergoing Gynecological Laparoscopic Surgery. Contemporary Medicine Forum, 23(32): 38–41.</w:t>
      </w:r>
    </w:p>
    <w:p w14:paraId="75490031" w14:textId="77777777" w:rsidR="00807EAE" w:rsidRDefault="00807EAE" w:rsidP="00807EAE">
      <w:pPr>
        <w:snapToGrid w:val="0"/>
        <w:ind w:left="709" w:hanging="709"/>
        <w:rPr>
          <w:rFonts w:ascii="Times New Roman" w:eastAsia="Segoe UI" w:hAnsi="Times New Roman" w:cs="Times New Roman"/>
          <w:color w:val="0F1115"/>
          <w:sz w:val="24"/>
          <w:shd w:val="clear" w:color="auto" w:fill="FFFFFF"/>
        </w:rPr>
      </w:pPr>
      <w:r w:rsidRPr="00807EAE">
        <w:rPr>
          <w:rFonts w:ascii="Times New Roman" w:eastAsia="Segoe UI" w:hAnsi="Times New Roman" w:cs="Times New Roman"/>
          <w:color w:val="0F1115"/>
          <w:sz w:val="24"/>
          <w:shd w:val="clear" w:color="auto" w:fill="FFFFFF"/>
        </w:rPr>
        <w:t xml:space="preserve">[2] </w:t>
      </w:r>
      <w:r>
        <w:rPr>
          <w:rFonts w:ascii="Times New Roman" w:eastAsia="Segoe UI" w:hAnsi="Times New Roman" w:cs="Times New Roman"/>
          <w:color w:val="0F1115"/>
          <w:sz w:val="24"/>
          <w:shd w:val="clear" w:color="auto" w:fill="FFFFFF"/>
        </w:rPr>
        <w:tab/>
      </w:r>
      <w:r w:rsidRPr="00807EAE">
        <w:rPr>
          <w:rFonts w:ascii="Times New Roman" w:eastAsia="Segoe UI" w:hAnsi="Times New Roman" w:cs="Times New Roman"/>
          <w:color w:val="0F1115"/>
          <w:sz w:val="24"/>
          <w:shd w:val="clear" w:color="auto" w:fill="FFFFFF"/>
        </w:rPr>
        <w:t>Liu M, Ge Q, Li J, et al., 2025, Research Progress on the Effect of Esketamine on Postoperative Anxiety and Depression in Patients Undergoing Gynecological Laparoscopic Surgery. Chinese Journal of Practical Rural Doctors, 32(11): 66–71.</w:t>
      </w:r>
    </w:p>
    <w:p w14:paraId="1E1C622D" w14:textId="77777777" w:rsidR="00807EAE" w:rsidRDefault="00807EAE" w:rsidP="00807EAE">
      <w:pPr>
        <w:snapToGrid w:val="0"/>
        <w:ind w:left="709" w:hanging="709"/>
        <w:rPr>
          <w:rFonts w:ascii="Times New Roman" w:eastAsia="Segoe UI" w:hAnsi="Times New Roman" w:cs="Times New Roman"/>
          <w:color w:val="0F1115"/>
          <w:sz w:val="24"/>
          <w:shd w:val="clear" w:color="auto" w:fill="FFFFFF"/>
        </w:rPr>
      </w:pPr>
      <w:r w:rsidRPr="00807EAE">
        <w:rPr>
          <w:rFonts w:ascii="Times New Roman" w:eastAsia="Segoe UI" w:hAnsi="Times New Roman" w:cs="Times New Roman"/>
          <w:color w:val="0F1115"/>
          <w:sz w:val="24"/>
          <w:shd w:val="clear" w:color="auto" w:fill="FFFFFF"/>
        </w:rPr>
        <w:t xml:space="preserve">[3] </w:t>
      </w:r>
      <w:r>
        <w:rPr>
          <w:rFonts w:ascii="Times New Roman" w:eastAsia="Segoe UI" w:hAnsi="Times New Roman" w:cs="Times New Roman"/>
          <w:color w:val="0F1115"/>
          <w:sz w:val="24"/>
          <w:shd w:val="clear" w:color="auto" w:fill="FFFFFF"/>
        </w:rPr>
        <w:tab/>
      </w:r>
      <w:r w:rsidRPr="00807EAE">
        <w:rPr>
          <w:rFonts w:ascii="Times New Roman" w:eastAsia="Segoe UI" w:hAnsi="Times New Roman" w:cs="Times New Roman"/>
          <w:color w:val="0F1115"/>
          <w:sz w:val="24"/>
          <w:shd w:val="clear" w:color="auto" w:fill="FFFFFF"/>
        </w:rPr>
        <w:t>Liu K, Yan B, Liu C, 2023, Clinical Study of Esketamine Injection Combined with Remifentanil Injection in Patients Undergoing Laparoscopic Gynecological Surgery. Chinese Journal of Clinical Pharmacology, 39(11): 1547–1551.</w:t>
      </w:r>
    </w:p>
    <w:p w14:paraId="428B05D6" w14:textId="77777777" w:rsidR="00807EAE" w:rsidRDefault="00807EAE" w:rsidP="00807EAE">
      <w:pPr>
        <w:snapToGrid w:val="0"/>
        <w:ind w:left="709" w:hanging="709"/>
        <w:rPr>
          <w:rFonts w:ascii="Times New Roman" w:eastAsia="Segoe UI" w:hAnsi="Times New Roman" w:cs="Times New Roman"/>
          <w:color w:val="0F1115"/>
          <w:sz w:val="24"/>
          <w:shd w:val="clear" w:color="auto" w:fill="FFFFFF"/>
        </w:rPr>
      </w:pPr>
      <w:r w:rsidRPr="00807EAE">
        <w:rPr>
          <w:rFonts w:ascii="Times New Roman" w:eastAsia="Segoe UI" w:hAnsi="Times New Roman" w:cs="Times New Roman"/>
          <w:color w:val="0F1115"/>
          <w:sz w:val="24"/>
          <w:shd w:val="clear" w:color="auto" w:fill="FFFFFF"/>
        </w:rPr>
        <w:t xml:space="preserve">[4] </w:t>
      </w:r>
      <w:r>
        <w:rPr>
          <w:rFonts w:ascii="Times New Roman" w:eastAsia="Segoe UI" w:hAnsi="Times New Roman" w:cs="Times New Roman"/>
          <w:color w:val="0F1115"/>
          <w:sz w:val="24"/>
          <w:shd w:val="clear" w:color="auto" w:fill="FFFFFF"/>
        </w:rPr>
        <w:tab/>
      </w:r>
      <w:r w:rsidRPr="00807EAE">
        <w:rPr>
          <w:rFonts w:ascii="Times New Roman" w:eastAsia="Segoe UI" w:hAnsi="Times New Roman" w:cs="Times New Roman"/>
          <w:color w:val="0F1115"/>
          <w:sz w:val="24"/>
          <w:shd w:val="clear" w:color="auto" w:fill="FFFFFF"/>
        </w:rPr>
        <w:t>Ma F, Li C, 2024, Preventive Effect of Esketamine on Postoperative Pain and Agitation in Patients Undergoing Gynecological Laparoscopic Surgery. Huaxia Medicine, 37(5): 131–136.</w:t>
      </w:r>
    </w:p>
    <w:p w14:paraId="7C868D63" w14:textId="07B02E0C" w:rsidR="00807EAE" w:rsidRDefault="00807EAE" w:rsidP="005C1004">
      <w:pPr>
        <w:snapToGrid w:val="0"/>
        <w:ind w:left="709" w:hanging="709"/>
        <w:rPr>
          <w:rFonts w:ascii="Times New Roman" w:eastAsia="Segoe UI" w:hAnsi="Times New Roman" w:cs="Times New Roman"/>
          <w:color w:val="0F1115"/>
          <w:sz w:val="24"/>
          <w:shd w:val="clear" w:color="auto" w:fill="FFFFFF"/>
        </w:rPr>
      </w:pPr>
      <w:r w:rsidRPr="00807EAE">
        <w:rPr>
          <w:rFonts w:ascii="Times New Roman" w:eastAsia="Segoe UI" w:hAnsi="Times New Roman" w:cs="Times New Roman"/>
          <w:color w:val="0F1115"/>
          <w:sz w:val="24"/>
          <w:shd w:val="clear" w:color="auto" w:fill="FFFFFF"/>
        </w:rPr>
        <w:t xml:space="preserve">[5] </w:t>
      </w:r>
      <w:r>
        <w:rPr>
          <w:rFonts w:ascii="Times New Roman" w:eastAsia="Segoe UI" w:hAnsi="Times New Roman" w:cs="Times New Roman"/>
          <w:color w:val="0F1115"/>
          <w:sz w:val="24"/>
          <w:shd w:val="clear" w:color="auto" w:fill="FFFFFF"/>
        </w:rPr>
        <w:tab/>
      </w:r>
      <w:r w:rsidRPr="00807EAE">
        <w:rPr>
          <w:rFonts w:ascii="Times New Roman" w:eastAsia="Segoe UI" w:hAnsi="Times New Roman" w:cs="Times New Roman"/>
          <w:color w:val="0F1115"/>
          <w:sz w:val="24"/>
          <w:shd w:val="clear" w:color="auto" w:fill="FFFFFF"/>
        </w:rPr>
        <w:t>Zhang J, Jin B, 2024, Effect of Esketamine Combined with TAPB on Postoperative Pain and Recovery in Patients Undergoing Gynecological Laparoscopic Surgery. Chinese Journal of Family Planning, 32(6): 1317–1321.</w:t>
      </w:r>
    </w:p>
    <w:p w14:paraId="24A809E2" w14:textId="77777777" w:rsidR="00807EAE" w:rsidRDefault="00807EAE" w:rsidP="00216F12">
      <w:pPr>
        <w:snapToGrid w:val="0"/>
        <w:rPr>
          <w:rFonts w:ascii="Times New Roman" w:eastAsia="Segoe UI" w:hAnsi="Times New Roman" w:cs="Times New Roman"/>
          <w:color w:val="0F1115"/>
          <w:sz w:val="24"/>
          <w:shd w:val="clear" w:color="auto" w:fill="FFFFFF"/>
        </w:rPr>
      </w:pPr>
    </w:p>
    <w:p w14:paraId="7F0EAEF2" w14:textId="77777777" w:rsidR="00807EAE" w:rsidRPr="005C1004" w:rsidRDefault="00807EAE" w:rsidP="00807EAE">
      <w:pPr>
        <w:snapToGrid w:val="0"/>
        <w:rPr>
          <w:rFonts w:ascii="Times New Roman" w:eastAsia="Segoe UI" w:hAnsi="Times New Roman" w:cs="Times New Roman"/>
          <w:b/>
          <w:bCs/>
          <w:color w:val="0F1115"/>
          <w:sz w:val="20"/>
          <w:szCs w:val="20"/>
          <w:shd w:val="clear" w:color="auto" w:fill="FFFFFF"/>
        </w:rPr>
      </w:pPr>
      <w:r w:rsidRPr="005C1004">
        <w:rPr>
          <w:rFonts w:ascii="Times New Roman" w:eastAsia="Segoe UI" w:hAnsi="Times New Roman" w:cs="Times New Roman"/>
          <w:b/>
          <w:bCs/>
          <w:color w:val="0F1115"/>
          <w:sz w:val="20"/>
          <w:szCs w:val="20"/>
          <w:shd w:val="clear" w:color="auto" w:fill="FFFFFF"/>
        </w:rPr>
        <w:t>Publisher’s note</w:t>
      </w:r>
    </w:p>
    <w:p w14:paraId="715A758B" w14:textId="77777777" w:rsidR="00807EAE" w:rsidRPr="005C1004" w:rsidRDefault="00807EAE" w:rsidP="00807EAE">
      <w:pPr>
        <w:snapToGrid w:val="0"/>
        <w:rPr>
          <w:rFonts w:ascii="Times New Roman" w:eastAsia="Segoe UI" w:hAnsi="Times New Roman" w:cs="Times New Roman"/>
          <w:color w:val="0F1115"/>
          <w:sz w:val="20"/>
          <w:szCs w:val="20"/>
          <w:shd w:val="clear" w:color="auto" w:fill="FFFFFF"/>
        </w:rPr>
      </w:pPr>
      <w:r w:rsidRPr="005C1004">
        <w:rPr>
          <w:rFonts w:ascii="Times New Roman" w:eastAsia="Segoe UI" w:hAnsi="Times New Roman" w:cs="Times New Roman"/>
          <w:color w:val="0F1115"/>
          <w:sz w:val="20"/>
          <w:szCs w:val="20"/>
          <w:shd w:val="clear" w:color="auto" w:fill="FFFFFF"/>
        </w:rPr>
        <w:t xml:space="preserve">Bio-Byword Scientific Publishing remains neutral with regard to jurisdictional claims in published maps and institutional affiliations. </w:t>
      </w:r>
    </w:p>
    <w:p w14:paraId="0F1E6B65" w14:textId="77777777" w:rsidR="00807EAE" w:rsidRPr="005C1004" w:rsidRDefault="00807EAE" w:rsidP="005C1004">
      <w:pPr>
        <w:snapToGrid w:val="0"/>
        <w:rPr>
          <w:rFonts w:ascii="Times New Roman" w:eastAsia="Segoe UI" w:hAnsi="Times New Roman" w:cs="Times New Roman"/>
          <w:b/>
          <w:bCs/>
          <w:color w:val="0F1115"/>
          <w:sz w:val="24"/>
          <w:shd w:val="clear" w:color="auto" w:fill="FFFFFF"/>
        </w:rPr>
      </w:pPr>
    </w:p>
    <w:sectPr w:rsidR="00807EAE" w:rsidRPr="005C1004" w:rsidSect="005C1004">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EC1600E-8CD9-47BB-AA5B-9ADE61A35E23}"/>
    <w:embedBold r:id="rId2" w:fontKey="{EE32092B-1695-41A8-B41C-721E843AAF61}"/>
    <w:embedItalic r:id="rId3" w:fontKey="{9CC2A3BB-BEA3-4EDD-BD59-A6D07325F00A}"/>
    <w:embedBoldItalic r:id="rId4" w:fontKey="{CA8ACE78-8E63-46BC-A234-87771A0B14C8}"/>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9561A937-4B76-4804-A614-3F305E0C615F}"/>
  </w:font>
  <w:font w:name="Segoe UI">
    <w:panose1 w:val="020B0502040204020203"/>
    <w:charset w:val="00"/>
    <w:family w:val="swiss"/>
    <w:pitch w:val="variable"/>
    <w:sig w:usb0="E4002EFF" w:usb1="C000E47F" w:usb2="00000009" w:usb3="00000000" w:csb0="000001FF" w:csb1="00000000"/>
    <w:embedRegular r:id="rId6" w:fontKey="{8E42736A-F33E-4368-B05E-BB6530AF7456}"/>
    <w:embedBold r:id="rId7" w:fontKey="{1C1795F3-3300-413A-9A03-BEAA89113B2F}"/>
    <w:embedItalic r:id="rId8" w:fontKey="{3676D943-77F8-47F4-B45B-483576A16625}"/>
    <w:embedBoldItalic r:id="rId9" w:fontKey="{189196DA-BDC0-4515-A32A-C9B36E2C1B39}"/>
  </w:font>
  <w:font w:name="Calibri Light">
    <w:panose1 w:val="020F0302020204030204"/>
    <w:charset w:val="00"/>
    <w:family w:val="swiss"/>
    <w:pitch w:val="variable"/>
    <w:sig w:usb0="E4002EFF" w:usb1="C200247B" w:usb2="00000009" w:usb3="00000000" w:csb0="000001FF" w:csb1="00000000"/>
    <w:embedRegular r:id="rId10" w:fontKey="{1778D89F-5FE1-4089-BD81-81AFDC0C7D0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14A38C6"/>
    <w:rsid w:val="00110F1E"/>
    <w:rsid w:val="00216F12"/>
    <w:rsid w:val="005C1004"/>
    <w:rsid w:val="00807EAE"/>
    <w:rsid w:val="00946D07"/>
    <w:rsid w:val="00A9239A"/>
    <w:rsid w:val="095928A3"/>
    <w:rsid w:val="214A38C6"/>
    <w:rsid w:val="31B77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A9725"/>
  <w15:docId w15:val="{5B334373-39BC-4972-AF6F-EE8F96D3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pPr>
      <w:jc w:val="left"/>
    </w:pPr>
  </w:style>
  <w:style w:type="paragraph" w:styleId="NormalWeb">
    <w:name w:val="Normal (Web)"/>
    <w:basedOn w:val="Normal"/>
    <w:qFormat/>
    <w:rPr>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216F12"/>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3.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oleObject" Target="embeddings/oleObject7.bin"/><Relationship Id="rId5" Type="http://schemas.openxmlformats.org/officeDocument/2006/relationships/oleObject" Target="embeddings/oleObject1.bin"/><Relationship Id="rId10" Type="http://schemas.openxmlformats.org/officeDocument/2006/relationships/oleObject" Target="embeddings/oleObject6.bin"/><Relationship Id="rId4" Type="http://schemas.openxmlformats.org/officeDocument/2006/relationships/image" Target="media/image1.wmf"/><Relationship Id="rId9" Type="http://schemas.openxmlformats.org/officeDocument/2006/relationships/oleObject" Target="embeddings/oleObject5.bin"/></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2548</Words>
  <Characters>14526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2</cp:revision>
  <dcterms:created xsi:type="dcterms:W3CDTF">2026-07-10T01:11:00Z</dcterms:created>
  <dcterms:modified xsi:type="dcterms:W3CDTF">2026-07-10T01:11:00Z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212715E30B6240188FCADA023E34C501_11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d1a344e2-6dc6-4419-aee3-4cbf01f3ac69</vt:lpwstr>
  </property>
</Properties>
</file>