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07EE1" w14:textId="77777777" w:rsidR="003A2F23" w:rsidRDefault="00000000" w:rsidP="002067BA">
      <w:pPr>
        <w:snapToGrid w:val="0"/>
        <w:jc w:val="left"/>
        <w:rPr>
          <w:rFonts w:ascii="Times New Roman" w:hAnsi="Times New Roman" w:cs="Times New Roman"/>
          <w:b/>
          <w:bCs/>
          <w:sz w:val="44"/>
          <w:szCs w:val="44"/>
        </w:rPr>
      </w:pPr>
      <w:r>
        <w:rPr>
          <w:rFonts w:ascii="Times New Roman" w:hAnsi="Times New Roman" w:cs="Times New Roman"/>
          <w:b/>
          <w:bCs/>
          <w:sz w:val="44"/>
          <w:szCs w:val="44"/>
        </w:rPr>
        <w:t xml:space="preserve">Research on the Prevention of Cataracts and Age-Related Macular Degeneration by Black Rice Anthocyanins </w:t>
      </w:r>
    </w:p>
    <w:p w14:paraId="048F7A3F" w14:textId="77777777" w:rsidR="003A2F23" w:rsidRDefault="00000000" w:rsidP="002067BA">
      <w:pPr>
        <w:snapToGrid w:val="0"/>
        <w:rPr>
          <w:rFonts w:ascii="Times New Roman" w:hAnsi="Times New Roman" w:cs="Times New Roman"/>
          <w:b/>
          <w:bCs/>
          <w:sz w:val="24"/>
        </w:rPr>
      </w:pPr>
      <w:r>
        <w:rPr>
          <w:rFonts w:ascii="Times New Roman" w:hAnsi="Times New Roman" w:cs="Times New Roman"/>
          <w:b/>
          <w:bCs/>
          <w:sz w:val="24"/>
        </w:rPr>
        <w:t>Guang</w:t>
      </w:r>
      <w:r>
        <w:rPr>
          <w:rFonts w:ascii="Times New Roman" w:hAnsi="Times New Roman" w:cs="Times New Roman" w:hint="eastAsia"/>
          <w:b/>
          <w:bCs/>
          <w:sz w:val="24"/>
        </w:rPr>
        <w:t xml:space="preserve"> </w:t>
      </w:r>
      <w:r>
        <w:rPr>
          <w:rFonts w:ascii="Times New Roman" w:hAnsi="Times New Roman" w:cs="Times New Roman"/>
          <w:b/>
          <w:bCs/>
          <w:sz w:val="24"/>
        </w:rPr>
        <w:t>Han</w:t>
      </w:r>
      <w:r>
        <w:rPr>
          <w:rFonts w:ascii="Times New Roman" w:hAnsi="Times New Roman" w:cs="Times New Roman"/>
          <w:b/>
          <w:bCs/>
          <w:sz w:val="24"/>
          <w:vertAlign w:val="superscript"/>
        </w:rPr>
        <w:t>1</w:t>
      </w:r>
      <w:r>
        <w:rPr>
          <w:rFonts w:ascii="Times New Roman" w:hAnsi="Times New Roman" w:cs="Times New Roman"/>
          <w:b/>
          <w:bCs/>
          <w:sz w:val="24"/>
        </w:rPr>
        <w:t>, Yu</w:t>
      </w:r>
      <w:r>
        <w:rPr>
          <w:rFonts w:ascii="Times New Roman" w:hAnsi="Times New Roman" w:cs="Times New Roman" w:hint="eastAsia"/>
          <w:b/>
          <w:bCs/>
          <w:sz w:val="24"/>
        </w:rPr>
        <w:t xml:space="preserve"> </w:t>
      </w:r>
      <w:r>
        <w:rPr>
          <w:rFonts w:ascii="Times New Roman" w:hAnsi="Times New Roman" w:cs="Times New Roman"/>
          <w:b/>
          <w:bCs/>
          <w:sz w:val="24"/>
        </w:rPr>
        <w:t>Jiang</w:t>
      </w:r>
      <w:r>
        <w:rPr>
          <w:rFonts w:ascii="Times New Roman" w:hAnsi="Times New Roman" w:cs="Times New Roman"/>
          <w:b/>
          <w:bCs/>
          <w:sz w:val="24"/>
          <w:vertAlign w:val="superscript"/>
        </w:rPr>
        <w:t>1</w:t>
      </w:r>
      <w:r>
        <w:rPr>
          <w:rFonts w:ascii="Times New Roman" w:hAnsi="Times New Roman" w:cs="Times New Roman"/>
          <w:b/>
          <w:bCs/>
          <w:sz w:val="24"/>
        </w:rPr>
        <w:t>, Rui</w:t>
      </w:r>
      <w:r>
        <w:rPr>
          <w:rFonts w:ascii="Times New Roman" w:hAnsi="Times New Roman" w:cs="Times New Roman" w:hint="eastAsia"/>
          <w:b/>
          <w:bCs/>
          <w:sz w:val="24"/>
        </w:rPr>
        <w:t xml:space="preserve"> </w:t>
      </w:r>
      <w:r>
        <w:rPr>
          <w:rFonts w:ascii="Times New Roman" w:hAnsi="Times New Roman" w:cs="Times New Roman"/>
          <w:b/>
          <w:bCs/>
          <w:sz w:val="24"/>
        </w:rPr>
        <w:t>Liu</w:t>
      </w:r>
      <w:r>
        <w:rPr>
          <w:rFonts w:ascii="Times New Roman" w:hAnsi="Times New Roman" w:cs="Times New Roman"/>
          <w:b/>
          <w:bCs/>
          <w:sz w:val="24"/>
          <w:vertAlign w:val="superscript"/>
        </w:rPr>
        <w:t>2</w:t>
      </w:r>
      <w:r>
        <w:rPr>
          <w:rFonts w:ascii="Times New Roman" w:hAnsi="Times New Roman" w:cs="Times New Roman"/>
          <w:b/>
          <w:bCs/>
          <w:sz w:val="24"/>
        </w:rPr>
        <w:t>, Qin</w:t>
      </w:r>
      <w:r>
        <w:rPr>
          <w:rFonts w:ascii="Times New Roman" w:hAnsi="Times New Roman" w:cs="Times New Roman" w:hint="eastAsia"/>
          <w:b/>
          <w:bCs/>
          <w:sz w:val="24"/>
        </w:rPr>
        <w:t xml:space="preserve"> </w:t>
      </w:r>
      <w:r>
        <w:rPr>
          <w:rFonts w:ascii="Times New Roman" w:hAnsi="Times New Roman" w:cs="Times New Roman"/>
          <w:b/>
          <w:bCs/>
          <w:sz w:val="24"/>
        </w:rPr>
        <w:t>Wang</w:t>
      </w:r>
      <w:r>
        <w:rPr>
          <w:rFonts w:ascii="Times New Roman" w:hAnsi="Times New Roman" w:cs="Times New Roman"/>
          <w:b/>
          <w:bCs/>
          <w:sz w:val="24"/>
          <w:vertAlign w:val="superscript"/>
        </w:rPr>
        <w:t>3</w:t>
      </w:r>
      <w:r>
        <w:rPr>
          <w:rFonts w:ascii="Times New Roman" w:hAnsi="Times New Roman" w:cs="Times New Roman" w:hint="eastAsia"/>
          <w:b/>
          <w:bCs/>
          <w:sz w:val="24"/>
        </w:rPr>
        <w:t>*</w:t>
      </w:r>
      <w:r>
        <w:rPr>
          <w:rFonts w:ascii="Times New Roman" w:hAnsi="Times New Roman" w:cs="Times New Roman"/>
          <w:b/>
          <w:bCs/>
          <w:sz w:val="24"/>
        </w:rPr>
        <w:t xml:space="preserve"> </w:t>
      </w:r>
    </w:p>
    <w:p w14:paraId="2D3BF2A0" w14:textId="77777777" w:rsidR="003A2F23" w:rsidRDefault="00000000" w:rsidP="002067BA">
      <w:pPr>
        <w:snapToGrid w:val="0"/>
        <w:rPr>
          <w:rFonts w:ascii="Times New Roman" w:hAnsi="Times New Roman" w:cs="Times New Roman"/>
          <w:sz w:val="24"/>
        </w:rPr>
      </w:pPr>
      <w:r>
        <w:rPr>
          <w:rFonts w:ascii="Times New Roman" w:hAnsi="Times New Roman" w:cs="Times New Roman"/>
          <w:sz w:val="24"/>
          <w:vertAlign w:val="superscript"/>
        </w:rPr>
        <w:t>1</w:t>
      </w:r>
      <w:r>
        <w:rPr>
          <w:rFonts w:ascii="Times New Roman" w:hAnsi="Times New Roman" w:cs="Times New Roman"/>
          <w:sz w:val="24"/>
        </w:rPr>
        <w:t xml:space="preserve">Ophthalmology Department, Changchun Hospital of Traditional Chinese Medicine, </w:t>
      </w:r>
      <w:r>
        <w:rPr>
          <w:rFonts w:ascii="Times New Roman" w:hAnsi="Times New Roman" w:cs="Times New Roman" w:hint="eastAsia"/>
          <w:sz w:val="24"/>
        </w:rPr>
        <w:t xml:space="preserve">Changchun </w:t>
      </w:r>
      <w:r>
        <w:rPr>
          <w:rFonts w:ascii="Times New Roman" w:hAnsi="Times New Roman" w:cs="Times New Roman"/>
          <w:sz w:val="24"/>
        </w:rPr>
        <w:t>130022</w:t>
      </w:r>
      <w:r>
        <w:rPr>
          <w:rFonts w:ascii="Times New Roman" w:hAnsi="Times New Roman" w:cs="Times New Roman" w:hint="eastAsia"/>
          <w:sz w:val="24"/>
        </w:rPr>
        <w:t>, Jilin, China</w:t>
      </w:r>
      <w:r>
        <w:rPr>
          <w:rFonts w:ascii="Times New Roman" w:hAnsi="Times New Roman" w:cs="Times New Roman"/>
          <w:sz w:val="24"/>
        </w:rPr>
        <w:t xml:space="preserve"> </w:t>
      </w:r>
    </w:p>
    <w:p w14:paraId="27EE4436" w14:textId="77777777" w:rsidR="003A2F23" w:rsidRDefault="00000000" w:rsidP="002067BA">
      <w:pPr>
        <w:snapToGrid w:val="0"/>
        <w:rPr>
          <w:rFonts w:ascii="Times New Roman" w:hAnsi="Times New Roman" w:cs="Times New Roman"/>
          <w:sz w:val="24"/>
        </w:rPr>
      </w:pPr>
      <w:r>
        <w:rPr>
          <w:rFonts w:ascii="Times New Roman" w:hAnsi="Times New Roman" w:cs="Times New Roman"/>
          <w:sz w:val="24"/>
          <w:vertAlign w:val="superscript"/>
        </w:rPr>
        <w:t>2</w:t>
      </w:r>
      <w:r>
        <w:rPr>
          <w:rFonts w:ascii="Times New Roman" w:hAnsi="Times New Roman" w:cs="Times New Roman"/>
          <w:sz w:val="24"/>
        </w:rPr>
        <w:t>College of Traditional Chinese Medicine, Changchun University of Chinese Medicine</w:t>
      </w:r>
      <w:r>
        <w:rPr>
          <w:rFonts w:ascii="Times New Roman" w:hAnsi="Times New Roman" w:cs="Times New Roman" w:hint="eastAsia"/>
          <w:sz w:val="24"/>
        </w:rPr>
        <w:t>, Changchun 130117, Jilin, China</w:t>
      </w:r>
    </w:p>
    <w:p w14:paraId="48B50252" w14:textId="77777777" w:rsidR="003A2F23" w:rsidRDefault="00000000" w:rsidP="002067BA">
      <w:pPr>
        <w:snapToGrid w:val="0"/>
        <w:rPr>
          <w:rFonts w:ascii="Times New Roman" w:hAnsi="Times New Roman" w:cs="Times New Roman"/>
          <w:sz w:val="24"/>
        </w:rPr>
      </w:pPr>
      <w:r>
        <w:rPr>
          <w:rFonts w:ascii="Times New Roman" w:hAnsi="Times New Roman" w:cs="Times New Roman"/>
          <w:sz w:val="24"/>
          <w:vertAlign w:val="superscript"/>
        </w:rPr>
        <w:t>3</w:t>
      </w:r>
      <w:r>
        <w:rPr>
          <w:rFonts w:ascii="Times New Roman" w:hAnsi="Times New Roman" w:cs="Times New Roman"/>
          <w:sz w:val="24"/>
        </w:rPr>
        <w:t>Changchun University of Chinese Medicine</w:t>
      </w:r>
      <w:r>
        <w:rPr>
          <w:rFonts w:ascii="Times New Roman" w:hAnsi="Times New Roman" w:cs="Times New Roman" w:hint="eastAsia"/>
          <w:sz w:val="24"/>
        </w:rPr>
        <w:t>, Changchun 130117, Jilin, China</w:t>
      </w:r>
    </w:p>
    <w:p w14:paraId="375DB940" w14:textId="468F974C" w:rsidR="003A2F23" w:rsidRDefault="00000000" w:rsidP="002067BA">
      <w:pPr>
        <w:snapToGrid w:val="0"/>
        <w:rPr>
          <w:rFonts w:ascii="Times New Roman" w:hAnsi="Times New Roman" w:cs="Times New Roman"/>
          <w:sz w:val="24"/>
        </w:rPr>
      </w:pPr>
      <w:r>
        <w:rPr>
          <w:rFonts w:ascii="Times New Roman" w:hAnsi="Times New Roman" w:cs="Times New Roman" w:hint="eastAsia"/>
          <w:b/>
          <w:bCs/>
          <w:sz w:val="24"/>
        </w:rPr>
        <w:t>*</w:t>
      </w:r>
      <w:r>
        <w:rPr>
          <w:rFonts w:ascii="Times New Roman" w:hAnsi="Times New Roman" w:cs="Times New Roman"/>
          <w:b/>
          <w:bCs/>
          <w:i/>
          <w:iCs/>
          <w:sz w:val="24"/>
        </w:rPr>
        <w:t xml:space="preserve">Corresponding </w:t>
      </w:r>
      <w:r>
        <w:rPr>
          <w:rFonts w:ascii="Times New Roman" w:hAnsi="Times New Roman" w:cs="Times New Roman" w:hint="eastAsia"/>
          <w:b/>
          <w:bCs/>
          <w:i/>
          <w:iCs/>
          <w:sz w:val="24"/>
        </w:rPr>
        <w:t>a</w:t>
      </w:r>
      <w:r>
        <w:rPr>
          <w:rFonts w:ascii="Times New Roman" w:hAnsi="Times New Roman" w:cs="Times New Roman"/>
          <w:b/>
          <w:bCs/>
          <w:i/>
          <w:iCs/>
          <w:sz w:val="24"/>
        </w:rPr>
        <w:t>uthor</w:t>
      </w:r>
      <w:r>
        <w:rPr>
          <w:rFonts w:ascii="Times New Roman" w:hAnsi="Times New Roman" w:cs="Times New Roman"/>
          <w:sz w:val="24"/>
        </w:rPr>
        <w:t>: Qin Wang</w:t>
      </w:r>
      <w:r>
        <w:rPr>
          <w:rFonts w:ascii="Times New Roman" w:hAnsi="Times New Roman" w:cs="Times New Roman" w:hint="eastAsia"/>
          <w:sz w:val="24"/>
        </w:rPr>
        <w:t xml:space="preserve">, </w:t>
      </w:r>
      <w:r>
        <w:rPr>
          <w:rFonts w:ascii="Times New Roman" w:hAnsi="Times New Roman" w:cs="Times New Roman"/>
          <w:sz w:val="24"/>
        </w:rPr>
        <w:t xml:space="preserve">362745885@qq.com </w:t>
      </w:r>
    </w:p>
    <w:p w14:paraId="00A1B011" w14:textId="77777777" w:rsidR="003A2F23" w:rsidRDefault="003A2F23" w:rsidP="00654284">
      <w:pPr>
        <w:snapToGrid w:val="0"/>
        <w:rPr>
          <w:rFonts w:ascii="Times New Roman" w:hAnsi="Times New Roman" w:cs="Times New Roman"/>
          <w:sz w:val="24"/>
        </w:rPr>
      </w:pPr>
    </w:p>
    <w:p w14:paraId="2C59BEE2" w14:textId="77777777" w:rsidR="00654284" w:rsidRPr="002067BA" w:rsidRDefault="00654284" w:rsidP="00654284">
      <w:pPr>
        <w:snapToGrid w:val="0"/>
        <w:rPr>
          <w:rFonts w:ascii="Times New Roman" w:hAnsi="Times New Roman" w:cs="Times New Roman"/>
          <w:sz w:val="20"/>
          <w:szCs w:val="20"/>
        </w:rPr>
      </w:pPr>
      <w:r w:rsidRPr="002067BA">
        <w:rPr>
          <w:rFonts w:ascii="Times New Roman" w:hAnsi="Times New Roman" w:cs="Times New Roman"/>
          <w:b/>
          <w:bCs/>
          <w:sz w:val="20"/>
          <w:szCs w:val="20"/>
        </w:rPr>
        <w:t xml:space="preserve">Copyright: </w:t>
      </w:r>
      <w:r w:rsidRPr="002067BA">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2BE929B4" w14:textId="77777777" w:rsidR="00654284" w:rsidRDefault="00654284" w:rsidP="002067BA">
      <w:pPr>
        <w:snapToGrid w:val="0"/>
        <w:rPr>
          <w:rFonts w:ascii="Times New Roman" w:hAnsi="Times New Roman" w:cs="Times New Roman"/>
          <w:sz w:val="24"/>
        </w:rPr>
      </w:pPr>
    </w:p>
    <w:p w14:paraId="75092A2F" w14:textId="1C78195E" w:rsidR="003A2F23" w:rsidRDefault="00000000" w:rsidP="002067BA">
      <w:pPr>
        <w:snapToGrid w:val="0"/>
        <w:rPr>
          <w:rFonts w:ascii="Times New Roman" w:hAnsi="Times New Roman" w:cs="Times New Roman"/>
          <w:sz w:val="24"/>
        </w:rPr>
      </w:pPr>
      <w:r>
        <w:rPr>
          <w:rFonts w:ascii="Times New Roman" w:hAnsi="Times New Roman" w:cs="Times New Roman"/>
          <w:b/>
          <w:bCs/>
          <w:sz w:val="24"/>
        </w:rPr>
        <w:t xml:space="preserve">Abstract: </w:t>
      </w:r>
      <w:r>
        <w:rPr>
          <w:rFonts w:ascii="Times New Roman" w:hAnsi="Times New Roman" w:cs="Times New Roman"/>
          <w:i/>
          <w:iCs/>
          <w:sz w:val="24"/>
        </w:rPr>
        <w:t>Objective:</w:t>
      </w:r>
      <w:r>
        <w:rPr>
          <w:rFonts w:ascii="Times New Roman" w:hAnsi="Times New Roman" w:cs="Times New Roman"/>
          <w:sz w:val="24"/>
        </w:rPr>
        <w:t xml:space="preserve"> To observe the effectiveness and safety of black rice anthocyanins in preventing cataracts and age-related macular degeneration (dry form). </w:t>
      </w:r>
      <w:r>
        <w:rPr>
          <w:rFonts w:ascii="Times New Roman" w:hAnsi="Times New Roman" w:cs="Times New Roman"/>
          <w:i/>
          <w:iCs/>
          <w:sz w:val="24"/>
        </w:rPr>
        <w:t>Methods:</w:t>
      </w:r>
      <w:r>
        <w:rPr>
          <w:rFonts w:ascii="Times New Roman" w:hAnsi="Times New Roman" w:cs="Times New Roman"/>
          <w:sz w:val="24"/>
        </w:rPr>
        <w:t xml:space="preserve"> Patients with cataracts and age-related macular degeneration who were outpatients or inpatients at the Ophthalmology Department of Changchun Hospital of Traditional Chinese Medicine from December 2024 to December 2025 were selected as the study subjects. They were randomly divided into an observation group and a control group, with 50 cases in each group, using a random number table method. The observation group received oral black rice anthocyanins, while the control group received oral vitamin C pills. Both groups were treated for 20 days and observed for 3 months. Visual acuity, lens, and retina conditions were compared before and after treatment to verify whether black rice anthocyanins could effectively prevent the occurrence and development of cataracts and age-related macular degeneration (dry form) and delay disease progression. </w:t>
      </w:r>
      <w:r>
        <w:rPr>
          <w:rFonts w:ascii="Times New Roman" w:hAnsi="Times New Roman" w:cs="Times New Roman"/>
          <w:i/>
          <w:iCs/>
          <w:sz w:val="24"/>
        </w:rPr>
        <w:t>Results:</w:t>
      </w:r>
      <w:r>
        <w:rPr>
          <w:rFonts w:ascii="Times New Roman" w:hAnsi="Times New Roman" w:cs="Times New Roman"/>
          <w:sz w:val="24"/>
        </w:rPr>
        <w:t xml:space="preserve"> Comparing the clinical efficacy of the two groups, the observation group had a total effective rate of 84%, while the control group had a total effective rate of 62%. The observation group was significantly superior to the control group. After χ</w:t>
      </w:r>
      <w:r>
        <w:rPr>
          <w:rFonts w:ascii="Times New Roman" w:hAnsi="Times New Roman" w:cs="Times New Roman"/>
          <w:sz w:val="24"/>
          <w:vertAlign w:val="superscript"/>
        </w:rPr>
        <w:t>2</w:t>
      </w:r>
      <w:r>
        <w:rPr>
          <w:rFonts w:ascii="Times New Roman" w:hAnsi="Times New Roman" w:cs="Times New Roman"/>
          <w:sz w:val="24"/>
        </w:rPr>
        <w:t xml:space="preserve"> testing, </w:t>
      </w:r>
      <w:r w:rsidR="00654284">
        <w:rPr>
          <w:rFonts w:ascii="Times New Roman" w:hAnsi="Times New Roman" w:cs="Times New Roman"/>
          <w:i/>
          <w:iCs/>
          <w:sz w:val="24"/>
        </w:rPr>
        <w:t xml:space="preserve">p </w:t>
      </w:r>
      <w:r>
        <w:rPr>
          <w:rFonts w:ascii="Times New Roman" w:hAnsi="Times New Roman" w:cs="Times New Roman"/>
          <w:sz w:val="24"/>
        </w:rPr>
        <w:t>=</w:t>
      </w:r>
      <w:r w:rsidR="00654284">
        <w:rPr>
          <w:rFonts w:ascii="Times New Roman" w:hAnsi="Times New Roman" w:cs="Times New Roman"/>
          <w:sz w:val="24"/>
        </w:rPr>
        <w:t xml:space="preserve"> </w:t>
      </w:r>
      <w:r>
        <w:rPr>
          <w:rFonts w:ascii="Times New Roman" w:hAnsi="Times New Roman" w:cs="Times New Roman"/>
          <w:sz w:val="24"/>
        </w:rPr>
        <w:t xml:space="preserve">0.013, </w:t>
      </w:r>
      <w:r w:rsidR="00654284">
        <w:rPr>
          <w:rFonts w:ascii="Times New Roman" w:hAnsi="Times New Roman" w:cs="Times New Roman"/>
          <w:i/>
          <w:iCs/>
          <w:sz w:val="24"/>
        </w:rPr>
        <w:t xml:space="preserve">p </w:t>
      </w:r>
      <w:r>
        <w:rPr>
          <w:rFonts w:ascii="Times New Roman" w:hAnsi="Times New Roman" w:cs="Times New Roman"/>
          <w:sz w:val="24"/>
        </w:rPr>
        <w:t>&lt;</w:t>
      </w:r>
      <w:r w:rsidR="00654284">
        <w:rPr>
          <w:rFonts w:ascii="Times New Roman" w:hAnsi="Times New Roman" w:cs="Times New Roman"/>
          <w:sz w:val="24"/>
        </w:rPr>
        <w:t xml:space="preserve"> </w:t>
      </w:r>
      <w:r>
        <w:rPr>
          <w:rFonts w:ascii="Times New Roman" w:hAnsi="Times New Roman" w:cs="Times New Roman"/>
          <w:sz w:val="24"/>
        </w:rPr>
        <w:t xml:space="preserve">0.05, indicating a significant difference in the total effective rates between the two groups. In terms of visual acuity and the number of lines improved, the observation group was significantly superior to the control group. </w:t>
      </w:r>
      <w:r>
        <w:rPr>
          <w:rFonts w:ascii="Times New Roman" w:hAnsi="Times New Roman" w:cs="Times New Roman"/>
          <w:i/>
          <w:iCs/>
          <w:sz w:val="24"/>
        </w:rPr>
        <w:t>Conclusion</w:t>
      </w:r>
      <w:r>
        <w:rPr>
          <w:rFonts w:ascii="Times New Roman" w:hAnsi="Times New Roman" w:cs="Times New Roman" w:hint="eastAsia"/>
          <w:sz w:val="24"/>
        </w:rPr>
        <w:t>:</w:t>
      </w:r>
      <w:r>
        <w:rPr>
          <w:rFonts w:ascii="Times New Roman" w:hAnsi="Times New Roman" w:cs="Times New Roman"/>
          <w:sz w:val="24"/>
        </w:rPr>
        <w:t xml:space="preserve"> Black rice anthocyanins effectively </w:t>
      </w:r>
      <w:r w:rsidR="00654284">
        <w:rPr>
          <w:rFonts w:ascii="Times New Roman" w:hAnsi="Times New Roman" w:cs="Times New Roman"/>
          <w:sz w:val="24"/>
        </w:rPr>
        <w:t>improve visual acuity, lens opacity, and retinal</w:t>
      </w:r>
      <w:r>
        <w:rPr>
          <w:rFonts w:ascii="Times New Roman" w:hAnsi="Times New Roman" w:cs="Times New Roman"/>
          <w:sz w:val="24"/>
        </w:rPr>
        <w:t xml:space="preserve"> conditions in patients with early-stage cataracts and age-related macular degeneration (dry form), demonstrating definite clinical efficacy and safety without side effects. This study provides a new approach for the early prevention of cataracts and age-related macular degeneration (dry form). </w:t>
      </w:r>
    </w:p>
    <w:p w14:paraId="1D450D9E" w14:textId="77777777" w:rsidR="003A2F23" w:rsidRDefault="00000000" w:rsidP="002067BA">
      <w:pPr>
        <w:snapToGrid w:val="0"/>
        <w:rPr>
          <w:rFonts w:ascii="Times New Roman" w:hAnsi="Times New Roman" w:cs="Times New Roman"/>
          <w:sz w:val="24"/>
        </w:rPr>
      </w:pPr>
      <w:r>
        <w:rPr>
          <w:rFonts w:ascii="Times New Roman" w:hAnsi="Times New Roman" w:cs="Times New Roman"/>
          <w:b/>
          <w:bCs/>
          <w:sz w:val="24"/>
        </w:rPr>
        <w:t xml:space="preserve">Keywords: </w:t>
      </w:r>
      <w:r>
        <w:rPr>
          <w:rFonts w:ascii="Times New Roman" w:hAnsi="Times New Roman" w:cs="Times New Roman"/>
          <w:sz w:val="24"/>
        </w:rPr>
        <w:t>Black rice anthocyanins; Cataracts; Age-related macular degeneration</w:t>
      </w:r>
    </w:p>
    <w:p w14:paraId="2BF7DA59" w14:textId="77777777" w:rsidR="003A2F23" w:rsidRDefault="003A2F23" w:rsidP="00654284">
      <w:pPr>
        <w:snapToGrid w:val="0"/>
        <w:rPr>
          <w:rFonts w:ascii="Times New Roman" w:hAnsi="Times New Roman" w:cs="Times New Roman"/>
          <w:sz w:val="24"/>
        </w:rPr>
      </w:pPr>
    </w:p>
    <w:p w14:paraId="2951810F" w14:textId="33582B95" w:rsidR="00654284" w:rsidRDefault="00654284" w:rsidP="00654284">
      <w:pPr>
        <w:snapToGrid w:val="0"/>
        <w:rPr>
          <w:rFonts w:ascii="Times New Roman" w:hAnsi="Times New Roman" w:cs="Times New Roman"/>
          <w:sz w:val="24"/>
        </w:rPr>
      </w:pPr>
      <w:r>
        <w:rPr>
          <w:rFonts w:ascii="Times New Roman" w:hAnsi="Times New Roman" w:cs="Times New Roman"/>
          <w:b/>
          <w:bCs/>
          <w:sz w:val="24"/>
        </w:rPr>
        <w:t>Online</w:t>
      </w:r>
      <w:r w:rsidRPr="002067BA">
        <w:rPr>
          <w:rFonts w:ascii="Times New Roman" w:hAnsi="Times New Roman" w:cs="Times New Roman"/>
          <w:b/>
          <w:bCs/>
          <w:sz w:val="24"/>
        </w:rPr>
        <w:t xml:space="preserve"> publication</w:t>
      </w:r>
      <w:r>
        <w:rPr>
          <w:rFonts w:ascii="Times New Roman" w:hAnsi="Times New Roman" w:cs="Times New Roman"/>
          <w:sz w:val="24"/>
        </w:rPr>
        <w:t>:</w:t>
      </w:r>
    </w:p>
    <w:p w14:paraId="748C955D" w14:textId="77777777" w:rsidR="00654284" w:rsidRDefault="00654284" w:rsidP="002067BA">
      <w:pPr>
        <w:snapToGrid w:val="0"/>
        <w:rPr>
          <w:rFonts w:ascii="Times New Roman" w:hAnsi="Times New Roman" w:cs="Times New Roman"/>
          <w:sz w:val="24"/>
        </w:rPr>
      </w:pPr>
    </w:p>
    <w:p w14:paraId="1A7B1F40"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1. Introduction</w:t>
      </w:r>
    </w:p>
    <w:p w14:paraId="2110B9DD" w14:textId="77777777" w:rsidR="003A2F23" w:rsidRDefault="00000000" w:rsidP="002067BA">
      <w:pPr>
        <w:snapToGrid w:val="0"/>
        <w:rPr>
          <w:rFonts w:ascii="Times New Roman" w:hAnsi="Times New Roman" w:cs="Times New Roman"/>
          <w:sz w:val="24"/>
        </w:rPr>
      </w:pPr>
      <w:r>
        <w:rPr>
          <w:rFonts w:ascii="Times New Roman" w:hAnsi="Times New Roman" w:cs="Times New Roman"/>
          <w:sz w:val="24"/>
        </w:rPr>
        <w:t xml:space="preserve">With the aggravation of population aging in China, the incidence of age-related eye diseases has been increasing year by year. Cataracts and age-related macular degeneration have become the leading causes of blindness in China. Cataracts refer to eye diseases caused by various factors such as aging, local nutritional disorders, immune and metabolic abnormalities, leading to metabolic disorders of the lens, lens protein denaturation, and opacity, ultimately resulting in decreased vision or even blindness. Age-related macular degeneration is related to age, smoking, genetics, chronic light damage, etc. The pathogenesis of both is related to oxidative stress, slow metabolism, and aging. Therefore, early intervention in the disease is crucial. </w:t>
      </w:r>
    </w:p>
    <w:p w14:paraId="08EBDE68" w14:textId="77777777" w:rsidR="003A2F23" w:rsidRDefault="003A2F23" w:rsidP="002067BA">
      <w:pPr>
        <w:snapToGrid w:val="0"/>
        <w:rPr>
          <w:rFonts w:ascii="Times New Roman" w:hAnsi="Times New Roman" w:cs="Times New Roman"/>
          <w:sz w:val="24"/>
        </w:rPr>
      </w:pPr>
    </w:p>
    <w:p w14:paraId="2F5E8204"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 Materials and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7B04E188"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lastRenderedPageBreak/>
        <w:t>2</w:t>
      </w:r>
      <w:r>
        <w:rPr>
          <w:rFonts w:ascii="Times New Roman" w:hAnsi="Times New Roman" w:cs="Times New Roman"/>
          <w:b/>
          <w:bCs/>
          <w:sz w:val="24"/>
        </w:rPr>
        <w:t xml:space="preserve">.1. General </w:t>
      </w:r>
      <w:r>
        <w:rPr>
          <w:rFonts w:ascii="Times New Roman" w:hAnsi="Times New Roman" w:cs="Times New Roman" w:hint="eastAsia"/>
          <w:b/>
          <w:bCs/>
          <w:sz w:val="24"/>
        </w:rPr>
        <w:t>i</w:t>
      </w:r>
      <w:r>
        <w:rPr>
          <w:rFonts w:ascii="Times New Roman" w:hAnsi="Times New Roman" w:cs="Times New Roman"/>
          <w:b/>
          <w:bCs/>
          <w:sz w:val="24"/>
        </w:rPr>
        <w:t xml:space="preserve">nformation </w:t>
      </w:r>
    </w:p>
    <w:p w14:paraId="35DEE54E" w14:textId="1AC8FAC3" w:rsidR="003A2F23" w:rsidRDefault="00000000" w:rsidP="002067BA">
      <w:pPr>
        <w:snapToGrid w:val="0"/>
        <w:rPr>
          <w:rFonts w:ascii="Times New Roman" w:hAnsi="Times New Roman" w:cs="Times New Roman"/>
          <w:sz w:val="24"/>
        </w:rPr>
      </w:pPr>
      <w:r>
        <w:rPr>
          <w:rFonts w:ascii="Times New Roman" w:hAnsi="Times New Roman" w:cs="Times New Roman"/>
          <w:sz w:val="24"/>
        </w:rPr>
        <w:t>This study selected 100 patients diagnosed with cataracts and age-related macular degeneration at the Ophthalmology Department of our hospital from December 2024 to December 2025. They were randomly divided into an observation group and a control group using a random number table method, with 50 cases (50 eyes) in each group. In the observation group, there were 24 males and 26 females, aged 50</w:t>
      </w:r>
      <w:r w:rsidR="00654284">
        <w:rPr>
          <w:rFonts w:ascii="Times New Roman" w:hAnsi="Times New Roman" w:cs="Times New Roman"/>
          <w:sz w:val="24"/>
        </w:rPr>
        <w:t>–</w:t>
      </w:r>
      <w:r>
        <w:rPr>
          <w:rFonts w:ascii="Times New Roman" w:hAnsi="Times New Roman" w:cs="Times New Roman"/>
          <w:sz w:val="24"/>
        </w:rPr>
        <w:t>73 (60.24</w:t>
      </w:r>
      <w:r w:rsidR="00654284">
        <w:rPr>
          <w:rFonts w:ascii="Times New Roman" w:hAnsi="Times New Roman" w:cs="Times New Roman"/>
          <w:sz w:val="24"/>
        </w:rPr>
        <w:t xml:space="preserve"> </w:t>
      </w:r>
      <w:r>
        <w:rPr>
          <w:rFonts w:ascii="Times New Roman" w:hAnsi="Times New Roman" w:cs="Times New Roman"/>
          <w:sz w:val="24"/>
        </w:rPr>
        <w:t>±</w:t>
      </w:r>
      <w:r w:rsidR="00654284">
        <w:rPr>
          <w:rFonts w:ascii="Times New Roman" w:hAnsi="Times New Roman" w:cs="Times New Roman"/>
          <w:sz w:val="24"/>
        </w:rPr>
        <w:t xml:space="preserve"> </w:t>
      </w:r>
      <w:r>
        <w:rPr>
          <w:rFonts w:ascii="Times New Roman" w:hAnsi="Times New Roman" w:cs="Times New Roman"/>
          <w:sz w:val="24"/>
        </w:rPr>
        <w:t>6.20) years old; in the control group, there were 29 males and 21 females, aged 51</w:t>
      </w:r>
      <w:r w:rsidR="00654284">
        <w:rPr>
          <w:rFonts w:ascii="Times New Roman" w:hAnsi="Times New Roman" w:cs="Times New Roman"/>
          <w:sz w:val="24"/>
        </w:rPr>
        <w:t>–</w:t>
      </w:r>
      <w:r>
        <w:rPr>
          <w:rFonts w:ascii="Times New Roman" w:hAnsi="Times New Roman" w:cs="Times New Roman"/>
          <w:sz w:val="24"/>
        </w:rPr>
        <w:t>75 (60.44</w:t>
      </w:r>
      <w:r w:rsidR="00654284">
        <w:rPr>
          <w:rFonts w:ascii="Times New Roman" w:hAnsi="Times New Roman" w:cs="Times New Roman"/>
          <w:sz w:val="24"/>
        </w:rPr>
        <w:t xml:space="preserve"> </w:t>
      </w:r>
      <w:r>
        <w:rPr>
          <w:rFonts w:ascii="Times New Roman" w:hAnsi="Times New Roman" w:cs="Times New Roman"/>
          <w:sz w:val="24"/>
        </w:rPr>
        <w:t>±</w:t>
      </w:r>
      <w:r w:rsidR="00654284">
        <w:rPr>
          <w:rFonts w:ascii="Times New Roman" w:hAnsi="Times New Roman" w:cs="Times New Roman"/>
          <w:sz w:val="24"/>
        </w:rPr>
        <w:t xml:space="preserve"> </w:t>
      </w:r>
      <w:r>
        <w:rPr>
          <w:rFonts w:ascii="Times New Roman" w:hAnsi="Times New Roman" w:cs="Times New Roman"/>
          <w:sz w:val="24"/>
        </w:rPr>
        <w:t>5.79) years old. There were no statistically significant differences in general information between the two groups (</w:t>
      </w:r>
      <w:r w:rsidR="00654284">
        <w:rPr>
          <w:rFonts w:ascii="Times New Roman" w:hAnsi="Times New Roman" w:cs="Times New Roman"/>
          <w:i/>
          <w:iCs/>
          <w:sz w:val="24"/>
        </w:rPr>
        <w:t xml:space="preserve">p </w:t>
      </w:r>
      <w:r>
        <w:rPr>
          <w:rFonts w:ascii="Times New Roman" w:hAnsi="Times New Roman" w:cs="Times New Roman"/>
          <w:sz w:val="24"/>
        </w:rPr>
        <w:t>&gt;</w:t>
      </w:r>
      <w:r w:rsidR="00654284">
        <w:rPr>
          <w:rFonts w:ascii="Times New Roman" w:hAnsi="Times New Roman" w:cs="Times New Roman"/>
          <w:sz w:val="24"/>
        </w:rPr>
        <w:t xml:space="preserve"> </w:t>
      </w:r>
      <w:r>
        <w:rPr>
          <w:rFonts w:ascii="Times New Roman" w:hAnsi="Times New Roman" w:cs="Times New Roman"/>
          <w:sz w:val="24"/>
        </w:rPr>
        <w:t xml:space="preserve">0.05). This study was reviewed and approved by the hospital’s medical ethics committee, and all subjects were informed of the study content and signed informed consent forms before treatment. </w:t>
      </w:r>
    </w:p>
    <w:p w14:paraId="412B3405" w14:textId="77777777" w:rsidR="003A2F23" w:rsidRDefault="003A2F23" w:rsidP="002067BA">
      <w:pPr>
        <w:snapToGrid w:val="0"/>
        <w:rPr>
          <w:rFonts w:ascii="Times New Roman" w:hAnsi="Times New Roman" w:cs="Times New Roman"/>
          <w:sz w:val="24"/>
        </w:rPr>
      </w:pPr>
    </w:p>
    <w:p w14:paraId="1AA2F5AD"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.2. Inclusion and </w:t>
      </w:r>
      <w:r>
        <w:rPr>
          <w:rFonts w:ascii="Times New Roman" w:hAnsi="Times New Roman" w:cs="Times New Roman" w:hint="eastAsia"/>
          <w:b/>
          <w:bCs/>
          <w:sz w:val="24"/>
        </w:rPr>
        <w:t>e</w:t>
      </w:r>
      <w:r>
        <w:rPr>
          <w:rFonts w:ascii="Times New Roman" w:hAnsi="Times New Roman" w:cs="Times New Roman"/>
          <w:b/>
          <w:bCs/>
          <w:sz w:val="24"/>
        </w:rPr>
        <w:t xml:space="preserve">xclusion </w:t>
      </w:r>
      <w:r>
        <w:rPr>
          <w:rFonts w:ascii="Times New Roman" w:hAnsi="Times New Roman" w:cs="Times New Roman" w:hint="eastAsia"/>
          <w:b/>
          <w:bCs/>
          <w:sz w:val="24"/>
        </w:rPr>
        <w:t>c</w:t>
      </w:r>
      <w:r>
        <w:rPr>
          <w:rFonts w:ascii="Times New Roman" w:hAnsi="Times New Roman" w:cs="Times New Roman"/>
          <w:b/>
          <w:bCs/>
          <w:sz w:val="24"/>
        </w:rPr>
        <w:t xml:space="preserve">riteria </w:t>
      </w:r>
    </w:p>
    <w:p w14:paraId="062A561D"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 xml:space="preserve">2.2.1. </w:t>
      </w:r>
      <w:r>
        <w:rPr>
          <w:rFonts w:ascii="Times New Roman" w:hAnsi="Times New Roman" w:cs="Times New Roman"/>
          <w:b/>
          <w:bCs/>
          <w:sz w:val="24"/>
        </w:rPr>
        <w:t>Inclusion criteria</w:t>
      </w:r>
    </w:p>
    <w:p w14:paraId="069BCB26" w14:textId="77777777" w:rsidR="00654284" w:rsidRDefault="00000000" w:rsidP="00654284">
      <w:pPr>
        <w:snapToGrid w:val="0"/>
        <w:ind w:left="709" w:hanging="709"/>
        <w:rPr>
          <w:rFonts w:ascii="Times New Roman" w:hAnsi="Times New Roman" w:cs="Times New Roman"/>
          <w:sz w:val="24"/>
        </w:rPr>
      </w:pPr>
      <w:r>
        <w:rPr>
          <w:rFonts w:ascii="Times New Roman" w:hAnsi="Times New Roman" w:cs="Times New Roman"/>
          <w:sz w:val="24"/>
        </w:rPr>
        <w:t xml:space="preserve">(1) </w:t>
      </w:r>
      <w:r w:rsidR="00654284">
        <w:rPr>
          <w:rFonts w:ascii="Times New Roman" w:hAnsi="Times New Roman" w:cs="Times New Roman"/>
          <w:sz w:val="24"/>
        </w:rPr>
        <w:tab/>
      </w:r>
      <w:r>
        <w:rPr>
          <w:rFonts w:ascii="Times New Roman" w:hAnsi="Times New Roman" w:cs="Times New Roman"/>
          <w:sz w:val="24"/>
        </w:rPr>
        <w:t xml:space="preserve">Patients diagnosed with early-stage cataracts and age-related macular degeneration (dry form); </w:t>
      </w:r>
    </w:p>
    <w:p w14:paraId="1E522BE0" w14:textId="22C243B1" w:rsidR="00654284" w:rsidRDefault="00000000" w:rsidP="002067BA">
      <w:pPr>
        <w:snapToGrid w:val="0"/>
        <w:ind w:left="709" w:hanging="709"/>
        <w:rPr>
          <w:rFonts w:ascii="Times New Roman" w:hAnsi="Times New Roman" w:cs="Times New Roman"/>
          <w:sz w:val="24"/>
        </w:rPr>
      </w:pPr>
      <w:r>
        <w:rPr>
          <w:rFonts w:ascii="Times New Roman" w:hAnsi="Times New Roman" w:cs="Times New Roman"/>
          <w:sz w:val="24"/>
        </w:rPr>
        <w:t xml:space="preserve">(2) </w:t>
      </w:r>
      <w:r w:rsidR="00654284">
        <w:rPr>
          <w:rFonts w:ascii="Times New Roman" w:hAnsi="Times New Roman" w:cs="Times New Roman"/>
          <w:sz w:val="24"/>
        </w:rPr>
        <w:tab/>
      </w:r>
      <w:r>
        <w:rPr>
          <w:rFonts w:ascii="Times New Roman" w:hAnsi="Times New Roman" w:cs="Times New Roman"/>
          <w:sz w:val="24"/>
        </w:rPr>
        <w:t>Aged 50</w:t>
      </w:r>
      <w:r w:rsidR="00654284">
        <w:rPr>
          <w:rFonts w:ascii="Times New Roman" w:hAnsi="Times New Roman" w:cs="Times New Roman"/>
          <w:sz w:val="24"/>
        </w:rPr>
        <w:t>–</w:t>
      </w:r>
      <w:r>
        <w:rPr>
          <w:rFonts w:ascii="Times New Roman" w:hAnsi="Times New Roman" w:cs="Times New Roman"/>
          <w:sz w:val="24"/>
        </w:rPr>
        <w:t xml:space="preserve">75 years old; </w:t>
      </w:r>
    </w:p>
    <w:p w14:paraId="477703BF" w14:textId="11ABA5AF" w:rsidR="00654284" w:rsidRDefault="00000000" w:rsidP="002067BA">
      <w:pPr>
        <w:snapToGrid w:val="0"/>
        <w:ind w:left="709" w:hanging="709"/>
        <w:rPr>
          <w:rFonts w:ascii="Times New Roman" w:hAnsi="Times New Roman" w:cs="Times New Roman"/>
          <w:sz w:val="24"/>
        </w:rPr>
      </w:pPr>
      <w:r>
        <w:rPr>
          <w:rFonts w:ascii="Times New Roman" w:hAnsi="Times New Roman" w:cs="Times New Roman"/>
          <w:sz w:val="24"/>
        </w:rPr>
        <w:t xml:space="preserve">(3) </w:t>
      </w:r>
      <w:r w:rsidR="00654284">
        <w:rPr>
          <w:rFonts w:ascii="Times New Roman" w:hAnsi="Times New Roman" w:cs="Times New Roman"/>
          <w:sz w:val="24"/>
        </w:rPr>
        <w:tab/>
      </w:r>
      <w:r>
        <w:rPr>
          <w:rFonts w:ascii="Times New Roman" w:hAnsi="Times New Roman" w:cs="Times New Roman"/>
          <w:sz w:val="24"/>
        </w:rPr>
        <w:t xml:space="preserve">No history of eye surgery or trauma; </w:t>
      </w:r>
    </w:p>
    <w:p w14:paraId="4C5882F0" w14:textId="51A4DAC1" w:rsidR="003A2F23" w:rsidRDefault="00000000" w:rsidP="002067BA">
      <w:pPr>
        <w:snapToGrid w:val="0"/>
        <w:ind w:left="709" w:hanging="709"/>
        <w:rPr>
          <w:rFonts w:ascii="Times New Roman" w:hAnsi="Times New Roman" w:cs="Times New Roman"/>
          <w:sz w:val="24"/>
        </w:rPr>
      </w:pPr>
      <w:r>
        <w:rPr>
          <w:rFonts w:ascii="Times New Roman" w:hAnsi="Times New Roman" w:cs="Times New Roman"/>
          <w:sz w:val="24"/>
        </w:rPr>
        <w:t xml:space="preserve">(4) </w:t>
      </w:r>
      <w:r w:rsidR="00654284">
        <w:rPr>
          <w:rFonts w:ascii="Times New Roman" w:hAnsi="Times New Roman" w:cs="Times New Roman"/>
          <w:sz w:val="24"/>
        </w:rPr>
        <w:tab/>
      </w:r>
      <w:r>
        <w:rPr>
          <w:rFonts w:ascii="Times New Roman" w:hAnsi="Times New Roman" w:cs="Times New Roman"/>
          <w:sz w:val="24"/>
        </w:rPr>
        <w:t xml:space="preserve">Signed the “informed consent form” for inclusion in the observation cases. </w:t>
      </w:r>
    </w:p>
    <w:p w14:paraId="040FEBA5" w14:textId="77777777" w:rsidR="003A2F23" w:rsidRDefault="003A2F23" w:rsidP="002067BA">
      <w:pPr>
        <w:snapToGrid w:val="0"/>
        <w:rPr>
          <w:rFonts w:ascii="Times New Roman" w:hAnsi="Times New Roman" w:cs="Times New Roman"/>
          <w:sz w:val="24"/>
        </w:rPr>
      </w:pPr>
    </w:p>
    <w:p w14:paraId="28EA2ADF"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 xml:space="preserve">2.2.2. </w:t>
      </w:r>
      <w:r>
        <w:rPr>
          <w:rFonts w:ascii="Times New Roman" w:hAnsi="Times New Roman" w:cs="Times New Roman"/>
          <w:b/>
          <w:bCs/>
          <w:sz w:val="24"/>
        </w:rPr>
        <w:t>Exclusion criteria</w:t>
      </w:r>
    </w:p>
    <w:p w14:paraId="4CE6134E" w14:textId="00FFEFE3" w:rsidR="00654284" w:rsidRDefault="00000000" w:rsidP="002067BA">
      <w:pPr>
        <w:snapToGrid w:val="0"/>
        <w:ind w:left="709" w:hanging="709"/>
        <w:rPr>
          <w:rFonts w:ascii="Times New Roman" w:hAnsi="Times New Roman" w:cs="Times New Roman"/>
          <w:sz w:val="24"/>
        </w:rPr>
      </w:pPr>
      <w:r>
        <w:rPr>
          <w:rFonts w:ascii="Times New Roman" w:hAnsi="Times New Roman" w:cs="Times New Roman"/>
          <w:sz w:val="24"/>
        </w:rPr>
        <w:t xml:space="preserve">(1) </w:t>
      </w:r>
      <w:r w:rsidR="00654284">
        <w:rPr>
          <w:rFonts w:ascii="Times New Roman" w:hAnsi="Times New Roman" w:cs="Times New Roman"/>
          <w:sz w:val="24"/>
        </w:rPr>
        <w:tab/>
      </w:r>
      <w:r>
        <w:rPr>
          <w:rFonts w:ascii="Times New Roman" w:hAnsi="Times New Roman" w:cs="Times New Roman"/>
          <w:sz w:val="24"/>
        </w:rPr>
        <w:t xml:space="preserve">Accompanied by other eye diseases; </w:t>
      </w:r>
    </w:p>
    <w:p w14:paraId="7B859D9A" w14:textId="75A28B9D" w:rsidR="00654284" w:rsidRDefault="00000000" w:rsidP="002067BA">
      <w:pPr>
        <w:snapToGrid w:val="0"/>
        <w:ind w:left="709" w:hanging="709"/>
        <w:rPr>
          <w:rFonts w:ascii="Times New Roman" w:hAnsi="Times New Roman" w:cs="Times New Roman"/>
          <w:sz w:val="24"/>
        </w:rPr>
      </w:pPr>
      <w:r>
        <w:rPr>
          <w:rFonts w:ascii="Times New Roman" w:hAnsi="Times New Roman" w:cs="Times New Roman"/>
          <w:sz w:val="24"/>
        </w:rPr>
        <w:t xml:space="preserve">(2) </w:t>
      </w:r>
      <w:r w:rsidR="00654284">
        <w:rPr>
          <w:rFonts w:ascii="Times New Roman" w:hAnsi="Times New Roman" w:cs="Times New Roman"/>
          <w:sz w:val="24"/>
        </w:rPr>
        <w:tab/>
      </w:r>
      <w:r>
        <w:rPr>
          <w:rFonts w:ascii="Times New Roman" w:hAnsi="Times New Roman" w:cs="Times New Roman"/>
          <w:sz w:val="24"/>
        </w:rPr>
        <w:t xml:space="preserve">Aged under 50 or over 75; </w:t>
      </w:r>
    </w:p>
    <w:p w14:paraId="7CE4CC0B" w14:textId="77D2F00F" w:rsidR="00654284" w:rsidRDefault="00000000" w:rsidP="002067BA">
      <w:pPr>
        <w:snapToGrid w:val="0"/>
        <w:ind w:left="709" w:hanging="709"/>
        <w:rPr>
          <w:rFonts w:ascii="Times New Roman" w:hAnsi="Times New Roman" w:cs="Times New Roman"/>
          <w:sz w:val="24"/>
        </w:rPr>
      </w:pPr>
      <w:r>
        <w:rPr>
          <w:rFonts w:ascii="Times New Roman" w:hAnsi="Times New Roman" w:cs="Times New Roman"/>
          <w:sz w:val="24"/>
        </w:rPr>
        <w:t xml:space="preserve">(3) </w:t>
      </w:r>
      <w:r w:rsidR="00654284">
        <w:rPr>
          <w:rFonts w:ascii="Times New Roman" w:hAnsi="Times New Roman" w:cs="Times New Roman"/>
          <w:sz w:val="24"/>
        </w:rPr>
        <w:tab/>
      </w:r>
      <w:r>
        <w:rPr>
          <w:rFonts w:ascii="Times New Roman" w:hAnsi="Times New Roman" w:cs="Times New Roman"/>
          <w:sz w:val="24"/>
        </w:rPr>
        <w:t xml:space="preserve">Cardiac, hepatic, or renal insufficiency; </w:t>
      </w:r>
    </w:p>
    <w:p w14:paraId="5A3381DB" w14:textId="725055B9" w:rsidR="00654284" w:rsidRDefault="00000000" w:rsidP="002067BA">
      <w:pPr>
        <w:snapToGrid w:val="0"/>
        <w:ind w:left="709" w:hanging="709"/>
        <w:rPr>
          <w:rFonts w:ascii="Times New Roman" w:hAnsi="Times New Roman" w:cs="Times New Roman"/>
          <w:sz w:val="24"/>
        </w:rPr>
      </w:pPr>
      <w:r>
        <w:rPr>
          <w:rFonts w:ascii="Times New Roman" w:hAnsi="Times New Roman" w:cs="Times New Roman"/>
          <w:sz w:val="24"/>
        </w:rPr>
        <w:t xml:space="preserve">(4) </w:t>
      </w:r>
      <w:r w:rsidR="00654284">
        <w:rPr>
          <w:rFonts w:ascii="Times New Roman" w:hAnsi="Times New Roman" w:cs="Times New Roman"/>
          <w:sz w:val="24"/>
        </w:rPr>
        <w:tab/>
      </w:r>
      <w:r>
        <w:rPr>
          <w:rFonts w:ascii="Times New Roman" w:hAnsi="Times New Roman" w:cs="Times New Roman"/>
          <w:sz w:val="24"/>
        </w:rPr>
        <w:t>Vision abnormalities caused by other reasons;</w:t>
      </w:r>
    </w:p>
    <w:p w14:paraId="20BBA32A" w14:textId="63A37B15" w:rsidR="003A2F23" w:rsidRDefault="00000000" w:rsidP="002067BA">
      <w:pPr>
        <w:snapToGrid w:val="0"/>
        <w:ind w:left="709" w:hanging="709"/>
        <w:rPr>
          <w:rFonts w:ascii="Times New Roman" w:hAnsi="Times New Roman" w:cs="Times New Roman"/>
          <w:sz w:val="24"/>
        </w:rPr>
      </w:pPr>
      <w:r>
        <w:rPr>
          <w:rFonts w:ascii="Times New Roman" w:hAnsi="Times New Roman" w:cs="Times New Roman"/>
          <w:sz w:val="24"/>
        </w:rPr>
        <w:t xml:space="preserve">(5) </w:t>
      </w:r>
      <w:r w:rsidR="00654284">
        <w:rPr>
          <w:rFonts w:ascii="Times New Roman" w:hAnsi="Times New Roman" w:cs="Times New Roman"/>
          <w:sz w:val="24"/>
        </w:rPr>
        <w:tab/>
      </w:r>
      <w:r>
        <w:rPr>
          <w:rFonts w:ascii="Times New Roman" w:hAnsi="Times New Roman" w:cs="Times New Roman"/>
          <w:sz w:val="24"/>
        </w:rPr>
        <w:t xml:space="preserve">Accompanied by other serious diseases. </w:t>
      </w:r>
    </w:p>
    <w:p w14:paraId="50AE5693" w14:textId="77777777" w:rsidR="003A2F23" w:rsidRDefault="003A2F23" w:rsidP="002067BA">
      <w:pPr>
        <w:snapToGrid w:val="0"/>
        <w:rPr>
          <w:rFonts w:ascii="Times New Roman" w:hAnsi="Times New Roman" w:cs="Times New Roman"/>
          <w:sz w:val="24"/>
        </w:rPr>
      </w:pPr>
    </w:p>
    <w:p w14:paraId="63AEF12D"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.3. Methods </w:t>
      </w:r>
    </w:p>
    <w:p w14:paraId="2A4B9843"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 xml:space="preserve">2.3.1. </w:t>
      </w:r>
      <w:r>
        <w:rPr>
          <w:rFonts w:ascii="Times New Roman" w:hAnsi="Times New Roman" w:cs="Times New Roman"/>
          <w:b/>
          <w:bCs/>
          <w:sz w:val="24"/>
        </w:rPr>
        <w:t>Observation group</w:t>
      </w:r>
    </w:p>
    <w:p w14:paraId="1AF4A9E5" w14:textId="77777777" w:rsidR="003A2F23" w:rsidRDefault="00000000" w:rsidP="002067BA">
      <w:pPr>
        <w:snapToGrid w:val="0"/>
        <w:rPr>
          <w:rFonts w:ascii="Times New Roman" w:hAnsi="Times New Roman" w:cs="Times New Roman"/>
          <w:sz w:val="24"/>
        </w:rPr>
      </w:pPr>
      <w:r>
        <w:rPr>
          <w:rFonts w:ascii="Times New Roman" w:hAnsi="Times New Roman" w:cs="Times New Roman"/>
          <w:sz w:val="24"/>
        </w:rPr>
        <w:t xml:space="preserve">Administered black rice anthocyanins (Jilin Haitao Biotechnology Co., Ltd.), 2 tablets each time, 3 times a day. </w:t>
      </w:r>
    </w:p>
    <w:p w14:paraId="5FCA30E1" w14:textId="77777777" w:rsidR="003A2F23" w:rsidRDefault="003A2F23" w:rsidP="002067BA">
      <w:pPr>
        <w:snapToGrid w:val="0"/>
        <w:rPr>
          <w:rFonts w:ascii="Times New Roman" w:hAnsi="Times New Roman" w:cs="Times New Roman"/>
          <w:sz w:val="24"/>
        </w:rPr>
      </w:pPr>
    </w:p>
    <w:p w14:paraId="1439E28F"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2.3.2.</w:t>
      </w:r>
      <w:r>
        <w:rPr>
          <w:rFonts w:ascii="Times New Roman" w:hAnsi="Times New Roman" w:cs="Times New Roman"/>
          <w:b/>
          <w:bCs/>
          <w:sz w:val="24"/>
        </w:rPr>
        <w:t xml:space="preserve"> Control group</w:t>
      </w:r>
    </w:p>
    <w:p w14:paraId="6F8F4864" w14:textId="77777777" w:rsidR="003A2F23" w:rsidRDefault="00000000" w:rsidP="002067BA">
      <w:pPr>
        <w:snapToGrid w:val="0"/>
        <w:rPr>
          <w:rFonts w:ascii="Times New Roman" w:hAnsi="Times New Roman" w:cs="Times New Roman"/>
          <w:sz w:val="24"/>
        </w:rPr>
      </w:pPr>
      <w:r>
        <w:rPr>
          <w:rFonts w:ascii="Times New Roman" w:hAnsi="Times New Roman" w:cs="Times New Roman"/>
          <w:sz w:val="24"/>
        </w:rPr>
        <w:t>Administered vitamin C pills (Sichuan Yike Pharmaceutical Co., Ltd.), 1 pill each time, 3 times a day.</w:t>
      </w:r>
    </w:p>
    <w:p w14:paraId="03F4590A" w14:textId="77777777" w:rsidR="003A2F23" w:rsidRDefault="00000000" w:rsidP="002067BA">
      <w:pPr>
        <w:snapToGrid w:val="0"/>
        <w:rPr>
          <w:rFonts w:ascii="Times New Roman" w:hAnsi="Times New Roman" w:cs="Times New Roman"/>
          <w:sz w:val="24"/>
        </w:rPr>
      </w:pPr>
      <w:r>
        <w:rPr>
          <w:rFonts w:ascii="Times New Roman" w:hAnsi="Times New Roman" w:cs="Times New Roman"/>
          <w:sz w:val="24"/>
        </w:rPr>
        <w:t xml:space="preserve"> </w:t>
      </w:r>
    </w:p>
    <w:p w14:paraId="5A8AE0E4"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 xml:space="preserve">2.3.3. </w:t>
      </w:r>
      <w:r>
        <w:rPr>
          <w:rFonts w:ascii="Times New Roman" w:hAnsi="Times New Roman" w:cs="Times New Roman"/>
          <w:b/>
          <w:bCs/>
          <w:sz w:val="24"/>
        </w:rPr>
        <w:t xml:space="preserve">Observation period </w:t>
      </w:r>
    </w:p>
    <w:p w14:paraId="320910D2" w14:textId="77777777" w:rsidR="003A2F23" w:rsidRDefault="00000000" w:rsidP="002067BA">
      <w:pPr>
        <w:snapToGrid w:val="0"/>
        <w:rPr>
          <w:rFonts w:ascii="Times New Roman" w:hAnsi="Times New Roman" w:cs="Times New Roman"/>
          <w:sz w:val="24"/>
        </w:rPr>
      </w:pPr>
      <w:r>
        <w:rPr>
          <w:rFonts w:ascii="Times New Roman" w:hAnsi="Times New Roman" w:cs="Times New Roman"/>
          <w:sz w:val="24"/>
        </w:rPr>
        <w:t xml:space="preserve">Continuous treatment for 2 courses, with each course lasting 10 days, for a total of 20 days. </w:t>
      </w:r>
    </w:p>
    <w:p w14:paraId="19DCCB46" w14:textId="77777777" w:rsidR="003A2F23" w:rsidRDefault="003A2F23" w:rsidP="002067BA">
      <w:pPr>
        <w:snapToGrid w:val="0"/>
        <w:rPr>
          <w:rFonts w:ascii="Times New Roman" w:hAnsi="Times New Roman" w:cs="Times New Roman"/>
          <w:sz w:val="24"/>
        </w:rPr>
      </w:pPr>
    </w:p>
    <w:p w14:paraId="38997892"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.4. Observation </w:t>
      </w:r>
      <w:r>
        <w:rPr>
          <w:rFonts w:ascii="Times New Roman" w:hAnsi="Times New Roman" w:cs="Times New Roman" w:hint="eastAsia"/>
          <w:b/>
          <w:bCs/>
          <w:sz w:val="24"/>
        </w:rPr>
        <w:t>i</w:t>
      </w:r>
      <w:r>
        <w:rPr>
          <w:rFonts w:ascii="Times New Roman" w:hAnsi="Times New Roman" w:cs="Times New Roman"/>
          <w:b/>
          <w:bCs/>
          <w:sz w:val="24"/>
        </w:rPr>
        <w:t xml:space="preserve">ndicators and </w:t>
      </w:r>
      <w:r>
        <w:rPr>
          <w:rFonts w:ascii="Times New Roman" w:hAnsi="Times New Roman" w:cs="Times New Roman" w:hint="eastAsia"/>
          <w:b/>
          <w:bCs/>
          <w:sz w:val="24"/>
        </w:rPr>
        <w:t>e</w:t>
      </w:r>
      <w:r>
        <w:rPr>
          <w:rFonts w:ascii="Times New Roman" w:hAnsi="Times New Roman" w:cs="Times New Roman"/>
          <w:b/>
          <w:bCs/>
          <w:sz w:val="24"/>
        </w:rPr>
        <w:t xml:space="preserve">valuation </w:t>
      </w:r>
      <w:r>
        <w:rPr>
          <w:rFonts w:ascii="Times New Roman" w:hAnsi="Times New Roman" w:cs="Times New Roman" w:hint="eastAsia"/>
          <w:b/>
          <w:bCs/>
          <w:sz w:val="24"/>
        </w:rPr>
        <w:t>c</w:t>
      </w:r>
      <w:r>
        <w:rPr>
          <w:rFonts w:ascii="Times New Roman" w:hAnsi="Times New Roman" w:cs="Times New Roman"/>
          <w:b/>
          <w:bCs/>
          <w:sz w:val="24"/>
        </w:rPr>
        <w:t xml:space="preserve">riteria </w:t>
      </w:r>
    </w:p>
    <w:p w14:paraId="59AD47AC" w14:textId="77777777" w:rsidR="00654284" w:rsidRDefault="00654284" w:rsidP="00654284">
      <w:pPr>
        <w:snapToGrid w:val="0"/>
        <w:ind w:left="709" w:hanging="709"/>
        <w:rPr>
          <w:rFonts w:ascii="Times New Roman" w:hAnsi="Times New Roman" w:cs="Times New Roman"/>
          <w:b/>
          <w:bCs/>
          <w:sz w:val="24"/>
        </w:rPr>
      </w:pPr>
      <w:r>
        <w:rPr>
          <w:rFonts w:ascii="Times New Roman" w:hAnsi="Times New Roman" w:cs="Times New Roman"/>
          <w:sz w:val="24"/>
        </w:rPr>
        <w:t>(1)</w:t>
      </w:r>
      <w:r>
        <w:rPr>
          <w:rFonts w:ascii="Times New Roman" w:hAnsi="Times New Roman" w:cs="Times New Roman"/>
          <w:sz w:val="24"/>
        </w:rPr>
        <w:tab/>
        <w:t>Markedly effective</w:t>
      </w:r>
    </w:p>
    <w:p w14:paraId="67CE529C" w14:textId="3CC3C577" w:rsidR="00654284" w:rsidRDefault="00654284" w:rsidP="002067BA">
      <w:pPr>
        <w:snapToGrid w:val="0"/>
        <w:ind w:left="709" w:hanging="709"/>
        <w:rPr>
          <w:rFonts w:ascii="Times New Roman" w:hAnsi="Times New Roman" w:cs="Times New Roman"/>
          <w:sz w:val="24"/>
        </w:rPr>
      </w:pPr>
      <w:r>
        <w:rPr>
          <w:rFonts w:ascii="Times New Roman" w:hAnsi="Times New Roman" w:cs="Times New Roman"/>
          <w:b/>
          <w:bCs/>
          <w:sz w:val="24"/>
        </w:rPr>
        <w:tab/>
      </w:r>
      <w:r>
        <w:rPr>
          <w:rFonts w:ascii="Times New Roman" w:hAnsi="Times New Roman" w:cs="Times New Roman"/>
          <w:sz w:val="24"/>
        </w:rPr>
        <w:t xml:space="preserve">The degree of lens opacity and fundus retina in patients was reduced compared to before treatment, and visual acuity improved by more than 4 lines. </w:t>
      </w:r>
    </w:p>
    <w:p w14:paraId="6C1E3CC9" w14:textId="77777777" w:rsidR="00654284" w:rsidRDefault="00654284" w:rsidP="00654284">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Effective</w:t>
      </w:r>
    </w:p>
    <w:p w14:paraId="37B1497C" w14:textId="6FC92AC5" w:rsidR="00654284" w:rsidRDefault="00654284" w:rsidP="002067BA">
      <w:pPr>
        <w:snapToGrid w:val="0"/>
        <w:ind w:left="709" w:hanging="709"/>
        <w:rPr>
          <w:rFonts w:ascii="Times New Roman" w:hAnsi="Times New Roman" w:cs="Times New Roman"/>
          <w:sz w:val="24"/>
        </w:rPr>
      </w:pPr>
      <w:r>
        <w:rPr>
          <w:rFonts w:ascii="Times New Roman" w:hAnsi="Times New Roman" w:cs="Times New Roman"/>
          <w:sz w:val="24"/>
        </w:rPr>
        <w:tab/>
        <w:t>The degree of lens opacity and fundus retina in patients showed no significant changes, but visual acuity improved by 2–4 lines.</w:t>
      </w:r>
    </w:p>
    <w:p w14:paraId="12E913D1" w14:textId="137ABB7C" w:rsidR="00654284" w:rsidRDefault="00654284" w:rsidP="00654284">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Ineffective</w:t>
      </w:r>
    </w:p>
    <w:p w14:paraId="09D5B28D" w14:textId="66773785" w:rsidR="003A2F23" w:rsidRDefault="00654284" w:rsidP="002067BA">
      <w:pPr>
        <w:snapToGrid w:val="0"/>
        <w:ind w:left="709" w:hanging="709"/>
        <w:rPr>
          <w:rFonts w:ascii="Times New Roman" w:hAnsi="Times New Roman" w:cs="Times New Roman"/>
          <w:sz w:val="24"/>
        </w:rPr>
      </w:pPr>
      <w:r>
        <w:rPr>
          <w:rFonts w:ascii="Times New Roman" w:hAnsi="Times New Roman" w:cs="Times New Roman"/>
          <w:sz w:val="24"/>
        </w:rPr>
        <w:tab/>
        <w:t xml:space="preserve">After treatment, neither of the above criteria was met. </w:t>
      </w:r>
    </w:p>
    <w:p w14:paraId="4F3B9A8E" w14:textId="77777777" w:rsidR="003A2F23" w:rsidRDefault="003A2F23" w:rsidP="002067BA">
      <w:pPr>
        <w:snapToGrid w:val="0"/>
        <w:rPr>
          <w:rFonts w:ascii="Times New Roman" w:hAnsi="Times New Roman" w:cs="Times New Roman"/>
          <w:sz w:val="24"/>
        </w:rPr>
      </w:pPr>
    </w:p>
    <w:p w14:paraId="1E9AB475"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.5. Statistical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5A6DDDA1" w14:textId="0699E15B" w:rsidR="003A2F23" w:rsidRDefault="00000000" w:rsidP="002067BA">
      <w:pPr>
        <w:snapToGrid w:val="0"/>
        <w:rPr>
          <w:rFonts w:ascii="Times New Roman" w:hAnsi="Times New Roman" w:cs="Times New Roman"/>
          <w:sz w:val="24"/>
        </w:rPr>
      </w:pPr>
      <w:r>
        <w:rPr>
          <w:rFonts w:ascii="Times New Roman" w:hAnsi="Times New Roman" w:cs="Times New Roman"/>
          <w:sz w:val="24"/>
        </w:rPr>
        <w:t xml:space="preserve">Statistical analysis was performed using SPSS 26.0 software, and corresponding statistical methods were adopted according to different research data. Measurement data were expressed as mean ± standard deviation and tested using </w:t>
      </w:r>
      <w:r>
        <w:rPr>
          <w:rFonts w:ascii="Times New Roman" w:hAnsi="Times New Roman" w:cs="Times New Roman"/>
          <w:i/>
          <w:iCs/>
          <w:sz w:val="24"/>
        </w:rPr>
        <w:t>t</w:t>
      </w:r>
      <w:r>
        <w:rPr>
          <w:rFonts w:ascii="Times New Roman" w:hAnsi="Times New Roman" w:cs="Times New Roman"/>
          <w:sz w:val="24"/>
        </w:rPr>
        <w:t>-tests; count data were tested using χ</w:t>
      </w:r>
      <w:r>
        <w:rPr>
          <w:rFonts w:ascii="Times New Roman" w:hAnsi="Times New Roman" w:cs="Times New Roman"/>
          <w:sz w:val="24"/>
          <w:vertAlign w:val="superscript"/>
        </w:rPr>
        <w:t>2</w:t>
      </w:r>
      <w:r>
        <w:rPr>
          <w:rFonts w:ascii="Times New Roman" w:hAnsi="Times New Roman" w:cs="Times New Roman"/>
          <w:sz w:val="24"/>
        </w:rPr>
        <w:t xml:space="preserve"> tests; </w:t>
      </w:r>
      <w:r w:rsidR="00654284">
        <w:rPr>
          <w:rFonts w:ascii="Times New Roman" w:hAnsi="Times New Roman" w:cs="Times New Roman"/>
          <w:i/>
          <w:iCs/>
          <w:sz w:val="24"/>
        </w:rPr>
        <w:t xml:space="preserve">p </w:t>
      </w:r>
      <w:r>
        <w:rPr>
          <w:rFonts w:ascii="Times New Roman" w:hAnsi="Times New Roman" w:cs="Times New Roman"/>
          <w:sz w:val="24"/>
        </w:rPr>
        <w:t>&lt;</w:t>
      </w:r>
      <w:r w:rsidR="00654284">
        <w:rPr>
          <w:rFonts w:ascii="Times New Roman" w:hAnsi="Times New Roman" w:cs="Times New Roman"/>
          <w:sz w:val="24"/>
        </w:rPr>
        <w:t xml:space="preserve"> </w:t>
      </w:r>
      <w:r>
        <w:rPr>
          <w:rFonts w:ascii="Times New Roman" w:hAnsi="Times New Roman" w:cs="Times New Roman"/>
          <w:sz w:val="24"/>
        </w:rPr>
        <w:t xml:space="preserve">0.05 indicated a statistically significant difference. </w:t>
      </w:r>
    </w:p>
    <w:p w14:paraId="2865A585" w14:textId="77777777" w:rsidR="003A2F23" w:rsidRDefault="003A2F23" w:rsidP="002067BA">
      <w:pPr>
        <w:snapToGrid w:val="0"/>
        <w:rPr>
          <w:rFonts w:ascii="Times New Roman" w:hAnsi="Times New Roman" w:cs="Times New Roman"/>
          <w:sz w:val="24"/>
        </w:rPr>
      </w:pPr>
    </w:p>
    <w:p w14:paraId="4EE02B69"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lastRenderedPageBreak/>
        <w:t>3</w:t>
      </w:r>
      <w:r>
        <w:rPr>
          <w:rFonts w:ascii="Times New Roman" w:hAnsi="Times New Roman" w:cs="Times New Roman"/>
          <w:b/>
          <w:bCs/>
          <w:sz w:val="24"/>
        </w:rPr>
        <w:t xml:space="preserve">. Results </w:t>
      </w:r>
    </w:p>
    <w:p w14:paraId="688CA503"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.1. Comparison of </w:t>
      </w:r>
      <w:r>
        <w:rPr>
          <w:rFonts w:ascii="Times New Roman" w:hAnsi="Times New Roman" w:cs="Times New Roman" w:hint="eastAsia"/>
          <w:b/>
          <w:bCs/>
          <w:sz w:val="24"/>
        </w:rPr>
        <w:t>g</w:t>
      </w:r>
      <w:r>
        <w:rPr>
          <w:rFonts w:ascii="Times New Roman" w:hAnsi="Times New Roman" w:cs="Times New Roman"/>
          <w:b/>
          <w:bCs/>
          <w:sz w:val="24"/>
        </w:rPr>
        <w:t xml:space="preserve">eneral </w:t>
      </w:r>
      <w:r>
        <w:rPr>
          <w:rFonts w:ascii="Times New Roman" w:hAnsi="Times New Roman" w:cs="Times New Roman" w:hint="eastAsia"/>
          <w:b/>
          <w:bCs/>
          <w:sz w:val="24"/>
        </w:rPr>
        <w:t>i</w:t>
      </w:r>
      <w:r>
        <w:rPr>
          <w:rFonts w:ascii="Times New Roman" w:hAnsi="Times New Roman" w:cs="Times New Roman"/>
          <w:b/>
          <w:bCs/>
          <w:sz w:val="24"/>
        </w:rPr>
        <w:t xml:space="preserve">nformation </w:t>
      </w:r>
    </w:p>
    <w:p w14:paraId="072315ED"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.1.1. Comparison of </w:t>
      </w:r>
      <w:r>
        <w:rPr>
          <w:rFonts w:ascii="Times New Roman" w:hAnsi="Times New Roman" w:cs="Times New Roman" w:hint="eastAsia"/>
          <w:b/>
          <w:bCs/>
          <w:sz w:val="24"/>
        </w:rPr>
        <w:t>g</w:t>
      </w:r>
      <w:r>
        <w:rPr>
          <w:rFonts w:ascii="Times New Roman" w:hAnsi="Times New Roman" w:cs="Times New Roman"/>
          <w:b/>
          <w:bCs/>
          <w:sz w:val="24"/>
        </w:rPr>
        <w:t xml:space="preserve">ender </w:t>
      </w:r>
      <w:r>
        <w:rPr>
          <w:rFonts w:ascii="Times New Roman" w:hAnsi="Times New Roman" w:cs="Times New Roman" w:hint="eastAsia"/>
          <w:b/>
          <w:bCs/>
          <w:sz w:val="24"/>
        </w:rPr>
        <w:t>b</w:t>
      </w:r>
      <w:r>
        <w:rPr>
          <w:rFonts w:ascii="Times New Roman" w:hAnsi="Times New Roman" w:cs="Times New Roman"/>
          <w:b/>
          <w:bCs/>
          <w:sz w:val="24"/>
        </w:rPr>
        <w:t xml:space="preserve">etween the </w:t>
      </w:r>
      <w:r>
        <w:rPr>
          <w:rFonts w:ascii="Times New Roman" w:hAnsi="Times New Roman" w:cs="Times New Roman" w:hint="eastAsia"/>
          <w:b/>
          <w:bCs/>
          <w:sz w:val="24"/>
        </w:rPr>
        <w:t>t</w:t>
      </w:r>
      <w:r>
        <w:rPr>
          <w:rFonts w:ascii="Times New Roman" w:hAnsi="Times New Roman" w:cs="Times New Roman"/>
          <w:b/>
          <w:bCs/>
          <w:sz w:val="24"/>
        </w:rPr>
        <w:t xml:space="preserve">wo </w:t>
      </w:r>
      <w:r>
        <w:rPr>
          <w:rFonts w:ascii="Times New Roman" w:hAnsi="Times New Roman" w:cs="Times New Roman" w:hint="eastAsia"/>
          <w:b/>
          <w:bCs/>
          <w:sz w:val="24"/>
        </w:rPr>
        <w:t>g</w:t>
      </w:r>
      <w:r>
        <w:rPr>
          <w:rFonts w:ascii="Times New Roman" w:hAnsi="Times New Roman" w:cs="Times New Roman"/>
          <w:b/>
          <w:bCs/>
          <w:sz w:val="24"/>
        </w:rPr>
        <w:t xml:space="preserve">roups </w:t>
      </w:r>
    </w:p>
    <w:p w14:paraId="24A0A333" w14:textId="05540139" w:rsidR="003A2F23" w:rsidRDefault="00000000" w:rsidP="002067BA">
      <w:pPr>
        <w:snapToGrid w:val="0"/>
        <w:rPr>
          <w:rFonts w:ascii="Times New Roman" w:hAnsi="Times New Roman" w:cs="Times New Roman"/>
          <w:sz w:val="24"/>
        </w:rPr>
      </w:pPr>
      <w:r>
        <w:rPr>
          <w:rFonts w:ascii="Times New Roman" w:hAnsi="Times New Roman" w:cs="Times New Roman"/>
          <w:sz w:val="24"/>
        </w:rPr>
        <w:t>The gender comparison between the observation group and the control group showed no statistically significant difference (</w:t>
      </w:r>
      <w:r w:rsidR="00654284">
        <w:rPr>
          <w:rFonts w:ascii="Times New Roman" w:hAnsi="Times New Roman" w:cs="Times New Roman"/>
          <w:i/>
          <w:iCs/>
          <w:sz w:val="24"/>
        </w:rPr>
        <w:t xml:space="preserve">p </w:t>
      </w:r>
      <w:r>
        <w:rPr>
          <w:rFonts w:ascii="Times New Roman" w:hAnsi="Times New Roman" w:cs="Times New Roman"/>
          <w:sz w:val="24"/>
        </w:rPr>
        <w:t>=</w:t>
      </w:r>
      <w:r w:rsidR="00654284">
        <w:rPr>
          <w:rFonts w:ascii="Times New Roman" w:hAnsi="Times New Roman" w:cs="Times New Roman"/>
          <w:sz w:val="24"/>
        </w:rPr>
        <w:t xml:space="preserve"> </w:t>
      </w:r>
      <w:r>
        <w:rPr>
          <w:rFonts w:ascii="Times New Roman" w:hAnsi="Times New Roman" w:cs="Times New Roman"/>
          <w:sz w:val="24"/>
        </w:rPr>
        <w:t xml:space="preserve">0.316, </w:t>
      </w:r>
      <w:r w:rsidR="00654284">
        <w:rPr>
          <w:rFonts w:ascii="Times New Roman" w:hAnsi="Times New Roman" w:cs="Times New Roman"/>
          <w:i/>
          <w:iCs/>
          <w:sz w:val="24"/>
        </w:rPr>
        <w:t>p</w:t>
      </w:r>
      <w:r>
        <w:rPr>
          <w:rFonts w:ascii="Times New Roman" w:hAnsi="Times New Roman" w:cs="Times New Roman"/>
          <w:sz w:val="24"/>
        </w:rPr>
        <w:t xml:space="preserve"> &gt; 0.05) after χ</w:t>
      </w:r>
      <w:r>
        <w:rPr>
          <w:rFonts w:ascii="Times New Roman" w:hAnsi="Times New Roman" w:cs="Times New Roman"/>
          <w:sz w:val="24"/>
          <w:vertAlign w:val="superscript"/>
        </w:rPr>
        <w:t>2</w:t>
      </w:r>
      <w:r>
        <w:rPr>
          <w:rFonts w:ascii="Times New Roman" w:hAnsi="Times New Roman" w:cs="Times New Roman"/>
          <w:sz w:val="24"/>
        </w:rPr>
        <w:t xml:space="preserve"> testing, allowing for comparison. See</w:t>
      </w:r>
      <w:r>
        <w:rPr>
          <w:rFonts w:ascii="Times New Roman" w:hAnsi="Times New Roman" w:cs="Times New Roman"/>
          <w:b/>
          <w:bCs/>
          <w:sz w:val="24"/>
        </w:rPr>
        <w:t xml:space="preserve"> Table 1</w:t>
      </w:r>
      <w:r>
        <w:rPr>
          <w:rFonts w:ascii="Times New Roman" w:hAnsi="Times New Roman" w:cs="Times New Roman"/>
          <w:sz w:val="24"/>
        </w:rPr>
        <w:t xml:space="preserve">. </w:t>
      </w:r>
    </w:p>
    <w:p w14:paraId="7A663677" w14:textId="77777777" w:rsidR="003A2F23" w:rsidRDefault="003A2F23" w:rsidP="002067BA">
      <w:pPr>
        <w:snapToGrid w:val="0"/>
        <w:rPr>
          <w:rFonts w:ascii="Times New Roman" w:hAnsi="Times New Roman" w:cs="Times New Roman"/>
          <w:sz w:val="24"/>
        </w:rPr>
      </w:pPr>
    </w:p>
    <w:p w14:paraId="7EC875E7" w14:textId="77777777" w:rsidR="003A2F23" w:rsidRDefault="00000000" w:rsidP="002067BA">
      <w:pPr>
        <w:snapToGrid w:val="0"/>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Comparison of </w:t>
      </w:r>
      <w:r>
        <w:rPr>
          <w:rFonts w:ascii="Times New Roman" w:hAnsi="Times New Roman" w:cs="Times New Roman" w:hint="eastAsia"/>
          <w:sz w:val="24"/>
        </w:rPr>
        <w:t>g</w:t>
      </w:r>
      <w:r>
        <w:rPr>
          <w:rFonts w:ascii="Times New Roman" w:hAnsi="Times New Roman" w:cs="Times New Roman"/>
          <w:sz w:val="24"/>
        </w:rPr>
        <w:t xml:space="preserve">ender </w:t>
      </w:r>
      <w:r>
        <w:rPr>
          <w:rFonts w:ascii="Times New Roman" w:hAnsi="Times New Roman" w:cs="Times New Roman" w:hint="eastAsia"/>
          <w:sz w:val="24"/>
        </w:rPr>
        <w:t>b</w:t>
      </w:r>
      <w:r>
        <w:rPr>
          <w:rFonts w:ascii="Times New Roman" w:hAnsi="Times New Roman" w:cs="Times New Roman"/>
          <w:sz w:val="24"/>
        </w:rPr>
        <w:t xml:space="preserve">etween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roups</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177"/>
        <w:gridCol w:w="2065"/>
        <w:gridCol w:w="797"/>
        <w:gridCol w:w="1041"/>
        <w:gridCol w:w="2523"/>
        <w:gridCol w:w="1035"/>
      </w:tblGrid>
      <w:tr w:rsidR="003A2F23" w14:paraId="5B238338" w14:textId="77777777" w:rsidTr="002067BA">
        <w:trPr>
          <w:tblHeader/>
          <w:jc w:val="center"/>
        </w:trPr>
        <w:tc>
          <w:tcPr>
            <w:tcW w:w="1129" w:type="pct"/>
            <w:tcBorders>
              <w:top w:val="single" w:sz="4" w:space="0" w:color="auto"/>
              <w:left w:val="nil"/>
              <w:bottom w:val="nil"/>
              <w:right w:val="nil"/>
            </w:tcBorders>
            <w:tcMar>
              <w:top w:w="-1" w:type="dxa"/>
              <w:left w:w="-1" w:type="dxa"/>
              <w:bottom w:w="-1" w:type="dxa"/>
              <w:right w:w="-1" w:type="dxa"/>
            </w:tcMar>
            <w:vAlign w:val="center"/>
          </w:tcPr>
          <w:p w14:paraId="6F8AEF0F" w14:textId="77777777" w:rsidR="003A2F23" w:rsidRDefault="00000000" w:rsidP="002067BA">
            <w:pPr>
              <w:pStyle w:val="NormalWeb"/>
              <w:keepNext/>
              <w:widowControl/>
              <w:snapToGrid w:val="0"/>
              <w:jc w:val="left"/>
              <w:rPr>
                <w:rFonts w:ascii="Times New Roman" w:hAnsi="Times New Roman" w:cs="Times New Roman"/>
                <w:b/>
                <w:bCs/>
              </w:rPr>
            </w:pPr>
            <w:r>
              <w:rPr>
                <w:rFonts w:ascii="Times New Roman" w:eastAsia="Segoe UI" w:hAnsi="Times New Roman" w:cs="Times New Roman"/>
                <w:b/>
                <w:bCs/>
                <w:color w:val="0F1115"/>
                <w:shd w:val="clear" w:color="auto" w:fill="FFFFFF"/>
              </w:rPr>
              <w:t>Group</w:t>
            </w:r>
          </w:p>
        </w:tc>
        <w:tc>
          <w:tcPr>
            <w:tcW w:w="1071" w:type="pct"/>
            <w:tcBorders>
              <w:top w:val="single" w:sz="4" w:space="0" w:color="auto"/>
              <w:left w:val="nil"/>
              <w:bottom w:val="nil"/>
              <w:right w:val="nil"/>
            </w:tcBorders>
            <w:tcMar>
              <w:top w:w="-1" w:type="dxa"/>
              <w:left w:w="-1" w:type="dxa"/>
              <w:bottom w:w="-1" w:type="dxa"/>
              <w:right w:w="-1" w:type="dxa"/>
            </w:tcMar>
            <w:vAlign w:val="center"/>
          </w:tcPr>
          <w:p w14:paraId="54D181DE" w14:textId="77777777" w:rsidR="003A2F23" w:rsidRDefault="00000000" w:rsidP="00654284">
            <w:pPr>
              <w:pStyle w:val="NormalWeb"/>
              <w:keepNext/>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Number of cases</w:t>
            </w:r>
          </w:p>
        </w:tc>
        <w:tc>
          <w:tcPr>
            <w:tcW w:w="413" w:type="pct"/>
            <w:tcBorders>
              <w:top w:val="single" w:sz="4" w:space="0" w:color="auto"/>
              <w:left w:val="nil"/>
              <w:bottom w:val="nil"/>
              <w:right w:val="nil"/>
            </w:tcBorders>
            <w:tcMar>
              <w:top w:w="-1" w:type="dxa"/>
              <w:left w:w="-1" w:type="dxa"/>
              <w:bottom w:w="-1" w:type="dxa"/>
              <w:right w:w="-1" w:type="dxa"/>
            </w:tcMar>
            <w:vAlign w:val="center"/>
          </w:tcPr>
          <w:p w14:paraId="24121353" w14:textId="77777777" w:rsidR="003A2F23" w:rsidRDefault="00000000" w:rsidP="00654284">
            <w:pPr>
              <w:pStyle w:val="NormalWeb"/>
              <w:keepNext/>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Male</w:t>
            </w:r>
          </w:p>
        </w:tc>
        <w:tc>
          <w:tcPr>
            <w:tcW w:w="540" w:type="pct"/>
            <w:tcBorders>
              <w:top w:val="single" w:sz="4" w:space="0" w:color="auto"/>
              <w:left w:val="nil"/>
              <w:bottom w:val="nil"/>
              <w:right w:val="nil"/>
            </w:tcBorders>
            <w:tcMar>
              <w:top w:w="-1" w:type="dxa"/>
              <w:left w:w="-1" w:type="dxa"/>
              <w:bottom w:w="-1" w:type="dxa"/>
              <w:right w:w="-1" w:type="dxa"/>
            </w:tcMar>
            <w:vAlign w:val="center"/>
          </w:tcPr>
          <w:p w14:paraId="39E6D36C" w14:textId="77777777" w:rsidR="003A2F23" w:rsidRDefault="00000000" w:rsidP="00654284">
            <w:pPr>
              <w:pStyle w:val="NormalWeb"/>
              <w:keepNext/>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Female</w:t>
            </w:r>
          </w:p>
        </w:tc>
        <w:tc>
          <w:tcPr>
            <w:tcW w:w="1309" w:type="pct"/>
            <w:tcBorders>
              <w:top w:val="single" w:sz="4" w:space="0" w:color="auto"/>
              <w:left w:val="nil"/>
              <w:bottom w:val="nil"/>
              <w:right w:val="nil"/>
            </w:tcBorders>
            <w:tcMar>
              <w:top w:w="-1" w:type="dxa"/>
              <w:left w:w="-1" w:type="dxa"/>
              <w:bottom w:w="-1" w:type="dxa"/>
              <w:right w:w="-1" w:type="dxa"/>
            </w:tcMar>
            <w:vAlign w:val="center"/>
          </w:tcPr>
          <w:p w14:paraId="07BA9A9A" w14:textId="77777777" w:rsidR="003A2F23" w:rsidRDefault="00000000" w:rsidP="00654284">
            <w:pPr>
              <w:pStyle w:val="NormalWeb"/>
              <w:keepNext/>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Male-to-female ratio</w:t>
            </w:r>
          </w:p>
        </w:tc>
        <w:tc>
          <w:tcPr>
            <w:tcW w:w="537" w:type="pct"/>
            <w:tcBorders>
              <w:top w:val="single" w:sz="4" w:space="0" w:color="auto"/>
              <w:left w:val="nil"/>
              <w:bottom w:val="nil"/>
              <w:right w:val="nil"/>
            </w:tcBorders>
            <w:tcMar>
              <w:top w:w="-1" w:type="dxa"/>
              <w:left w:w="-1" w:type="dxa"/>
              <w:bottom w:w="-1" w:type="dxa"/>
              <w:right w:w="-1" w:type="dxa"/>
            </w:tcMar>
            <w:vAlign w:val="center"/>
          </w:tcPr>
          <w:p w14:paraId="3F2C5C76" w14:textId="0994C410" w:rsidR="003A2F23" w:rsidRDefault="00654284" w:rsidP="00654284">
            <w:pPr>
              <w:pStyle w:val="NormalWeb"/>
              <w:keepNext/>
              <w:widowControl/>
              <w:snapToGrid w:val="0"/>
              <w:jc w:val="center"/>
              <w:rPr>
                <w:rFonts w:ascii="Times New Roman" w:hAnsi="Times New Roman" w:cs="Times New Roman"/>
                <w:b/>
                <w:bCs/>
              </w:rPr>
            </w:pPr>
            <w:r>
              <w:rPr>
                <w:rFonts w:ascii="Times New Roman" w:eastAsia="Segoe UI" w:hAnsi="Times New Roman" w:cs="Times New Roman"/>
                <w:b/>
                <w:bCs/>
                <w:i/>
                <w:iCs/>
                <w:color w:val="0F1115"/>
                <w:shd w:val="clear" w:color="auto" w:fill="FFFFFF"/>
              </w:rPr>
              <w:t>p</w:t>
            </w:r>
            <w:r>
              <w:rPr>
                <w:rFonts w:ascii="Times New Roman" w:eastAsia="Segoe UI" w:hAnsi="Times New Roman" w:cs="Times New Roman"/>
                <w:b/>
                <w:bCs/>
                <w:color w:val="0F1115"/>
                <w:shd w:val="clear" w:color="auto" w:fill="FFFFFF"/>
              </w:rPr>
              <w:t xml:space="preserve"> value</w:t>
            </w:r>
          </w:p>
        </w:tc>
      </w:tr>
      <w:tr w:rsidR="003A2F23" w14:paraId="1982DE19" w14:textId="77777777" w:rsidTr="002067BA">
        <w:trPr>
          <w:tblHeader/>
          <w:jc w:val="center"/>
        </w:trPr>
        <w:tc>
          <w:tcPr>
            <w:tcW w:w="1129" w:type="pct"/>
            <w:tcBorders>
              <w:top w:val="single" w:sz="4" w:space="0" w:color="auto"/>
              <w:left w:val="nil"/>
              <w:bottom w:val="nil"/>
              <w:right w:val="nil"/>
            </w:tcBorders>
            <w:tcMar>
              <w:top w:w="-1" w:type="dxa"/>
              <w:left w:w="-1" w:type="dxa"/>
              <w:bottom w:w="-1" w:type="dxa"/>
              <w:right w:w="-1" w:type="dxa"/>
            </w:tcMar>
            <w:vAlign w:val="center"/>
          </w:tcPr>
          <w:p w14:paraId="50B0A306" w14:textId="77777777" w:rsidR="003A2F23" w:rsidRDefault="00000000" w:rsidP="002067BA">
            <w:pPr>
              <w:pStyle w:val="NormalWeb"/>
              <w:keepNext/>
              <w:widowControl/>
              <w:snapToGrid w:val="0"/>
              <w:jc w:val="left"/>
              <w:rPr>
                <w:rFonts w:ascii="Times New Roman" w:hAnsi="Times New Roman" w:cs="Times New Roman"/>
              </w:rPr>
            </w:pPr>
            <w:r>
              <w:rPr>
                <w:rFonts w:ascii="Times New Roman" w:eastAsia="Segoe UI" w:hAnsi="Times New Roman" w:cs="Times New Roman"/>
                <w:color w:val="0F1115"/>
                <w:shd w:val="clear" w:color="auto" w:fill="FFFFFF"/>
              </w:rPr>
              <w:t>Observation group</w:t>
            </w:r>
          </w:p>
        </w:tc>
        <w:tc>
          <w:tcPr>
            <w:tcW w:w="1071" w:type="pct"/>
            <w:tcBorders>
              <w:top w:val="single" w:sz="4" w:space="0" w:color="auto"/>
              <w:left w:val="nil"/>
              <w:bottom w:val="nil"/>
              <w:right w:val="nil"/>
            </w:tcBorders>
            <w:tcMar>
              <w:top w:w="-1" w:type="dxa"/>
              <w:left w:w="-1" w:type="dxa"/>
              <w:bottom w:w="-1" w:type="dxa"/>
              <w:right w:w="-1" w:type="dxa"/>
            </w:tcMar>
            <w:vAlign w:val="center"/>
          </w:tcPr>
          <w:p w14:paraId="657607E9" w14:textId="77777777" w:rsidR="003A2F23" w:rsidRDefault="00000000" w:rsidP="00654284">
            <w:pPr>
              <w:pStyle w:val="NormalWeb"/>
              <w:keepNext/>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50</w:t>
            </w:r>
          </w:p>
        </w:tc>
        <w:tc>
          <w:tcPr>
            <w:tcW w:w="413" w:type="pct"/>
            <w:tcBorders>
              <w:top w:val="single" w:sz="4" w:space="0" w:color="auto"/>
              <w:left w:val="nil"/>
              <w:bottom w:val="nil"/>
              <w:right w:val="nil"/>
            </w:tcBorders>
            <w:tcMar>
              <w:top w:w="-1" w:type="dxa"/>
              <w:left w:w="-1" w:type="dxa"/>
              <w:bottom w:w="-1" w:type="dxa"/>
              <w:right w:w="-1" w:type="dxa"/>
            </w:tcMar>
            <w:vAlign w:val="center"/>
          </w:tcPr>
          <w:p w14:paraId="3CE2498D" w14:textId="77777777" w:rsidR="003A2F23" w:rsidRDefault="00000000" w:rsidP="00654284">
            <w:pPr>
              <w:pStyle w:val="NormalWeb"/>
              <w:keepNext/>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24</w:t>
            </w:r>
          </w:p>
        </w:tc>
        <w:tc>
          <w:tcPr>
            <w:tcW w:w="540" w:type="pct"/>
            <w:tcBorders>
              <w:top w:val="single" w:sz="4" w:space="0" w:color="auto"/>
              <w:left w:val="nil"/>
              <w:bottom w:val="nil"/>
              <w:right w:val="nil"/>
            </w:tcBorders>
            <w:tcMar>
              <w:top w:w="-1" w:type="dxa"/>
              <w:left w:w="-1" w:type="dxa"/>
              <w:bottom w:w="-1" w:type="dxa"/>
              <w:right w:w="-1" w:type="dxa"/>
            </w:tcMar>
            <w:vAlign w:val="center"/>
          </w:tcPr>
          <w:p w14:paraId="5188D8AF" w14:textId="77777777" w:rsidR="003A2F23" w:rsidRDefault="00000000" w:rsidP="00654284">
            <w:pPr>
              <w:pStyle w:val="NormalWeb"/>
              <w:keepNext/>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26</w:t>
            </w:r>
          </w:p>
        </w:tc>
        <w:tc>
          <w:tcPr>
            <w:tcW w:w="1309" w:type="pct"/>
            <w:tcBorders>
              <w:top w:val="single" w:sz="4" w:space="0" w:color="auto"/>
              <w:left w:val="nil"/>
              <w:bottom w:val="nil"/>
              <w:right w:val="nil"/>
            </w:tcBorders>
            <w:tcMar>
              <w:top w:w="-1" w:type="dxa"/>
              <w:left w:w="-1" w:type="dxa"/>
              <w:bottom w:w="-1" w:type="dxa"/>
              <w:right w:w="-1" w:type="dxa"/>
            </w:tcMar>
            <w:vAlign w:val="center"/>
          </w:tcPr>
          <w:p w14:paraId="525B8CF3" w14:textId="77777777" w:rsidR="003A2F23" w:rsidRDefault="00000000" w:rsidP="00654284">
            <w:pPr>
              <w:pStyle w:val="NormalWeb"/>
              <w:keepNext/>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0.92:1</w:t>
            </w:r>
          </w:p>
        </w:tc>
        <w:tc>
          <w:tcPr>
            <w:tcW w:w="537" w:type="pct"/>
            <w:vMerge w:val="restart"/>
            <w:tcBorders>
              <w:top w:val="single" w:sz="4" w:space="0" w:color="auto"/>
              <w:left w:val="nil"/>
              <w:bottom w:val="nil"/>
              <w:right w:val="nil"/>
            </w:tcBorders>
            <w:tcMar>
              <w:top w:w="-1" w:type="dxa"/>
              <w:left w:w="-1" w:type="dxa"/>
              <w:bottom w:w="-1" w:type="dxa"/>
              <w:right w:w="-1" w:type="dxa"/>
            </w:tcMar>
            <w:vAlign w:val="center"/>
          </w:tcPr>
          <w:p w14:paraId="70DE1F8D" w14:textId="77777777" w:rsidR="003A2F23" w:rsidRDefault="00000000" w:rsidP="00654284">
            <w:pPr>
              <w:pStyle w:val="NormalWeb"/>
              <w:keepNext/>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0.316</w:t>
            </w:r>
          </w:p>
        </w:tc>
      </w:tr>
      <w:tr w:rsidR="003A2F23" w14:paraId="076CABD9" w14:textId="77777777" w:rsidTr="002067BA">
        <w:trPr>
          <w:tblHeader/>
          <w:jc w:val="center"/>
        </w:trPr>
        <w:tc>
          <w:tcPr>
            <w:tcW w:w="1129" w:type="pct"/>
            <w:tcBorders>
              <w:top w:val="nil"/>
              <w:left w:val="nil"/>
              <w:bottom w:val="single" w:sz="4" w:space="0" w:color="auto"/>
              <w:right w:val="nil"/>
            </w:tcBorders>
            <w:tcMar>
              <w:top w:w="-1" w:type="dxa"/>
              <w:left w:w="-1" w:type="dxa"/>
              <w:bottom w:w="-1" w:type="dxa"/>
              <w:right w:w="-1" w:type="dxa"/>
            </w:tcMar>
            <w:vAlign w:val="center"/>
          </w:tcPr>
          <w:p w14:paraId="5369E4B5" w14:textId="77777777" w:rsidR="003A2F23" w:rsidRDefault="00000000" w:rsidP="002067BA">
            <w:pPr>
              <w:pStyle w:val="NormalWeb"/>
              <w:keepNext/>
              <w:widowControl/>
              <w:snapToGrid w:val="0"/>
              <w:jc w:val="left"/>
              <w:rPr>
                <w:rFonts w:ascii="Times New Roman" w:hAnsi="Times New Roman" w:cs="Times New Roman"/>
              </w:rPr>
            </w:pPr>
            <w:r>
              <w:rPr>
                <w:rFonts w:ascii="Times New Roman" w:eastAsia="Segoe UI" w:hAnsi="Times New Roman" w:cs="Times New Roman"/>
                <w:color w:val="0F1115"/>
                <w:shd w:val="clear" w:color="auto" w:fill="FFFFFF"/>
              </w:rPr>
              <w:t>Control group</w:t>
            </w:r>
          </w:p>
        </w:tc>
        <w:tc>
          <w:tcPr>
            <w:tcW w:w="1071" w:type="pct"/>
            <w:tcBorders>
              <w:top w:val="nil"/>
              <w:left w:val="nil"/>
              <w:bottom w:val="single" w:sz="4" w:space="0" w:color="auto"/>
              <w:right w:val="nil"/>
            </w:tcBorders>
            <w:tcMar>
              <w:top w:w="-1" w:type="dxa"/>
              <w:left w:w="-1" w:type="dxa"/>
              <w:bottom w:w="-1" w:type="dxa"/>
              <w:right w:w="-1" w:type="dxa"/>
            </w:tcMar>
            <w:vAlign w:val="center"/>
          </w:tcPr>
          <w:p w14:paraId="10C3AD12" w14:textId="77777777" w:rsidR="003A2F23" w:rsidRDefault="00000000" w:rsidP="00654284">
            <w:pPr>
              <w:pStyle w:val="NormalWeb"/>
              <w:keepNext/>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50</w:t>
            </w:r>
          </w:p>
        </w:tc>
        <w:tc>
          <w:tcPr>
            <w:tcW w:w="413" w:type="pct"/>
            <w:tcBorders>
              <w:top w:val="nil"/>
              <w:left w:val="nil"/>
              <w:bottom w:val="single" w:sz="4" w:space="0" w:color="auto"/>
              <w:right w:val="nil"/>
            </w:tcBorders>
            <w:tcMar>
              <w:top w:w="-1" w:type="dxa"/>
              <w:left w:w="-1" w:type="dxa"/>
              <w:bottom w:w="-1" w:type="dxa"/>
              <w:right w:w="-1" w:type="dxa"/>
            </w:tcMar>
            <w:vAlign w:val="center"/>
          </w:tcPr>
          <w:p w14:paraId="400D506F" w14:textId="77777777" w:rsidR="003A2F23" w:rsidRDefault="00000000" w:rsidP="00654284">
            <w:pPr>
              <w:pStyle w:val="NormalWeb"/>
              <w:keepNext/>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29</w:t>
            </w:r>
          </w:p>
        </w:tc>
        <w:tc>
          <w:tcPr>
            <w:tcW w:w="540" w:type="pct"/>
            <w:tcBorders>
              <w:top w:val="nil"/>
              <w:left w:val="nil"/>
              <w:bottom w:val="single" w:sz="4" w:space="0" w:color="auto"/>
              <w:right w:val="nil"/>
            </w:tcBorders>
            <w:tcMar>
              <w:top w:w="-1" w:type="dxa"/>
              <w:left w:w="-1" w:type="dxa"/>
              <w:bottom w:w="-1" w:type="dxa"/>
              <w:right w:w="-1" w:type="dxa"/>
            </w:tcMar>
            <w:vAlign w:val="center"/>
          </w:tcPr>
          <w:p w14:paraId="3EE62AC4" w14:textId="77777777" w:rsidR="003A2F23" w:rsidRDefault="00000000" w:rsidP="00654284">
            <w:pPr>
              <w:pStyle w:val="NormalWeb"/>
              <w:keepNext/>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21</w:t>
            </w:r>
          </w:p>
        </w:tc>
        <w:tc>
          <w:tcPr>
            <w:tcW w:w="1309" w:type="pct"/>
            <w:tcBorders>
              <w:top w:val="nil"/>
              <w:left w:val="nil"/>
              <w:bottom w:val="single" w:sz="4" w:space="0" w:color="auto"/>
              <w:right w:val="nil"/>
            </w:tcBorders>
            <w:tcMar>
              <w:top w:w="-1" w:type="dxa"/>
              <w:left w:w="-1" w:type="dxa"/>
              <w:bottom w:w="-1" w:type="dxa"/>
              <w:right w:w="-1" w:type="dxa"/>
            </w:tcMar>
            <w:vAlign w:val="center"/>
          </w:tcPr>
          <w:p w14:paraId="23393A10" w14:textId="77777777" w:rsidR="003A2F23" w:rsidRDefault="00000000" w:rsidP="00654284">
            <w:pPr>
              <w:pStyle w:val="NormalWeb"/>
              <w:keepNext/>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1.38:1</w:t>
            </w:r>
          </w:p>
        </w:tc>
        <w:tc>
          <w:tcPr>
            <w:tcW w:w="537" w:type="pct"/>
            <w:vMerge/>
            <w:tcBorders>
              <w:left w:val="nil"/>
              <w:bottom w:val="single" w:sz="4" w:space="0" w:color="auto"/>
              <w:right w:val="nil"/>
            </w:tcBorders>
            <w:tcMar>
              <w:top w:w="-1" w:type="dxa"/>
              <w:left w:w="-1" w:type="dxa"/>
              <w:bottom w:w="-1" w:type="dxa"/>
              <w:right w:w="-1" w:type="dxa"/>
            </w:tcMar>
            <w:vAlign w:val="center"/>
          </w:tcPr>
          <w:p w14:paraId="0B3245D0" w14:textId="77777777" w:rsidR="003A2F23" w:rsidRDefault="003A2F23" w:rsidP="00654284">
            <w:pPr>
              <w:pStyle w:val="NormalWeb"/>
              <w:keepNext/>
              <w:widowControl/>
              <w:snapToGrid w:val="0"/>
              <w:jc w:val="center"/>
              <w:rPr>
                <w:rFonts w:ascii="Times New Roman" w:hAnsi="Times New Roman" w:cs="Times New Roman"/>
              </w:rPr>
            </w:pPr>
          </w:p>
        </w:tc>
      </w:tr>
    </w:tbl>
    <w:p w14:paraId="3D23E192" w14:textId="77777777" w:rsidR="003A2F23" w:rsidRDefault="003A2F23" w:rsidP="002067BA">
      <w:pPr>
        <w:snapToGrid w:val="0"/>
        <w:rPr>
          <w:rFonts w:ascii="Times New Roman" w:hAnsi="Times New Roman" w:cs="Times New Roman"/>
          <w:sz w:val="24"/>
        </w:rPr>
      </w:pPr>
    </w:p>
    <w:p w14:paraId="6EB51933" w14:textId="77777777" w:rsidR="003A2F23" w:rsidRDefault="00000000" w:rsidP="002067BA">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.1.2. Age </w:t>
      </w:r>
      <w:r>
        <w:rPr>
          <w:rFonts w:ascii="Times New Roman" w:hAnsi="Times New Roman" w:cs="Times New Roman" w:hint="eastAsia"/>
          <w:b/>
          <w:bCs/>
          <w:sz w:val="24"/>
        </w:rPr>
        <w:t>c</w:t>
      </w:r>
      <w:r>
        <w:rPr>
          <w:rFonts w:ascii="Times New Roman" w:hAnsi="Times New Roman" w:cs="Times New Roman"/>
          <w:b/>
          <w:bCs/>
          <w:sz w:val="24"/>
        </w:rPr>
        <w:t xml:space="preserve">omparison </w:t>
      </w:r>
      <w:r>
        <w:rPr>
          <w:rFonts w:ascii="Times New Roman" w:hAnsi="Times New Roman" w:cs="Times New Roman" w:hint="eastAsia"/>
          <w:b/>
          <w:bCs/>
          <w:sz w:val="24"/>
        </w:rPr>
        <w:t>b</w:t>
      </w:r>
      <w:r>
        <w:rPr>
          <w:rFonts w:ascii="Times New Roman" w:hAnsi="Times New Roman" w:cs="Times New Roman"/>
          <w:b/>
          <w:bCs/>
          <w:sz w:val="24"/>
        </w:rPr>
        <w:t xml:space="preserve">etween the </w:t>
      </w:r>
      <w:r>
        <w:rPr>
          <w:rFonts w:ascii="Times New Roman" w:hAnsi="Times New Roman" w:cs="Times New Roman" w:hint="eastAsia"/>
          <w:b/>
          <w:bCs/>
          <w:sz w:val="24"/>
        </w:rPr>
        <w:t>t</w:t>
      </w:r>
      <w:r>
        <w:rPr>
          <w:rFonts w:ascii="Times New Roman" w:hAnsi="Times New Roman" w:cs="Times New Roman"/>
          <w:b/>
          <w:bCs/>
          <w:sz w:val="24"/>
        </w:rPr>
        <w:t xml:space="preserve">wo </w:t>
      </w:r>
      <w:r>
        <w:rPr>
          <w:rFonts w:ascii="Times New Roman" w:hAnsi="Times New Roman" w:cs="Times New Roman" w:hint="eastAsia"/>
          <w:b/>
          <w:bCs/>
          <w:sz w:val="24"/>
        </w:rPr>
        <w:t>g</w:t>
      </w:r>
      <w:r>
        <w:rPr>
          <w:rFonts w:ascii="Times New Roman" w:hAnsi="Times New Roman" w:cs="Times New Roman"/>
          <w:b/>
          <w:bCs/>
          <w:sz w:val="24"/>
        </w:rPr>
        <w:t xml:space="preserve">roups of </w:t>
      </w:r>
      <w:r>
        <w:rPr>
          <w:rFonts w:ascii="Times New Roman" w:hAnsi="Times New Roman" w:cs="Times New Roman" w:hint="eastAsia"/>
          <w:b/>
          <w:bCs/>
          <w:sz w:val="24"/>
        </w:rPr>
        <w:t>p</w:t>
      </w:r>
      <w:r>
        <w:rPr>
          <w:rFonts w:ascii="Times New Roman" w:hAnsi="Times New Roman" w:cs="Times New Roman"/>
          <w:b/>
          <w:bCs/>
          <w:sz w:val="24"/>
        </w:rPr>
        <w:t xml:space="preserve">atients </w:t>
      </w:r>
    </w:p>
    <w:p w14:paraId="78DDDC62" w14:textId="00E5DC06" w:rsidR="003A2F23" w:rsidRDefault="00000000" w:rsidP="002067BA">
      <w:pPr>
        <w:snapToGrid w:val="0"/>
        <w:rPr>
          <w:rFonts w:ascii="Times New Roman" w:hAnsi="Times New Roman" w:cs="Times New Roman"/>
          <w:sz w:val="24"/>
        </w:rPr>
      </w:pPr>
      <w:r>
        <w:rPr>
          <w:rFonts w:ascii="Times New Roman" w:hAnsi="Times New Roman" w:cs="Times New Roman"/>
          <w:sz w:val="24"/>
        </w:rPr>
        <w:t xml:space="preserve">The minimum age in the observation group was 50 years old, and the maximum age was 73 years old; in the control group, the minimum age was 51 years old, and the maximum age was 75 years old. The ages of patients in both groups followed a normal distribution. An independent samples </w:t>
      </w:r>
      <w:r>
        <w:rPr>
          <w:rFonts w:ascii="Times New Roman" w:hAnsi="Times New Roman" w:cs="Times New Roman"/>
          <w:i/>
          <w:iCs/>
          <w:sz w:val="24"/>
        </w:rPr>
        <w:t>t</w:t>
      </w:r>
      <w:r>
        <w:rPr>
          <w:rFonts w:ascii="Times New Roman" w:hAnsi="Times New Roman" w:cs="Times New Roman"/>
          <w:sz w:val="24"/>
        </w:rPr>
        <w:t xml:space="preserve">-test was conducted, yielding a </w:t>
      </w:r>
      <w:r>
        <w:rPr>
          <w:rFonts w:ascii="Times New Roman" w:hAnsi="Times New Roman" w:cs="Times New Roman"/>
          <w:i/>
          <w:iCs/>
          <w:sz w:val="24"/>
        </w:rPr>
        <w:t>t</w:t>
      </w:r>
      <w:r>
        <w:rPr>
          <w:rFonts w:ascii="Times New Roman" w:hAnsi="Times New Roman" w:cs="Times New Roman"/>
          <w:sz w:val="24"/>
        </w:rPr>
        <w:t xml:space="preserve">-value of -0.016 and a </w:t>
      </w:r>
      <w:r w:rsidR="00654284">
        <w:rPr>
          <w:rFonts w:ascii="Times New Roman" w:hAnsi="Times New Roman" w:cs="Times New Roman"/>
          <w:i/>
          <w:iCs/>
          <w:sz w:val="24"/>
        </w:rPr>
        <w:t>p</w:t>
      </w:r>
      <w:r>
        <w:rPr>
          <w:rFonts w:ascii="Times New Roman" w:hAnsi="Times New Roman" w:cs="Times New Roman"/>
          <w:sz w:val="24"/>
        </w:rPr>
        <w:t>-value of 0.868 (</w:t>
      </w:r>
      <w:r w:rsidR="00654284">
        <w:rPr>
          <w:rFonts w:ascii="Times New Roman" w:hAnsi="Times New Roman" w:cs="Times New Roman"/>
          <w:i/>
          <w:iCs/>
          <w:sz w:val="24"/>
        </w:rPr>
        <w:t>p</w:t>
      </w:r>
      <w:r w:rsidR="00654284">
        <w:rPr>
          <w:rFonts w:ascii="Times New Roman" w:hAnsi="Times New Roman" w:cs="Times New Roman"/>
          <w:sz w:val="24"/>
        </w:rPr>
        <w:t xml:space="preserve"> </w:t>
      </w:r>
      <w:r>
        <w:rPr>
          <w:rFonts w:ascii="Times New Roman" w:hAnsi="Times New Roman" w:cs="Times New Roman"/>
          <w:sz w:val="24"/>
        </w:rPr>
        <w:t>&gt; 0.05), indicating that there was no statistically significant difference in age between the two groups, allowing for comparison. See</w:t>
      </w:r>
      <w:r>
        <w:rPr>
          <w:rFonts w:ascii="Times New Roman" w:hAnsi="Times New Roman" w:cs="Times New Roman"/>
          <w:b/>
          <w:bCs/>
          <w:sz w:val="24"/>
        </w:rPr>
        <w:t xml:space="preserve"> Table 2</w:t>
      </w:r>
      <w:r>
        <w:rPr>
          <w:rFonts w:ascii="Times New Roman" w:hAnsi="Times New Roman" w:cs="Times New Roman"/>
          <w:sz w:val="24"/>
        </w:rPr>
        <w:t xml:space="preserve">. </w:t>
      </w:r>
    </w:p>
    <w:p w14:paraId="72E569DC" w14:textId="77777777" w:rsidR="003A2F23" w:rsidRDefault="003A2F23" w:rsidP="002067BA">
      <w:pPr>
        <w:snapToGrid w:val="0"/>
        <w:rPr>
          <w:rFonts w:ascii="Times New Roman" w:hAnsi="Times New Roman" w:cs="Times New Roman"/>
          <w:sz w:val="24"/>
        </w:rPr>
      </w:pPr>
    </w:p>
    <w:p w14:paraId="340DE969" w14:textId="77777777" w:rsidR="003A2F23" w:rsidRDefault="00000000" w:rsidP="002067BA">
      <w:pPr>
        <w:snapToGrid w:val="0"/>
        <w:rPr>
          <w:rFonts w:ascii="Times New Roman" w:hAnsi="Times New Roman" w:cs="Times New Roman"/>
          <w:sz w:val="24"/>
        </w:rPr>
      </w:pPr>
      <w:r>
        <w:rPr>
          <w:rFonts w:ascii="Times New Roman" w:hAnsi="Times New Roman" w:cs="Times New Roman"/>
          <w:b/>
          <w:bCs/>
          <w:sz w:val="24"/>
        </w:rPr>
        <w:t>Table 2.</w:t>
      </w:r>
      <w:r>
        <w:rPr>
          <w:rFonts w:ascii="Times New Roman" w:hAnsi="Times New Roman" w:cs="Times New Roman"/>
          <w:sz w:val="24"/>
        </w:rPr>
        <w:t xml:space="preserve"> Age </w:t>
      </w:r>
      <w:r>
        <w:rPr>
          <w:rFonts w:ascii="Times New Roman" w:hAnsi="Times New Roman" w:cs="Times New Roman" w:hint="eastAsia"/>
          <w:sz w:val="24"/>
        </w:rPr>
        <w:t>c</w:t>
      </w:r>
      <w:r>
        <w:rPr>
          <w:rFonts w:ascii="Times New Roman" w:hAnsi="Times New Roman" w:cs="Times New Roman"/>
          <w:sz w:val="24"/>
        </w:rPr>
        <w:t xml:space="preserve">omparison </w:t>
      </w:r>
      <w:r>
        <w:rPr>
          <w:rFonts w:ascii="Times New Roman" w:hAnsi="Times New Roman" w:cs="Times New Roman" w:hint="eastAsia"/>
          <w:sz w:val="24"/>
        </w:rPr>
        <w:t>b</w:t>
      </w:r>
      <w:r>
        <w:rPr>
          <w:rFonts w:ascii="Times New Roman" w:hAnsi="Times New Roman" w:cs="Times New Roman"/>
          <w:sz w:val="24"/>
        </w:rPr>
        <w:t xml:space="preserve">etween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 xml:space="preserve">roups of </w:t>
      </w:r>
      <w:r>
        <w:rPr>
          <w:rFonts w:ascii="Times New Roman" w:hAnsi="Times New Roman" w:cs="Times New Roman" w:hint="eastAsia"/>
          <w:sz w:val="24"/>
        </w:rPr>
        <w:t>p</w:t>
      </w:r>
      <w:r>
        <w:rPr>
          <w:rFonts w:ascii="Times New Roman" w:hAnsi="Times New Roman" w:cs="Times New Roman"/>
          <w:sz w:val="24"/>
        </w:rPr>
        <w:t>atients</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735"/>
        <w:gridCol w:w="2595"/>
        <w:gridCol w:w="1779"/>
        <w:gridCol w:w="1228"/>
        <w:gridCol w:w="1301"/>
      </w:tblGrid>
      <w:tr w:rsidR="003A2F23" w14:paraId="7A726D7B" w14:textId="77777777" w:rsidTr="002067BA">
        <w:trPr>
          <w:jc w:val="center"/>
        </w:trPr>
        <w:tc>
          <w:tcPr>
            <w:tcW w:w="1419" w:type="pct"/>
            <w:tcBorders>
              <w:top w:val="single" w:sz="4" w:space="0" w:color="auto"/>
              <w:left w:val="nil"/>
              <w:bottom w:val="nil"/>
              <w:right w:val="nil"/>
            </w:tcBorders>
            <w:tcMar>
              <w:top w:w="-1" w:type="dxa"/>
              <w:left w:w="-1" w:type="dxa"/>
              <w:bottom w:w="-1" w:type="dxa"/>
              <w:right w:w="-1" w:type="dxa"/>
            </w:tcMar>
            <w:vAlign w:val="center"/>
          </w:tcPr>
          <w:p w14:paraId="69220225" w14:textId="77777777" w:rsidR="003A2F23" w:rsidRDefault="00000000" w:rsidP="002067BA">
            <w:pPr>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Group</w:t>
            </w:r>
          </w:p>
        </w:tc>
        <w:tc>
          <w:tcPr>
            <w:tcW w:w="1346" w:type="pct"/>
            <w:tcBorders>
              <w:top w:val="single" w:sz="4" w:space="0" w:color="auto"/>
              <w:left w:val="nil"/>
              <w:bottom w:val="nil"/>
              <w:right w:val="nil"/>
            </w:tcBorders>
            <w:tcMar>
              <w:top w:w="-1" w:type="dxa"/>
              <w:left w:w="-1" w:type="dxa"/>
              <w:bottom w:w="-1" w:type="dxa"/>
              <w:right w:w="-1" w:type="dxa"/>
            </w:tcMar>
            <w:vAlign w:val="center"/>
          </w:tcPr>
          <w:p w14:paraId="7B4F3153"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Number of cases</w:t>
            </w:r>
          </w:p>
        </w:tc>
        <w:tc>
          <w:tcPr>
            <w:tcW w:w="923" w:type="pct"/>
            <w:tcBorders>
              <w:top w:val="single" w:sz="4" w:space="0" w:color="auto"/>
              <w:left w:val="nil"/>
              <w:bottom w:val="nil"/>
              <w:right w:val="nil"/>
            </w:tcBorders>
            <w:tcMar>
              <w:top w:w="-1" w:type="dxa"/>
              <w:left w:w="-1" w:type="dxa"/>
              <w:bottom w:w="-1" w:type="dxa"/>
              <w:right w:w="-1" w:type="dxa"/>
            </w:tcMar>
            <w:vAlign w:val="center"/>
          </w:tcPr>
          <w:p w14:paraId="7900A8E0"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Mean age</w:t>
            </w:r>
          </w:p>
        </w:tc>
        <w:tc>
          <w:tcPr>
            <w:tcW w:w="637" w:type="pct"/>
            <w:tcBorders>
              <w:top w:val="single" w:sz="4" w:space="0" w:color="auto"/>
              <w:left w:val="nil"/>
              <w:bottom w:val="nil"/>
              <w:right w:val="nil"/>
            </w:tcBorders>
            <w:tcMar>
              <w:top w:w="-1" w:type="dxa"/>
              <w:left w:w="-1" w:type="dxa"/>
              <w:bottom w:w="-1" w:type="dxa"/>
              <w:right w:w="-1" w:type="dxa"/>
            </w:tcMar>
            <w:vAlign w:val="center"/>
          </w:tcPr>
          <w:p w14:paraId="1994503D"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 xml:space="preserve">t </w:t>
            </w:r>
            <w:r>
              <w:rPr>
                <w:rFonts w:ascii="Times New Roman" w:eastAsia="Segoe UI" w:hAnsi="Times New Roman" w:cs="Times New Roman"/>
                <w:b/>
                <w:color w:val="0F1115"/>
                <w:sz w:val="24"/>
                <w:shd w:val="clear" w:color="auto" w:fill="FFFFFF"/>
              </w:rPr>
              <w:t>value</w:t>
            </w:r>
          </w:p>
        </w:tc>
        <w:tc>
          <w:tcPr>
            <w:tcW w:w="675" w:type="pct"/>
            <w:tcBorders>
              <w:top w:val="single" w:sz="4" w:space="0" w:color="auto"/>
              <w:left w:val="nil"/>
              <w:bottom w:val="nil"/>
              <w:right w:val="nil"/>
            </w:tcBorders>
            <w:tcMar>
              <w:top w:w="-1" w:type="dxa"/>
              <w:left w:w="-1" w:type="dxa"/>
              <w:bottom w:w="-1" w:type="dxa"/>
              <w:right w:w="-1" w:type="dxa"/>
            </w:tcMar>
            <w:vAlign w:val="center"/>
          </w:tcPr>
          <w:p w14:paraId="6B580AAA" w14:textId="00B22433" w:rsidR="003A2F23" w:rsidRDefault="00654284" w:rsidP="00654284">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p</w:t>
            </w:r>
            <w:r>
              <w:rPr>
                <w:rFonts w:ascii="Times New Roman" w:eastAsia="Segoe UI" w:hAnsi="Times New Roman" w:cs="Times New Roman"/>
                <w:b/>
                <w:color w:val="0F1115"/>
                <w:sz w:val="24"/>
                <w:shd w:val="clear" w:color="auto" w:fill="FFFFFF"/>
              </w:rPr>
              <w:t xml:space="preserve"> value</w:t>
            </w:r>
          </w:p>
        </w:tc>
      </w:tr>
      <w:tr w:rsidR="003A2F23" w14:paraId="6A9A3033" w14:textId="77777777" w:rsidTr="002067BA">
        <w:trPr>
          <w:jc w:val="center"/>
        </w:trPr>
        <w:tc>
          <w:tcPr>
            <w:tcW w:w="1419" w:type="pct"/>
            <w:tcBorders>
              <w:top w:val="single" w:sz="4" w:space="0" w:color="auto"/>
              <w:left w:val="nil"/>
              <w:bottom w:val="nil"/>
              <w:right w:val="nil"/>
            </w:tcBorders>
            <w:tcMar>
              <w:top w:w="-1" w:type="dxa"/>
              <w:left w:w="-1" w:type="dxa"/>
              <w:bottom w:w="-1" w:type="dxa"/>
              <w:right w:w="-1" w:type="dxa"/>
            </w:tcMar>
            <w:vAlign w:val="center"/>
          </w:tcPr>
          <w:p w14:paraId="2D5B673E" w14:textId="77777777" w:rsidR="003A2F23" w:rsidRDefault="00000000" w:rsidP="002067BA">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Observation group</w:t>
            </w:r>
          </w:p>
        </w:tc>
        <w:tc>
          <w:tcPr>
            <w:tcW w:w="1346" w:type="pct"/>
            <w:tcBorders>
              <w:top w:val="single" w:sz="4" w:space="0" w:color="auto"/>
              <w:left w:val="nil"/>
              <w:bottom w:val="nil"/>
              <w:right w:val="nil"/>
            </w:tcBorders>
            <w:tcMar>
              <w:top w:w="-1" w:type="dxa"/>
              <w:left w:w="-1" w:type="dxa"/>
              <w:bottom w:w="-1" w:type="dxa"/>
              <w:right w:w="-1" w:type="dxa"/>
            </w:tcMar>
            <w:vAlign w:val="center"/>
          </w:tcPr>
          <w:p w14:paraId="1A1A29DE"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50</w:t>
            </w:r>
          </w:p>
        </w:tc>
        <w:tc>
          <w:tcPr>
            <w:tcW w:w="923" w:type="pct"/>
            <w:tcBorders>
              <w:top w:val="single" w:sz="4" w:space="0" w:color="auto"/>
              <w:left w:val="nil"/>
              <w:bottom w:val="nil"/>
              <w:right w:val="nil"/>
            </w:tcBorders>
            <w:tcMar>
              <w:top w:w="-1" w:type="dxa"/>
              <w:left w:w="-1" w:type="dxa"/>
              <w:bottom w:w="-1" w:type="dxa"/>
              <w:right w:w="-1" w:type="dxa"/>
            </w:tcMar>
            <w:vAlign w:val="center"/>
          </w:tcPr>
          <w:p w14:paraId="350B93D9" w14:textId="53845760"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60.24</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6.20</w:t>
            </w:r>
          </w:p>
        </w:tc>
        <w:tc>
          <w:tcPr>
            <w:tcW w:w="637" w:type="pct"/>
            <w:vMerge w:val="restart"/>
            <w:tcBorders>
              <w:top w:val="single" w:sz="4" w:space="0" w:color="auto"/>
              <w:left w:val="nil"/>
              <w:bottom w:val="nil"/>
              <w:right w:val="nil"/>
            </w:tcBorders>
            <w:tcMar>
              <w:top w:w="-1" w:type="dxa"/>
              <w:left w:w="-1" w:type="dxa"/>
              <w:bottom w:w="-1" w:type="dxa"/>
              <w:right w:w="-1" w:type="dxa"/>
            </w:tcMar>
            <w:vAlign w:val="center"/>
          </w:tcPr>
          <w:p w14:paraId="7CA9A11A"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-0.167</w:t>
            </w:r>
          </w:p>
        </w:tc>
        <w:tc>
          <w:tcPr>
            <w:tcW w:w="675" w:type="pct"/>
            <w:vMerge w:val="restart"/>
            <w:tcBorders>
              <w:top w:val="single" w:sz="4" w:space="0" w:color="auto"/>
              <w:left w:val="nil"/>
              <w:bottom w:val="nil"/>
              <w:right w:val="nil"/>
            </w:tcBorders>
            <w:tcMar>
              <w:top w:w="-1" w:type="dxa"/>
              <w:left w:w="-1" w:type="dxa"/>
              <w:bottom w:w="-1" w:type="dxa"/>
              <w:right w:w="-1" w:type="dxa"/>
            </w:tcMar>
            <w:vAlign w:val="center"/>
          </w:tcPr>
          <w:p w14:paraId="29CF8520"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0.868</w:t>
            </w:r>
          </w:p>
        </w:tc>
      </w:tr>
      <w:tr w:rsidR="003A2F23" w14:paraId="3E1E41A7" w14:textId="77777777" w:rsidTr="002067BA">
        <w:trPr>
          <w:jc w:val="center"/>
        </w:trPr>
        <w:tc>
          <w:tcPr>
            <w:tcW w:w="1419" w:type="pct"/>
            <w:tcBorders>
              <w:top w:val="nil"/>
              <w:left w:val="nil"/>
              <w:bottom w:val="single" w:sz="4" w:space="0" w:color="auto"/>
              <w:right w:val="nil"/>
            </w:tcBorders>
            <w:tcMar>
              <w:top w:w="-1" w:type="dxa"/>
              <w:left w:w="-1" w:type="dxa"/>
              <w:bottom w:w="-1" w:type="dxa"/>
              <w:right w:w="-1" w:type="dxa"/>
            </w:tcMar>
            <w:vAlign w:val="center"/>
          </w:tcPr>
          <w:p w14:paraId="4642EB66" w14:textId="77777777" w:rsidR="003A2F23" w:rsidRDefault="00000000" w:rsidP="002067BA">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Control group</w:t>
            </w:r>
          </w:p>
        </w:tc>
        <w:tc>
          <w:tcPr>
            <w:tcW w:w="1346" w:type="pct"/>
            <w:tcBorders>
              <w:top w:val="nil"/>
              <w:left w:val="nil"/>
              <w:bottom w:val="single" w:sz="4" w:space="0" w:color="auto"/>
              <w:right w:val="nil"/>
            </w:tcBorders>
            <w:tcMar>
              <w:top w:w="-1" w:type="dxa"/>
              <w:left w:w="-1" w:type="dxa"/>
              <w:bottom w:w="-1" w:type="dxa"/>
              <w:right w:w="-1" w:type="dxa"/>
            </w:tcMar>
            <w:vAlign w:val="center"/>
          </w:tcPr>
          <w:p w14:paraId="46C56F03"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50</w:t>
            </w:r>
          </w:p>
        </w:tc>
        <w:tc>
          <w:tcPr>
            <w:tcW w:w="923" w:type="pct"/>
            <w:tcBorders>
              <w:top w:val="nil"/>
              <w:left w:val="nil"/>
              <w:bottom w:val="single" w:sz="4" w:space="0" w:color="auto"/>
              <w:right w:val="nil"/>
            </w:tcBorders>
            <w:tcMar>
              <w:top w:w="-1" w:type="dxa"/>
              <w:left w:w="-1" w:type="dxa"/>
              <w:bottom w:w="-1" w:type="dxa"/>
              <w:right w:w="-1" w:type="dxa"/>
            </w:tcMar>
            <w:vAlign w:val="center"/>
          </w:tcPr>
          <w:p w14:paraId="50D06283" w14:textId="2BCC7243"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60.44</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5.79</w:t>
            </w:r>
          </w:p>
        </w:tc>
        <w:tc>
          <w:tcPr>
            <w:tcW w:w="637" w:type="pct"/>
            <w:vMerge/>
            <w:tcBorders>
              <w:left w:val="nil"/>
              <w:bottom w:val="single" w:sz="4" w:space="0" w:color="auto"/>
              <w:right w:val="nil"/>
            </w:tcBorders>
            <w:tcMar>
              <w:top w:w="-1" w:type="dxa"/>
              <w:left w:w="-1" w:type="dxa"/>
              <w:bottom w:w="-1" w:type="dxa"/>
              <w:right w:w="-1" w:type="dxa"/>
            </w:tcMar>
            <w:vAlign w:val="center"/>
          </w:tcPr>
          <w:p w14:paraId="0447BA58" w14:textId="77777777" w:rsidR="003A2F23" w:rsidRDefault="003A2F23" w:rsidP="00654284">
            <w:pPr>
              <w:snapToGrid w:val="0"/>
              <w:jc w:val="center"/>
              <w:rPr>
                <w:rFonts w:ascii="Times New Roman" w:eastAsia="Segoe UI" w:hAnsi="Times New Roman" w:cs="Times New Roman"/>
                <w:sz w:val="24"/>
              </w:rPr>
            </w:pPr>
          </w:p>
        </w:tc>
        <w:tc>
          <w:tcPr>
            <w:tcW w:w="675" w:type="pct"/>
            <w:vMerge/>
            <w:tcBorders>
              <w:left w:val="nil"/>
              <w:bottom w:val="single" w:sz="4" w:space="0" w:color="auto"/>
              <w:right w:val="nil"/>
            </w:tcBorders>
            <w:tcMar>
              <w:top w:w="-1" w:type="dxa"/>
              <w:left w:w="-1" w:type="dxa"/>
              <w:bottom w:w="-1" w:type="dxa"/>
              <w:right w:w="-1" w:type="dxa"/>
            </w:tcMar>
            <w:vAlign w:val="center"/>
          </w:tcPr>
          <w:p w14:paraId="086F51D1" w14:textId="77777777" w:rsidR="003A2F23" w:rsidRDefault="003A2F23" w:rsidP="00654284">
            <w:pPr>
              <w:snapToGrid w:val="0"/>
              <w:jc w:val="center"/>
              <w:rPr>
                <w:rFonts w:ascii="Times New Roman" w:eastAsia="Segoe UI" w:hAnsi="Times New Roman" w:cs="Times New Roman"/>
                <w:sz w:val="24"/>
              </w:rPr>
            </w:pPr>
          </w:p>
        </w:tc>
      </w:tr>
    </w:tbl>
    <w:p w14:paraId="1E739E84" w14:textId="77777777" w:rsidR="003A2F23" w:rsidRDefault="003A2F23" w:rsidP="002067BA">
      <w:pPr>
        <w:snapToGrid w:val="0"/>
        <w:rPr>
          <w:rFonts w:ascii="Times New Roman" w:eastAsia="Segoe UI" w:hAnsi="Times New Roman" w:cs="Times New Roman"/>
          <w:color w:val="0F1115"/>
          <w:sz w:val="24"/>
          <w:shd w:val="clear" w:color="auto" w:fill="FFFFFF"/>
        </w:rPr>
      </w:pPr>
    </w:p>
    <w:p w14:paraId="34BD294C" w14:textId="77777777" w:rsidR="003A2F23" w:rsidRDefault="00000000" w:rsidP="002067BA">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.2</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Comparison of </w:t>
      </w:r>
      <w:r>
        <w:rPr>
          <w:rFonts w:ascii="Times New Roman" w:eastAsia="SimSun" w:hAnsi="Times New Roman" w:cs="Times New Roman" w:hint="eastAsia"/>
          <w:b/>
          <w:bCs/>
          <w:color w:val="0F1115"/>
          <w:sz w:val="24"/>
          <w:shd w:val="clear" w:color="auto" w:fill="FFFFFF"/>
        </w:rPr>
        <w:t>c</w:t>
      </w:r>
      <w:r>
        <w:rPr>
          <w:rFonts w:ascii="Times New Roman" w:eastAsia="Segoe UI" w:hAnsi="Times New Roman" w:cs="Times New Roman"/>
          <w:b/>
          <w:bCs/>
          <w:color w:val="0F1115"/>
          <w:sz w:val="24"/>
          <w:shd w:val="clear" w:color="auto" w:fill="FFFFFF"/>
        </w:rPr>
        <w:t xml:space="preserve">linical </w:t>
      </w:r>
      <w:r>
        <w:rPr>
          <w:rFonts w:ascii="Times New Roman" w:eastAsia="SimSun" w:hAnsi="Times New Roman" w:cs="Times New Roman" w:hint="eastAsia"/>
          <w:b/>
          <w:bCs/>
          <w:color w:val="0F1115"/>
          <w:sz w:val="24"/>
          <w:shd w:val="clear" w:color="auto" w:fill="FFFFFF"/>
        </w:rPr>
        <w:t>e</w:t>
      </w:r>
      <w:r>
        <w:rPr>
          <w:rFonts w:ascii="Times New Roman" w:eastAsia="Segoe UI" w:hAnsi="Times New Roman" w:cs="Times New Roman"/>
          <w:b/>
          <w:bCs/>
          <w:color w:val="0F1115"/>
          <w:sz w:val="24"/>
          <w:shd w:val="clear" w:color="auto" w:fill="FFFFFF"/>
        </w:rPr>
        <w:t xml:space="preserve">fficacy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etween the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wo </w:t>
      </w:r>
      <w:r>
        <w:rPr>
          <w:rFonts w:ascii="Times New Roman" w:eastAsia="SimSun" w:hAnsi="Times New Roman" w:cs="Times New Roman" w:hint="eastAsia"/>
          <w:b/>
          <w:bCs/>
          <w:color w:val="0F1115"/>
          <w:sz w:val="24"/>
          <w:shd w:val="clear" w:color="auto" w:fill="FFFFFF"/>
        </w:rPr>
        <w:t>g</w:t>
      </w:r>
      <w:r>
        <w:rPr>
          <w:rFonts w:ascii="Times New Roman" w:eastAsia="Segoe UI" w:hAnsi="Times New Roman" w:cs="Times New Roman"/>
          <w:b/>
          <w:bCs/>
          <w:color w:val="0F1115"/>
          <w:sz w:val="24"/>
          <w:shd w:val="clear" w:color="auto" w:fill="FFFFFF"/>
        </w:rPr>
        <w:t xml:space="preserve">roups </w:t>
      </w:r>
    </w:p>
    <w:p w14:paraId="1C179DF4" w14:textId="75E704C1" w:rsidR="003A2F23" w:rsidRDefault="00000000" w:rsidP="002067BA">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The total effective rate in the observation group was 84%, while that in the control group was 62%. After χ</w:t>
      </w:r>
      <w:r w:rsidR="00654284">
        <w:rPr>
          <w:rFonts w:ascii="Times New Roman" w:eastAsia="Segoe UI" w:hAnsi="Times New Roman" w:cs="Times New Roman"/>
          <w:color w:val="0F1115"/>
          <w:sz w:val="24"/>
          <w:shd w:val="clear" w:color="auto" w:fill="FFFFFF"/>
          <w:vertAlign w:val="superscript"/>
        </w:rPr>
        <w:t>2</w:t>
      </w:r>
      <w:r>
        <w:rPr>
          <w:rFonts w:ascii="Times New Roman" w:eastAsia="Segoe UI" w:hAnsi="Times New Roman" w:cs="Times New Roman"/>
          <w:color w:val="0F1115"/>
          <w:sz w:val="24"/>
          <w:shd w:val="clear" w:color="auto" w:fill="FFFFFF"/>
        </w:rPr>
        <w:t xml:space="preserve"> testing, </w:t>
      </w:r>
      <w:r w:rsidR="00654284">
        <w:rPr>
          <w:rFonts w:ascii="Times New Roman" w:eastAsia="Segoe UI" w:hAnsi="Times New Roman" w:cs="Times New Roman"/>
          <w:i/>
          <w:iCs/>
          <w:color w:val="0F1115"/>
          <w:sz w:val="24"/>
          <w:shd w:val="clear" w:color="auto" w:fill="FFFFFF"/>
        </w:rPr>
        <w:t>p</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 0.013, </w:t>
      </w:r>
      <w:r w:rsidR="00654284">
        <w:rPr>
          <w:rFonts w:ascii="Times New Roman" w:eastAsia="Segoe UI" w:hAnsi="Times New Roman" w:cs="Times New Roman"/>
          <w:i/>
          <w:iCs/>
          <w:color w:val="0F1115"/>
          <w:sz w:val="24"/>
          <w:shd w:val="clear" w:color="auto" w:fill="FFFFFF"/>
        </w:rPr>
        <w:t>p</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&lt; 0.05, indicating a significant difference in the total effective rates between the two groups.</w:t>
      </w:r>
    </w:p>
    <w:p w14:paraId="6DCE6F4F" w14:textId="77777777" w:rsidR="003A2F23" w:rsidRDefault="003A2F23" w:rsidP="002067BA">
      <w:pPr>
        <w:snapToGrid w:val="0"/>
        <w:rPr>
          <w:rFonts w:ascii="Times New Roman" w:eastAsia="Segoe UI" w:hAnsi="Times New Roman" w:cs="Times New Roman"/>
          <w:color w:val="0F1115"/>
          <w:sz w:val="24"/>
          <w:shd w:val="clear" w:color="auto" w:fill="FFFFFF"/>
        </w:rPr>
      </w:pPr>
    </w:p>
    <w:p w14:paraId="41F5EAAB" w14:textId="77777777" w:rsidR="003A2F23" w:rsidRDefault="00000000" w:rsidP="002067BA">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3</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color w:val="0F1115"/>
          <w:sz w:val="24"/>
          <w:shd w:val="clear" w:color="auto" w:fill="FFFFFF"/>
        </w:rPr>
        <w:t xml:space="preserve"> Clinical </w:t>
      </w:r>
      <w:r>
        <w:rPr>
          <w:rFonts w:ascii="Times New Roman" w:eastAsia="SimSun" w:hAnsi="Times New Roman" w:cs="Times New Roman" w:hint="eastAsia"/>
          <w:color w:val="0F1115"/>
          <w:sz w:val="24"/>
          <w:shd w:val="clear" w:color="auto" w:fill="FFFFFF"/>
        </w:rPr>
        <w:t>c</w:t>
      </w:r>
      <w:r>
        <w:rPr>
          <w:rFonts w:ascii="Times New Roman" w:eastAsia="Segoe UI" w:hAnsi="Times New Roman" w:cs="Times New Roman"/>
          <w:color w:val="0F1115"/>
          <w:sz w:val="24"/>
          <w:shd w:val="clear" w:color="auto" w:fill="FFFFFF"/>
        </w:rPr>
        <w:t xml:space="preserve">omparison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etween the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wo </w:t>
      </w:r>
      <w:r>
        <w:rPr>
          <w:rFonts w:ascii="Times New Roman" w:eastAsia="SimSun" w:hAnsi="Times New Roman" w:cs="Times New Roman" w:hint="eastAsia"/>
          <w:color w:val="0F1115"/>
          <w:sz w:val="24"/>
          <w:shd w:val="clear" w:color="auto" w:fill="FFFFFF"/>
        </w:rPr>
        <w:t>g</w:t>
      </w:r>
      <w:r>
        <w:rPr>
          <w:rFonts w:ascii="Times New Roman" w:eastAsia="Segoe UI" w:hAnsi="Times New Roman" w:cs="Times New Roman"/>
          <w:color w:val="0F1115"/>
          <w:sz w:val="24"/>
          <w:shd w:val="clear" w:color="auto" w:fill="FFFFFF"/>
        </w:rPr>
        <w:t xml:space="preserve">roups of </w:t>
      </w:r>
      <w:r>
        <w:rPr>
          <w:rFonts w:ascii="Times New Roman" w:eastAsia="SimSun" w:hAnsi="Times New Roman" w:cs="Times New Roman" w:hint="eastAsia"/>
          <w:color w:val="0F1115"/>
          <w:sz w:val="24"/>
          <w:shd w:val="clear" w:color="auto" w:fill="FFFFFF"/>
        </w:rPr>
        <w:t>p</w:t>
      </w:r>
      <w:r>
        <w:rPr>
          <w:rFonts w:ascii="Times New Roman" w:eastAsia="Segoe UI" w:hAnsi="Times New Roman" w:cs="Times New Roman"/>
          <w:color w:val="0F1115"/>
          <w:sz w:val="24"/>
          <w:shd w:val="clear" w:color="auto" w:fill="FFFFFF"/>
        </w:rPr>
        <w:t>atients</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1554"/>
        <w:gridCol w:w="1309"/>
        <w:gridCol w:w="1490"/>
        <w:gridCol w:w="1101"/>
        <w:gridCol w:w="1268"/>
        <w:gridCol w:w="1374"/>
        <w:gridCol w:w="740"/>
        <w:gridCol w:w="802"/>
      </w:tblGrid>
      <w:tr w:rsidR="003A2F23" w14:paraId="5674E634" w14:textId="77777777" w:rsidTr="002067BA">
        <w:trPr>
          <w:jc w:val="center"/>
        </w:trPr>
        <w:tc>
          <w:tcPr>
            <w:tcW w:w="806" w:type="pct"/>
            <w:tcBorders>
              <w:top w:val="single" w:sz="4" w:space="0" w:color="auto"/>
              <w:left w:val="nil"/>
              <w:bottom w:val="nil"/>
              <w:right w:val="nil"/>
            </w:tcBorders>
            <w:tcMar>
              <w:top w:w="-1" w:type="dxa"/>
              <w:left w:w="-1" w:type="dxa"/>
              <w:bottom w:w="-1" w:type="dxa"/>
              <w:right w:w="-1" w:type="dxa"/>
            </w:tcMar>
            <w:vAlign w:val="center"/>
          </w:tcPr>
          <w:p w14:paraId="78F6DC03" w14:textId="77777777" w:rsidR="003A2F23" w:rsidRDefault="00000000" w:rsidP="002067BA">
            <w:pPr>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Group</w:t>
            </w:r>
          </w:p>
        </w:tc>
        <w:tc>
          <w:tcPr>
            <w:tcW w:w="679" w:type="pct"/>
            <w:tcBorders>
              <w:top w:val="single" w:sz="4" w:space="0" w:color="auto"/>
              <w:left w:val="nil"/>
              <w:bottom w:val="nil"/>
              <w:right w:val="nil"/>
            </w:tcBorders>
            <w:tcMar>
              <w:top w:w="-1" w:type="dxa"/>
              <w:left w:w="-1" w:type="dxa"/>
              <w:bottom w:w="-1" w:type="dxa"/>
              <w:right w:w="-1" w:type="dxa"/>
            </w:tcMar>
            <w:vAlign w:val="center"/>
          </w:tcPr>
          <w:p w14:paraId="0C3143D0"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Number of cases</w:t>
            </w:r>
          </w:p>
        </w:tc>
        <w:tc>
          <w:tcPr>
            <w:tcW w:w="773" w:type="pct"/>
            <w:tcBorders>
              <w:top w:val="single" w:sz="4" w:space="0" w:color="auto"/>
              <w:left w:val="nil"/>
              <w:bottom w:val="nil"/>
              <w:right w:val="nil"/>
            </w:tcBorders>
            <w:tcMar>
              <w:top w:w="-1" w:type="dxa"/>
              <w:left w:w="-1" w:type="dxa"/>
              <w:bottom w:w="-1" w:type="dxa"/>
              <w:right w:w="-1" w:type="dxa"/>
            </w:tcMar>
            <w:vAlign w:val="center"/>
          </w:tcPr>
          <w:p w14:paraId="3D418F8B"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Markedly effective</w:t>
            </w:r>
          </w:p>
        </w:tc>
        <w:tc>
          <w:tcPr>
            <w:tcW w:w="571" w:type="pct"/>
            <w:tcBorders>
              <w:top w:val="single" w:sz="4" w:space="0" w:color="auto"/>
              <w:left w:val="nil"/>
              <w:bottom w:val="nil"/>
              <w:right w:val="nil"/>
            </w:tcBorders>
            <w:tcMar>
              <w:top w:w="-1" w:type="dxa"/>
              <w:left w:w="-1" w:type="dxa"/>
              <w:bottom w:w="-1" w:type="dxa"/>
              <w:right w:w="-1" w:type="dxa"/>
            </w:tcMar>
            <w:vAlign w:val="center"/>
          </w:tcPr>
          <w:p w14:paraId="37583ABD"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Effective</w:t>
            </w:r>
          </w:p>
        </w:tc>
        <w:tc>
          <w:tcPr>
            <w:tcW w:w="658" w:type="pct"/>
            <w:tcBorders>
              <w:top w:val="single" w:sz="4" w:space="0" w:color="auto"/>
              <w:left w:val="nil"/>
              <w:bottom w:val="nil"/>
              <w:right w:val="nil"/>
            </w:tcBorders>
            <w:tcMar>
              <w:top w:w="-1" w:type="dxa"/>
              <w:left w:w="-1" w:type="dxa"/>
              <w:bottom w:w="-1" w:type="dxa"/>
              <w:right w:w="-1" w:type="dxa"/>
            </w:tcMar>
            <w:vAlign w:val="center"/>
          </w:tcPr>
          <w:p w14:paraId="5968D838"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Ineffective</w:t>
            </w:r>
          </w:p>
        </w:tc>
        <w:tc>
          <w:tcPr>
            <w:tcW w:w="713" w:type="pct"/>
            <w:tcBorders>
              <w:top w:val="single" w:sz="4" w:space="0" w:color="auto"/>
              <w:left w:val="nil"/>
              <w:bottom w:val="nil"/>
              <w:right w:val="nil"/>
            </w:tcBorders>
            <w:tcMar>
              <w:top w:w="-1" w:type="dxa"/>
              <w:left w:w="-1" w:type="dxa"/>
              <w:bottom w:w="-1" w:type="dxa"/>
              <w:right w:w="-1" w:type="dxa"/>
            </w:tcMar>
            <w:vAlign w:val="center"/>
          </w:tcPr>
          <w:p w14:paraId="63A308E4"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Total effective rate</w:t>
            </w:r>
          </w:p>
        </w:tc>
        <w:tc>
          <w:tcPr>
            <w:tcW w:w="384" w:type="pct"/>
            <w:tcBorders>
              <w:top w:val="single" w:sz="4" w:space="0" w:color="auto"/>
              <w:left w:val="nil"/>
              <w:bottom w:val="nil"/>
              <w:right w:val="nil"/>
            </w:tcBorders>
            <w:tcMar>
              <w:top w:w="-1" w:type="dxa"/>
              <w:left w:w="-1" w:type="dxa"/>
              <w:bottom w:w="-1" w:type="dxa"/>
              <w:right w:w="-1" w:type="dxa"/>
            </w:tcMar>
            <w:vAlign w:val="center"/>
          </w:tcPr>
          <w:p w14:paraId="2243164E" w14:textId="3AAE4F9B" w:rsidR="003A2F23" w:rsidRPr="002067BA" w:rsidRDefault="00000000" w:rsidP="00654284">
            <w:pPr>
              <w:snapToGrid w:val="0"/>
              <w:jc w:val="center"/>
              <w:rPr>
                <w:rFonts w:ascii="Times New Roman" w:eastAsia="Segoe UI" w:hAnsi="Times New Roman" w:cs="Times New Roman"/>
                <w:b/>
                <w:sz w:val="24"/>
                <w:vertAlign w:val="superscript"/>
              </w:rPr>
            </w:pPr>
            <w:r>
              <w:rPr>
                <w:rFonts w:ascii="Times New Roman" w:eastAsia="SimSun" w:hAnsi="Times New Roman" w:cs="Times New Roman"/>
                <w:b/>
                <w:bCs/>
                <w:sz w:val="24"/>
              </w:rPr>
              <w:t>χ</w:t>
            </w:r>
            <w:r w:rsidR="00654284">
              <w:rPr>
                <w:rFonts w:ascii="Times New Roman" w:eastAsia="SimSun" w:hAnsi="Times New Roman" w:cs="Times New Roman"/>
                <w:b/>
                <w:bCs/>
                <w:sz w:val="24"/>
                <w:vertAlign w:val="superscript"/>
              </w:rPr>
              <w:t>2</w:t>
            </w:r>
          </w:p>
        </w:tc>
        <w:tc>
          <w:tcPr>
            <w:tcW w:w="418" w:type="pct"/>
            <w:tcBorders>
              <w:top w:val="single" w:sz="4" w:space="0" w:color="auto"/>
              <w:left w:val="nil"/>
              <w:bottom w:val="nil"/>
              <w:right w:val="nil"/>
            </w:tcBorders>
            <w:tcMar>
              <w:top w:w="-1" w:type="dxa"/>
              <w:left w:w="-1" w:type="dxa"/>
              <w:bottom w:w="-1" w:type="dxa"/>
              <w:right w:w="-1" w:type="dxa"/>
            </w:tcMar>
            <w:vAlign w:val="center"/>
          </w:tcPr>
          <w:p w14:paraId="66FCA70C" w14:textId="07F2BBDB" w:rsidR="003A2F23" w:rsidRDefault="00654284" w:rsidP="00654284">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p</w:t>
            </w:r>
            <w:r>
              <w:rPr>
                <w:rFonts w:ascii="Times New Roman" w:eastAsia="Segoe UI" w:hAnsi="Times New Roman" w:cs="Times New Roman"/>
                <w:b/>
                <w:color w:val="0F1115"/>
                <w:sz w:val="24"/>
                <w:shd w:val="clear" w:color="auto" w:fill="FFFFFF"/>
              </w:rPr>
              <w:t xml:space="preserve"> value</w:t>
            </w:r>
          </w:p>
        </w:tc>
      </w:tr>
      <w:tr w:rsidR="003A2F23" w14:paraId="21B9192E" w14:textId="77777777" w:rsidTr="002067BA">
        <w:trPr>
          <w:jc w:val="center"/>
        </w:trPr>
        <w:tc>
          <w:tcPr>
            <w:tcW w:w="806" w:type="pct"/>
            <w:tcBorders>
              <w:top w:val="single" w:sz="4" w:space="0" w:color="auto"/>
              <w:left w:val="nil"/>
              <w:bottom w:val="nil"/>
              <w:right w:val="nil"/>
            </w:tcBorders>
            <w:tcMar>
              <w:top w:w="-1" w:type="dxa"/>
              <w:left w:w="-1" w:type="dxa"/>
              <w:bottom w:w="-1" w:type="dxa"/>
              <w:right w:w="-1" w:type="dxa"/>
            </w:tcMar>
            <w:vAlign w:val="center"/>
          </w:tcPr>
          <w:p w14:paraId="355729C0" w14:textId="77777777" w:rsidR="003A2F23" w:rsidRDefault="00000000" w:rsidP="002067BA">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Observation group</w:t>
            </w:r>
          </w:p>
        </w:tc>
        <w:tc>
          <w:tcPr>
            <w:tcW w:w="679" w:type="pct"/>
            <w:tcBorders>
              <w:top w:val="single" w:sz="4" w:space="0" w:color="auto"/>
              <w:left w:val="nil"/>
              <w:bottom w:val="nil"/>
              <w:right w:val="nil"/>
            </w:tcBorders>
            <w:tcMar>
              <w:top w:w="-1" w:type="dxa"/>
              <w:left w:w="-1" w:type="dxa"/>
              <w:bottom w:w="-1" w:type="dxa"/>
              <w:right w:w="-1" w:type="dxa"/>
            </w:tcMar>
            <w:vAlign w:val="center"/>
          </w:tcPr>
          <w:p w14:paraId="52BE1C9B"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50</w:t>
            </w:r>
          </w:p>
        </w:tc>
        <w:tc>
          <w:tcPr>
            <w:tcW w:w="773" w:type="pct"/>
            <w:tcBorders>
              <w:top w:val="single" w:sz="4" w:space="0" w:color="auto"/>
              <w:left w:val="nil"/>
              <w:bottom w:val="nil"/>
              <w:right w:val="nil"/>
            </w:tcBorders>
            <w:tcMar>
              <w:top w:w="-1" w:type="dxa"/>
              <w:left w:w="-1" w:type="dxa"/>
              <w:bottom w:w="-1" w:type="dxa"/>
              <w:right w:w="-1" w:type="dxa"/>
            </w:tcMar>
            <w:vAlign w:val="center"/>
          </w:tcPr>
          <w:p w14:paraId="077AF2C6"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10</w:t>
            </w:r>
          </w:p>
        </w:tc>
        <w:tc>
          <w:tcPr>
            <w:tcW w:w="571" w:type="pct"/>
            <w:tcBorders>
              <w:top w:val="single" w:sz="4" w:space="0" w:color="auto"/>
              <w:left w:val="nil"/>
              <w:bottom w:val="nil"/>
              <w:right w:val="nil"/>
            </w:tcBorders>
            <w:tcMar>
              <w:top w:w="-1" w:type="dxa"/>
              <w:left w:w="-1" w:type="dxa"/>
              <w:bottom w:w="-1" w:type="dxa"/>
              <w:right w:w="-1" w:type="dxa"/>
            </w:tcMar>
            <w:vAlign w:val="center"/>
          </w:tcPr>
          <w:p w14:paraId="5D2BB613"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32</w:t>
            </w:r>
          </w:p>
        </w:tc>
        <w:tc>
          <w:tcPr>
            <w:tcW w:w="658" w:type="pct"/>
            <w:tcBorders>
              <w:top w:val="single" w:sz="4" w:space="0" w:color="auto"/>
              <w:left w:val="nil"/>
              <w:bottom w:val="nil"/>
              <w:right w:val="nil"/>
            </w:tcBorders>
            <w:tcMar>
              <w:top w:w="-1" w:type="dxa"/>
              <w:left w:w="-1" w:type="dxa"/>
              <w:bottom w:w="-1" w:type="dxa"/>
              <w:right w:w="-1" w:type="dxa"/>
            </w:tcMar>
            <w:vAlign w:val="center"/>
          </w:tcPr>
          <w:p w14:paraId="5305D077"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8</w:t>
            </w:r>
          </w:p>
        </w:tc>
        <w:tc>
          <w:tcPr>
            <w:tcW w:w="713" w:type="pct"/>
            <w:tcBorders>
              <w:top w:val="single" w:sz="4" w:space="0" w:color="auto"/>
              <w:left w:val="nil"/>
              <w:bottom w:val="nil"/>
              <w:right w:val="nil"/>
            </w:tcBorders>
            <w:tcMar>
              <w:top w:w="-1" w:type="dxa"/>
              <w:left w:w="-1" w:type="dxa"/>
              <w:bottom w:w="-1" w:type="dxa"/>
              <w:right w:w="-1" w:type="dxa"/>
            </w:tcMar>
            <w:vAlign w:val="center"/>
          </w:tcPr>
          <w:p w14:paraId="29DD07C3"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84%</w:t>
            </w:r>
          </w:p>
        </w:tc>
        <w:tc>
          <w:tcPr>
            <w:tcW w:w="384" w:type="pct"/>
            <w:vMerge w:val="restart"/>
            <w:tcBorders>
              <w:top w:val="single" w:sz="4" w:space="0" w:color="auto"/>
              <w:left w:val="nil"/>
              <w:bottom w:val="nil"/>
              <w:right w:val="nil"/>
            </w:tcBorders>
            <w:tcMar>
              <w:top w:w="-1" w:type="dxa"/>
              <w:left w:w="-1" w:type="dxa"/>
              <w:bottom w:w="-1" w:type="dxa"/>
              <w:right w:w="-1" w:type="dxa"/>
            </w:tcMar>
            <w:vAlign w:val="center"/>
          </w:tcPr>
          <w:p w14:paraId="039712DF"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6.139</w:t>
            </w:r>
          </w:p>
        </w:tc>
        <w:tc>
          <w:tcPr>
            <w:tcW w:w="418" w:type="pct"/>
            <w:vMerge w:val="restart"/>
            <w:tcBorders>
              <w:top w:val="single" w:sz="4" w:space="0" w:color="auto"/>
              <w:left w:val="nil"/>
              <w:bottom w:val="nil"/>
              <w:right w:val="nil"/>
            </w:tcBorders>
            <w:tcMar>
              <w:top w:w="-1" w:type="dxa"/>
              <w:left w:w="-1" w:type="dxa"/>
              <w:bottom w:w="-1" w:type="dxa"/>
              <w:right w:w="-1" w:type="dxa"/>
            </w:tcMar>
            <w:vAlign w:val="center"/>
          </w:tcPr>
          <w:p w14:paraId="07690A3F"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0.013</w:t>
            </w:r>
          </w:p>
        </w:tc>
      </w:tr>
      <w:tr w:rsidR="003A2F23" w14:paraId="4F2698C4" w14:textId="77777777" w:rsidTr="002067BA">
        <w:trPr>
          <w:jc w:val="center"/>
        </w:trPr>
        <w:tc>
          <w:tcPr>
            <w:tcW w:w="806" w:type="pct"/>
            <w:tcBorders>
              <w:top w:val="nil"/>
              <w:left w:val="nil"/>
              <w:bottom w:val="single" w:sz="4" w:space="0" w:color="auto"/>
              <w:right w:val="nil"/>
            </w:tcBorders>
            <w:tcMar>
              <w:top w:w="-1" w:type="dxa"/>
              <w:left w:w="-1" w:type="dxa"/>
              <w:bottom w:w="-1" w:type="dxa"/>
              <w:right w:w="-1" w:type="dxa"/>
            </w:tcMar>
            <w:vAlign w:val="center"/>
          </w:tcPr>
          <w:p w14:paraId="39818FE8" w14:textId="77777777" w:rsidR="003A2F23" w:rsidRDefault="00000000" w:rsidP="002067BA">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Control group</w:t>
            </w:r>
          </w:p>
        </w:tc>
        <w:tc>
          <w:tcPr>
            <w:tcW w:w="679" w:type="pct"/>
            <w:tcBorders>
              <w:top w:val="nil"/>
              <w:left w:val="nil"/>
              <w:bottom w:val="single" w:sz="4" w:space="0" w:color="auto"/>
              <w:right w:val="nil"/>
            </w:tcBorders>
            <w:tcMar>
              <w:top w:w="-1" w:type="dxa"/>
              <w:left w:w="-1" w:type="dxa"/>
              <w:bottom w:w="-1" w:type="dxa"/>
              <w:right w:w="-1" w:type="dxa"/>
            </w:tcMar>
            <w:vAlign w:val="center"/>
          </w:tcPr>
          <w:p w14:paraId="60F143F5"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50</w:t>
            </w:r>
          </w:p>
        </w:tc>
        <w:tc>
          <w:tcPr>
            <w:tcW w:w="773" w:type="pct"/>
            <w:tcBorders>
              <w:top w:val="nil"/>
              <w:left w:val="nil"/>
              <w:bottom w:val="single" w:sz="4" w:space="0" w:color="auto"/>
              <w:right w:val="nil"/>
            </w:tcBorders>
            <w:tcMar>
              <w:top w:w="-1" w:type="dxa"/>
              <w:left w:w="-1" w:type="dxa"/>
              <w:bottom w:w="-1" w:type="dxa"/>
              <w:right w:w="-1" w:type="dxa"/>
            </w:tcMar>
            <w:vAlign w:val="center"/>
          </w:tcPr>
          <w:p w14:paraId="662D5B33"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w:t>
            </w:r>
          </w:p>
        </w:tc>
        <w:tc>
          <w:tcPr>
            <w:tcW w:w="571" w:type="pct"/>
            <w:tcBorders>
              <w:top w:val="nil"/>
              <w:left w:val="nil"/>
              <w:bottom w:val="single" w:sz="4" w:space="0" w:color="auto"/>
              <w:right w:val="nil"/>
            </w:tcBorders>
            <w:tcMar>
              <w:top w:w="-1" w:type="dxa"/>
              <w:left w:w="-1" w:type="dxa"/>
              <w:bottom w:w="-1" w:type="dxa"/>
              <w:right w:w="-1" w:type="dxa"/>
            </w:tcMar>
            <w:vAlign w:val="center"/>
          </w:tcPr>
          <w:p w14:paraId="624DE571"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29</w:t>
            </w:r>
          </w:p>
        </w:tc>
        <w:tc>
          <w:tcPr>
            <w:tcW w:w="658" w:type="pct"/>
            <w:tcBorders>
              <w:top w:val="nil"/>
              <w:left w:val="nil"/>
              <w:bottom w:val="single" w:sz="4" w:space="0" w:color="auto"/>
              <w:right w:val="nil"/>
            </w:tcBorders>
            <w:tcMar>
              <w:top w:w="-1" w:type="dxa"/>
              <w:left w:w="-1" w:type="dxa"/>
              <w:bottom w:w="-1" w:type="dxa"/>
              <w:right w:w="-1" w:type="dxa"/>
            </w:tcMar>
            <w:vAlign w:val="center"/>
          </w:tcPr>
          <w:p w14:paraId="1B9F700B"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19</w:t>
            </w:r>
          </w:p>
        </w:tc>
        <w:tc>
          <w:tcPr>
            <w:tcW w:w="713" w:type="pct"/>
            <w:tcBorders>
              <w:top w:val="nil"/>
              <w:left w:val="nil"/>
              <w:bottom w:val="single" w:sz="4" w:space="0" w:color="auto"/>
              <w:right w:val="nil"/>
            </w:tcBorders>
            <w:tcMar>
              <w:top w:w="-1" w:type="dxa"/>
              <w:left w:w="-1" w:type="dxa"/>
              <w:bottom w:w="-1" w:type="dxa"/>
              <w:right w:w="-1" w:type="dxa"/>
            </w:tcMar>
            <w:vAlign w:val="center"/>
          </w:tcPr>
          <w:p w14:paraId="6B796570"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62%</w:t>
            </w:r>
          </w:p>
        </w:tc>
        <w:tc>
          <w:tcPr>
            <w:tcW w:w="384" w:type="pct"/>
            <w:vMerge/>
            <w:tcBorders>
              <w:left w:val="nil"/>
              <w:bottom w:val="single" w:sz="4" w:space="0" w:color="auto"/>
              <w:right w:val="nil"/>
            </w:tcBorders>
            <w:tcMar>
              <w:top w:w="-1" w:type="dxa"/>
              <w:left w:w="-1" w:type="dxa"/>
              <w:bottom w:w="-1" w:type="dxa"/>
              <w:right w:w="-1" w:type="dxa"/>
            </w:tcMar>
            <w:vAlign w:val="center"/>
          </w:tcPr>
          <w:p w14:paraId="1A8EFDA1" w14:textId="77777777" w:rsidR="003A2F23" w:rsidRDefault="003A2F23" w:rsidP="00654284">
            <w:pPr>
              <w:snapToGrid w:val="0"/>
              <w:jc w:val="center"/>
              <w:rPr>
                <w:rFonts w:ascii="Times New Roman" w:eastAsia="Segoe UI" w:hAnsi="Times New Roman" w:cs="Times New Roman"/>
                <w:sz w:val="24"/>
              </w:rPr>
            </w:pPr>
          </w:p>
        </w:tc>
        <w:tc>
          <w:tcPr>
            <w:tcW w:w="418" w:type="pct"/>
            <w:vMerge/>
            <w:tcBorders>
              <w:left w:val="nil"/>
              <w:bottom w:val="single" w:sz="4" w:space="0" w:color="auto"/>
              <w:right w:val="nil"/>
            </w:tcBorders>
            <w:tcMar>
              <w:top w:w="-1" w:type="dxa"/>
              <w:left w:w="-1" w:type="dxa"/>
              <w:bottom w:w="-1" w:type="dxa"/>
              <w:right w:w="-1" w:type="dxa"/>
            </w:tcMar>
            <w:vAlign w:val="center"/>
          </w:tcPr>
          <w:p w14:paraId="52380E47" w14:textId="77777777" w:rsidR="003A2F23" w:rsidRDefault="003A2F23" w:rsidP="00654284">
            <w:pPr>
              <w:snapToGrid w:val="0"/>
              <w:jc w:val="center"/>
              <w:rPr>
                <w:rFonts w:ascii="Times New Roman" w:eastAsia="Segoe UI" w:hAnsi="Times New Roman" w:cs="Times New Roman"/>
                <w:sz w:val="24"/>
              </w:rPr>
            </w:pPr>
          </w:p>
        </w:tc>
      </w:tr>
    </w:tbl>
    <w:p w14:paraId="4F5C8ACE" w14:textId="77777777" w:rsidR="003A2F23" w:rsidRDefault="003A2F23" w:rsidP="002067BA">
      <w:pPr>
        <w:snapToGrid w:val="0"/>
        <w:rPr>
          <w:rFonts w:ascii="Times New Roman" w:eastAsia="Segoe UI" w:hAnsi="Times New Roman" w:cs="Times New Roman"/>
          <w:color w:val="0F1115"/>
          <w:sz w:val="24"/>
          <w:shd w:val="clear" w:color="auto" w:fill="FFFFFF"/>
        </w:rPr>
      </w:pPr>
    </w:p>
    <w:p w14:paraId="3A44C987" w14:textId="77777777" w:rsidR="003A2F23" w:rsidRDefault="00000000" w:rsidP="002067BA">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.3</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Comparison of </w:t>
      </w:r>
      <w:r>
        <w:rPr>
          <w:rFonts w:ascii="Times New Roman" w:eastAsia="SimSun" w:hAnsi="Times New Roman" w:cs="Times New Roman" w:hint="eastAsia"/>
          <w:b/>
          <w:bCs/>
          <w:color w:val="0F1115"/>
          <w:sz w:val="24"/>
          <w:shd w:val="clear" w:color="auto" w:fill="FFFFFF"/>
        </w:rPr>
        <w:t>v</w:t>
      </w:r>
      <w:r>
        <w:rPr>
          <w:rFonts w:ascii="Times New Roman" w:eastAsia="Segoe UI" w:hAnsi="Times New Roman" w:cs="Times New Roman"/>
          <w:b/>
          <w:bCs/>
          <w:color w:val="0F1115"/>
          <w:sz w:val="24"/>
          <w:shd w:val="clear" w:color="auto" w:fill="FFFFFF"/>
        </w:rPr>
        <w:t xml:space="preserve">isual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cuity and the </w:t>
      </w:r>
      <w:r>
        <w:rPr>
          <w:rFonts w:ascii="Times New Roman" w:eastAsia="SimSun" w:hAnsi="Times New Roman" w:cs="Times New Roman" w:hint="eastAsia"/>
          <w:b/>
          <w:bCs/>
          <w:color w:val="0F1115"/>
          <w:sz w:val="24"/>
          <w:shd w:val="clear" w:color="auto" w:fill="FFFFFF"/>
        </w:rPr>
        <w:t>n</w:t>
      </w:r>
      <w:r>
        <w:rPr>
          <w:rFonts w:ascii="Times New Roman" w:eastAsia="Segoe UI" w:hAnsi="Times New Roman" w:cs="Times New Roman"/>
          <w:b/>
          <w:bCs/>
          <w:color w:val="0F1115"/>
          <w:sz w:val="24"/>
          <w:shd w:val="clear" w:color="auto" w:fill="FFFFFF"/>
        </w:rPr>
        <w:t xml:space="preserve">umber of </w:t>
      </w:r>
      <w:r>
        <w:rPr>
          <w:rFonts w:ascii="Times New Roman" w:eastAsia="SimSun" w:hAnsi="Times New Roman" w:cs="Times New Roman" w:hint="eastAsia"/>
          <w:b/>
          <w:bCs/>
          <w:color w:val="0F1115"/>
          <w:sz w:val="24"/>
          <w:shd w:val="clear" w:color="auto" w:fill="FFFFFF"/>
        </w:rPr>
        <w:t>l</w:t>
      </w:r>
      <w:r>
        <w:rPr>
          <w:rFonts w:ascii="Times New Roman" w:eastAsia="Segoe UI" w:hAnsi="Times New Roman" w:cs="Times New Roman"/>
          <w:b/>
          <w:bCs/>
          <w:color w:val="0F1115"/>
          <w:sz w:val="24"/>
          <w:shd w:val="clear" w:color="auto" w:fill="FFFFFF"/>
        </w:rPr>
        <w:t xml:space="preserve">ines </w:t>
      </w:r>
      <w:r>
        <w:rPr>
          <w:rFonts w:ascii="Times New Roman" w:eastAsia="SimSun" w:hAnsi="Times New Roman" w:cs="Times New Roman" w:hint="eastAsia"/>
          <w:b/>
          <w:bCs/>
          <w:color w:val="0F1115"/>
          <w:sz w:val="24"/>
          <w:shd w:val="clear" w:color="auto" w:fill="FFFFFF"/>
        </w:rPr>
        <w:t>i</w:t>
      </w:r>
      <w:r>
        <w:rPr>
          <w:rFonts w:ascii="Times New Roman" w:eastAsia="Segoe UI" w:hAnsi="Times New Roman" w:cs="Times New Roman"/>
          <w:b/>
          <w:bCs/>
          <w:color w:val="0F1115"/>
          <w:sz w:val="24"/>
          <w:shd w:val="clear" w:color="auto" w:fill="FFFFFF"/>
        </w:rPr>
        <w:t xml:space="preserve">mproved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efore and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fter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reatment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etween the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wo </w:t>
      </w:r>
      <w:r>
        <w:rPr>
          <w:rFonts w:ascii="Times New Roman" w:eastAsia="SimSun" w:hAnsi="Times New Roman" w:cs="Times New Roman" w:hint="eastAsia"/>
          <w:b/>
          <w:bCs/>
          <w:color w:val="0F1115"/>
          <w:sz w:val="24"/>
          <w:shd w:val="clear" w:color="auto" w:fill="FFFFFF"/>
        </w:rPr>
        <w:t>g</w:t>
      </w:r>
      <w:r>
        <w:rPr>
          <w:rFonts w:ascii="Times New Roman" w:eastAsia="Segoe UI" w:hAnsi="Times New Roman" w:cs="Times New Roman"/>
          <w:b/>
          <w:bCs/>
          <w:color w:val="0F1115"/>
          <w:sz w:val="24"/>
          <w:shd w:val="clear" w:color="auto" w:fill="FFFFFF"/>
        </w:rPr>
        <w:t xml:space="preserve">roups </w:t>
      </w:r>
    </w:p>
    <w:p w14:paraId="71969459" w14:textId="77777777" w:rsidR="003A2F23" w:rsidRDefault="00000000" w:rsidP="002067BA">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.3.1</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Comparison of </w:t>
      </w:r>
      <w:r>
        <w:rPr>
          <w:rFonts w:ascii="Times New Roman" w:eastAsia="SimSun" w:hAnsi="Times New Roman" w:cs="Times New Roman" w:hint="eastAsia"/>
          <w:b/>
          <w:bCs/>
          <w:color w:val="0F1115"/>
          <w:sz w:val="24"/>
          <w:shd w:val="clear" w:color="auto" w:fill="FFFFFF"/>
        </w:rPr>
        <w:t>v</w:t>
      </w:r>
      <w:r>
        <w:rPr>
          <w:rFonts w:ascii="Times New Roman" w:eastAsia="Segoe UI" w:hAnsi="Times New Roman" w:cs="Times New Roman"/>
          <w:b/>
          <w:bCs/>
          <w:color w:val="0F1115"/>
          <w:sz w:val="24"/>
          <w:shd w:val="clear" w:color="auto" w:fill="FFFFFF"/>
        </w:rPr>
        <w:t xml:space="preserve">isual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cuity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efore and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fter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reatment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etween the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wo </w:t>
      </w:r>
      <w:r>
        <w:rPr>
          <w:rFonts w:ascii="Times New Roman" w:eastAsia="SimSun" w:hAnsi="Times New Roman" w:cs="Times New Roman" w:hint="eastAsia"/>
          <w:b/>
          <w:bCs/>
          <w:color w:val="0F1115"/>
          <w:sz w:val="24"/>
          <w:shd w:val="clear" w:color="auto" w:fill="FFFFFF"/>
        </w:rPr>
        <w:t>g</w:t>
      </w:r>
      <w:r>
        <w:rPr>
          <w:rFonts w:ascii="Times New Roman" w:eastAsia="Segoe UI" w:hAnsi="Times New Roman" w:cs="Times New Roman"/>
          <w:b/>
          <w:bCs/>
          <w:color w:val="0F1115"/>
          <w:sz w:val="24"/>
          <w:shd w:val="clear" w:color="auto" w:fill="FFFFFF"/>
        </w:rPr>
        <w:t xml:space="preserve">roups </w:t>
      </w:r>
    </w:p>
    <w:p w14:paraId="3B3CA832" w14:textId="061D87F8" w:rsidR="003A2F23" w:rsidRDefault="00000000" w:rsidP="002067BA">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The visual acuity of patients in both groups after treatment was higher than that before treatment within their respective groups, with </w:t>
      </w:r>
      <w:r w:rsidR="00654284">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 &lt; 0.01 indicating a significant difference. This demonstrates a significant improvement in visual acuity in both groups before and after treatment, with the difference being statistically significant. See </w:t>
      </w:r>
      <w:r>
        <w:rPr>
          <w:rFonts w:ascii="Times New Roman" w:eastAsia="Segoe UI" w:hAnsi="Times New Roman" w:cs="Times New Roman"/>
          <w:b/>
          <w:bCs/>
          <w:color w:val="0F1115"/>
          <w:sz w:val="24"/>
          <w:shd w:val="clear" w:color="auto" w:fill="FFFFFF"/>
        </w:rPr>
        <w:t>Table 4</w:t>
      </w:r>
      <w:r>
        <w:rPr>
          <w:rFonts w:ascii="Times New Roman" w:eastAsia="Segoe UI" w:hAnsi="Times New Roman" w:cs="Times New Roman"/>
          <w:color w:val="0F1115"/>
          <w:sz w:val="24"/>
          <w:shd w:val="clear" w:color="auto" w:fill="FFFFFF"/>
        </w:rPr>
        <w:t xml:space="preserve">. </w:t>
      </w:r>
    </w:p>
    <w:p w14:paraId="6AC69B99" w14:textId="77777777" w:rsidR="003A2F23" w:rsidRDefault="003A2F23" w:rsidP="002067BA">
      <w:pPr>
        <w:snapToGrid w:val="0"/>
        <w:rPr>
          <w:rFonts w:ascii="Times New Roman" w:eastAsia="Segoe UI" w:hAnsi="Times New Roman" w:cs="Times New Roman"/>
          <w:color w:val="0F1115"/>
          <w:sz w:val="24"/>
          <w:shd w:val="clear" w:color="auto" w:fill="FFFFFF"/>
        </w:rPr>
      </w:pPr>
    </w:p>
    <w:p w14:paraId="4D6C06E4" w14:textId="77777777" w:rsidR="003A2F23" w:rsidRDefault="00000000" w:rsidP="002067BA">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4</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color w:val="0F1115"/>
          <w:sz w:val="24"/>
          <w:shd w:val="clear" w:color="auto" w:fill="FFFFFF"/>
        </w:rPr>
        <w:t xml:space="preserve"> Comparison of </w:t>
      </w:r>
      <w:r>
        <w:rPr>
          <w:rFonts w:ascii="Times New Roman" w:eastAsia="SimSun" w:hAnsi="Times New Roman" w:cs="Times New Roman" w:hint="eastAsia"/>
          <w:color w:val="0F1115"/>
          <w:sz w:val="24"/>
          <w:shd w:val="clear" w:color="auto" w:fill="FFFFFF"/>
        </w:rPr>
        <w:t>v</w:t>
      </w:r>
      <w:r>
        <w:rPr>
          <w:rFonts w:ascii="Times New Roman" w:eastAsia="Segoe UI" w:hAnsi="Times New Roman" w:cs="Times New Roman"/>
          <w:color w:val="0F1115"/>
          <w:sz w:val="24"/>
          <w:shd w:val="clear" w:color="auto" w:fill="FFFFFF"/>
        </w:rPr>
        <w:t xml:space="preserve">isual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cuity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efore and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fter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reatment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etween the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wo </w:t>
      </w:r>
      <w:r>
        <w:rPr>
          <w:rFonts w:ascii="Times New Roman" w:eastAsia="SimSun" w:hAnsi="Times New Roman" w:cs="Times New Roman" w:hint="eastAsia"/>
          <w:color w:val="0F1115"/>
          <w:sz w:val="24"/>
          <w:shd w:val="clear" w:color="auto" w:fill="FFFFFF"/>
        </w:rPr>
        <w:t>g</w:t>
      </w:r>
      <w:r>
        <w:rPr>
          <w:rFonts w:ascii="Times New Roman" w:eastAsia="Segoe UI" w:hAnsi="Times New Roman" w:cs="Times New Roman"/>
          <w:color w:val="0F1115"/>
          <w:sz w:val="24"/>
          <w:shd w:val="clear" w:color="auto" w:fill="FFFFFF"/>
        </w:rPr>
        <w:t>roups</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020"/>
        <w:gridCol w:w="1916"/>
        <w:gridCol w:w="1972"/>
        <w:gridCol w:w="1837"/>
        <w:gridCol w:w="933"/>
        <w:gridCol w:w="960"/>
      </w:tblGrid>
      <w:tr w:rsidR="003A2F23" w14:paraId="0F0B4E10" w14:textId="77777777" w:rsidTr="002067BA">
        <w:trPr>
          <w:tblHeader/>
          <w:jc w:val="center"/>
        </w:trPr>
        <w:tc>
          <w:tcPr>
            <w:tcW w:w="1048" w:type="pct"/>
            <w:tcBorders>
              <w:top w:val="single" w:sz="4" w:space="0" w:color="auto"/>
              <w:left w:val="nil"/>
              <w:bottom w:val="nil"/>
              <w:right w:val="nil"/>
            </w:tcBorders>
            <w:tcMar>
              <w:top w:w="-1" w:type="dxa"/>
              <w:left w:w="-1" w:type="dxa"/>
              <w:bottom w:w="-1" w:type="dxa"/>
              <w:right w:w="-1" w:type="dxa"/>
            </w:tcMar>
            <w:vAlign w:val="center"/>
          </w:tcPr>
          <w:p w14:paraId="229E7557" w14:textId="77777777" w:rsidR="003A2F23" w:rsidRDefault="00000000" w:rsidP="002067BA">
            <w:pPr>
              <w:pStyle w:val="NormalWeb"/>
              <w:snapToGrid w:val="0"/>
              <w:jc w:val="left"/>
              <w:rPr>
                <w:rFonts w:ascii="Times New Roman" w:eastAsia="Segoe UI" w:hAnsi="Times New Roman" w:cs="Times New Roman"/>
                <w:b/>
              </w:rPr>
            </w:pPr>
            <w:r>
              <w:rPr>
                <w:rFonts w:ascii="Times New Roman" w:eastAsia="Segoe UI" w:hAnsi="Times New Roman" w:cs="Times New Roman"/>
                <w:b/>
                <w:color w:val="0F1115"/>
                <w:shd w:val="clear" w:color="auto" w:fill="FFFFFF"/>
              </w:rPr>
              <w:t>Group</w:t>
            </w:r>
          </w:p>
        </w:tc>
        <w:tc>
          <w:tcPr>
            <w:tcW w:w="994" w:type="pct"/>
            <w:tcBorders>
              <w:top w:val="single" w:sz="4" w:space="0" w:color="auto"/>
              <w:left w:val="nil"/>
              <w:bottom w:val="nil"/>
              <w:right w:val="nil"/>
            </w:tcBorders>
            <w:tcMar>
              <w:top w:w="-1" w:type="dxa"/>
              <w:left w:w="-1" w:type="dxa"/>
              <w:bottom w:w="-1" w:type="dxa"/>
              <w:right w:w="-1" w:type="dxa"/>
            </w:tcMar>
            <w:vAlign w:val="center"/>
          </w:tcPr>
          <w:p w14:paraId="71FA152C" w14:textId="77777777" w:rsidR="003A2F23" w:rsidRDefault="00000000" w:rsidP="00654284">
            <w:pPr>
              <w:pStyle w:val="NormalWeb"/>
              <w:snapToGrid w:val="0"/>
              <w:jc w:val="center"/>
              <w:rPr>
                <w:rFonts w:ascii="Times New Roman" w:eastAsia="Segoe UI" w:hAnsi="Times New Roman" w:cs="Times New Roman"/>
                <w:b/>
              </w:rPr>
            </w:pPr>
            <w:r>
              <w:rPr>
                <w:rFonts w:ascii="Times New Roman" w:eastAsia="Segoe UI" w:hAnsi="Times New Roman" w:cs="Times New Roman"/>
                <w:b/>
                <w:color w:val="0F1115"/>
                <w:shd w:val="clear" w:color="auto" w:fill="FFFFFF"/>
              </w:rPr>
              <w:t>Number of cases</w:t>
            </w:r>
          </w:p>
        </w:tc>
        <w:tc>
          <w:tcPr>
            <w:tcW w:w="1023" w:type="pct"/>
            <w:tcBorders>
              <w:top w:val="single" w:sz="4" w:space="0" w:color="auto"/>
              <w:left w:val="nil"/>
              <w:bottom w:val="nil"/>
              <w:right w:val="nil"/>
            </w:tcBorders>
            <w:tcMar>
              <w:top w:w="-1" w:type="dxa"/>
              <w:left w:w="-1" w:type="dxa"/>
              <w:bottom w:w="-1" w:type="dxa"/>
              <w:right w:w="-1" w:type="dxa"/>
            </w:tcMar>
            <w:vAlign w:val="center"/>
          </w:tcPr>
          <w:p w14:paraId="59C6B070" w14:textId="77777777" w:rsidR="003A2F23" w:rsidRDefault="00000000" w:rsidP="00654284">
            <w:pPr>
              <w:pStyle w:val="NormalWeb"/>
              <w:snapToGrid w:val="0"/>
              <w:jc w:val="center"/>
              <w:rPr>
                <w:rFonts w:ascii="Times New Roman" w:eastAsia="Segoe UI" w:hAnsi="Times New Roman" w:cs="Times New Roman"/>
                <w:b/>
              </w:rPr>
            </w:pPr>
            <w:r>
              <w:rPr>
                <w:rFonts w:ascii="Times New Roman" w:eastAsia="Segoe UI" w:hAnsi="Times New Roman" w:cs="Times New Roman"/>
                <w:b/>
                <w:color w:val="0F1115"/>
                <w:shd w:val="clear" w:color="auto" w:fill="FFFFFF"/>
              </w:rPr>
              <w:t>Before treatment</w:t>
            </w:r>
          </w:p>
        </w:tc>
        <w:tc>
          <w:tcPr>
            <w:tcW w:w="953" w:type="pct"/>
            <w:tcBorders>
              <w:top w:val="single" w:sz="4" w:space="0" w:color="auto"/>
              <w:left w:val="nil"/>
              <w:bottom w:val="nil"/>
              <w:right w:val="nil"/>
            </w:tcBorders>
            <w:tcMar>
              <w:top w:w="-1" w:type="dxa"/>
              <w:left w:w="-1" w:type="dxa"/>
              <w:bottom w:w="-1" w:type="dxa"/>
              <w:right w:w="-1" w:type="dxa"/>
            </w:tcMar>
            <w:vAlign w:val="center"/>
          </w:tcPr>
          <w:p w14:paraId="06B2BC6C" w14:textId="77777777" w:rsidR="003A2F23" w:rsidRDefault="00000000" w:rsidP="00654284">
            <w:pPr>
              <w:pStyle w:val="NormalWeb"/>
              <w:snapToGrid w:val="0"/>
              <w:jc w:val="center"/>
              <w:rPr>
                <w:rFonts w:ascii="Times New Roman" w:eastAsia="Segoe UI" w:hAnsi="Times New Roman" w:cs="Times New Roman"/>
                <w:b/>
              </w:rPr>
            </w:pPr>
            <w:r>
              <w:rPr>
                <w:rFonts w:ascii="Times New Roman" w:eastAsia="Segoe UI" w:hAnsi="Times New Roman" w:cs="Times New Roman"/>
                <w:b/>
                <w:color w:val="0F1115"/>
                <w:shd w:val="clear" w:color="auto" w:fill="FFFFFF"/>
              </w:rPr>
              <w:t>After treatment</w:t>
            </w:r>
          </w:p>
        </w:tc>
        <w:tc>
          <w:tcPr>
            <w:tcW w:w="484" w:type="pct"/>
            <w:tcBorders>
              <w:top w:val="single" w:sz="4" w:space="0" w:color="auto"/>
              <w:left w:val="nil"/>
              <w:bottom w:val="nil"/>
              <w:right w:val="nil"/>
            </w:tcBorders>
            <w:tcMar>
              <w:top w:w="-1" w:type="dxa"/>
              <w:left w:w="-1" w:type="dxa"/>
              <w:bottom w:w="-1" w:type="dxa"/>
              <w:right w:w="-1" w:type="dxa"/>
            </w:tcMar>
            <w:vAlign w:val="center"/>
          </w:tcPr>
          <w:p w14:paraId="2CDA825D" w14:textId="77777777" w:rsidR="003A2F23" w:rsidRDefault="00000000" w:rsidP="00654284">
            <w:pPr>
              <w:pStyle w:val="NormalWeb"/>
              <w:snapToGrid w:val="0"/>
              <w:jc w:val="center"/>
              <w:rPr>
                <w:rFonts w:ascii="Times New Roman" w:eastAsia="Segoe UI" w:hAnsi="Times New Roman" w:cs="Times New Roman"/>
                <w:b/>
              </w:rPr>
            </w:pPr>
            <w:r>
              <w:rPr>
                <w:rFonts w:ascii="Times New Roman" w:eastAsia="Segoe UI" w:hAnsi="Times New Roman" w:cs="Times New Roman"/>
                <w:b/>
                <w:color w:val="0F1115"/>
                <w:shd w:val="clear" w:color="auto" w:fill="FFFFFF"/>
              </w:rPr>
              <w:t>z value</w:t>
            </w:r>
          </w:p>
        </w:tc>
        <w:tc>
          <w:tcPr>
            <w:tcW w:w="498" w:type="pct"/>
            <w:tcBorders>
              <w:top w:val="single" w:sz="4" w:space="0" w:color="auto"/>
              <w:left w:val="nil"/>
              <w:bottom w:val="nil"/>
              <w:right w:val="nil"/>
            </w:tcBorders>
            <w:tcMar>
              <w:top w:w="-1" w:type="dxa"/>
              <w:left w:w="-1" w:type="dxa"/>
              <w:bottom w:w="-1" w:type="dxa"/>
              <w:right w:w="-1" w:type="dxa"/>
            </w:tcMar>
            <w:vAlign w:val="center"/>
          </w:tcPr>
          <w:p w14:paraId="0C3CBC02" w14:textId="368053DC" w:rsidR="003A2F23" w:rsidRDefault="00654284" w:rsidP="00654284">
            <w:pPr>
              <w:pStyle w:val="NormalWeb"/>
              <w:snapToGrid w:val="0"/>
              <w:jc w:val="center"/>
              <w:rPr>
                <w:rFonts w:ascii="Times New Roman" w:eastAsia="Segoe UI" w:hAnsi="Times New Roman" w:cs="Times New Roman"/>
                <w:b/>
              </w:rPr>
            </w:pPr>
            <w:r>
              <w:rPr>
                <w:rFonts w:ascii="Times New Roman" w:eastAsia="Segoe UI" w:hAnsi="Times New Roman" w:cs="Times New Roman"/>
                <w:b/>
                <w:i/>
                <w:iCs/>
                <w:color w:val="0F1115"/>
                <w:shd w:val="clear" w:color="auto" w:fill="FFFFFF"/>
              </w:rPr>
              <w:t>p</w:t>
            </w:r>
            <w:r>
              <w:rPr>
                <w:rFonts w:ascii="Times New Roman" w:eastAsia="Segoe UI" w:hAnsi="Times New Roman" w:cs="Times New Roman"/>
                <w:b/>
                <w:color w:val="0F1115"/>
                <w:shd w:val="clear" w:color="auto" w:fill="FFFFFF"/>
              </w:rPr>
              <w:t xml:space="preserve"> value</w:t>
            </w:r>
          </w:p>
        </w:tc>
      </w:tr>
      <w:tr w:rsidR="003A2F23" w14:paraId="55A9BB7E" w14:textId="77777777" w:rsidTr="002067BA">
        <w:trPr>
          <w:jc w:val="center"/>
        </w:trPr>
        <w:tc>
          <w:tcPr>
            <w:tcW w:w="1048" w:type="pct"/>
            <w:tcBorders>
              <w:top w:val="single" w:sz="4" w:space="0" w:color="auto"/>
              <w:left w:val="nil"/>
              <w:bottom w:val="nil"/>
              <w:right w:val="nil"/>
            </w:tcBorders>
            <w:tcMar>
              <w:top w:w="-1" w:type="dxa"/>
              <w:left w:w="-1" w:type="dxa"/>
              <w:bottom w:w="-1" w:type="dxa"/>
              <w:right w:w="-1" w:type="dxa"/>
            </w:tcMar>
            <w:vAlign w:val="center"/>
          </w:tcPr>
          <w:p w14:paraId="60077EA1" w14:textId="77777777" w:rsidR="003A2F23" w:rsidRDefault="00000000" w:rsidP="002067BA">
            <w:pPr>
              <w:pStyle w:val="NormalWeb"/>
              <w:snapToGrid w:val="0"/>
              <w:jc w:val="left"/>
              <w:rPr>
                <w:rFonts w:ascii="Times New Roman" w:eastAsia="Segoe UI" w:hAnsi="Times New Roman" w:cs="Times New Roman"/>
              </w:rPr>
            </w:pPr>
            <w:r>
              <w:rPr>
                <w:rFonts w:ascii="Times New Roman" w:eastAsia="Segoe UI" w:hAnsi="Times New Roman" w:cs="Times New Roman"/>
                <w:color w:val="0F1115"/>
                <w:shd w:val="clear" w:color="auto" w:fill="FFFFFF"/>
              </w:rPr>
              <w:t>Observation group</w:t>
            </w:r>
          </w:p>
        </w:tc>
        <w:tc>
          <w:tcPr>
            <w:tcW w:w="994" w:type="pct"/>
            <w:tcBorders>
              <w:top w:val="single" w:sz="4" w:space="0" w:color="auto"/>
              <w:left w:val="nil"/>
              <w:bottom w:val="nil"/>
              <w:right w:val="nil"/>
            </w:tcBorders>
            <w:tcMar>
              <w:top w:w="-1" w:type="dxa"/>
              <w:left w:w="-1" w:type="dxa"/>
              <w:bottom w:w="-1" w:type="dxa"/>
              <w:right w:w="-1" w:type="dxa"/>
            </w:tcMar>
            <w:vAlign w:val="center"/>
          </w:tcPr>
          <w:p w14:paraId="256888A8" w14:textId="77777777" w:rsidR="003A2F23" w:rsidRDefault="00000000" w:rsidP="00654284">
            <w:pPr>
              <w:pStyle w:val="NormalWeb"/>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50</w:t>
            </w:r>
          </w:p>
        </w:tc>
        <w:tc>
          <w:tcPr>
            <w:tcW w:w="1023" w:type="pct"/>
            <w:tcBorders>
              <w:top w:val="single" w:sz="4" w:space="0" w:color="auto"/>
              <w:left w:val="nil"/>
              <w:bottom w:val="nil"/>
              <w:right w:val="nil"/>
            </w:tcBorders>
            <w:tcMar>
              <w:top w:w="-1" w:type="dxa"/>
              <w:left w:w="-1" w:type="dxa"/>
              <w:bottom w:w="-1" w:type="dxa"/>
              <w:right w:w="-1" w:type="dxa"/>
            </w:tcMar>
            <w:vAlign w:val="center"/>
          </w:tcPr>
          <w:p w14:paraId="16490F40" w14:textId="77777777" w:rsidR="003A2F23" w:rsidRDefault="00000000" w:rsidP="00654284">
            <w:pPr>
              <w:pStyle w:val="NormalWeb"/>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0.39±0.16</w:t>
            </w:r>
          </w:p>
        </w:tc>
        <w:tc>
          <w:tcPr>
            <w:tcW w:w="953" w:type="pct"/>
            <w:tcBorders>
              <w:top w:val="single" w:sz="4" w:space="0" w:color="auto"/>
              <w:left w:val="nil"/>
              <w:bottom w:val="nil"/>
              <w:right w:val="nil"/>
            </w:tcBorders>
            <w:tcMar>
              <w:top w:w="-1" w:type="dxa"/>
              <w:left w:w="-1" w:type="dxa"/>
              <w:bottom w:w="-1" w:type="dxa"/>
              <w:right w:w="-1" w:type="dxa"/>
            </w:tcMar>
            <w:vAlign w:val="center"/>
          </w:tcPr>
          <w:p w14:paraId="06808CD9" w14:textId="77777777" w:rsidR="003A2F23" w:rsidRDefault="00000000" w:rsidP="00654284">
            <w:pPr>
              <w:pStyle w:val="NormalWeb"/>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0.65±0.18</w:t>
            </w:r>
          </w:p>
        </w:tc>
        <w:tc>
          <w:tcPr>
            <w:tcW w:w="484" w:type="pct"/>
            <w:tcBorders>
              <w:top w:val="single" w:sz="4" w:space="0" w:color="auto"/>
              <w:left w:val="nil"/>
              <w:bottom w:val="nil"/>
              <w:right w:val="nil"/>
            </w:tcBorders>
            <w:tcMar>
              <w:top w:w="-1" w:type="dxa"/>
              <w:left w:w="-1" w:type="dxa"/>
              <w:bottom w:w="-1" w:type="dxa"/>
              <w:right w:w="-1" w:type="dxa"/>
            </w:tcMar>
            <w:vAlign w:val="center"/>
          </w:tcPr>
          <w:p w14:paraId="3F79A103" w14:textId="77777777" w:rsidR="003A2F23" w:rsidRDefault="00000000" w:rsidP="00654284">
            <w:pPr>
              <w:pStyle w:val="NormalWeb"/>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-4.669</w:t>
            </w:r>
          </w:p>
        </w:tc>
        <w:tc>
          <w:tcPr>
            <w:tcW w:w="498" w:type="pct"/>
            <w:vMerge w:val="restart"/>
            <w:tcBorders>
              <w:top w:val="single" w:sz="4" w:space="0" w:color="auto"/>
              <w:left w:val="nil"/>
              <w:bottom w:val="nil"/>
              <w:right w:val="nil"/>
            </w:tcBorders>
            <w:tcMar>
              <w:top w:w="-1" w:type="dxa"/>
              <w:left w:w="-1" w:type="dxa"/>
              <w:bottom w:w="-1" w:type="dxa"/>
              <w:right w:w="-1" w:type="dxa"/>
            </w:tcMar>
            <w:vAlign w:val="center"/>
          </w:tcPr>
          <w:p w14:paraId="372D9A31" w14:textId="66E1ABF4" w:rsidR="003A2F23" w:rsidRDefault="00000000" w:rsidP="00654284">
            <w:pPr>
              <w:pStyle w:val="NormalWeb"/>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&lt;</w:t>
            </w:r>
            <w:r w:rsidR="00654284">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0.01</w:t>
            </w:r>
          </w:p>
        </w:tc>
      </w:tr>
      <w:tr w:rsidR="003A2F23" w14:paraId="18DDFE81" w14:textId="77777777" w:rsidTr="002067BA">
        <w:trPr>
          <w:jc w:val="center"/>
        </w:trPr>
        <w:tc>
          <w:tcPr>
            <w:tcW w:w="1048" w:type="pct"/>
            <w:tcBorders>
              <w:top w:val="nil"/>
              <w:left w:val="nil"/>
              <w:bottom w:val="single" w:sz="4" w:space="0" w:color="auto"/>
              <w:right w:val="nil"/>
            </w:tcBorders>
            <w:tcMar>
              <w:top w:w="-1" w:type="dxa"/>
              <w:left w:w="-1" w:type="dxa"/>
              <w:bottom w:w="-1" w:type="dxa"/>
              <w:right w:w="-1" w:type="dxa"/>
            </w:tcMar>
            <w:vAlign w:val="center"/>
          </w:tcPr>
          <w:p w14:paraId="76C0908F" w14:textId="77777777" w:rsidR="003A2F23" w:rsidRDefault="00000000" w:rsidP="002067BA">
            <w:pPr>
              <w:pStyle w:val="NormalWeb"/>
              <w:snapToGrid w:val="0"/>
              <w:jc w:val="left"/>
              <w:rPr>
                <w:rFonts w:ascii="Times New Roman" w:eastAsia="Segoe UI" w:hAnsi="Times New Roman" w:cs="Times New Roman"/>
              </w:rPr>
            </w:pPr>
            <w:r>
              <w:rPr>
                <w:rFonts w:ascii="Times New Roman" w:eastAsia="Segoe UI" w:hAnsi="Times New Roman" w:cs="Times New Roman"/>
                <w:color w:val="0F1115"/>
                <w:shd w:val="clear" w:color="auto" w:fill="FFFFFF"/>
              </w:rPr>
              <w:t>Control group</w:t>
            </w:r>
          </w:p>
        </w:tc>
        <w:tc>
          <w:tcPr>
            <w:tcW w:w="994" w:type="pct"/>
            <w:tcBorders>
              <w:top w:val="nil"/>
              <w:left w:val="nil"/>
              <w:bottom w:val="single" w:sz="4" w:space="0" w:color="auto"/>
              <w:right w:val="nil"/>
            </w:tcBorders>
            <w:tcMar>
              <w:top w:w="-1" w:type="dxa"/>
              <w:left w:w="-1" w:type="dxa"/>
              <w:bottom w:w="-1" w:type="dxa"/>
              <w:right w:w="-1" w:type="dxa"/>
            </w:tcMar>
            <w:vAlign w:val="center"/>
          </w:tcPr>
          <w:p w14:paraId="6854D714" w14:textId="77777777" w:rsidR="003A2F23" w:rsidRDefault="00000000" w:rsidP="00654284">
            <w:pPr>
              <w:pStyle w:val="NormalWeb"/>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50</w:t>
            </w:r>
          </w:p>
        </w:tc>
        <w:tc>
          <w:tcPr>
            <w:tcW w:w="1023" w:type="pct"/>
            <w:tcBorders>
              <w:top w:val="nil"/>
              <w:left w:val="nil"/>
              <w:bottom w:val="single" w:sz="4" w:space="0" w:color="auto"/>
              <w:right w:val="nil"/>
            </w:tcBorders>
            <w:tcMar>
              <w:top w:w="-1" w:type="dxa"/>
              <w:left w:w="-1" w:type="dxa"/>
              <w:bottom w:w="-1" w:type="dxa"/>
              <w:right w:w="-1" w:type="dxa"/>
            </w:tcMar>
            <w:vAlign w:val="center"/>
          </w:tcPr>
          <w:p w14:paraId="47F31A11" w14:textId="77777777" w:rsidR="003A2F23" w:rsidRDefault="00000000" w:rsidP="00654284">
            <w:pPr>
              <w:pStyle w:val="NormalWeb"/>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0.46±0.18</w:t>
            </w:r>
          </w:p>
        </w:tc>
        <w:tc>
          <w:tcPr>
            <w:tcW w:w="953" w:type="pct"/>
            <w:tcBorders>
              <w:top w:val="nil"/>
              <w:left w:val="nil"/>
              <w:bottom w:val="single" w:sz="4" w:space="0" w:color="auto"/>
              <w:right w:val="nil"/>
            </w:tcBorders>
            <w:tcMar>
              <w:top w:w="-1" w:type="dxa"/>
              <w:left w:w="-1" w:type="dxa"/>
              <w:bottom w:w="-1" w:type="dxa"/>
              <w:right w:w="-1" w:type="dxa"/>
            </w:tcMar>
            <w:vAlign w:val="center"/>
          </w:tcPr>
          <w:p w14:paraId="6829A05A" w14:textId="77777777" w:rsidR="003A2F23" w:rsidRDefault="00000000" w:rsidP="00654284">
            <w:pPr>
              <w:pStyle w:val="NormalWeb"/>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0.65±0.21</w:t>
            </w:r>
          </w:p>
        </w:tc>
        <w:tc>
          <w:tcPr>
            <w:tcW w:w="484" w:type="pct"/>
            <w:tcBorders>
              <w:top w:val="nil"/>
              <w:left w:val="nil"/>
              <w:bottom w:val="single" w:sz="4" w:space="0" w:color="auto"/>
              <w:right w:val="nil"/>
            </w:tcBorders>
            <w:tcMar>
              <w:top w:w="-1" w:type="dxa"/>
              <w:left w:w="-1" w:type="dxa"/>
              <w:bottom w:w="-1" w:type="dxa"/>
              <w:right w:w="-1" w:type="dxa"/>
            </w:tcMar>
            <w:vAlign w:val="center"/>
          </w:tcPr>
          <w:p w14:paraId="711C6B0E" w14:textId="77777777" w:rsidR="003A2F23" w:rsidRDefault="00000000" w:rsidP="00654284">
            <w:pPr>
              <w:pStyle w:val="NormalWeb"/>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-5.114</w:t>
            </w:r>
          </w:p>
        </w:tc>
        <w:tc>
          <w:tcPr>
            <w:tcW w:w="498" w:type="pct"/>
            <w:vMerge/>
            <w:tcBorders>
              <w:left w:val="nil"/>
              <w:bottom w:val="single" w:sz="4" w:space="0" w:color="auto"/>
              <w:right w:val="nil"/>
            </w:tcBorders>
            <w:tcMar>
              <w:top w:w="-1" w:type="dxa"/>
              <w:left w:w="-1" w:type="dxa"/>
              <w:bottom w:w="-1" w:type="dxa"/>
              <w:right w:w="-1" w:type="dxa"/>
            </w:tcMar>
            <w:vAlign w:val="center"/>
          </w:tcPr>
          <w:p w14:paraId="07F96713" w14:textId="77777777" w:rsidR="003A2F23" w:rsidRDefault="003A2F23" w:rsidP="00654284">
            <w:pPr>
              <w:pStyle w:val="NormalWeb"/>
              <w:snapToGrid w:val="0"/>
              <w:jc w:val="center"/>
              <w:rPr>
                <w:rFonts w:ascii="Times New Roman" w:eastAsia="Segoe UI" w:hAnsi="Times New Roman" w:cs="Times New Roman"/>
              </w:rPr>
            </w:pPr>
          </w:p>
        </w:tc>
      </w:tr>
    </w:tbl>
    <w:p w14:paraId="141F3D50" w14:textId="77777777" w:rsidR="003A2F23" w:rsidRDefault="003A2F23" w:rsidP="002067BA">
      <w:pPr>
        <w:snapToGrid w:val="0"/>
        <w:rPr>
          <w:rFonts w:ascii="Times New Roman" w:eastAsia="Segoe UI" w:hAnsi="Times New Roman" w:cs="Times New Roman"/>
          <w:color w:val="0F1115"/>
          <w:sz w:val="24"/>
          <w:shd w:val="clear" w:color="auto" w:fill="FFFFFF"/>
        </w:rPr>
      </w:pPr>
    </w:p>
    <w:p w14:paraId="74008F88" w14:textId="77777777" w:rsidR="003A2F23" w:rsidRDefault="00000000" w:rsidP="002067BA">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.3.2</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Comparison of the </w:t>
      </w:r>
      <w:r>
        <w:rPr>
          <w:rFonts w:ascii="Times New Roman" w:eastAsia="SimSun" w:hAnsi="Times New Roman" w:cs="Times New Roman" w:hint="eastAsia"/>
          <w:b/>
          <w:bCs/>
          <w:color w:val="0F1115"/>
          <w:sz w:val="24"/>
          <w:shd w:val="clear" w:color="auto" w:fill="FFFFFF"/>
        </w:rPr>
        <w:t>n</w:t>
      </w:r>
      <w:r>
        <w:rPr>
          <w:rFonts w:ascii="Times New Roman" w:eastAsia="Segoe UI" w:hAnsi="Times New Roman" w:cs="Times New Roman"/>
          <w:b/>
          <w:bCs/>
          <w:color w:val="0F1115"/>
          <w:sz w:val="24"/>
          <w:shd w:val="clear" w:color="auto" w:fill="FFFFFF"/>
        </w:rPr>
        <w:t xml:space="preserve">umber of </w:t>
      </w:r>
      <w:r>
        <w:rPr>
          <w:rFonts w:ascii="Times New Roman" w:eastAsia="SimSun" w:hAnsi="Times New Roman" w:cs="Times New Roman" w:hint="eastAsia"/>
          <w:b/>
          <w:bCs/>
          <w:color w:val="0F1115"/>
          <w:sz w:val="24"/>
          <w:shd w:val="clear" w:color="auto" w:fill="FFFFFF"/>
        </w:rPr>
        <w:t>l</w:t>
      </w:r>
      <w:r>
        <w:rPr>
          <w:rFonts w:ascii="Times New Roman" w:eastAsia="Segoe UI" w:hAnsi="Times New Roman" w:cs="Times New Roman"/>
          <w:b/>
          <w:bCs/>
          <w:color w:val="0F1115"/>
          <w:sz w:val="24"/>
          <w:shd w:val="clear" w:color="auto" w:fill="FFFFFF"/>
        </w:rPr>
        <w:t xml:space="preserve">ines of </w:t>
      </w:r>
      <w:r>
        <w:rPr>
          <w:rFonts w:ascii="Times New Roman" w:eastAsia="SimSun" w:hAnsi="Times New Roman" w:cs="Times New Roman" w:hint="eastAsia"/>
          <w:b/>
          <w:bCs/>
          <w:color w:val="0F1115"/>
          <w:sz w:val="24"/>
          <w:shd w:val="clear" w:color="auto" w:fill="FFFFFF"/>
        </w:rPr>
        <w:t>v</w:t>
      </w:r>
      <w:r>
        <w:rPr>
          <w:rFonts w:ascii="Times New Roman" w:eastAsia="Segoe UI" w:hAnsi="Times New Roman" w:cs="Times New Roman"/>
          <w:b/>
          <w:bCs/>
          <w:color w:val="0F1115"/>
          <w:sz w:val="24"/>
          <w:shd w:val="clear" w:color="auto" w:fill="FFFFFF"/>
        </w:rPr>
        <w:t xml:space="preserve">isual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cuity </w:t>
      </w:r>
      <w:r>
        <w:rPr>
          <w:rFonts w:ascii="Times New Roman" w:eastAsia="SimSun" w:hAnsi="Times New Roman" w:cs="Times New Roman" w:hint="eastAsia"/>
          <w:b/>
          <w:bCs/>
          <w:color w:val="0F1115"/>
          <w:sz w:val="24"/>
          <w:shd w:val="clear" w:color="auto" w:fill="FFFFFF"/>
        </w:rPr>
        <w:t>i</w:t>
      </w:r>
      <w:r>
        <w:rPr>
          <w:rFonts w:ascii="Times New Roman" w:eastAsia="Segoe UI" w:hAnsi="Times New Roman" w:cs="Times New Roman"/>
          <w:b/>
          <w:bCs/>
          <w:color w:val="0F1115"/>
          <w:sz w:val="24"/>
          <w:shd w:val="clear" w:color="auto" w:fill="FFFFFF"/>
        </w:rPr>
        <w:t xml:space="preserve">mprovement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efore and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fter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reatment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etween the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wo </w:t>
      </w:r>
      <w:r>
        <w:rPr>
          <w:rFonts w:ascii="Times New Roman" w:eastAsia="SimSun" w:hAnsi="Times New Roman" w:cs="Times New Roman" w:hint="eastAsia"/>
          <w:b/>
          <w:bCs/>
          <w:color w:val="0F1115"/>
          <w:sz w:val="24"/>
          <w:shd w:val="clear" w:color="auto" w:fill="FFFFFF"/>
        </w:rPr>
        <w:t>g</w:t>
      </w:r>
      <w:r>
        <w:rPr>
          <w:rFonts w:ascii="Times New Roman" w:eastAsia="Segoe UI" w:hAnsi="Times New Roman" w:cs="Times New Roman"/>
          <w:b/>
          <w:bCs/>
          <w:color w:val="0F1115"/>
          <w:sz w:val="24"/>
          <w:shd w:val="clear" w:color="auto" w:fill="FFFFFF"/>
        </w:rPr>
        <w:t xml:space="preserve">roups </w:t>
      </w:r>
    </w:p>
    <w:p w14:paraId="571D22EE" w14:textId="0B3A3616" w:rsidR="003A2F23" w:rsidRDefault="00000000" w:rsidP="002067BA">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When comparing the number of lines of visual acuity improvement between the two groups after </w:t>
      </w:r>
      <w:r>
        <w:rPr>
          <w:rFonts w:ascii="Times New Roman" w:eastAsia="Segoe UI" w:hAnsi="Times New Roman" w:cs="Times New Roman"/>
          <w:color w:val="0F1115"/>
          <w:sz w:val="24"/>
          <w:shd w:val="clear" w:color="auto" w:fill="FFFFFF"/>
        </w:rPr>
        <w:lastRenderedPageBreak/>
        <w:t xml:space="preserve">treatment, </w:t>
      </w:r>
      <w:r w:rsidRPr="002067BA">
        <w:rPr>
          <w:rFonts w:ascii="Times New Roman" w:eastAsia="Segoe UI" w:hAnsi="Times New Roman" w:cs="Times New Roman"/>
          <w:i/>
          <w:iCs/>
          <w:color w:val="0F1115"/>
          <w:sz w:val="24"/>
          <w:shd w:val="clear" w:color="auto" w:fill="FFFFFF"/>
        </w:rPr>
        <w:t>z</w:t>
      </w:r>
      <w:r>
        <w:rPr>
          <w:rFonts w:ascii="Times New Roman" w:eastAsia="Segoe UI" w:hAnsi="Times New Roman" w:cs="Times New Roman"/>
          <w:color w:val="0F1115"/>
          <w:sz w:val="24"/>
          <w:shd w:val="clear" w:color="auto" w:fill="FFFFFF"/>
        </w:rPr>
        <w:t xml:space="preserve"> = -2.865, </w:t>
      </w:r>
      <w:r w:rsidR="00654284">
        <w:rPr>
          <w:rFonts w:ascii="Times New Roman" w:eastAsia="Segoe UI" w:hAnsi="Times New Roman" w:cs="Times New Roman"/>
          <w:i/>
          <w:iCs/>
          <w:color w:val="0F1115"/>
          <w:sz w:val="24"/>
          <w:shd w:val="clear" w:color="auto" w:fill="FFFFFF"/>
        </w:rPr>
        <w:t>p</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 0.004, </w:t>
      </w:r>
      <w:r w:rsidR="00654284">
        <w:rPr>
          <w:rFonts w:ascii="Times New Roman" w:eastAsia="Segoe UI" w:hAnsi="Times New Roman" w:cs="Times New Roman"/>
          <w:i/>
          <w:iCs/>
          <w:color w:val="0F1115"/>
          <w:sz w:val="24"/>
          <w:shd w:val="clear" w:color="auto" w:fill="FFFFFF"/>
        </w:rPr>
        <w:t>p</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&lt; 0.01, indicating a significant difference. This suggests that the observation group had a higher number of lines of visual acuity improvement compared to the control group, and the therapeutic effect in the observation group was significantly better than that in the control group. See </w:t>
      </w:r>
      <w:r>
        <w:rPr>
          <w:rFonts w:ascii="Times New Roman" w:eastAsia="Segoe UI" w:hAnsi="Times New Roman" w:cs="Times New Roman"/>
          <w:b/>
          <w:bCs/>
          <w:color w:val="0F1115"/>
          <w:sz w:val="24"/>
          <w:shd w:val="clear" w:color="auto" w:fill="FFFFFF"/>
        </w:rPr>
        <w:t>Table 5</w:t>
      </w:r>
      <w:r>
        <w:rPr>
          <w:rFonts w:ascii="Times New Roman" w:eastAsia="Segoe UI" w:hAnsi="Times New Roman" w:cs="Times New Roman"/>
          <w:color w:val="0F1115"/>
          <w:sz w:val="24"/>
          <w:shd w:val="clear" w:color="auto" w:fill="FFFFFF"/>
        </w:rPr>
        <w:t xml:space="preserve">. </w:t>
      </w:r>
    </w:p>
    <w:p w14:paraId="2B89F8B3" w14:textId="77777777" w:rsidR="003A2F23" w:rsidRDefault="003A2F23" w:rsidP="002067BA">
      <w:pPr>
        <w:snapToGrid w:val="0"/>
        <w:rPr>
          <w:rFonts w:ascii="Times New Roman" w:eastAsia="Segoe UI" w:hAnsi="Times New Roman" w:cs="Times New Roman"/>
          <w:color w:val="0F1115"/>
          <w:sz w:val="24"/>
          <w:shd w:val="clear" w:color="auto" w:fill="FFFFFF"/>
        </w:rPr>
      </w:pPr>
    </w:p>
    <w:p w14:paraId="54F26B50" w14:textId="77777777" w:rsidR="003A2F23" w:rsidRDefault="00000000" w:rsidP="002067BA">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5</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color w:val="0F1115"/>
          <w:sz w:val="24"/>
          <w:shd w:val="clear" w:color="auto" w:fill="FFFFFF"/>
        </w:rPr>
        <w:t xml:space="preserve"> Number of </w:t>
      </w:r>
      <w:r>
        <w:rPr>
          <w:rFonts w:ascii="Times New Roman" w:eastAsia="SimSun" w:hAnsi="Times New Roman" w:cs="Times New Roman" w:hint="eastAsia"/>
          <w:color w:val="0F1115"/>
          <w:sz w:val="24"/>
          <w:shd w:val="clear" w:color="auto" w:fill="FFFFFF"/>
        </w:rPr>
        <w:t>l</w:t>
      </w:r>
      <w:r>
        <w:rPr>
          <w:rFonts w:ascii="Times New Roman" w:eastAsia="Segoe UI" w:hAnsi="Times New Roman" w:cs="Times New Roman"/>
          <w:color w:val="0F1115"/>
          <w:sz w:val="24"/>
          <w:shd w:val="clear" w:color="auto" w:fill="FFFFFF"/>
        </w:rPr>
        <w:t xml:space="preserve">ines of </w:t>
      </w:r>
      <w:r>
        <w:rPr>
          <w:rFonts w:ascii="Times New Roman" w:eastAsia="SimSun" w:hAnsi="Times New Roman" w:cs="Times New Roman" w:hint="eastAsia"/>
          <w:color w:val="0F1115"/>
          <w:sz w:val="24"/>
          <w:shd w:val="clear" w:color="auto" w:fill="FFFFFF"/>
        </w:rPr>
        <w:t>v</w:t>
      </w:r>
      <w:r>
        <w:rPr>
          <w:rFonts w:ascii="Times New Roman" w:eastAsia="Segoe UI" w:hAnsi="Times New Roman" w:cs="Times New Roman"/>
          <w:color w:val="0F1115"/>
          <w:sz w:val="24"/>
          <w:shd w:val="clear" w:color="auto" w:fill="FFFFFF"/>
        </w:rPr>
        <w:t xml:space="preserve">isual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cuity </w:t>
      </w:r>
      <w:r>
        <w:rPr>
          <w:rFonts w:ascii="Times New Roman" w:eastAsia="SimSun" w:hAnsi="Times New Roman" w:cs="Times New Roman" w:hint="eastAsia"/>
          <w:color w:val="0F1115"/>
          <w:sz w:val="24"/>
          <w:shd w:val="clear" w:color="auto" w:fill="FFFFFF"/>
        </w:rPr>
        <w:t>i</w:t>
      </w:r>
      <w:r>
        <w:rPr>
          <w:rFonts w:ascii="Times New Roman" w:eastAsia="Segoe UI" w:hAnsi="Times New Roman" w:cs="Times New Roman"/>
          <w:color w:val="0F1115"/>
          <w:sz w:val="24"/>
          <w:shd w:val="clear" w:color="auto" w:fill="FFFFFF"/>
        </w:rPr>
        <w:t xml:space="preserve">mprovement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fter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reatment in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oth </w:t>
      </w:r>
      <w:r>
        <w:rPr>
          <w:rFonts w:ascii="Times New Roman" w:eastAsia="SimSun" w:hAnsi="Times New Roman" w:cs="Times New Roman" w:hint="eastAsia"/>
          <w:color w:val="0F1115"/>
          <w:sz w:val="24"/>
          <w:shd w:val="clear" w:color="auto" w:fill="FFFFFF"/>
        </w:rPr>
        <w:t>g</w:t>
      </w:r>
      <w:r>
        <w:rPr>
          <w:rFonts w:ascii="Times New Roman" w:eastAsia="Segoe UI" w:hAnsi="Times New Roman" w:cs="Times New Roman"/>
          <w:color w:val="0F1115"/>
          <w:sz w:val="24"/>
          <w:shd w:val="clear" w:color="auto" w:fill="FFFFFF"/>
        </w:rPr>
        <w:t>roups</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1880"/>
        <w:gridCol w:w="1750"/>
        <w:gridCol w:w="4206"/>
        <w:gridCol w:w="894"/>
        <w:gridCol w:w="908"/>
      </w:tblGrid>
      <w:tr w:rsidR="003A2F23" w14:paraId="257C9449" w14:textId="77777777" w:rsidTr="002067BA">
        <w:trPr>
          <w:tblHeader/>
          <w:jc w:val="center"/>
        </w:trPr>
        <w:tc>
          <w:tcPr>
            <w:tcW w:w="975" w:type="pct"/>
            <w:tcBorders>
              <w:top w:val="single" w:sz="4" w:space="0" w:color="auto"/>
              <w:left w:val="nil"/>
              <w:bottom w:val="nil"/>
              <w:right w:val="nil"/>
            </w:tcBorders>
            <w:tcMar>
              <w:top w:w="-1" w:type="dxa"/>
              <w:left w:w="-1" w:type="dxa"/>
              <w:bottom w:w="-1" w:type="dxa"/>
              <w:right w:w="-1" w:type="dxa"/>
            </w:tcMar>
            <w:vAlign w:val="center"/>
          </w:tcPr>
          <w:p w14:paraId="1DF54AB4" w14:textId="77777777" w:rsidR="003A2F23" w:rsidRDefault="00000000" w:rsidP="002067BA">
            <w:pPr>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Group</w:t>
            </w:r>
          </w:p>
        </w:tc>
        <w:tc>
          <w:tcPr>
            <w:tcW w:w="908" w:type="pct"/>
            <w:tcBorders>
              <w:top w:val="single" w:sz="4" w:space="0" w:color="auto"/>
              <w:left w:val="nil"/>
              <w:bottom w:val="nil"/>
              <w:right w:val="nil"/>
            </w:tcBorders>
            <w:tcMar>
              <w:top w:w="-1" w:type="dxa"/>
              <w:left w:w="-1" w:type="dxa"/>
              <w:bottom w:w="-1" w:type="dxa"/>
              <w:right w:w="-1" w:type="dxa"/>
            </w:tcMar>
            <w:vAlign w:val="center"/>
          </w:tcPr>
          <w:p w14:paraId="6375B3E2"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Number of cases</w:t>
            </w:r>
          </w:p>
        </w:tc>
        <w:tc>
          <w:tcPr>
            <w:tcW w:w="2182" w:type="pct"/>
            <w:tcBorders>
              <w:top w:val="single" w:sz="4" w:space="0" w:color="auto"/>
              <w:left w:val="nil"/>
              <w:bottom w:val="nil"/>
              <w:right w:val="nil"/>
            </w:tcBorders>
            <w:tcMar>
              <w:top w:w="-1" w:type="dxa"/>
              <w:left w:w="-1" w:type="dxa"/>
              <w:bottom w:w="-1" w:type="dxa"/>
              <w:right w:w="-1" w:type="dxa"/>
            </w:tcMar>
            <w:vAlign w:val="center"/>
          </w:tcPr>
          <w:p w14:paraId="0DA81F37" w14:textId="77777777" w:rsidR="003A2F23" w:rsidRDefault="00000000" w:rsidP="00654284">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Lines of visual improvement after treatment</w:t>
            </w:r>
          </w:p>
        </w:tc>
        <w:tc>
          <w:tcPr>
            <w:tcW w:w="464" w:type="pct"/>
            <w:tcBorders>
              <w:top w:val="single" w:sz="4" w:space="0" w:color="auto"/>
              <w:left w:val="nil"/>
              <w:bottom w:val="nil"/>
              <w:right w:val="nil"/>
            </w:tcBorders>
            <w:tcMar>
              <w:top w:w="-1" w:type="dxa"/>
              <w:left w:w="-1" w:type="dxa"/>
              <w:bottom w:w="-1" w:type="dxa"/>
              <w:right w:w="-1" w:type="dxa"/>
            </w:tcMar>
            <w:vAlign w:val="center"/>
          </w:tcPr>
          <w:p w14:paraId="437C79B0" w14:textId="77777777" w:rsidR="003A2F23" w:rsidRDefault="00000000" w:rsidP="00654284">
            <w:pPr>
              <w:snapToGrid w:val="0"/>
              <w:jc w:val="center"/>
              <w:rPr>
                <w:rFonts w:ascii="Times New Roman" w:eastAsia="Segoe UI" w:hAnsi="Times New Roman" w:cs="Times New Roman"/>
                <w:b/>
                <w:sz w:val="24"/>
              </w:rPr>
            </w:pPr>
            <w:r w:rsidRPr="002067BA">
              <w:rPr>
                <w:rFonts w:ascii="Times New Roman" w:eastAsia="Segoe UI" w:hAnsi="Times New Roman" w:cs="Times New Roman"/>
                <w:b/>
                <w:i/>
                <w:iCs/>
                <w:color w:val="0F1115"/>
                <w:sz w:val="24"/>
                <w:shd w:val="clear" w:color="auto" w:fill="FFFFFF"/>
              </w:rPr>
              <w:t>z</w:t>
            </w:r>
            <w:r>
              <w:rPr>
                <w:rFonts w:ascii="Times New Roman" w:eastAsia="Segoe UI" w:hAnsi="Times New Roman" w:cs="Times New Roman"/>
                <w:b/>
                <w:color w:val="0F1115"/>
                <w:sz w:val="24"/>
                <w:shd w:val="clear" w:color="auto" w:fill="FFFFFF"/>
              </w:rPr>
              <w:t xml:space="preserve"> value</w:t>
            </w:r>
          </w:p>
        </w:tc>
        <w:tc>
          <w:tcPr>
            <w:tcW w:w="471" w:type="pct"/>
            <w:tcBorders>
              <w:top w:val="single" w:sz="4" w:space="0" w:color="auto"/>
              <w:left w:val="nil"/>
              <w:bottom w:val="nil"/>
              <w:right w:val="nil"/>
            </w:tcBorders>
            <w:tcMar>
              <w:top w:w="-1" w:type="dxa"/>
              <w:left w:w="-1" w:type="dxa"/>
              <w:bottom w:w="-1" w:type="dxa"/>
              <w:right w:w="-1" w:type="dxa"/>
            </w:tcMar>
            <w:vAlign w:val="center"/>
          </w:tcPr>
          <w:p w14:paraId="3D43872A" w14:textId="53399094" w:rsidR="003A2F23" w:rsidRDefault="00654284" w:rsidP="00654284">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 xml:space="preserve">p </w:t>
            </w:r>
            <w:r>
              <w:rPr>
                <w:rFonts w:ascii="Times New Roman" w:eastAsia="Segoe UI" w:hAnsi="Times New Roman" w:cs="Times New Roman"/>
                <w:b/>
                <w:color w:val="0F1115"/>
                <w:sz w:val="24"/>
                <w:shd w:val="clear" w:color="auto" w:fill="FFFFFF"/>
              </w:rPr>
              <w:t>value</w:t>
            </w:r>
          </w:p>
        </w:tc>
      </w:tr>
      <w:tr w:rsidR="003A2F23" w14:paraId="651E5869" w14:textId="77777777" w:rsidTr="002067BA">
        <w:trPr>
          <w:jc w:val="center"/>
        </w:trPr>
        <w:tc>
          <w:tcPr>
            <w:tcW w:w="975" w:type="pct"/>
            <w:tcBorders>
              <w:top w:val="single" w:sz="4" w:space="0" w:color="auto"/>
              <w:left w:val="nil"/>
              <w:bottom w:val="nil"/>
              <w:right w:val="nil"/>
            </w:tcBorders>
            <w:tcMar>
              <w:top w:w="-1" w:type="dxa"/>
              <w:left w:w="-1" w:type="dxa"/>
              <w:bottom w:w="-1" w:type="dxa"/>
              <w:right w:w="-1" w:type="dxa"/>
            </w:tcMar>
            <w:vAlign w:val="center"/>
          </w:tcPr>
          <w:p w14:paraId="4698313D" w14:textId="77777777" w:rsidR="003A2F23" w:rsidRDefault="00000000" w:rsidP="002067BA">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Observation group</w:t>
            </w:r>
          </w:p>
        </w:tc>
        <w:tc>
          <w:tcPr>
            <w:tcW w:w="908" w:type="pct"/>
            <w:tcBorders>
              <w:top w:val="single" w:sz="4" w:space="0" w:color="auto"/>
              <w:left w:val="nil"/>
              <w:bottom w:val="nil"/>
              <w:right w:val="nil"/>
            </w:tcBorders>
            <w:tcMar>
              <w:top w:w="-1" w:type="dxa"/>
              <w:left w:w="-1" w:type="dxa"/>
              <w:bottom w:w="-1" w:type="dxa"/>
              <w:right w:w="-1" w:type="dxa"/>
            </w:tcMar>
            <w:vAlign w:val="center"/>
          </w:tcPr>
          <w:p w14:paraId="0D2D4807"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50</w:t>
            </w:r>
          </w:p>
        </w:tc>
        <w:tc>
          <w:tcPr>
            <w:tcW w:w="2182" w:type="pct"/>
            <w:tcBorders>
              <w:top w:val="single" w:sz="4" w:space="0" w:color="auto"/>
              <w:left w:val="nil"/>
              <w:bottom w:val="nil"/>
              <w:right w:val="nil"/>
            </w:tcBorders>
            <w:tcMar>
              <w:top w:w="-1" w:type="dxa"/>
              <w:left w:w="-1" w:type="dxa"/>
              <w:bottom w:w="-1" w:type="dxa"/>
              <w:right w:w="-1" w:type="dxa"/>
            </w:tcMar>
            <w:vAlign w:val="center"/>
          </w:tcPr>
          <w:p w14:paraId="2185CD80" w14:textId="71B4275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2.42</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1.36</w:t>
            </w:r>
          </w:p>
        </w:tc>
        <w:tc>
          <w:tcPr>
            <w:tcW w:w="464" w:type="pct"/>
            <w:vMerge w:val="restart"/>
            <w:tcBorders>
              <w:top w:val="single" w:sz="4" w:space="0" w:color="auto"/>
              <w:left w:val="nil"/>
              <w:bottom w:val="nil"/>
              <w:right w:val="nil"/>
            </w:tcBorders>
            <w:tcMar>
              <w:top w:w="-1" w:type="dxa"/>
              <w:left w:w="-1" w:type="dxa"/>
              <w:bottom w:w="-1" w:type="dxa"/>
              <w:right w:w="-1" w:type="dxa"/>
            </w:tcMar>
            <w:vAlign w:val="center"/>
          </w:tcPr>
          <w:p w14:paraId="501E27D4"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-2.865</w:t>
            </w:r>
          </w:p>
        </w:tc>
        <w:tc>
          <w:tcPr>
            <w:tcW w:w="471" w:type="pct"/>
            <w:vMerge w:val="restart"/>
            <w:tcBorders>
              <w:top w:val="single" w:sz="4" w:space="0" w:color="auto"/>
              <w:left w:val="nil"/>
              <w:bottom w:val="nil"/>
              <w:right w:val="nil"/>
            </w:tcBorders>
            <w:tcMar>
              <w:top w:w="-1" w:type="dxa"/>
              <w:left w:w="-1" w:type="dxa"/>
              <w:bottom w:w="-1" w:type="dxa"/>
              <w:right w:w="-1" w:type="dxa"/>
            </w:tcMar>
            <w:vAlign w:val="center"/>
          </w:tcPr>
          <w:p w14:paraId="04A4C694"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0.004</w:t>
            </w:r>
          </w:p>
        </w:tc>
      </w:tr>
      <w:tr w:rsidR="003A2F23" w14:paraId="221DB413" w14:textId="77777777" w:rsidTr="002067BA">
        <w:trPr>
          <w:jc w:val="center"/>
        </w:trPr>
        <w:tc>
          <w:tcPr>
            <w:tcW w:w="975" w:type="pct"/>
            <w:tcBorders>
              <w:top w:val="nil"/>
              <w:left w:val="nil"/>
              <w:bottom w:val="single" w:sz="4" w:space="0" w:color="auto"/>
              <w:right w:val="nil"/>
            </w:tcBorders>
            <w:tcMar>
              <w:top w:w="-1" w:type="dxa"/>
              <w:left w:w="-1" w:type="dxa"/>
              <w:bottom w:w="-1" w:type="dxa"/>
              <w:right w:w="-1" w:type="dxa"/>
            </w:tcMar>
            <w:vAlign w:val="center"/>
          </w:tcPr>
          <w:p w14:paraId="73CD65C8" w14:textId="77777777" w:rsidR="003A2F23" w:rsidRDefault="00000000" w:rsidP="002067BA">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Control group</w:t>
            </w:r>
          </w:p>
        </w:tc>
        <w:tc>
          <w:tcPr>
            <w:tcW w:w="908" w:type="pct"/>
            <w:tcBorders>
              <w:top w:val="nil"/>
              <w:left w:val="nil"/>
              <w:bottom w:val="single" w:sz="4" w:space="0" w:color="auto"/>
              <w:right w:val="nil"/>
            </w:tcBorders>
            <w:tcMar>
              <w:top w:w="-1" w:type="dxa"/>
              <w:left w:w="-1" w:type="dxa"/>
              <w:bottom w:w="-1" w:type="dxa"/>
              <w:right w:w="-1" w:type="dxa"/>
            </w:tcMar>
            <w:vAlign w:val="center"/>
          </w:tcPr>
          <w:p w14:paraId="482BD358" w14:textId="77777777"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50</w:t>
            </w:r>
          </w:p>
        </w:tc>
        <w:tc>
          <w:tcPr>
            <w:tcW w:w="2182" w:type="pct"/>
            <w:tcBorders>
              <w:top w:val="nil"/>
              <w:left w:val="nil"/>
              <w:bottom w:val="single" w:sz="4" w:space="0" w:color="auto"/>
              <w:right w:val="nil"/>
            </w:tcBorders>
            <w:tcMar>
              <w:top w:w="-1" w:type="dxa"/>
              <w:left w:w="-1" w:type="dxa"/>
              <w:bottom w:w="-1" w:type="dxa"/>
              <w:right w:w="-1" w:type="dxa"/>
            </w:tcMar>
            <w:vAlign w:val="center"/>
          </w:tcPr>
          <w:p w14:paraId="5503034E" w14:textId="2BB22A34" w:rsidR="003A2F23" w:rsidRDefault="00000000" w:rsidP="00654284">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1.60</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654284">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1.40</w:t>
            </w:r>
          </w:p>
        </w:tc>
        <w:tc>
          <w:tcPr>
            <w:tcW w:w="464" w:type="pct"/>
            <w:vMerge/>
            <w:tcBorders>
              <w:left w:val="nil"/>
              <w:bottom w:val="single" w:sz="4" w:space="0" w:color="auto"/>
              <w:right w:val="nil"/>
            </w:tcBorders>
            <w:tcMar>
              <w:top w:w="-1" w:type="dxa"/>
              <w:left w:w="-1" w:type="dxa"/>
              <w:bottom w:w="-1" w:type="dxa"/>
              <w:right w:w="-1" w:type="dxa"/>
            </w:tcMar>
            <w:vAlign w:val="center"/>
          </w:tcPr>
          <w:p w14:paraId="07BA0849" w14:textId="77777777" w:rsidR="003A2F23" w:rsidRDefault="003A2F23" w:rsidP="00654284">
            <w:pPr>
              <w:snapToGrid w:val="0"/>
              <w:jc w:val="center"/>
              <w:rPr>
                <w:rFonts w:ascii="Times New Roman" w:eastAsia="Segoe UI" w:hAnsi="Times New Roman" w:cs="Times New Roman"/>
                <w:sz w:val="24"/>
              </w:rPr>
            </w:pPr>
          </w:p>
        </w:tc>
        <w:tc>
          <w:tcPr>
            <w:tcW w:w="471" w:type="pct"/>
            <w:vMerge/>
            <w:tcBorders>
              <w:left w:val="nil"/>
              <w:bottom w:val="single" w:sz="4" w:space="0" w:color="auto"/>
              <w:right w:val="nil"/>
            </w:tcBorders>
            <w:tcMar>
              <w:top w:w="-1" w:type="dxa"/>
              <w:left w:w="-1" w:type="dxa"/>
              <w:bottom w:w="-1" w:type="dxa"/>
              <w:right w:w="-1" w:type="dxa"/>
            </w:tcMar>
            <w:vAlign w:val="center"/>
          </w:tcPr>
          <w:p w14:paraId="4DDCA9F5" w14:textId="77777777" w:rsidR="003A2F23" w:rsidRDefault="003A2F23" w:rsidP="00654284">
            <w:pPr>
              <w:snapToGrid w:val="0"/>
              <w:jc w:val="center"/>
              <w:rPr>
                <w:rFonts w:ascii="Times New Roman" w:eastAsia="Segoe UI" w:hAnsi="Times New Roman" w:cs="Times New Roman"/>
                <w:sz w:val="24"/>
              </w:rPr>
            </w:pPr>
          </w:p>
        </w:tc>
      </w:tr>
    </w:tbl>
    <w:p w14:paraId="1C40B319" w14:textId="77777777" w:rsidR="003A2F23" w:rsidRDefault="003A2F23" w:rsidP="002067BA">
      <w:pPr>
        <w:snapToGrid w:val="0"/>
        <w:rPr>
          <w:rFonts w:ascii="Times New Roman" w:eastAsia="Segoe UI" w:hAnsi="Times New Roman" w:cs="Times New Roman"/>
          <w:color w:val="0F1115"/>
          <w:sz w:val="24"/>
          <w:shd w:val="clear" w:color="auto" w:fill="FFFFFF"/>
        </w:rPr>
      </w:pPr>
    </w:p>
    <w:p w14:paraId="00D928DF" w14:textId="77777777" w:rsidR="003A2F23" w:rsidRDefault="00000000" w:rsidP="002067BA">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4</w:t>
      </w:r>
      <w:r>
        <w:rPr>
          <w:rFonts w:ascii="Times New Roman" w:eastAsia="SimSun" w:hAnsi="Times New Roman" w:cs="Times New Roman"/>
          <w:b/>
          <w:bCs/>
          <w:color w:val="0F1115"/>
          <w:sz w:val="24"/>
          <w:shd w:val="clear" w:color="auto" w:fill="FFFFFF"/>
        </w:rPr>
        <w:t xml:space="preserve">. </w:t>
      </w:r>
      <w:r>
        <w:rPr>
          <w:rFonts w:ascii="Times New Roman" w:eastAsia="Segoe UI" w:hAnsi="Times New Roman" w:cs="Times New Roman"/>
          <w:b/>
          <w:bCs/>
          <w:color w:val="0F1115"/>
          <w:sz w:val="24"/>
          <w:shd w:val="clear" w:color="auto" w:fill="FFFFFF"/>
        </w:rPr>
        <w:t xml:space="preserve">Discussion </w:t>
      </w:r>
    </w:p>
    <w:p w14:paraId="022D6086" w14:textId="748BA2E5" w:rsidR="003A2F23" w:rsidRDefault="00000000" w:rsidP="002067BA">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With the intensification of population aging in China, the incidence of age-related eye diseases has been increasing annually. Cataracts and age-related macular degeneration (AMD) have become the leading causes of blindness. Cataracts refer to eye diseases caused by metabolic disorders of the lens due to various factors such as aging, local nutritional disorders, immune and metabolic abnormalities, leading to lens protein denaturation and opacity, ultimately resulting in decreased vision or even blindness. Oxidative stress is considered one of the key pathogenic mechanisms of age-related cataracts</w:t>
      </w:r>
      <w:r>
        <w:rPr>
          <w:rFonts w:ascii="Times New Roman" w:eastAsia="Segoe UI" w:hAnsi="Times New Roman" w:cs="Times New Roman"/>
          <w:color w:val="0F1115"/>
          <w:sz w:val="24"/>
          <w:shd w:val="clear" w:color="auto" w:fill="FFFFFF"/>
          <w:vertAlign w:val="superscript"/>
        </w:rPr>
        <w:t xml:space="preserve"> [1]</w:t>
      </w:r>
      <w:r>
        <w:rPr>
          <w:rFonts w:ascii="Times New Roman" w:eastAsia="Segoe UI" w:hAnsi="Times New Roman" w:cs="Times New Roman"/>
          <w:color w:val="0F1115"/>
          <w:sz w:val="24"/>
          <w:shd w:val="clear" w:color="auto" w:fill="FFFFFF"/>
        </w:rPr>
        <w:t xml:space="preserve">. Currently, the primary treatment for cataracts is lens replacement surgery, which involves removing the opaque lens and implanting an artificial lens. However, for patients in economically underdeveloped regions, the high cost of surgery and treatment may be unaffordable. Therefore, the research and development of drugs with preventive and therapeutic effects on cataracts are urgently needed </w:t>
      </w:r>
      <w:r>
        <w:rPr>
          <w:rFonts w:ascii="Times New Roman" w:eastAsia="Segoe UI" w:hAnsi="Times New Roman" w:cs="Times New Roman"/>
          <w:color w:val="0F1115"/>
          <w:sz w:val="24"/>
          <w:shd w:val="clear" w:color="auto" w:fill="FFFFFF"/>
          <w:vertAlign w:val="superscript"/>
        </w:rPr>
        <w:t>[2]</w:t>
      </w:r>
      <w:r>
        <w:rPr>
          <w:rFonts w:ascii="Times New Roman" w:eastAsia="Segoe UI" w:hAnsi="Times New Roman" w:cs="Times New Roman"/>
          <w:color w:val="0F1115"/>
          <w:sz w:val="24"/>
          <w:shd w:val="clear" w:color="auto" w:fill="FFFFFF"/>
        </w:rPr>
        <w:t xml:space="preserve">. AMD, also known as age-related macular degeneration, is the leading cause of blindness among individuals aged 50 and above in developed countries, according to epidemiological surveys, and approximately one-fourth of individuals aged 65 and above are affected by AMD </w:t>
      </w:r>
      <w:r>
        <w:rPr>
          <w:rFonts w:ascii="Times New Roman" w:eastAsia="Segoe UI" w:hAnsi="Times New Roman" w:cs="Times New Roman"/>
          <w:color w:val="0F1115"/>
          <w:sz w:val="24"/>
          <w:shd w:val="clear" w:color="auto" w:fill="FFFFFF"/>
          <w:vertAlign w:val="superscript"/>
        </w:rPr>
        <w:t>[3</w:t>
      </w:r>
      <w:r w:rsidR="00654284">
        <w:rPr>
          <w:rFonts w:ascii="Times New Roman" w:eastAsia="Segoe UI" w:hAnsi="Times New Roman" w:cs="Times New Roman"/>
          <w:color w:val="0F1115"/>
          <w:sz w:val="24"/>
          <w:shd w:val="clear" w:color="auto" w:fill="FFFFFF"/>
          <w:vertAlign w:val="superscript"/>
        </w:rPr>
        <w:t>–</w:t>
      </w:r>
      <w:r>
        <w:rPr>
          <w:rFonts w:ascii="Times New Roman" w:eastAsia="Segoe UI" w:hAnsi="Times New Roman" w:cs="Times New Roman"/>
          <w:color w:val="0F1115"/>
          <w:sz w:val="24"/>
          <w:shd w:val="clear" w:color="auto" w:fill="FFFFFF"/>
          <w:vertAlign w:val="superscript"/>
        </w:rPr>
        <w:t>5]</w:t>
      </w:r>
      <w:r>
        <w:rPr>
          <w:rFonts w:ascii="Times New Roman" w:eastAsia="Segoe UI" w:hAnsi="Times New Roman" w:cs="Times New Roman"/>
          <w:color w:val="0F1115"/>
          <w:sz w:val="24"/>
          <w:shd w:val="clear" w:color="auto" w:fill="FFFFFF"/>
        </w:rPr>
        <w:t xml:space="preserve">. Clinically, AMD is classified into dry and wet types, with about 90% of patients having the dry type. If the dry type, which has relatively mild symptoms, does not receive sufficient attention, it may progress to the wet type. Currently, dry AMD is considered a complex ocular disease caused by a combination of environmental and genetic factors, including chronic inflammation, lipofuscin deposition, oxidative stress, VEGF, and complement system mutations </w:t>
      </w:r>
      <w:r>
        <w:rPr>
          <w:rFonts w:ascii="Times New Roman" w:eastAsia="Segoe UI" w:hAnsi="Times New Roman" w:cs="Times New Roman"/>
          <w:color w:val="0F1115"/>
          <w:sz w:val="24"/>
          <w:shd w:val="clear" w:color="auto" w:fill="FFFFFF"/>
          <w:vertAlign w:val="superscript"/>
        </w:rPr>
        <w:t>[6]</w:t>
      </w:r>
      <w:r>
        <w:rPr>
          <w:rFonts w:ascii="Times New Roman" w:eastAsia="Segoe UI" w:hAnsi="Times New Roman" w:cs="Times New Roman"/>
          <w:color w:val="0F1115"/>
          <w:sz w:val="24"/>
          <w:shd w:val="clear" w:color="auto" w:fill="FFFFFF"/>
        </w:rPr>
        <w:t xml:space="preserve">. Oxidative stress refers to a state of imbalance between oxidation and antioxidation in the body, favoring oxidation, leading to neutrophil inflammatory infiltration, increased protease secretion, and the production of a large number of oxidative intermediates. Oxidative stress is a negative effect caused by free radicals in the body and is considered an important factor contributing to aging and disease. When the balance between oxidative substances and antioxidant defense mechanisms in our body is disrupted, oxidative stress is triggered, leading to the accumulation of harmful oxidative products in cells and tissues, posing a threat to health and potentially inducing various systemic diseases, such as respiratory, cardiovascular, endocrine, and ocular diseases. Oxidative stress can increase vascular permeability, cause microvascular abnormalities, and promote the formation of new blood vessels, leading to corneal, conjunctival, and optic nerve lesions, as well as clinical manifestations such as lens protein denaturation, increased intraocular pressure, and retinal degeneration. Therefore, the key role of oxidative stress in the development of ocular diseases has received increasing attention in recent years, and related research is further deepening. For cataracts, oxidative stress reduces the synthesis of antioxidants in the lens, causing oxidative damage to various biomolecules and exacerbating the deposition of lens proteins, leading to lens opacity. For AMD, although it is related to factors such as age, smoking, genetics, and chronic light damage, and the incidence is significantly higher in women than in men, the exact cause remains unclear </w:t>
      </w:r>
      <w:r>
        <w:rPr>
          <w:rFonts w:ascii="Times New Roman" w:eastAsia="Segoe UI" w:hAnsi="Times New Roman" w:cs="Times New Roman"/>
          <w:color w:val="0F1115"/>
          <w:sz w:val="24"/>
          <w:shd w:val="clear" w:color="auto" w:fill="FFFFFF"/>
          <w:vertAlign w:val="superscript"/>
        </w:rPr>
        <w:t>[3</w:t>
      </w:r>
      <w:r w:rsidR="00654284">
        <w:rPr>
          <w:rFonts w:ascii="Times New Roman" w:eastAsia="Segoe UI" w:hAnsi="Times New Roman" w:cs="Times New Roman"/>
          <w:color w:val="0F1115"/>
          <w:sz w:val="24"/>
          <w:shd w:val="clear" w:color="auto" w:fill="FFFFFF"/>
          <w:vertAlign w:val="superscript"/>
        </w:rPr>
        <w:t>–</w:t>
      </w:r>
      <w:r>
        <w:rPr>
          <w:rFonts w:ascii="Times New Roman" w:eastAsia="Segoe UI" w:hAnsi="Times New Roman" w:cs="Times New Roman"/>
          <w:color w:val="0F1115"/>
          <w:sz w:val="24"/>
          <w:shd w:val="clear" w:color="auto" w:fill="FFFFFF"/>
          <w:vertAlign w:val="superscript"/>
        </w:rPr>
        <w:t>5]</w:t>
      </w:r>
      <w:r>
        <w:rPr>
          <w:rFonts w:ascii="Times New Roman" w:eastAsia="Segoe UI" w:hAnsi="Times New Roman" w:cs="Times New Roman"/>
          <w:color w:val="0F1115"/>
          <w:sz w:val="24"/>
          <w:shd w:val="clear" w:color="auto" w:fill="FFFFFF"/>
        </w:rPr>
        <w:t xml:space="preserve">. Since the macular region is avascular, the retinal pigment epithelium (RPE) extends from the optic nerve to the ora serrata of the retina and continues as the pigment epithelium of the ciliary body. From the fovea to the periphery, RPE density decreases, with the highest density in the macular region, making it most susceptible to oxidative stress and light damage. Therefore, supplementing antioxidants to counteract oxidative stress is crucial in the early treatment of cataracts and AMD. Thus, seeking an early intervention method is particularly important </w:t>
      </w:r>
      <w:r>
        <w:rPr>
          <w:rFonts w:ascii="Times New Roman" w:eastAsia="Segoe UI" w:hAnsi="Times New Roman" w:cs="Times New Roman"/>
          <w:color w:val="0F1115"/>
          <w:sz w:val="24"/>
          <w:shd w:val="clear" w:color="auto" w:fill="FFFFFF"/>
        </w:rPr>
        <w:lastRenderedPageBreak/>
        <w:t>in clinical practice.</w:t>
      </w:r>
    </w:p>
    <w:p w14:paraId="7F4531BC" w14:textId="2BF52C12" w:rsidR="003A2F23" w:rsidRDefault="00000000" w:rsidP="002067BA">
      <w:pPr>
        <w:snapToGrid w:val="0"/>
        <w:ind w:firstLineChars="200" w:firstLine="48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This study selected black rice anthocyanins and vitamin C for comparative observation. Both anthocyanins and vitamin C are important antioxidants, but they have different mechanisms of action. Anthocyanins, belonging to the flavonoid family, primarily delay cellular oxidation by scavenging free radicals, especially providing stronger protection against oxidative damage caused by ultraviolet light and inflammation. They have targeted protective effects, can enhance retinal function, improve microcirculation (e.g., reducing the risk of arteriosclerosis), and inhibit the activity of some cancer cells. Due to their lipophilic nature, anthocyanins bind more tightly to cell membranes, providing more direct protection for vascular endothelial cells and visual cells. In contrast, vitamin C is a water-soluble vitamin that promotes collagen synthesis and is essential for maintaining the health of skin, bones, and blood vessels. Although vitamin C also has antioxidant effects, they are weaker than those of anthocyanins. Additionally, vitamin C can enhance immunity and promote iron absorption. This study primarily applies the traditional Chinese medicine concept of </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medicine and food homology</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which means </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incorporating medicine into food</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and </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imbuing food with medicinal properties</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The history of medicine and food homology in China is long-standing. </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Huangdi </w:t>
      </w:r>
      <w:proofErr w:type="spellStart"/>
      <w:r>
        <w:rPr>
          <w:rFonts w:ascii="Times New Roman" w:eastAsia="Segoe UI" w:hAnsi="Times New Roman" w:cs="Times New Roman"/>
          <w:color w:val="0F1115"/>
          <w:sz w:val="24"/>
          <w:shd w:val="clear" w:color="auto" w:fill="FFFFFF"/>
        </w:rPr>
        <w:t>Neijing</w:t>
      </w:r>
      <w:proofErr w:type="spellEnd"/>
      <w:r>
        <w:rPr>
          <w:rFonts w:ascii="Times New Roman" w:eastAsia="Segoe UI" w:hAnsi="Times New Roman" w:cs="Times New Roman"/>
          <w:color w:val="0F1115"/>
          <w:sz w:val="24"/>
          <w:shd w:val="clear" w:color="auto" w:fill="FFFFFF"/>
        </w:rPr>
        <w:t xml:space="preserve"> </w:t>
      </w:r>
      <w:proofErr w:type="spellStart"/>
      <w:r>
        <w:rPr>
          <w:rFonts w:ascii="Times New Roman" w:eastAsia="Segoe UI" w:hAnsi="Times New Roman" w:cs="Times New Roman"/>
          <w:color w:val="0F1115"/>
          <w:sz w:val="24"/>
          <w:shd w:val="clear" w:color="auto" w:fill="FFFFFF"/>
        </w:rPr>
        <w:t>Taisu</w:t>
      </w:r>
      <w:proofErr w:type="spellEnd"/>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records, </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When used to satiate hunger, it is called food; when used to treat diseases, it is called medicine</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vertAlign w:val="superscript"/>
        </w:rPr>
        <w:t>[6]</w:t>
      </w:r>
      <w:r>
        <w:rPr>
          <w:rFonts w:ascii="Times New Roman" w:eastAsia="Segoe UI" w:hAnsi="Times New Roman" w:cs="Times New Roman"/>
          <w:color w:val="0F1115"/>
          <w:sz w:val="24"/>
          <w:shd w:val="clear" w:color="auto" w:fill="FFFFFF"/>
        </w:rPr>
        <w:t xml:space="preserve">. Medicine and food homology essentially refers to edible Chinese herbal medicines that have both medicinal and food uses and are applied in healthcare through forms such as dietary therapy, food supplementation, and medicinal diets </w:t>
      </w:r>
      <w:r>
        <w:rPr>
          <w:rFonts w:ascii="Times New Roman" w:eastAsia="Segoe UI" w:hAnsi="Times New Roman" w:cs="Times New Roman"/>
          <w:color w:val="0F1115"/>
          <w:sz w:val="24"/>
          <w:shd w:val="clear" w:color="auto" w:fill="FFFFFF"/>
          <w:vertAlign w:val="superscript"/>
        </w:rPr>
        <w:t>[7</w:t>
      </w:r>
      <w:r>
        <w:rPr>
          <w:rFonts w:ascii="Times New Roman" w:eastAsia="SimSun" w:hAnsi="Times New Roman" w:cs="Times New Roman" w:hint="eastAsia"/>
          <w:color w:val="0F1115"/>
          <w:sz w:val="24"/>
          <w:shd w:val="clear" w:color="auto" w:fill="FFFFFF"/>
          <w:vertAlign w:val="superscript"/>
        </w:rPr>
        <w:t>,8</w:t>
      </w:r>
      <w:r>
        <w:rPr>
          <w:rFonts w:ascii="Times New Roman" w:eastAsia="Segoe UI" w:hAnsi="Times New Roman" w:cs="Times New Roman"/>
          <w:color w:val="0F1115"/>
          <w:sz w:val="24"/>
          <w:shd w:val="clear" w:color="auto" w:fill="FFFFFF"/>
          <w:vertAlign w:val="superscript"/>
        </w:rPr>
        <w:t>]</w:t>
      </w:r>
      <w:r>
        <w:rPr>
          <w:rFonts w:ascii="Times New Roman" w:eastAsia="Segoe UI" w:hAnsi="Times New Roman" w:cs="Times New Roman"/>
          <w:color w:val="0F1115"/>
          <w:sz w:val="24"/>
          <w:shd w:val="clear" w:color="auto" w:fill="FFFFFF"/>
        </w:rPr>
        <w:t xml:space="preserve">. The black rice anthocyanins used in this study are anthocyanin extracts derived from black rice. Black rice has a long cultivation history in China, primarily in Guangdong, Fujian, Yunnan, and other regions. Also known as blood rice or black rice, it is a unique variety cultivated over a long period within the rice family. Black rice grains are long and elliptical, with gray-brown shells, and can be classified as indica or japonica, belonging to non-glutinous rice. Black rice has health benefits such as invigorating the spleen, warming the liver, improving eyesight, promoting blood circulation, nourishing </w:t>
      </w:r>
      <w:r w:rsidR="00654284">
        <w:rPr>
          <w:rFonts w:ascii="Times New Roman" w:eastAsia="Segoe UI" w:hAnsi="Times New Roman" w:cs="Times New Roman"/>
          <w:color w:val="0F1115"/>
          <w:sz w:val="24"/>
          <w:shd w:val="clear" w:color="auto" w:fill="FFFFFF"/>
        </w:rPr>
        <w:t>Yin</w:t>
      </w:r>
      <w:r>
        <w:rPr>
          <w:rFonts w:ascii="Times New Roman" w:eastAsia="Segoe UI" w:hAnsi="Times New Roman" w:cs="Times New Roman"/>
          <w:color w:val="0F1115"/>
          <w:sz w:val="24"/>
          <w:shd w:val="clear" w:color="auto" w:fill="FFFFFF"/>
        </w:rPr>
        <w:t xml:space="preserve">, and tonifying the kidneys, as recorded in the </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Compendium of Materia Medica</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Therefore, it is known as </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tribute rice</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or </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medicinal rice</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among the people</w:t>
      </w:r>
      <w:r w:rsidRPr="002067BA">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vertAlign w:val="superscript"/>
        </w:rPr>
        <w:t>[9]</w:t>
      </w:r>
      <w:r>
        <w:rPr>
          <w:rFonts w:ascii="Times New Roman" w:eastAsia="Segoe UI" w:hAnsi="Times New Roman" w:cs="Times New Roman"/>
          <w:color w:val="0F1115"/>
          <w:sz w:val="24"/>
          <w:shd w:val="clear" w:color="auto" w:fill="FFFFFF"/>
        </w:rPr>
        <w:t>. Rich in nutrients and functional components, black rice contains essential amino acids, unsaturated fatty acids, proteins, vitamins B1, B2, and C, as well as mineral nutrients such as iron, zinc, copper, and calcium. Anthocyanins are a class of water-soluble natural pigments widely found in plants. Modern research has shown that anthocyanins have antioxidant, free radical-scavenging, anti-anemic, lipid-lowering, and anti-atherosclerotic effects, protect vascular endothelium, and have anti-fatigue, anti-hypoxic, anti-cancer, and anti-tumor properties, with certain therapeutic effects on ocular diseases, blood circulation disorders, coronary heart disease, and other diseases. Anthocyanins are found in products such as grapes, blueberries, black wolfberries, and black rice. Among these raw materials, black rice is the least expensive, and the cyanidin content in black rice anthocyanins is higher, with significantly stronger antioxidant capacity than anthocyanins extracted from other raw materials. Black rice anthocyanins are more stable and better absorbed in the human body. Modern pharmacological research has shown that black rice anthocyanins have various biological activities, such as antioxidant, anti-tumor, antibacterial, lipid-regulating, vision-enhancing, liver-protecting, anti-asthmatic, and anti-atherosclerotic effects. The improvement of vision by black rice anthocyanins is primarily achieved by enhancing the expression levels and activity of NF-</w:t>
      </w:r>
      <w:proofErr w:type="spellStart"/>
      <w:r>
        <w:rPr>
          <w:rFonts w:ascii="Times New Roman" w:eastAsia="Segoe UI" w:hAnsi="Times New Roman" w:cs="Times New Roman"/>
          <w:color w:val="0F1115"/>
          <w:sz w:val="24"/>
          <w:shd w:val="clear" w:color="auto" w:fill="FFFFFF"/>
        </w:rPr>
        <w:t>κB</w:t>
      </w:r>
      <w:proofErr w:type="spellEnd"/>
      <w:r>
        <w:rPr>
          <w:rFonts w:ascii="Times New Roman" w:eastAsia="Segoe UI" w:hAnsi="Times New Roman" w:cs="Times New Roman"/>
          <w:color w:val="0F1115"/>
          <w:sz w:val="24"/>
          <w:shd w:val="clear" w:color="auto" w:fill="FFFFFF"/>
        </w:rPr>
        <w:t xml:space="preserve"> and AP-1 in the retina, thereby inhibiting photoreceptor cell apoptosis and avoiding photochemical damage to maintain retinal health.</w:t>
      </w:r>
    </w:p>
    <w:p w14:paraId="16555F0D" w14:textId="77777777" w:rsidR="003A2F23" w:rsidRDefault="003A2F23" w:rsidP="002067BA">
      <w:pPr>
        <w:snapToGrid w:val="0"/>
        <w:ind w:firstLineChars="200" w:firstLine="480"/>
        <w:rPr>
          <w:rFonts w:ascii="Times New Roman" w:eastAsia="Segoe UI" w:hAnsi="Times New Roman" w:cs="Times New Roman"/>
          <w:color w:val="0F1115"/>
          <w:sz w:val="24"/>
          <w:shd w:val="clear" w:color="auto" w:fill="FFFFFF"/>
        </w:rPr>
      </w:pPr>
    </w:p>
    <w:p w14:paraId="5D292616" w14:textId="77777777" w:rsidR="003A2F23" w:rsidRDefault="00000000" w:rsidP="002067BA">
      <w:pPr>
        <w:snapToGrid w:val="0"/>
        <w:rPr>
          <w:rFonts w:ascii="Times New Roman" w:eastAsia="SimSun"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5. Conclusion</w:t>
      </w:r>
    </w:p>
    <w:p w14:paraId="64561578" w14:textId="77777777" w:rsidR="003A2F23" w:rsidRDefault="00000000" w:rsidP="002067BA">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Therefore, through clinical observation of a small sample of cases, this study found that black rice anthocyanins significantly improved vision, lens opacity, and retinal conditions in patients with early-stage cataracts and dry AMD compared to vitamin C. This study provides a new approach for the early prevention of early-stage cataracts and dry AMD.</w:t>
      </w:r>
    </w:p>
    <w:p w14:paraId="5DFFEDBA" w14:textId="77777777" w:rsidR="003A2F23" w:rsidRDefault="003A2F23" w:rsidP="002067BA">
      <w:pPr>
        <w:snapToGrid w:val="0"/>
        <w:ind w:firstLineChars="200" w:firstLine="480"/>
        <w:rPr>
          <w:rFonts w:ascii="Times New Roman" w:eastAsia="Segoe UI" w:hAnsi="Times New Roman" w:cs="Times New Roman"/>
          <w:color w:val="0F1115"/>
          <w:sz w:val="24"/>
          <w:shd w:val="clear" w:color="auto" w:fill="FFFFFF"/>
        </w:rPr>
      </w:pPr>
    </w:p>
    <w:p w14:paraId="382BE113" w14:textId="77777777" w:rsidR="003A2F23" w:rsidRDefault="00000000" w:rsidP="002067BA">
      <w:pPr>
        <w:snapToGrid w:val="0"/>
        <w:rPr>
          <w:rFonts w:ascii="Times New Roman" w:hAnsi="Times New Roman" w:cs="Times New Roman"/>
          <w:b/>
          <w:bCs/>
          <w:sz w:val="24"/>
        </w:rPr>
      </w:pPr>
      <w:r>
        <w:rPr>
          <w:rFonts w:ascii="Times New Roman" w:hAnsi="Times New Roman" w:cs="Times New Roman"/>
          <w:b/>
          <w:bCs/>
          <w:sz w:val="24"/>
        </w:rPr>
        <w:t>Funding</w:t>
      </w:r>
    </w:p>
    <w:p w14:paraId="108A19A4" w14:textId="77A87232" w:rsidR="003A2F23" w:rsidRDefault="00000000" w:rsidP="002067BA">
      <w:pPr>
        <w:snapToGrid w:val="0"/>
        <w:rPr>
          <w:rFonts w:ascii="Times New Roman" w:hAnsi="Times New Roman" w:cs="Times New Roman"/>
          <w:sz w:val="24"/>
        </w:rPr>
      </w:pPr>
      <w:r>
        <w:rPr>
          <w:rFonts w:ascii="Times New Roman" w:hAnsi="Times New Roman" w:cs="Times New Roman"/>
          <w:sz w:val="24"/>
        </w:rPr>
        <w:t>2024 Changchun Science and Technology Development Plan Project (</w:t>
      </w:r>
      <w:r w:rsidR="00654284">
        <w:rPr>
          <w:rFonts w:ascii="Times New Roman" w:hAnsi="Times New Roman" w:cs="Times New Roman"/>
          <w:sz w:val="24"/>
        </w:rPr>
        <w:t xml:space="preserve">Project No.: </w:t>
      </w:r>
      <w:r>
        <w:rPr>
          <w:rFonts w:ascii="Times New Roman" w:hAnsi="Times New Roman" w:cs="Times New Roman"/>
          <w:sz w:val="24"/>
        </w:rPr>
        <w:t>2024CWY09)</w:t>
      </w:r>
    </w:p>
    <w:p w14:paraId="5ADF2238" w14:textId="77777777" w:rsidR="00DD2FD8" w:rsidRDefault="00DD2FD8" w:rsidP="00DD2FD8">
      <w:pPr>
        <w:rPr>
          <w:rFonts w:ascii="Times New Roman" w:hAnsi="Times New Roman" w:cs="Times New Roman"/>
          <w:b/>
          <w:bCs/>
          <w:sz w:val="24"/>
        </w:rPr>
      </w:pPr>
      <w:r>
        <w:rPr>
          <w:rFonts w:ascii="Times New Roman" w:hAnsi="Times New Roman" w:cs="Times New Roman"/>
          <w:b/>
          <w:bCs/>
          <w:sz w:val="24"/>
        </w:rPr>
        <w:lastRenderedPageBreak/>
        <w:t>Funding</w:t>
      </w:r>
    </w:p>
    <w:p w14:paraId="3D309988" w14:textId="6A0EF0AB" w:rsidR="00DD2FD8" w:rsidRDefault="00DD2FD8" w:rsidP="00DD2FD8">
      <w:pPr>
        <w:rPr>
          <w:rFonts w:ascii="Times New Roman" w:hAnsi="Times New Roman" w:cs="Times New Roman"/>
          <w:sz w:val="24"/>
        </w:rPr>
      </w:pPr>
      <w:r w:rsidRPr="00DD2FD8">
        <w:rPr>
          <w:rFonts w:ascii="Times New Roman" w:hAnsi="Times New Roman" w:cs="Times New Roman"/>
          <w:sz w:val="24"/>
        </w:rPr>
        <w:t>2024 Changchun Collaborative Science and Technology Special Project for Medical and Health Institutions and Biomedical (Medical Device) Enterprises</w:t>
      </w:r>
      <w:r w:rsidRPr="00DD2FD8">
        <w:rPr>
          <w:rFonts w:ascii="Times New Roman" w:hAnsi="Times New Roman" w:cs="Times New Roman" w:hint="eastAsia"/>
          <w:sz w:val="24"/>
        </w:rPr>
        <w:t xml:space="preserve">, </w:t>
      </w:r>
      <w:r w:rsidRPr="00DD2FD8">
        <w:rPr>
          <w:rFonts w:ascii="Times New Roman" w:hAnsi="Times New Roman" w:cs="Times New Roman"/>
          <w:sz w:val="24"/>
        </w:rPr>
        <w:t>2024 Changchun Science and Technology Development Plan Project (</w:t>
      </w:r>
      <w:r>
        <w:rPr>
          <w:rFonts w:ascii="Times New Roman" w:hAnsi="Times New Roman" w:cs="Times New Roman"/>
          <w:sz w:val="24"/>
        </w:rPr>
        <w:t xml:space="preserve">Project No.: </w:t>
      </w:r>
      <w:r w:rsidRPr="00DD2FD8">
        <w:rPr>
          <w:rFonts w:ascii="Times New Roman" w:hAnsi="Times New Roman" w:cs="Times New Roman"/>
          <w:sz w:val="24"/>
        </w:rPr>
        <w:t>2024CWY09)</w:t>
      </w:r>
    </w:p>
    <w:p w14:paraId="14D167F9" w14:textId="77777777" w:rsidR="003A2F23" w:rsidRDefault="003A2F23" w:rsidP="002067BA">
      <w:pPr>
        <w:snapToGrid w:val="0"/>
        <w:rPr>
          <w:rFonts w:ascii="Times New Roman" w:hAnsi="Times New Roman" w:cs="Times New Roman"/>
          <w:sz w:val="24"/>
        </w:rPr>
      </w:pPr>
    </w:p>
    <w:p w14:paraId="0AC35EDF" w14:textId="77777777" w:rsidR="003A2F23" w:rsidRDefault="00000000" w:rsidP="002067BA">
      <w:pPr>
        <w:snapToGrid w:val="0"/>
        <w:rPr>
          <w:rFonts w:ascii="Times New Roman" w:hAnsi="Times New Roman"/>
          <w:b/>
          <w:bCs/>
          <w:sz w:val="24"/>
        </w:rPr>
      </w:pPr>
      <w:bookmarkStart w:id="0" w:name="_Hlk181689731"/>
      <w:r>
        <w:rPr>
          <w:rFonts w:ascii="Times New Roman" w:hAnsi="Times New Roman"/>
          <w:b/>
          <w:bCs/>
          <w:sz w:val="24"/>
        </w:rPr>
        <w:t>Disclosure statement</w:t>
      </w:r>
    </w:p>
    <w:p w14:paraId="3A67A07B" w14:textId="77777777" w:rsidR="003A2F23" w:rsidRDefault="00000000" w:rsidP="002067BA">
      <w:pPr>
        <w:snapToGrid w:val="0"/>
        <w:rPr>
          <w:rFonts w:ascii="Times New Roman" w:hAnsi="Times New Roman"/>
          <w:sz w:val="24"/>
        </w:rPr>
      </w:pPr>
      <w:r>
        <w:rPr>
          <w:rFonts w:ascii="Times New Roman" w:hAnsi="Times New Roman"/>
          <w:sz w:val="24"/>
        </w:rPr>
        <w:t xml:space="preserve">The authors declare no conflict of interest. </w:t>
      </w:r>
    </w:p>
    <w:bookmarkEnd w:id="0"/>
    <w:p w14:paraId="091F53B6" w14:textId="77777777" w:rsidR="003A2F23" w:rsidRDefault="003A2F23" w:rsidP="002067BA">
      <w:pPr>
        <w:snapToGrid w:val="0"/>
        <w:rPr>
          <w:rFonts w:ascii="Times New Roman" w:eastAsia="Segoe UI" w:hAnsi="Times New Roman" w:cs="Times New Roman"/>
          <w:b/>
          <w:bCs/>
          <w:color w:val="0F1115"/>
          <w:sz w:val="24"/>
          <w:shd w:val="clear" w:color="auto" w:fill="FFFFFF"/>
        </w:rPr>
      </w:pPr>
    </w:p>
    <w:p w14:paraId="5382E6E3" w14:textId="77777777" w:rsidR="003A2F23" w:rsidRDefault="00000000" w:rsidP="002067BA">
      <w:pPr>
        <w:snapToGrid w:val="0"/>
        <w:rPr>
          <w:rFonts w:ascii="Times New Roman" w:eastAsia="Segoe UI" w:hAnsi="Times New Roman" w:cs="Times New Roman"/>
          <w:b/>
          <w:bCs/>
          <w:color w:val="0F1115"/>
          <w:sz w:val="24"/>
          <w:shd w:val="clear" w:color="auto" w:fill="FFFFFF"/>
        </w:rPr>
      </w:pPr>
      <w:r>
        <w:rPr>
          <w:rFonts w:ascii="Times New Roman" w:eastAsia="Segoe UI" w:hAnsi="Times New Roman" w:cs="Times New Roman"/>
          <w:b/>
          <w:bCs/>
          <w:color w:val="0F1115"/>
          <w:sz w:val="24"/>
          <w:shd w:val="clear" w:color="auto" w:fill="FFFFFF"/>
        </w:rPr>
        <w:t>References</w:t>
      </w:r>
    </w:p>
    <w:p w14:paraId="66C13800" w14:textId="77777777" w:rsidR="005F4F9B" w:rsidRDefault="005F4F9B" w:rsidP="005F4F9B">
      <w:pPr>
        <w:snapToGrid w:val="0"/>
        <w:ind w:left="709" w:hanging="709"/>
        <w:rPr>
          <w:rFonts w:ascii="Times New Roman" w:eastAsia="Segoe UI" w:hAnsi="Times New Roman" w:cs="Times New Roman"/>
          <w:color w:val="0F1115"/>
          <w:sz w:val="24"/>
          <w:shd w:val="clear" w:color="auto" w:fill="FFFFFF"/>
          <w:lang w:val="en-MY"/>
        </w:rPr>
      </w:pPr>
      <w:r w:rsidRPr="005F4F9B">
        <w:rPr>
          <w:rFonts w:ascii="Times New Roman" w:eastAsia="Segoe UI" w:hAnsi="Times New Roman" w:cs="Times New Roman"/>
          <w:color w:val="0F1115"/>
          <w:sz w:val="24"/>
          <w:shd w:val="clear" w:color="auto" w:fill="FFFFFF"/>
          <w:lang w:val="en-MY"/>
        </w:rPr>
        <w:t xml:space="preserve">[1] </w:t>
      </w:r>
      <w:r>
        <w:rPr>
          <w:rFonts w:ascii="Times New Roman" w:eastAsia="Segoe UI" w:hAnsi="Times New Roman" w:cs="Times New Roman"/>
          <w:color w:val="0F1115"/>
          <w:sz w:val="24"/>
          <w:shd w:val="clear" w:color="auto" w:fill="FFFFFF"/>
          <w:lang w:val="en-MY"/>
        </w:rPr>
        <w:tab/>
      </w:r>
      <w:r w:rsidRPr="005F4F9B">
        <w:rPr>
          <w:rFonts w:ascii="Times New Roman" w:eastAsia="Segoe UI" w:hAnsi="Times New Roman" w:cs="Times New Roman"/>
          <w:color w:val="0F1115"/>
          <w:sz w:val="24"/>
          <w:shd w:val="clear" w:color="auto" w:fill="FFFFFF"/>
          <w:lang w:val="en-MY"/>
        </w:rPr>
        <w:t>Wang C, Yang R, Shao Y, et al., 2025, Research on the Mechanism and Therapeutic Strategies of Oxidative Stress in Ocular Diseases. Recent Advances in Ophthalmology, 45(3): 247–252.</w:t>
      </w:r>
    </w:p>
    <w:p w14:paraId="5E54FD63" w14:textId="77777777" w:rsidR="005F4F9B" w:rsidRDefault="005F4F9B" w:rsidP="005F4F9B">
      <w:pPr>
        <w:snapToGrid w:val="0"/>
        <w:ind w:left="709" w:hanging="709"/>
        <w:rPr>
          <w:rFonts w:ascii="Times New Roman" w:eastAsia="Segoe UI" w:hAnsi="Times New Roman" w:cs="Times New Roman"/>
          <w:color w:val="0F1115"/>
          <w:sz w:val="24"/>
          <w:shd w:val="clear" w:color="auto" w:fill="FFFFFF"/>
          <w:lang w:val="en-MY"/>
        </w:rPr>
      </w:pPr>
      <w:r w:rsidRPr="005F4F9B">
        <w:rPr>
          <w:rFonts w:ascii="Times New Roman" w:eastAsia="Segoe UI" w:hAnsi="Times New Roman" w:cs="Times New Roman"/>
          <w:color w:val="0F1115"/>
          <w:sz w:val="24"/>
          <w:shd w:val="clear" w:color="auto" w:fill="FFFFFF"/>
          <w:lang w:val="en-MY"/>
        </w:rPr>
        <w:t xml:space="preserve">[2] </w:t>
      </w:r>
      <w:r>
        <w:rPr>
          <w:rFonts w:ascii="Times New Roman" w:eastAsia="Segoe UI" w:hAnsi="Times New Roman" w:cs="Times New Roman"/>
          <w:color w:val="0F1115"/>
          <w:sz w:val="24"/>
          <w:shd w:val="clear" w:color="auto" w:fill="FFFFFF"/>
          <w:lang w:val="en-MY"/>
        </w:rPr>
        <w:tab/>
      </w:r>
      <w:r w:rsidRPr="005F4F9B">
        <w:rPr>
          <w:rFonts w:ascii="Times New Roman" w:eastAsia="Segoe UI" w:hAnsi="Times New Roman" w:cs="Times New Roman"/>
          <w:color w:val="0F1115"/>
          <w:sz w:val="24"/>
          <w:shd w:val="clear" w:color="auto" w:fill="FFFFFF"/>
          <w:lang w:val="en-MY"/>
        </w:rPr>
        <w:t xml:space="preserve">Resnikoff S, </w:t>
      </w:r>
      <w:proofErr w:type="spellStart"/>
      <w:r w:rsidRPr="005F4F9B">
        <w:rPr>
          <w:rFonts w:ascii="Times New Roman" w:eastAsia="Segoe UI" w:hAnsi="Times New Roman" w:cs="Times New Roman"/>
          <w:color w:val="0F1115"/>
          <w:sz w:val="24"/>
          <w:shd w:val="clear" w:color="auto" w:fill="FFFFFF"/>
          <w:lang w:val="en-MY"/>
        </w:rPr>
        <w:t>Pascolini</w:t>
      </w:r>
      <w:proofErr w:type="spellEnd"/>
      <w:r w:rsidRPr="005F4F9B">
        <w:rPr>
          <w:rFonts w:ascii="Times New Roman" w:eastAsia="Segoe UI" w:hAnsi="Times New Roman" w:cs="Times New Roman"/>
          <w:color w:val="0F1115"/>
          <w:sz w:val="24"/>
          <w:shd w:val="clear" w:color="auto" w:fill="FFFFFF"/>
          <w:lang w:val="en-MY"/>
        </w:rPr>
        <w:t xml:space="preserve"> D, Mariotti S, et al., 2008, Global Magnitude of Visual Impairment Caused by Uncorrected Refractive Errors in 2004. Bulletin of the World Health Organization, 86: 63–70.</w:t>
      </w:r>
    </w:p>
    <w:p w14:paraId="38EDF5D7" w14:textId="77777777" w:rsidR="005F4F9B" w:rsidRDefault="005F4F9B" w:rsidP="005F4F9B">
      <w:pPr>
        <w:snapToGrid w:val="0"/>
        <w:ind w:left="709" w:hanging="709"/>
        <w:rPr>
          <w:rFonts w:ascii="Times New Roman" w:eastAsia="Segoe UI" w:hAnsi="Times New Roman" w:cs="Times New Roman"/>
          <w:color w:val="0F1115"/>
          <w:sz w:val="24"/>
          <w:shd w:val="clear" w:color="auto" w:fill="FFFFFF"/>
          <w:lang w:val="en-MY"/>
        </w:rPr>
      </w:pPr>
      <w:r w:rsidRPr="005F4F9B">
        <w:rPr>
          <w:rFonts w:ascii="Times New Roman" w:eastAsia="Segoe UI" w:hAnsi="Times New Roman" w:cs="Times New Roman"/>
          <w:color w:val="0F1115"/>
          <w:sz w:val="24"/>
          <w:shd w:val="clear" w:color="auto" w:fill="FFFFFF"/>
          <w:lang w:val="en-MY"/>
        </w:rPr>
        <w:t xml:space="preserve">[3] </w:t>
      </w:r>
      <w:r>
        <w:rPr>
          <w:rFonts w:ascii="Times New Roman" w:eastAsia="Segoe UI" w:hAnsi="Times New Roman" w:cs="Times New Roman"/>
          <w:color w:val="0F1115"/>
          <w:sz w:val="24"/>
          <w:shd w:val="clear" w:color="auto" w:fill="FFFFFF"/>
          <w:lang w:val="en-MY"/>
        </w:rPr>
        <w:tab/>
      </w:r>
      <w:r w:rsidRPr="005F4F9B">
        <w:rPr>
          <w:rFonts w:ascii="Times New Roman" w:eastAsia="Segoe UI" w:hAnsi="Times New Roman" w:cs="Times New Roman"/>
          <w:color w:val="0F1115"/>
          <w:sz w:val="24"/>
          <w:shd w:val="clear" w:color="auto" w:fill="FFFFFF"/>
          <w:lang w:val="en-MY"/>
        </w:rPr>
        <w:t>Arya M, Sabrosa A, Duker J, et al., 2018, Choriocapillaris Changes in Dry Age-Related Macular Degeneration and Geographic Atrophy: A Review. Eye and Vision, 5: 22.</w:t>
      </w:r>
    </w:p>
    <w:p w14:paraId="75240055" w14:textId="77777777" w:rsidR="005F4F9B" w:rsidRDefault="005F4F9B" w:rsidP="005F4F9B">
      <w:pPr>
        <w:snapToGrid w:val="0"/>
        <w:ind w:left="709" w:hanging="709"/>
        <w:rPr>
          <w:rFonts w:ascii="Times New Roman" w:eastAsia="Segoe UI" w:hAnsi="Times New Roman" w:cs="Times New Roman"/>
          <w:color w:val="0F1115"/>
          <w:sz w:val="24"/>
          <w:shd w:val="clear" w:color="auto" w:fill="FFFFFF"/>
          <w:lang w:val="en-MY"/>
        </w:rPr>
      </w:pPr>
      <w:r w:rsidRPr="005F4F9B">
        <w:rPr>
          <w:rFonts w:ascii="Times New Roman" w:eastAsia="Segoe UI" w:hAnsi="Times New Roman" w:cs="Times New Roman"/>
          <w:color w:val="0F1115"/>
          <w:sz w:val="24"/>
          <w:shd w:val="clear" w:color="auto" w:fill="FFFFFF"/>
          <w:lang w:val="en-MY"/>
        </w:rPr>
        <w:t xml:space="preserve">[4] </w:t>
      </w:r>
      <w:r>
        <w:rPr>
          <w:rFonts w:ascii="Times New Roman" w:eastAsia="Segoe UI" w:hAnsi="Times New Roman" w:cs="Times New Roman"/>
          <w:color w:val="0F1115"/>
          <w:sz w:val="24"/>
          <w:shd w:val="clear" w:color="auto" w:fill="FFFFFF"/>
          <w:lang w:val="en-MY"/>
        </w:rPr>
        <w:tab/>
      </w:r>
      <w:r w:rsidRPr="005F4F9B">
        <w:rPr>
          <w:rFonts w:ascii="Times New Roman" w:eastAsia="Segoe UI" w:hAnsi="Times New Roman" w:cs="Times New Roman"/>
          <w:color w:val="0F1115"/>
          <w:sz w:val="24"/>
          <w:shd w:val="clear" w:color="auto" w:fill="FFFFFF"/>
          <w:lang w:val="en-MY"/>
        </w:rPr>
        <w:t>Buschini E, Fea A, Lavia C, et al., 2015, Recent Developments in the Management of Dry Age-Related Macular Degeneration. Clinical Ophthalmology, 9: 563–574.</w:t>
      </w:r>
    </w:p>
    <w:p w14:paraId="0E7A61E1" w14:textId="77777777" w:rsidR="005F4F9B" w:rsidRDefault="005F4F9B" w:rsidP="005F4F9B">
      <w:pPr>
        <w:snapToGrid w:val="0"/>
        <w:ind w:left="709" w:hanging="709"/>
        <w:rPr>
          <w:rFonts w:ascii="Times New Roman" w:eastAsia="Segoe UI" w:hAnsi="Times New Roman" w:cs="Times New Roman"/>
          <w:color w:val="0F1115"/>
          <w:sz w:val="24"/>
          <w:shd w:val="clear" w:color="auto" w:fill="FFFFFF"/>
          <w:lang w:val="en-MY"/>
        </w:rPr>
      </w:pPr>
      <w:r w:rsidRPr="005F4F9B">
        <w:rPr>
          <w:rFonts w:ascii="Times New Roman" w:eastAsia="Segoe UI" w:hAnsi="Times New Roman" w:cs="Times New Roman"/>
          <w:color w:val="0F1115"/>
          <w:sz w:val="24"/>
          <w:shd w:val="clear" w:color="auto" w:fill="FFFFFF"/>
          <w:lang w:val="en-MY"/>
        </w:rPr>
        <w:t xml:space="preserve">[5] </w:t>
      </w:r>
      <w:r>
        <w:rPr>
          <w:rFonts w:ascii="Times New Roman" w:eastAsia="Segoe UI" w:hAnsi="Times New Roman" w:cs="Times New Roman"/>
          <w:color w:val="0F1115"/>
          <w:sz w:val="24"/>
          <w:shd w:val="clear" w:color="auto" w:fill="FFFFFF"/>
          <w:lang w:val="en-MY"/>
        </w:rPr>
        <w:tab/>
      </w:r>
      <w:r w:rsidRPr="005F4F9B">
        <w:rPr>
          <w:rFonts w:ascii="Times New Roman" w:eastAsia="Segoe UI" w:hAnsi="Times New Roman" w:cs="Times New Roman"/>
          <w:color w:val="0F1115"/>
          <w:sz w:val="24"/>
          <w:shd w:val="clear" w:color="auto" w:fill="FFFFFF"/>
          <w:lang w:val="en-MY"/>
        </w:rPr>
        <w:t xml:space="preserve">Merry G, Munk M, Dotson R, et al., 2017, </w:t>
      </w:r>
      <w:proofErr w:type="spellStart"/>
      <w:r w:rsidRPr="005F4F9B">
        <w:rPr>
          <w:rFonts w:ascii="Times New Roman" w:eastAsia="Segoe UI" w:hAnsi="Times New Roman" w:cs="Times New Roman"/>
          <w:color w:val="0F1115"/>
          <w:sz w:val="24"/>
          <w:shd w:val="clear" w:color="auto" w:fill="FFFFFF"/>
          <w:lang w:val="en-MY"/>
        </w:rPr>
        <w:t>Photobiomodulation</w:t>
      </w:r>
      <w:proofErr w:type="spellEnd"/>
      <w:r w:rsidRPr="005F4F9B">
        <w:rPr>
          <w:rFonts w:ascii="Times New Roman" w:eastAsia="Segoe UI" w:hAnsi="Times New Roman" w:cs="Times New Roman"/>
          <w:color w:val="0F1115"/>
          <w:sz w:val="24"/>
          <w:shd w:val="clear" w:color="auto" w:fill="FFFFFF"/>
          <w:lang w:val="en-MY"/>
        </w:rPr>
        <w:t xml:space="preserve"> Reduces Drusen Volume and Improves Visual Acuity and Contrast Sensitivity in Dry Age-Related Macular Degeneration. Acta </w:t>
      </w:r>
      <w:proofErr w:type="spellStart"/>
      <w:r w:rsidRPr="005F4F9B">
        <w:rPr>
          <w:rFonts w:ascii="Times New Roman" w:eastAsia="Segoe UI" w:hAnsi="Times New Roman" w:cs="Times New Roman"/>
          <w:color w:val="0F1115"/>
          <w:sz w:val="24"/>
          <w:shd w:val="clear" w:color="auto" w:fill="FFFFFF"/>
          <w:lang w:val="en-MY"/>
        </w:rPr>
        <w:t>Ophthalmologica</w:t>
      </w:r>
      <w:proofErr w:type="spellEnd"/>
      <w:r w:rsidRPr="005F4F9B">
        <w:rPr>
          <w:rFonts w:ascii="Times New Roman" w:eastAsia="Segoe UI" w:hAnsi="Times New Roman" w:cs="Times New Roman"/>
          <w:color w:val="0F1115"/>
          <w:sz w:val="24"/>
          <w:shd w:val="clear" w:color="auto" w:fill="FFFFFF"/>
          <w:lang w:val="en-MY"/>
        </w:rPr>
        <w:t>, 95(4): e270–e277.</w:t>
      </w:r>
    </w:p>
    <w:p w14:paraId="15DC7A5D" w14:textId="77777777" w:rsidR="005F4F9B" w:rsidRDefault="005F4F9B" w:rsidP="005F4F9B">
      <w:pPr>
        <w:snapToGrid w:val="0"/>
        <w:ind w:left="709" w:hanging="709"/>
        <w:rPr>
          <w:rFonts w:ascii="Times New Roman" w:eastAsia="Segoe UI" w:hAnsi="Times New Roman" w:cs="Times New Roman"/>
          <w:color w:val="0F1115"/>
          <w:sz w:val="24"/>
          <w:shd w:val="clear" w:color="auto" w:fill="FFFFFF"/>
          <w:lang w:val="en-MY"/>
        </w:rPr>
      </w:pPr>
      <w:r w:rsidRPr="005F4F9B">
        <w:rPr>
          <w:rFonts w:ascii="Times New Roman" w:eastAsia="Segoe UI" w:hAnsi="Times New Roman" w:cs="Times New Roman"/>
          <w:color w:val="0F1115"/>
          <w:sz w:val="24"/>
          <w:shd w:val="clear" w:color="auto" w:fill="FFFFFF"/>
          <w:lang w:val="en-MY"/>
        </w:rPr>
        <w:t xml:space="preserve">[6] </w:t>
      </w:r>
      <w:r>
        <w:rPr>
          <w:rFonts w:ascii="Times New Roman" w:eastAsia="Segoe UI" w:hAnsi="Times New Roman" w:cs="Times New Roman"/>
          <w:color w:val="0F1115"/>
          <w:sz w:val="24"/>
          <w:shd w:val="clear" w:color="auto" w:fill="FFFFFF"/>
          <w:lang w:val="en-MY"/>
        </w:rPr>
        <w:tab/>
      </w:r>
      <w:r w:rsidRPr="005F4F9B">
        <w:rPr>
          <w:rFonts w:ascii="Times New Roman" w:eastAsia="Segoe UI" w:hAnsi="Times New Roman" w:cs="Times New Roman"/>
          <w:color w:val="0F1115"/>
          <w:sz w:val="24"/>
          <w:shd w:val="clear" w:color="auto" w:fill="FFFFFF"/>
          <w:lang w:val="en-MY"/>
        </w:rPr>
        <w:t>Yang C, Yin L, 2017, Research Status on the Role of 7-Ketocholesterol in the Development of Age-Related Macular Degeneration. Chinese Journal of Ocular Fundus Diseases, 33(6): 659–661.</w:t>
      </w:r>
    </w:p>
    <w:p w14:paraId="2F9F19DF" w14:textId="77777777" w:rsidR="005F4F9B" w:rsidRDefault="005F4F9B" w:rsidP="005F4F9B">
      <w:pPr>
        <w:snapToGrid w:val="0"/>
        <w:ind w:left="709" w:hanging="709"/>
        <w:rPr>
          <w:rFonts w:ascii="Times New Roman" w:eastAsia="Segoe UI" w:hAnsi="Times New Roman" w:cs="Times New Roman"/>
          <w:color w:val="0F1115"/>
          <w:sz w:val="24"/>
          <w:shd w:val="clear" w:color="auto" w:fill="FFFFFF"/>
          <w:lang w:val="en-MY"/>
        </w:rPr>
      </w:pPr>
      <w:r w:rsidRPr="005F4F9B">
        <w:rPr>
          <w:rFonts w:ascii="Times New Roman" w:eastAsia="Segoe UI" w:hAnsi="Times New Roman" w:cs="Times New Roman"/>
          <w:color w:val="0F1115"/>
          <w:sz w:val="24"/>
          <w:shd w:val="clear" w:color="auto" w:fill="FFFFFF"/>
          <w:lang w:val="en-MY"/>
        </w:rPr>
        <w:t xml:space="preserve">[7] </w:t>
      </w:r>
      <w:r>
        <w:rPr>
          <w:rFonts w:ascii="Times New Roman" w:eastAsia="Segoe UI" w:hAnsi="Times New Roman" w:cs="Times New Roman"/>
          <w:color w:val="0F1115"/>
          <w:sz w:val="24"/>
          <w:shd w:val="clear" w:color="auto" w:fill="FFFFFF"/>
          <w:lang w:val="en-MY"/>
        </w:rPr>
        <w:tab/>
      </w:r>
      <w:r w:rsidRPr="005F4F9B">
        <w:rPr>
          <w:rFonts w:ascii="Times New Roman" w:eastAsia="Segoe UI" w:hAnsi="Times New Roman" w:cs="Times New Roman"/>
          <w:color w:val="0F1115"/>
          <w:sz w:val="24"/>
          <w:shd w:val="clear" w:color="auto" w:fill="FFFFFF"/>
          <w:lang w:val="en-MY"/>
        </w:rPr>
        <w:t xml:space="preserve">Yang S, 2005, Huangdi </w:t>
      </w:r>
      <w:proofErr w:type="spellStart"/>
      <w:r w:rsidRPr="005F4F9B">
        <w:rPr>
          <w:rFonts w:ascii="Times New Roman" w:eastAsia="Segoe UI" w:hAnsi="Times New Roman" w:cs="Times New Roman"/>
          <w:color w:val="0F1115"/>
          <w:sz w:val="24"/>
          <w:shd w:val="clear" w:color="auto" w:fill="FFFFFF"/>
          <w:lang w:val="en-MY"/>
        </w:rPr>
        <w:t>Neijing</w:t>
      </w:r>
      <w:proofErr w:type="spellEnd"/>
      <w:r w:rsidRPr="005F4F9B">
        <w:rPr>
          <w:rFonts w:ascii="Times New Roman" w:eastAsia="Segoe UI" w:hAnsi="Times New Roman" w:cs="Times New Roman"/>
          <w:color w:val="0F1115"/>
          <w:sz w:val="24"/>
          <w:shd w:val="clear" w:color="auto" w:fill="FFFFFF"/>
          <w:lang w:val="en-MY"/>
        </w:rPr>
        <w:t xml:space="preserve"> </w:t>
      </w:r>
      <w:proofErr w:type="spellStart"/>
      <w:r w:rsidRPr="005F4F9B">
        <w:rPr>
          <w:rFonts w:ascii="Times New Roman" w:eastAsia="Segoe UI" w:hAnsi="Times New Roman" w:cs="Times New Roman"/>
          <w:color w:val="0F1115"/>
          <w:sz w:val="24"/>
          <w:shd w:val="clear" w:color="auto" w:fill="FFFFFF"/>
          <w:lang w:val="en-MY"/>
        </w:rPr>
        <w:t>Taisu</w:t>
      </w:r>
      <w:proofErr w:type="spellEnd"/>
      <w:r w:rsidRPr="005F4F9B">
        <w:rPr>
          <w:rFonts w:ascii="Times New Roman" w:eastAsia="Segoe UI" w:hAnsi="Times New Roman" w:cs="Times New Roman"/>
          <w:color w:val="0F1115"/>
          <w:sz w:val="24"/>
          <w:shd w:val="clear" w:color="auto" w:fill="FFFFFF"/>
          <w:lang w:val="en-MY"/>
        </w:rPr>
        <w:t>. Science and Technology Literature Press.</w:t>
      </w:r>
    </w:p>
    <w:p w14:paraId="08827E9E" w14:textId="77777777" w:rsidR="005F4F9B" w:rsidRDefault="005F4F9B" w:rsidP="005F4F9B">
      <w:pPr>
        <w:snapToGrid w:val="0"/>
        <w:ind w:left="709" w:hanging="709"/>
        <w:rPr>
          <w:rFonts w:ascii="Times New Roman" w:eastAsia="Segoe UI" w:hAnsi="Times New Roman" w:cs="Times New Roman"/>
          <w:color w:val="0F1115"/>
          <w:sz w:val="24"/>
          <w:shd w:val="clear" w:color="auto" w:fill="FFFFFF"/>
          <w:lang w:val="en-MY"/>
        </w:rPr>
      </w:pPr>
      <w:r w:rsidRPr="005F4F9B">
        <w:rPr>
          <w:rFonts w:ascii="Times New Roman" w:eastAsia="Segoe UI" w:hAnsi="Times New Roman" w:cs="Times New Roman"/>
          <w:color w:val="0F1115"/>
          <w:sz w:val="24"/>
          <w:shd w:val="clear" w:color="auto" w:fill="FFFFFF"/>
          <w:lang w:val="en-MY"/>
        </w:rPr>
        <w:t xml:space="preserve">[8] </w:t>
      </w:r>
      <w:r>
        <w:rPr>
          <w:rFonts w:ascii="Times New Roman" w:eastAsia="Segoe UI" w:hAnsi="Times New Roman" w:cs="Times New Roman"/>
          <w:color w:val="0F1115"/>
          <w:sz w:val="24"/>
          <w:shd w:val="clear" w:color="auto" w:fill="FFFFFF"/>
          <w:lang w:val="en-MY"/>
        </w:rPr>
        <w:tab/>
      </w:r>
      <w:r w:rsidRPr="005F4F9B">
        <w:rPr>
          <w:rFonts w:ascii="Times New Roman" w:eastAsia="Segoe UI" w:hAnsi="Times New Roman" w:cs="Times New Roman"/>
          <w:color w:val="0F1115"/>
          <w:sz w:val="24"/>
          <w:shd w:val="clear" w:color="auto" w:fill="FFFFFF"/>
          <w:lang w:val="en-MY"/>
        </w:rPr>
        <w:t>Tang X, Xie G, Zhou R, et al., 2020, Overview of the Development and Application of Medicine and Food Homology. China Modern Traditional Chinese Medicine, 20(9): 1428–1433.</w:t>
      </w:r>
    </w:p>
    <w:p w14:paraId="1750813D" w14:textId="0DEEA404" w:rsidR="005F4F9B" w:rsidRPr="005F4F9B" w:rsidRDefault="005F4F9B" w:rsidP="002067BA">
      <w:pPr>
        <w:snapToGrid w:val="0"/>
        <w:ind w:left="709" w:hanging="709"/>
        <w:rPr>
          <w:rFonts w:ascii="Times New Roman" w:eastAsia="Segoe UI" w:hAnsi="Times New Roman" w:cs="Times New Roman"/>
          <w:color w:val="0F1115"/>
          <w:sz w:val="24"/>
          <w:shd w:val="clear" w:color="auto" w:fill="FFFFFF"/>
          <w:lang w:val="en-MY"/>
        </w:rPr>
      </w:pPr>
      <w:r w:rsidRPr="005F4F9B">
        <w:rPr>
          <w:rFonts w:ascii="Times New Roman" w:eastAsia="Segoe UI" w:hAnsi="Times New Roman" w:cs="Times New Roman"/>
          <w:color w:val="0F1115"/>
          <w:sz w:val="24"/>
          <w:shd w:val="clear" w:color="auto" w:fill="FFFFFF"/>
          <w:lang w:val="en-MY"/>
        </w:rPr>
        <w:t xml:space="preserve">[9] </w:t>
      </w:r>
      <w:r>
        <w:rPr>
          <w:rFonts w:ascii="Times New Roman" w:eastAsia="Segoe UI" w:hAnsi="Times New Roman" w:cs="Times New Roman"/>
          <w:color w:val="0F1115"/>
          <w:sz w:val="24"/>
          <w:shd w:val="clear" w:color="auto" w:fill="FFFFFF"/>
          <w:lang w:val="en-MY"/>
        </w:rPr>
        <w:tab/>
      </w:r>
      <w:r w:rsidRPr="005F4F9B">
        <w:rPr>
          <w:rFonts w:ascii="Times New Roman" w:eastAsia="Segoe UI" w:hAnsi="Times New Roman" w:cs="Times New Roman"/>
          <w:color w:val="0F1115"/>
          <w:sz w:val="24"/>
          <w:shd w:val="clear" w:color="auto" w:fill="FFFFFF"/>
          <w:lang w:val="en-MY"/>
        </w:rPr>
        <w:t xml:space="preserve">Li L, Liu C, Zhou X, et al., 2012, Health Benefits and Research Status of </w:t>
      </w:r>
      <w:proofErr w:type="spellStart"/>
      <w:r w:rsidRPr="005F4F9B">
        <w:rPr>
          <w:rFonts w:ascii="Times New Roman" w:eastAsia="Segoe UI" w:hAnsi="Times New Roman" w:cs="Times New Roman"/>
          <w:color w:val="0F1115"/>
          <w:sz w:val="24"/>
          <w:shd w:val="clear" w:color="auto" w:fill="FFFFFF"/>
          <w:lang w:val="en-MY"/>
        </w:rPr>
        <w:t>Colored</w:t>
      </w:r>
      <w:proofErr w:type="spellEnd"/>
      <w:r w:rsidRPr="005F4F9B">
        <w:rPr>
          <w:rFonts w:ascii="Times New Roman" w:eastAsia="Segoe UI" w:hAnsi="Times New Roman" w:cs="Times New Roman"/>
          <w:color w:val="0F1115"/>
          <w:sz w:val="24"/>
          <w:shd w:val="clear" w:color="auto" w:fill="FFFFFF"/>
          <w:lang w:val="en-MY"/>
        </w:rPr>
        <w:t xml:space="preserve"> Rice. Guangdong Agricultural Sciences, 39(21): 11–13.</w:t>
      </w:r>
    </w:p>
    <w:p w14:paraId="1F4BA888" w14:textId="207DFF91" w:rsidR="00654284" w:rsidRDefault="00654284" w:rsidP="00654284">
      <w:pPr>
        <w:snapToGrid w:val="0"/>
        <w:rPr>
          <w:rFonts w:ascii="Times New Roman" w:eastAsia="Segoe UI" w:hAnsi="Times New Roman" w:cs="Times New Roman"/>
          <w:color w:val="0F1115"/>
          <w:sz w:val="24"/>
          <w:shd w:val="clear" w:color="auto" w:fill="FFFFFF"/>
        </w:rPr>
      </w:pPr>
    </w:p>
    <w:p w14:paraId="4C0FB9C2" w14:textId="77777777" w:rsidR="00654284" w:rsidRPr="002067BA" w:rsidRDefault="00654284" w:rsidP="00654284">
      <w:pPr>
        <w:snapToGrid w:val="0"/>
        <w:rPr>
          <w:rFonts w:ascii="Times New Roman" w:eastAsia="Segoe UI" w:hAnsi="Times New Roman" w:cs="Times New Roman"/>
          <w:b/>
          <w:bCs/>
          <w:color w:val="0F1115"/>
          <w:sz w:val="20"/>
          <w:szCs w:val="20"/>
          <w:shd w:val="clear" w:color="auto" w:fill="FFFFFF"/>
        </w:rPr>
      </w:pPr>
      <w:r w:rsidRPr="002067BA">
        <w:rPr>
          <w:rFonts w:ascii="Times New Roman" w:eastAsia="Segoe UI" w:hAnsi="Times New Roman" w:cs="Times New Roman"/>
          <w:b/>
          <w:bCs/>
          <w:color w:val="0F1115"/>
          <w:sz w:val="20"/>
          <w:szCs w:val="20"/>
          <w:shd w:val="clear" w:color="auto" w:fill="FFFFFF"/>
        </w:rPr>
        <w:t>Publisher’s note</w:t>
      </w:r>
    </w:p>
    <w:p w14:paraId="1256371F" w14:textId="77777777" w:rsidR="00654284" w:rsidRPr="002067BA" w:rsidRDefault="00654284" w:rsidP="00654284">
      <w:pPr>
        <w:snapToGrid w:val="0"/>
        <w:rPr>
          <w:rFonts w:ascii="Times New Roman" w:eastAsia="Segoe UI" w:hAnsi="Times New Roman" w:cs="Times New Roman"/>
          <w:color w:val="0F1115"/>
          <w:sz w:val="20"/>
          <w:szCs w:val="20"/>
          <w:shd w:val="clear" w:color="auto" w:fill="FFFFFF"/>
        </w:rPr>
      </w:pPr>
      <w:r w:rsidRPr="002067BA">
        <w:rPr>
          <w:rFonts w:ascii="Times New Roman" w:eastAsia="Segoe UI" w:hAnsi="Times New Roman" w:cs="Times New Roman"/>
          <w:color w:val="0F1115"/>
          <w:sz w:val="20"/>
          <w:szCs w:val="20"/>
          <w:shd w:val="clear" w:color="auto" w:fill="FFFFFF"/>
        </w:rPr>
        <w:t xml:space="preserve">Bio-Byword Scientific Publishing remains neutral with regard to jurisdictional claims in published maps and institutional affiliations. </w:t>
      </w:r>
    </w:p>
    <w:p w14:paraId="3D1DC522" w14:textId="77777777" w:rsidR="00654284" w:rsidRDefault="00654284" w:rsidP="002067BA">
      <w:pPr>
        <w:snapToGrid w:val="0"/>
        <w:rPr>
          <w:rFonts w:ascii="Times New Roman" w:eastAsia="Segoe UI" w:hAnsi="Times New Roman" w:cs="Times New Roman"/>
          <w:color w:val="0F1115"/>
          <w:sz w:val="24"/>
          <w:shd w:val="clear" w:color="auto" w:fill="FFFFFF"/>
        </w:rPr>
      </w:pPr>
    </w:p>
    <w:sectPr w:rsidR="00654284" w:rsidSect="00654284">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FD00D50"/>
    <w:rsid w:val="000A1B21"/>
    <w:rsid w:val="002067BA"/>
    <w:rsid w:val="003A2F23"/>
    <w:rsid w:val="005F4F9B"/>
    <w:rsid w:val="00654284"/>
    <w:rsid w:val="00A9239A"/>
    <w:rsid w:val="00DD2FD8"/>
    <w:rsid w:val="0E665C78"/>
    <w:rsid w:val="28506677"/>
    <w:rsid w:val="32C16206"/>
    <w:rsid w:val="5D5C19F4"/>
    <w:rsid w:val="5F0D0843"/>
    <w:rsid w:val="5FD00D50"/>
    <w:rsid w:val="69827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036CB"/>
  <w15:docId w15:val="{5B334373-39BC-4972-AF6F-EE8F96D3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Pr>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654284"/>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3015</Words>
  <Characters>17188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3</cp:revision>
  <dcterms:created xsi:type="dcterms:W3CDTF">2026-07-10T08:23:00Z</dcterms:created>
  <dcterms:modified xsi:type="dcterms:W3CDTF">2026-07-14T03:57:00Z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FF692DBA9B3E4114B22E20BD04E03D89_11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3b989a97-f83d-4330-aa8c-cc4dc347564a</vt:lpwstr>
  </property>
</Properties>
</file>