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ACED" w14:textId="2984146A" w:rsidR="00110119" w:rsidRDefault="00000000" w:rsidP="0014290B">
      <w:pPr>
        <w:snapToGrid w:val="0"/>
        <w:jc w:val="left"/>
        <w:rPr>
          <w:rFonts w:ascii="Times New Roman" w:hAnsi="Times New Roman" w:cs="Times New Roman"/>
          <w:b/>
          <w:bCs/>
          <w:sz w:val="24"/>
        </w:rPr>
      </w:pPr>
      <w:r>
        <w:rPr>
          <w:rFonts w:ascii="Times New Roman" w:hAnsi="Times New Roman" w:cs="Times New Roman"/>
          <w:b/>
          <w:bCs/>
          <w:sz w:val="44"/>
          <w:szCs w:val="44"/>
        </w:rPr>
        <w:t>Rescue and Nursing Strategies for a Case of Cardiac Arrest Induced by Vagal Reflex After Lumbar Spine Surgery Under the ERAS Concept</w:t>
      </w:r>
      <w:r>
        <w:rPr>
          <w:rFonts w:ascii="Times New Roman" w:hAnsi="Times New Roman" w:cs="Times New Roman"/>
          <w:b/>
          <w:bCs/>
          <w:sz w:val="24"/>
        </w:rPr>
        <w:t xml:space="preserve"> </w:t>
      </w:r>
    </w:p>
    <w:p w14:paraId="6E0D6F64" w14:textId="77777777" w:rsidR="00110119" w:rsidRDefault="00000000" w:rsidP="0014290B">
      <w:pPr>
        <w:snapToGrid w:val="0"/>
        <w:rPr>
          <w:rFonts w:ascii="Times New Roman" w:hAnsi="Times New Roman" w:cs="Times New Roman"/>
          <w:b/>
          <w:bCs/>
          <w:sz w:val="24"/>
        </w:rPr>
      </w:pPr>
      <w:r>
        <w:rPr>
          <w:rFonts w:ascii="Times New Roman" w:hAnsi="Times New Roman" w:cs="Times New Roman"/>
          <w:b/>
          <w:bCs/>
          <w:sz w:val="24"/>
        </w:rPr>
        <w:t>Shuping</w:t>
      </w:r>
      <w:r>
        <w:rPr>
          <w:rFonts w:ascii="Times New Roman" w:hAnsi="Times New Roman" w:cs="Times New Roman" w:hint="eastAsia"/>
          <w:b/>
          <w:bCs/>
          <w:sz w:val="24"/>
        </w:rPr>
        <w:t xml:space="preserve"> </w:t>
      </w:r>
      <w:r>
        <w:rPr>
          <w:rFonts w:ascii="Times New Roman" w:hAnsi="Times New Roman" w:cs="Times New Roman"/>
          <w:b/>
          <w:bCs/>
          <w:sz w:val="24"/>
        </w:rPr>
        <w:t>Gao, Yongling</w:t>
      </w:r>
      <w:r>
        <w:rPr>
          <w:rFonts w:ascii="Times New Roman" w:hAnsi="Times New Roman" w:cs="Times New Roman" w:hint="eastAsia"/>
          <w:b/>
          <w:bCs/>
          <w:sz w:val="24"/>
        </w:rPr>
        <w:t xml:space="preserve"> </w:t>
      </w:r>
      <w:r>
        <w:rPr>
          <w:rFonts w:ascii="Times New Roman" w:hAnsi="Times New Roman" w:cs="Times New Roman"/>
          <w:b/>
          <w:bCs/>
          <w:sz w:val="24"/>
        </w:rPr>
        <w:t>Zheng, Ran</w:t>
      </w:r>
      <w:r>
        <w:rPr>
          <w:rFonts w:ascii="Times New Roman" w:hAnsi="Times New Roman" w:cs="Times New Roman" w:hint="eastAsia"/>
          <w:b/>
          <w:bCs/>
          <w:sz w:val="24"/>
        </w:rPr>
        <w:t xml:space="preserve"> </w:t>
      </w:r>
      <w:r>
        <w:rPr>
          <w:rFonts w:ascii="Times New Roman" w:hAnsi="Times New Roman" w:cs="Times New Roman"/>
          <w:b/>
          <w:bCs/>
          <w:sz w:val="24"/>
        </w:rPr>
        <w:t>Wang, Zhijun</w:t>
      </w:r>
      <w:r>
        <w:rPr>
          <w:rFonts w:ascii="Times New Roman" w:hAnsi="Times New Roman" w:cs="Times New Roman" w:hint="eastAsia"/>
          <w:b/>
          <w:bCs/>
          <w:sz w:val="24"/>
        </w:rPr>
        <w:t xml:space="preserve"> </w:t>
      </w:r>
      <w:r>
        <w:rPr>
          <w:rFonts w:ascii="Times New Roman" w:hAnsi="Times New Roman" w:cs="Times New Roman"/>
          <w:b/>
          <w:bCs/>
          <w:sz w:val="24"/>
        </w:rPr>
        <w:t xml:space="preserve">Ren, Jianyun He </w:t>
      </w:r>
    </w:p>
    <w:p w14:paraId="631C1BF2" w14:textId="2506FD21" w:rsidR="00110119" w:rsidRDefault="00000000" w:rsidP="0014290B">
      <w:pPr>
        <w:snapToGrid w:val="0"/>
        <w:rPr>
          <w:rFonts w:ascii="Times New Roman" w:hAnsi="Times New Roman" w:cs="Times New Roman"/>
          <w:sz w:val="24"/>
        </w:rPr>
      </w:pPr>
      <w:r>
        <w:rPr>
          <w:rFonts w:ascii="Times New Roman" w:hAnsi="Times New Roman" w:cs="Times New Roman"/>
          <w:sz w:val="24"/>
        </w:rPr>
        <w:t>Xiangyang No.1 People</w:t>
      </w:r>
      <w:r w:rsidR="0036087E">
        <w:rPr>
          <w:rFonts w:ascii="Times New Roman" w:hAnsi="Times New Roman" w:cs="Times New Roman"/>
          <w:sz w:val="24"/>
        </w:rPr>
        <w:t>’</w:t>
      </w:r>
      <w:r>
        <w:rPr>
          <w:rFonts w:ascii="Times New Roman" w:hAnsi="Times New Roman" w:cs="Times New Roman"/>
          <w:sz w:val="24"/>
        </w:rPr>
        <w:t>s Hospital, Hubei University of Medicine, Xiangyang 441000, Hubei, China</w:t>
      </w:r>
    </w:p>
    <w:p w14:paraId="4673BE1B" w14:textId="77777777" w:rsidR="00110119" w:rsidRDefault="00110119" w:rsidP="00383C8C">
      <w:pPr>
        <w:snapToGrid w:val="0"/>
        <w:rPr>
          <w:rFonts w:ascii="Times New Roman" w:hAnsi="Times New Roman" w:cs="Times New Roman"/>
          <w:b/>
          <w:bCs/>
          <w:sz w:val="24"/>
        </w:rPr>
      </w:pPr>
    </w:p>
    <w:p w14:paraId="7E3917DA" w14:textId="77777777" w:rsidR="00383C8C" w:rsidRPr="0014290B" w:rsidRDefault="00383C8C" w:rsidP="00383C8C">
      <w:pPr>
        <w:snapToGrid w:val="0"/>
        <w:rPr>
          <w:rFonts w:ascii="Times New Roman" w:hAnsi="Times New Roman" w:cs="Times New Roman"/>
          <w:b/>
          <w:bCs/>
          <w:sz w:val="20"/>
          <w:szCs w:val="20"/>
        </w:rPr>
      </w:pPr>
      <w:r w:rsidRPr="0014290B">
        <w:rPr>
          <w:rFonts w:ascii="Times New Roman" w:hAnsi="Times New Roman" w:cs="Times New Roman"/>
          <w:b/>
          <w:bCs/>
          <w:sz w:val="20"/>
          <w:szCs w:val="20"/>
        </w:rPr>
        <w:t xml:space="preserve">Copyright: © </w:t>
      </w:r>
      <w:r w:rsidRPr="0014290B">
        <w:rPr>
          <w:rFonts w:ascii="Times New Roman" w:hAnsi="Times New Roman" w:cs="Times New Roman"/>
          <w:sz w:val="20"/>
          <w:szCs w:val="20"/>
        </w:rPr>
        <w:t>2026 Author(s). This is an open-access article distributed under the terms of the Creative Commons Attribution License (CC BY 4.0), permitting distribution and reproduction in any medium, provided the original work is cited.</w:t>
      </w:r>
    </w:p>
    <w:p w14:paraId="7872B6B8" w14:textId="77777777" w:rsidR="00383C8C" w:rsidRDefault="00383C8C" w:rsidP="0014290B">
      <w:pPr>
        <w:snapToGrid w:val="0"/>
        <w:rPr>
          <w:rFonts w:ascii="Times New Roman" w:hAnsi="Times New Roman" w:cs="Times New Roman"/>
          <w:b/>
          <w:bCs/>
          <w:sz w:val="24"/>
        </w:rPr>
      </w:pPr>
    </w:p>
    <w:p w14:paraId="3B9663C9" w14:textId="04B27E74" w:rsidR="00110119" w:rsidRDefault="00000000" w:rsidP="0014290B">
      <w:pPr>
        <w:snapToGrid w:val="0"/>
        <w:rPr>
          <w:rFonts w:ascii="Times New Roman" w:hAnsi="Times New Roman" w:cs="Times New Roman"/>
          <w:sz w:val="24"/>
        </w:rPr>
      </w:pPr>
      <w:r>
        <w:rPr>
          <w:rFonts w:ascii="Times New Roman" w:hAnsi="Times New Roman" w:cs="Times New Roman"/>
          <w:b/>
          <w:bCs/>
          <w:sz w:val="24"/>
        </w:rPr>
        <w:t xml:space="preserve">Abstract: </w:t>
      </w:r>
      <w:r>
        <w:rPr>
          <w:rFonts w:ascii="Times New Roman" w:hAnsi="Times New Roman" w:cs="Times New Roman"/>
          <w:sz w:val="24"/>
        </w:rPr>
        <w:t xml:space="preserve">This paper summarizes the nursing experience in rescuing a patient who developed a severe circulatory collapse due to an exaggerated vagal reflex following posterior lumbar decompression, bone graft fusion, and internal fixation surgery. In response to this rapidly onset complication, the nursing team implemented proactive interventions: early warning monitoring based on multidimensional risk assessment and blocking pain management targeting key links in the </w:t>
      </w:r>
      <w:r w:rsidR="0036087E">
        <w:rPr>
          <w:rFonts w:ascii="Times New Roman" w:hAnsi="Times New Roman" w:cs="Times New Roman"/>
          <w:sz w:val="24"/>
        </w:rPr>
        <w:t>“</w:t>
      </w:r>
      <w:r>
        <w:rPr>
          <w:rFonts w:ascii="Times New Roman" w:hAnsi="Times New Roman" w:cs="Times New Roman"/>
          <w:sz w:val="24"/>
        </w:rPr>
        <w:t>Baroreceptor-Vagal Reflex Arc</w:t>
      </w:r>
      <w:r w:rsidR="0036087E">
        <w:rPr>
          <w:rFonts w:ascii="Times New Roman" w:hAnsi="Times New Roman" w:cs="Times New Roman"/>
          <w:sz w:val="24"/>
        </w:rPr>
        <w:t>“</w:t>
      </w:r>
      <w:r>
        <w:rPr>
          <w:rFonts w:ascii="Times New Roman" w:hAnsi="Times New Roman" w:cs="Times New Roman"/>
          <w:sz w:val="24"/>
        </w:rPr>
        <w:t xml:space="preserve">. When the patient experienced sudden cardiac arrest, seamless integration with the ICU and advanced life support were ensured within the </w:t>
      </w:r>
      <w:r w:rsidR="0036087E">
        <w:rPr>
          <w:rFonts w:ascii="Times New Roman" w:hAnsi="Times New Roman" w:cs="Times New Roman"/>
          <w:sz w:val="24"/>
        </w:rPr>
        <w:t>“</w:t>
      </w:r>
      <w:r>
        <w:rPr>
          <w:rFonts w:ascii="Times New Roman" w:hAnsi="Times New Roman" w:cs="Times New Roman"/>
          <w:sz w:val="24"/>
        </w:rPr>
        <w:t>golden 2 minutes</w:t>
      </w:r>
      <w:r w:rsidR="0036087E">
        <w:rPr>
          <w:rFonts w:ascii="Times New Roman" w:hAnsi="Times New Roman" w:cs="Times New Roman"/>
          <w:sz w:val="24"/>
        </w:rPr>
        <w:t>“</w:t>
      </w:r>
      <w:r>
        <w:rPr>
          <w:rFonts w:ascii="Times New Roman" w:hAnsi="Times New Roman" w:cs="Times New Roman"/>
          <w:sz w:val="24"/>
        </w:rPr>
        <w:t xml:space="preserve"> of cardiopulmonary resuscitation (CPR). After stabilization, the Enhanced Recovery After Surgery (ERAS) protocol was individually adjusted based on evidence. Through systematic rescue and nursing, the patient achieved stable circulation without neurological sequelae and recovered successfully. </w:t>
      </w:r>
    </w:p>
    <w:p w14:paraId="22AAC30D" w14:textId="77777777" w:rsidR="00110119" w:rsidRDefault="00000000" w:rsidP="0014290B">
      <w:pPr>
        <w:snapToGrid w:val="0"/>
        <w:rPr>
          <w:rFonts w:ascii="Times New Roman" w:hAnsi="Times New Roman" w:cs="Times New Roman"/>
          <w:sz w:val="24"/>
        </w:rPr>
      </w:pPr>
      <w:r>
        <w:rPr>
          <w:rFonts w:ascii="Times New Roman" w:hAnsi="Times New Roman" w:cs="Times New Roman"/>
          <w:b/>
          <w:bCs/>
          <w:sz w:val="24"/>
        </w:rPr>
        <w:t xml:space="preserve">Keywords: </w:t>
      </w:r>
      <w:r>
        <w:rPr>
          <w:rFonts w:ascii="Times New Roman" w:hAnsi="Times New Roman" w:cs="Times New Roman"/>
          <w:sz w:val="24"/>
        </w:rPr>
        <w:t xml:space="preserve">Post-lumbar surgery; Circulatory collapse; Vagal reflex; Enhanced </w:t>
      </w:r>
      <w:r>
        <w:rPr>
          <w:rFonts w:ascii="Times New Roman" w:hAnsi="Times New Roman" w:cs="Times New Roman" w:hint="eastAsia"/>
          <w:sz w:val="24"/>
        </w:rPr>
        <w:t>r</w:t>
      </w:r>
      <w:r>
        <w:rPr>
          <w:rFonts w:ascii="Times New Roman" w:hAnsi="Times New Roman" w:cs="Times New Roman"/>
          <w:sz w:val="24"/>
        </w:rPr>
        <w:t xml:space="preserve">ecovery </w:t>
      </w:r>
      <w:r>
        <w:rPr>
          <w:rFonts w:ascii="Times New Roman" w:hAnsi="Times New Roman" w:cs="Times New Roman" w:hint="eastAsia"/>
          <w:sz w:val="24"/>
        </w:rPr>
        <w:t>a</w:t>
      </w:r>
      <w:r>
        <w:rPr>
          <w:rFonts w:ascii="Times New Roman" w:hAnsi="Times New Roman" w:cs="Times New Roman"/>
          <w:sz w:val="24"/>
        </w:rPr>
        <w:t xml:space="preserve">fter </w:t>
      </w:r>
      <w:r>
        <w:rPr>
          <w:rFonts w:ascii="Times New Roman" w:hAnsi="Times New Roman" w:cs="Times New Roman" w:hint="eastAsia"/>
          <w:sz w:val="24"/>
        </w:rPr>
        <w:t>s</w:t>
      </w:r>
      <w:r>
        <w:rPr>
          <w:rFonts w:ascii="Times New Roman" w:hAnsi="Times New Roman" w:cs="Times New Roman"/>
          <w:sz w:val="24"/>
        </w:rPr>
        <w:t>urgery; Perioperative nursing</w:t>
      </w:r>
    </w:p>
    <w:p w14:paraId="394C2A3E" w14:textId="77777777" w:rsidR="00110119" w:rsidRDefault="00110119" w:rsidP="0014290B">
      <w:pPr>
        <w:snapToGrid w:val="0"/>
        <w:rPr>
          <w:rFonts w:ascii="Times New Roman" w:hAnsi="Times New Roman" w:cs="Times New Roman"/>
          <w:sz w:val="24"/>
        </w:rPr>
      </w:pPr>
    </w:p>
    <w:p w14:paraId="19981E42" w14:textId="4695AA43" w:rsidR="00383C8C" w:rsidRDefault="00383C8C" w:rsidP="00383C8C">
      <w:pPr>
        <w:snapToGrid w:val="0"/>
        <w:rPr>
          <w:rFonts w:ascii="Times New Roman" w:hAnsi="Times New Roman" w:cs="Times New Roman"/>
          <w:b/>
          <w:bCs/>
          <w:sz w:val="24"/>
        </w:rPr>
      </w:pPr>
      <w:r>
        <w:rPr>
          <w:rFonts w:ascii="Times New Roman" w:hAnsi="Times New Roman" w:cs="Times New Roman"/>
          <w:b/>
          <w:bCs/>
          <w:sz w:val="24"/>
        </w:rPr>
        <w:t xml:space="preserve">Online publication: </w:t>
      </w:r>
    </w:p>
    <w:p w14:paraId="26D07EEB" w14:textId="77777777" w:rsidR="00383C8C" w:rsidRDefault="00383C8C" w:rsidP="00383C8C">
      <w:pPr>
        <w:snapToGrid w:val="0"/>
        <w:rPr>
          <w:rFonts w:ascii="Times New Roman" w:hAnsi="Times New Roman" w:cs="Times New Roman"/>
          <w:b/>
          <w:bCs/>
          <w:sz w:val="24"/>
        </w:rPr>
      </w:pPr>
    </w:p>
    <w:p w14:paraId="55BBC810" w14:textId="029B444E"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1. Introduction</w:t>
      </w:r>
    </w:p>
    <w:p w14:paraId="224E2CCE" w14:textId="4EA9E61B"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The Enhanced Recovery After Surgery (ERAS) concept, through a series of evidence-based optimization measures, effectively reduces surgical stress, minimizes complications, and promotes recovery. Its application in lumbar fusion surgery has been shown to shorten hospital stays and improve patient satisfaction </w:t>
      </w:r>
      <w:r>
        <w:rPr>
          <w:rFonts w:ascii="Times New Roman" w:hAnsi="Times New Roman" w:cs="Times New Roman"/>
          <w:sz w:val="24"/>
          <w:vertAlign w:val="superscript"/>
        </w:rPr>
        <w:t>[1</w:t>
      </w:r>
      <w:r w:rsidR="00383C8C">
        <w:rPr>
          <w:rFonts w:ascii="Times New Roman" w:hAnsi="Times New Roman" w:cs="Times New Roman"/>
          <w:sz w:val="24"/>
          <w:vertAlign w:val="superscript"/>
        </w:rPr>
        <w:t>,</w:t>
      </w:r>
      <w:r>
        <w:rPr>
          <w:rFonts w:ascii="Times New Roman" w:hAnsi="Times New Roman" w:cs="Times New Roman"/>
          <w:sz w:val="24"/>
          <w:vertAlign w:val="superscript"/>
        </w:rPr>
        <w:t>2]</w:t>
      </w:r>
      <w:r>
        <w:rPr>
          <w:rFonts w:ascii="Times New Roman" w:hAnsi="Times New Roman" w:cs="Times New Roman"/>
          <w:sz w:val="24"/>
        </w:rPr>
        <w:t xml:space="preserve">. Circulatory instability after lumbar surgery is often attributed to common causes such as bleeding, pulmonary embolism, or acute coronary syndrome, while severe circulatory collapse mediated by an exaggerated vasovagal reaction (VVR) is frequently overlooked. This type of reaction has a rapid onset and progression, and if not promptly identified and managed, can quickly lead to cardiac arrest, posing a significant threat to patient safety </w:t>
      </w:r>
      <w:r>
        <w:rPr>
          <w:rFonts w:ascii="Times New Roman" w:hAnsi="Times New Roman" w:cs="Times New Roman"/>
          <w:sz w:val="24"/>
          <w:vertAlign w:val="superscript"/>
        </w:rPr>
        <w:t>[3]</w:t>
      </w:r>
      <w:r>
        <w:rPr>
          <w:rFonts w:ascii="Times New Roman" w:hAnsi="Times New Roman" w:cs="Times New Roman"/>
          <w:sz w:val="24"/>
        </w:rPr>
        <w:t xml:space="preserve">. Currently, there is a lack of mature consensus on systematic nursing intervention protocols for VVR after lumbar surgery, particularly on how to effectively integrate and balance risks with the ERAS protocol. Therefore, this paper summarizes the successful rescue and nursing experience of a patient who developed severe circulatory collapse due to VVR after posterior lumbar decompression, bone graft fusion, and internal fixation surgery, aiming to provide a reference for clinical identification and management of this rare but critical complication. </w:t>
      </w:r>
    </w:p>
    <w:p w14:paraId="7A94869F" w14:textId="77777777" w:rsidR="00110119" w:rsidRDefault="00110119" w:rsidP="0014290B">
      <w:pPr>
        <w:snapToGrid w:val="0"/>
        <w:rPr>
          <w:rFonts w:ascii="Times New Roman" w:hAnsi="Times New Roman" w:cs="Times New Roman"/>
          <w:sz w:val="24"/>
        </w:rPr>
      </w:pPr>
    </w:p>
    <w:p w14:paraId="5645C3C1"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 Clinical </w:t>
      </w:r>
      <w:r>
        <w:rPr>
          <w:rFonts w:ascii="Times New Roman" w:hAnsi="Times New Roman" w:cs="Times New Roman" w:hint="eastAsia"/>
          <w:b/>
          <w:bCs/>
          <w:sz w:val="24"/>
        </w:rPr>
        <w:t>d</w:t>
      </w:r>
      <w:r>
        <w:rPr>
          <w:rFonts w:ascii="Times New Roman" w:hAnsi="Times New Roman" w:cs="Times New Roman"/>
          <w:b/>
          <w:bCs/>
          <w:sz w:val="24"/>
        </w:rPr>
        <w:t xml:space="preserve">ata </w:t>
      </w:r>
    </w:p>
    <w:p w14:paraId="7B643D25"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.1. General </w:t>
      </w:r>
      <w:r>
        <w:rPr>
          <w:rFonts w:ascii="Times New Roman" w:hAnsi="Times New Roman" w:cs="Times New Roman" w:hint="eastAsia"/>
          <w:b/>
          <w:bCs/>
          <w:sz w:val="24"/>
        </w:rPr>
        <w:t>i</w:t>
      </w:r>
      <w:r>
        <w:rPr>
          <w:rFonts w:ascii="Times New Roman" w:hAnsi="Times New Roman" w:cs="Times New Roman"/>
          <w:b/>
          <w:bCs/>
          <w:sz w:val="24"/>
        </w:rPr>
        <w:t xml:space="preserve">nformation </w:t>
      </w:r>
    </w:p>
    <w:p w14:paraId="16851FDF" w14:textId="6934E52D"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The patient was a 66-year-old male farmer admitted with </w:t>
      </w:r>
      <w:r w:rsidR="0036087E">
        <w:rPr>
          <w:rFonts w:ascii="Times New Roman" w:hAnsi="Times New Roman" w:cs="Times New Roman"/>
          <w:sz w:val="24"/>
        </w:rPr>
        <w:t>“</w:t>
      </w:r>
      <w:r>
        <w:rPr>
          <w:rFonts w:ascii="Times New Roman" w:hAnsi="Times New Roman" w:cs="Times New Roman"/>
          <w:sz w:val="24"/>
        </w:rPr>
        <w:t>low back and bilateral buttock pain with limited mobility for more than one week</w:t>
      </w:r>
      <w:r w:rsidR="0036087E">
        <w:rPr>
          <w:rFonts w:ascii="Times New Roman" w:hAnsi="Times New Roman" w:cs="Times New Roman"/>
          <w:sz w:val="24"/>
        </w:rPr>
        <w:t>“</w:t>
      </w:r>
      <w:r>
        <w:rPr>
          <w:rFonts w:ascii="Times New Roman" w:hAnsi="Times New Roman" w:cs="Times New Roman"/>
          <w:sz w:val="24"/>
        </w:rPr>
        <w:t>. He was 172 cm tall, weighed 68 kg, and had a body mass index (BMI) of 23.0 kg/m</w:t>
      </w:r>
      <w:r w:rsidR="00383C8C">
        <w:rPr>
          <w:rFonts w:ascii="Times New Roman" w:hAnsi="Times New Roman" w:cs="Times New Roman"/>
          <w:sz w:val="24"/>
          <w:vertAlign w:val="superscript"/>
        </w:rPr>
        <w:t>2</w:t>
      </w:r>
      <w:r>
        <w:rPr>
          <w:rFonts w:ascii="Times New Roman" w:hAnsi="Times New Roman" w:cs="Times New Roman"/>
          <w:sz w:val="24"/>
        </w:rPr>
        <w:t>. He denied a history of smoking, alcohol use, or drug allergies. Past medical history included renal calculi and surgical history for right clavicle and right ear trauma; he denied a history of hypertension or diabetes (blood pressure upon admission was 141/91 mmHg, requiring attention). Preoperatively (April 26</w:t>
      </w:r>
      <w:r w:rsidR="00383C8C">
        <w:rPr>
          <w:rFonts w:ascii="Times New Roman" w:hAnsi="Times New Roman" w:cs="Times New Roman"/>
          <w:sz w:val="24"/>
        </w:rPr>
        <w:t>–</w:t>
      </w:r>
      <w:r>
        <w:rPr>
          <w:rFonts w:ascii="Times New Roman" w:hAnsi="Times New Roman" w:cs="Times New Roman"/>
          <w:sz w:val="24"/>
        </w:rPr>
        <w:t xml:space="preserve">28, 2024), he experienced severe pain in the </w:t>
      </w:r>
      <w:r>
        <w:rPr>
          <w:rFonts w:ascii="Times New Roman" w:hAnsi="Times New Roman" w:cs="Times New Roman"/>
          <w:sz w:val="24"/>
        </w:rPr>
        <w:lastRenderedPageBreak/>
        <w:t>lumbosacral region and left buttock, with a Visual Analog Scale (VAS) score of 6</w:t>
      </w:r>
      <w:r w:rsidR="00383C8C">
        <w:rPr>
          <w:rFonts w:ascii="Times New Roman" w:hAnsi="Times New Roman" w:cs="Times New Roman"/>
          <w:sz w:val="24"/>
        </w:rPr>
        <w:t>–</w:t>
      </w:r>
      <w:r>
        <w:rPr>
          <w:rFonts w:ascii="Times New Roman" w:hAnsi="Times New Roman" w:cs="Times New Roman"/>
          <w:sz w:val="24"/>
        </w:rPr>
        <w:t xml:space="preserve">7, accompanied by limited left ankle dorsiflexion. Lumbar MRI revealed: Grade I spondylolisthesis of the L4 vertebra, L4/5 disc herniation with spinal stenosis, and decreased bone density. </w:t>
      </w:r>
    </w:p>
    <w:p w14:paraId="49EA0D67" w14:textId="77777777" w:rsidR="00110119" w:rsidRDefault="00110119" w:rsidP="0014290B">
      <w:pPr>
        <w:snapToGrid w:val="0"/>
        <w:rPr>
          <w:rFonts w:ascii="Times New Roman" w:hAnsi="Times New Roman" w:cs="Times New Roman"/>
          <w:sz w:val="24"/>
        </w:rPr>
      </w:pPr>
    </w:p>
    <w:p w14:paraId="471CC590"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.2. Treatment and </w:t>
      </w:r>
      <w:r>
        <w:rPr>
          <w:rFonts w:ascii="Times New Roman" w:hAnsi="Times New Roman" w:cs="Times New Roman" w:hint="eastAsia"/>
          <w:b/>
          <w:bCs/>
          <w:sz w:val="24"/>
        </w:rPr>
        <w:t>o</w:t>
      </w:r>
      <w:r>
        <w:rPr>
          <w:rFonts w:ascii="Times New Roman" w:hAnsi="Times New Roman" w:cs="Times New Roman"/>
          <w:b/>
          <w:bCs/>
          <w:sz w:val="24"/>
        </w:rPr>
        <w:t xml:space="preserve">utcome </w:t>
      </w:r>
    </w:p>
    <w:p w14:paraId="372F6F6E" w14:textId="23AA0581"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The patient underwent posterior lumbar decompression, bone graft fusion, and internal fixation under general anesthesia on April 29, 2024. The surgery was successful and lasted 3 hours. He returned to the ward at 16:30 on the same day. Approximately 40 minutes postoperatively (17:10), the patient suddenly lost consciousness. Cardiac monitoring showed a sudden </w:t>
      </w:r>
      <w:r w:rsidR="00383C8C">
        <w:rPr>
          <w:rFonts w:ascii="Times New Roman" w:hAnsi="Times New Roman" w:cs="Times New Roman"/>
          <w:sz w:val="24"/>
        </w:rPr>
        <w:t>drop-in</w:t>
      </w:r>
      <w:r>
        <w:rPr>
          <w:rFonts w:ascii="Times New Roman" w:hAnsi="Times New Roman" w:cs="Times New Roman"/>
          <w:sz w:val="24"/>
        </w:rPr>
        <w:t xml:space="preserve"> heart rate to 28 beats per minute, blood pressure to 75/40 mmHg, and pulse oxygen saturation (SpO</w:t>
      </w:r>
      <w:r w:rsidR="00383C8C">
        <w:rPr>
          <w:rFonts w:ascii="Times New Roman" w:hAnsi="Times New Roman" w:cs="Times New Roman"/>
          <w:sz w:val="24"/>
          <w:vertAlign w:val="subscript"/>
        </w:rPr>
        <w:t>2</w:t>
      </w:r>
      <w:r>
        <w:rPr>
          <w:rFonts w:ascii="Times New Roman" w:hAnsi="Times New Roman" w:cs="Times New Roman"/>
          <w:sz w:val="24"/>
        </w:rPr>
        <w:t>) to 50% despite oxygen inhalation. Physical examination revealed weak arterial pulses, dilated pupils, and sluggish light reflexes, leading to a diagnosis of cardiac arrest. Immediate continuous chest compressions and manual bag-valve-mask ventilation were initiated, and the ICU green channel was activated for emergency transfer. The patient was transferred to the ICU at 17:12 and underwent emergency tracheal intubation. Spontaneous heartbeat and blood pressure resumed after approximately 2 minutes, and SpO</w:t>
      </w:r>
      <w:r w:rsidR="00383C8C">
        <w:rPr>
          <w:rFonts w:ascii="Times New Roman" w:hAnsi="Times New Roman" w:cs="Times New Roman"/>
          <w:sz w:val="24"/>
          <w:vertAlign w:val="subscript"/>
        </w:rPr>
        <w:t>2</w:t>
      </w:r>
      <w:r>
        <w:rPr>
          <w:rFonts w:ascii="Times New Roman" w:hAnsi="Times New Roman" w:cs="Times New Roman"/>
          <w:sz w:val="24"/>
        </w:rPr>
        <w:t xml:space="preserve"> increased to 100%. Subsequent laboratory tests showed transient elevations in D-dimer (4.03 mg/L) and troponin I (4.457 ng/mL), but acute pulmonary embolism and myocardial infarction were ruled out by imaging studies. Based on clinical presentation, the final diagnosis was severe circulatory collapse caused by an exaggerated vasovagal reaction (VVR) </w:t>
      </w:r>
      <w:r>
        <w:rPr>
          <w:rFonts w:ascii="Times New Roman" w:hAnsi="Times New Roman" w:cs="Times New Roman"/>
          <w:sz w:val="24"/>
          <w:vertAlign w:val="superscript"/>
        </w:rPr>
        <w:t>[4</w:t>
      </w:r>
      <w:r w:rsidR="00383C8C">
        <w:rPr>
          <w:rFonts w:ascii="Times New Roman" w:hAnsi="Times New Roman" w:cs="Times New Roman"/>
          <w:sz w:val="24"/>
          <w:vertAlign w:val="superscript"/>
        </w:rPr>
        <w:t>–</w:t>
      </w:r>
      <w:r>
        <w:rPr>
          <w:rFonts w:ascii="Times New Roman" w:hAnsi="Times New Roman" w:cs="Times New Roman"/>
          <w:sz w:val="24"/>
          <w:vertAlign w:val="superscript"/>
        </w:rPr>
        <w:t>6]</w:t>
      </w:r>
      <w:r>
        <w:rPr>
          <w:rFonts w:ascii="Times New Roman" w:hAnsi="Times New Roman" w:cs="Times New Roman"/>
          <w:sz w:val="24"/>
        </w:rPr>
        <w:t>. Under close ICU monitoring, the patient</w:t>
      </w:r>
      <w:r w:rsidR="0036087E">
        <w:rPr>
          <w:rFonts w:ascii="Times New Roman" w:hAnsi="Times New Roman" w:cs="Times New Roman"/>
          <w:sz w:val="24"/>
        </w:rPr>
        <w:t>‘</w:t>
      </w:r>
      <w:r>
        <w:rPr>
          <w:rFonts w:ascii="Times New Roman" w:hAnsi="Times New Roman" w:cs="Times New Roman"/>
          <w:sz w:val="24"/>
        </w:rPr>
        <w:t xml:space="preserve">s vital signs stabilized without neurological sequelae, and he was transferred back to the general ward on postoperative day 5 for continued rehabilitation. </w:t>
      </w:r>
    </w:p>
    <w:p w14:paraId="068C0B75" w14:textId="77777777" w:rsidR="00110119" w:rsidRDefault="00110119" w:rsidP="0014290B">
      <w:pPr>
        <w:snapToGrid w:val="0"/>
        <w:rPr>
          <w:rFonts w:ascii="Times New Roman" w:hAnsi="Times New Roman" w:cs="Times New Roman"/>
          <w:sz w:val="24"/>
        </w:rPr>
      </w:pPr>
    </w:p>
    <w:p w14:paraId="4F5F64F3"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 Nursing </w:t>
      </w:r>
    </w:p>
    <w:p w14:paraId="1077FE84"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.1. Implementation of </w:t>
      </w:r>
      <w:r>
        <w:rPr>
          <w:rFonts w:ascii="Times New Roman" w:hAnsi="Times New Roman" w:cs="Times New Roman" w:hint="eastAsia"/>
          <w:b/>
          <w:bCs/>
          <w:sz w:val="24"/>
        </w:rPr>
        <w:t>e</w:t>
      </w:r>
      <w:r>
        <w:rPr>
          <w:rFonts w:ascii="Times New Roman" w:hAnsi="Times New Roman" w:cs="Times New Roman"/>
          <w:b/>
          <w:bCs/>
          <w:sz w:val="24"/>
        </w:rPr>
        <w:t xml:space="preserve">arly </w:t>
      </w:r>
      <w:r>
        <w:rPr>
          <w:rFonts w:ascii="Times New Roman" w:hAnsi="Times New Roman" w:cs="Times New Roman" w:hint="eastAsia"/>
          <w:b/>
          <w:bCs/>
          <w:sz w:val="24"/>
        </w:rPr>
        <w:t>w</w:t>
      </w:r>
      <w:r>
        <w:rPr>
          <w:rFonts w:ascii="Times New Roman" w:hAnsi="Times New Roman" w:cs="Times New Roman"/>
          <w:b/>
          <w:bCs/>
          <w:sz w:val="24"/>
        </w:rPr>
        <w:t xml:space="preserve">arning </w:t>
      </w:r>
      <w:r>
        <w:rPr>
          <w:rFonts w:ascii="Times New Roman" w:hAnsi="Times New Roman" w:cs="Times New Roman" w:hint="eastAsia"/>
          <w:b/>
          <w:bCs/>
          <w:sz w:val="24"/>
        </w:rPr>
        <w:t>m</w:t>
      </w:r>
      <w:r>
        <w:rPr>
          <w:rFonts w:ascii="Times New Roman" w:hAnsi="Times New Roman" w:cs="Times New Roman"/>
          <w:b/>
          <w:bCs/>
          <w:sz w:val="24"/>
        </w:rPr>
        <w:t xml:space="preserve">onitoring </w:t>
      </w:r>
      <w:r>
        <w:rPr>
          <w:rFonts w:ascii="Times New Roman" w:hAnsi="Times New Roman" w:cs="Times New Roman" w:hint="eastAsia"/>
          <w:b/>
          <w:bCs/>
          <w:sz w:val="24"/>
        </w:rPr>
        <w:t>b</w:t>
      </w:r>
      <w:r>
        <w:rPr>
          <w:rFonts w:ascii="Times New Roman" w:hAnsi="Times New Roman" w:cs="Times New Roman"/>
          <w:b/>
          <w:bCs/>
          <w:sz w:val="24"/>
        </w:rPr>
        <w:t xml:space="preserve">ased on </w:t>
      </w:r>
      <w:r>
        <w:rPr>
          <w:rFonts w:ascii="Times New Roman" w:hAnsi="Times New Roman" w:cs="Times New Roman" w:hint="eastAsia"/>
          <w:b/>
          <w:bCs/>
          <w:sz w:val="24"/>
        </w:rPr>
        <w:t>r</w:t>
      </w:r>
      <w:r>
        <w:rPr>
          <w:rFonts w:ascii="Times New Roman" w:hAnsi="Times New Roman" w:cs="Times New Roman"/>
          <w:b/>
          <w:bCs/>
          <w:sz w:val="24"/>
        </w:rPr>
        <w:t xml:space="preserve">isk </w:t>
      </w:r>
      <w:r>
        <w:rPr>
          <w:rFonts w:ascii="Times New Roman" w:hAnsi="Times New Roman" w:cs="Times New Roman" w:hint="eastAsia"/>
          <w:b/>
          <w:bCs/>
          <w:sz w:val="24"/>
        </w:rPr>
        <w:t>a</w:t>
      </w:r>
      <w:r>
        <w:rPr>
          <w:rFonts w:ascii="Times New Roman" w:hAnsi="Times New Roman" w:cs="Times New Roman"/>
          <w:b/>
          <w:bCs/>
          <w:sz w:val="24"/>
        </w:rPr>
        <w:t xml:space="preserve">ssessment </w:t>
      </w:r>
    </w:p>
    <w:p w14:paraId="43F3C164" w14:textId="5961C105" w:rsidR="00110119" w:rsidRDefault="00000000" w:rsidP="0014290B">
      <w:pPr>
        <w:snapToGrid w:val="0"/>
        <w:rPr>
          <w:rFonts w:ascii="Times New Roman" w:hAnsi="Times New Roman" w:cs="Times New Roman"/>
          <w:sz w:val="24"/>
        </w:rPr>
      </w:pPr>
      <w:r>
        <w:rPr>
          <w:rFonts w:ascii="Times New Roman" w:hAnsi="Times New Roman" w:cs="Times New Roman"/>
          <w:sz w:val="24"/>
        </w:rPr>
        <w:t>The patient was classified as a level I nursing care object, and an upgraded monitoring protocol was implemented. First, continuous vital sign monitoring was initiated: upon returning to the ward, the patient</w:t>
      </w:r>
      <w:r w:rsidR="0036087E">
        <w:rPr>
          <w:rFonts w:ascii="Times New Roman" w:hAnsi="Times New Roman" w:cs="Times New Roman"/>
          <w:sz w:val="24"/>
        </w:rPr>
        <w:t>‘</w:t>
      </w:r>
      <w:r>
        <w:rPr>
          <w:rFonts w:ascii="Times New Roman" w:hAnsi="Times New Roman" w:cs="Times New Roman"/>
          <w:sz w:val="24"/>
        </w:rPr>
        <w:t>s electrocardiogram, blood pressure, heart rate, and SpO</w:t>
      </w:r>
      <w:r w:rsidR="00383C8C">
        <w:rPr>
          <w:rFonts w:ascii="Times New Roman" w:hAnsi="Times New Roman" w:cs="Times New Roman"/>
          <w:sz w:val="24"/>
          <w:vertAlign w:val="subscript"/>
        </w:rPr>
        <w:t>2</w:t>
      </w:r>
      <w:r>
        <w:rPr>
          <w:rFonts w:ascii="Times New Roman" w:hAnsi="Times New Roman" w:cs="Times New Roman"/>
          <w:sz w:val="24"/>
        </w:rPr>
        <w:t xml:space="preserve"> </w:t>
      </w:r>
      <w:r w:rsidR="00383C8C">
        <w:rPr>
          <w:rFonts w:ascii="Times New Roman" w:hAnsi="Times New Roman" w:cs="Times New Roman"/>
          <w:sz w:val="24"/>
        </w:rPr>
        <w:t>were</w:t>
      </w:r>
      <w:r>
        <w:rPr>
          <w:rFonts w:ascii="Times New Roman" w:hAnsi="Times New Roman" w:cs="Times New Roman"/>
          <w:sz w:val="24"/>
        </w:rPr>
        <w:t xml:space="preserve"> continuously monitored, with the frequency increased to every 15 minutes. After stabilization, the frequency was reduced to every 30 minutes. Second, trend alarm thresholds were set: in addition to conventional high/low-value alarms, special linked trend alarms were established. If the heart rate and mean arterial pressure (MAP) simultaneously decreased by more than 20% of the baseline value within 5 minutes, a highest-priority alarm was triggered to identify early signs of circulatory deterioration. Finally, emergency equipment was kept bedside: a </w:t>
      </w:r>
      <w:r w:rsidR="0036087E">
        <w:rPr>
          <w:rFonts w:ascii="Times New Roman" w:hAnsi="Times New Roman" w:cs="Times New Roman"/>
          <w:sz w:val="24"/>
        </w:rPr>
        <w:t>“</w:t>
      </w:r>
      <w:r>
        <w:rPr>
          <w:rFonts w:ascii="Times New Roman" w:hAnsi="Times New Roman" w:cs="Times New Roman"/>
          <w:sz w:val="24"/>
        </w:rPr>
        <w:t>rapid response pack</w:t>
      </w:r>
      <w:r w:rsidR="0036087E">
        <w:rPr>
          <w:rFonts w:ascii="Times New Roman" w:hAnsi="Times New Roman" w:cs="Times New Roman"/>
          <w:sz w:val="24"/>
        </w:rPr>
        <w:t>“</w:t>
      </w:r>
      <w:r>
        <w:rPr>
          <w:rFonts w:ascii="Times New Roman" w:hAnsi="Times New Roman" w:cs="Times New Roman"/>
          <w:sz w:val="24"/>
        </w:rPr>
        <w:t xml:space="preserve"> containing atropine, ephedrine injections, syringes, and a simple respirator was prepared at the bedside to ensure immediate access to rescue items. </w:t>
      </w:r>
    </w:p>
    <w:p w14:paraId="18BD4A0B" w14:textId="77777777" w:rsidR="00110119" w:rsidRDefault="00110119" w:rsidP="0014290B">
      <w:pPr>
        <w:snapToGrid w:val="0"/>
        <w:rPr>
          <w:rFonts w:ascii="Times New Roman" w:hAnsi="Times New Roman" w:cs="Times New Roman"/>
          <w:sz w:val="24"/>
        </w:rPr>
      </w:pPr>
    </w:p>
    <w:p w14:paraId="142A0594"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.2. Multimodal </w:t>
      </w:r>
      <w:r>
        <w:rPr>
          <w:rFonts w:ascii="Times New Roman" w:hAnsi="Times New Roman" w:cs="Times New Roman" w:hint="eastAsia"/>
          <w:b/>
          <w:bCs/>
          <w:sz w:val="24"/>
        </w:rPr>
        <w:t>p</w:t>
      </w:r>
      <w:r>
        <w:rPr>
          <w:rFonts w:ascii="Times New Roman" w:hAnsi="Times New Roman" w:cs="Times New Roman"/>
          <w:b/>
          <w:bCs/>
          <w:sz w:val="24"/>
        </w:rPr>
        <w:t xml:space="preserve">ain </w:t>
      </w:r>
      <w:r>
        <w:rPr>
          <w:rFonts w:ascii="Times New Roman" w:hAnsi="Times New Roman" w:cs="Times New Roman" w:hint="eastAsia"/>
          <w:b/>
          <w:bCs/>
          <w:sz w:val="24"/>
        </w:rPr>
        <w:t>m</w:t>
      </w:r>
      <w:r>
        <w:rPr>
          <w:rFonts w:ascii="Times New Roman" w:hAnsi="Times New Roman" w:cs="Times New Roman"/>
          <w:b/>
          <w:bCs/>
          <w:sz w:val="24"/>
        </w:rPr>
        <w:t xml:space="preserve">anagement </w:t>
      </w:r>
      <w:r>
        <w:rPr>
          <w:rFonts w:ascii="Times New Roman" w:hAnsi="Times New Roman" w:cs="Times New Roman" w:hint="eastAsia"/>
          <w:b/>
          <w:bCs/>
          <w:sz w:val="24"/>
        </w:rPr>
        <w:t>a</w:t>
      </w:r>
      <w:r>
        <w:rPr>
          <w:rFonts w:ascii="Times New Roman" w:hAnsi="Times New Roman" w:cs="Times New Roman"/>
          <w:b/>
          <w:bCs/>
          <w:sz w:val="24"/>
        </w:rPr>
        <w:t xml:space="preserve">imed at </w:t>
      </w:r>
      <w:r>
        <w:rPr>
          <w:rFonts w:ascii="Times New Roman" w:hAnsi="Times New Roman" w:cs="Times New Roman" w:hint="eastAsia"/>
          <w:b/>
          <w:bCs/>
          <w:sz w:val="24"/>
        </w:rPr>
        <w:t>b</w:t>
      </w:r>
      <w:r>
        <w:rPr>
          <w:rFonts w:ascii="Times New Roman" w:hAnsi="Times New Roman" w:cs="Times New Roman"/>
          <w:b/>
          <w:bCs/>
          <w:sz w:val="24"/>
        </w:rPr>
        <w:t xml:space="preserve">locking the </w:t>
      </w:r>
      <w:r>
        <w:rPr>
          <w:rFonts w:ascii="Times New Roman" w:hAnsi="Times New Roman" w:cs="Times New Roman" w:hint="eastAsia"/>
          <w:b/>
          <w:bCs/>
          <w:sz w:val="24"/>
        </w:rPr>
        <w:t>r</w:t>
      </w:r>
      <w:r>
        <w:rPr>
          <w:rFonts w:ascii="Times New Roman" w:hAnsi="Times New Roman" w:cs="Times New Roman"/>
          <w:b/>
          <w:bCs/>
          <w:sz w:val="24"/>
        </w:rPr>
        <w:t xml:space="preserve">eflex </w:t>
      </w:r>
      <w:r>
        <w:rPr>
          <w:rFonts w:ascii="Times New Roman" w:hAnsi="Times New Roman" w:cs="Times New Roman" w:hint="eastAsia"/>
          <w:b/>
          <w:bCs/>
          <w:sz w:val="24"/>
        </w:rPr>
        <w:t>a</w:t>
      </w:r>
      <w:r>
        <w:rPr>
          <w:rFonts w:ascii="Times New Roman" w:hAnsi="Times New Roman" w:cs="Times New Roman"/>
          <w:b/>
          <w:bCs/>
          <w:sz w:val="24"/>
        </w:rPr>
        <w:t xml:space="preserve">rc </w:t>
      </w:r>
    </w:p>
    <w:p w14:paraId="3645852D" w14:textId="77777777"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To prevent severe pain from triggering a vagal reflex, a proactive multimodal pain management strategy was adopted. For pharmacological pain control: a patient-controlled intravenous analgesia (PCIA) pump was used as prescribed, with a formulation of 100 μg of sufentanil combined with 3 mg of granisetron, diluted to 100 mL, and a background infusion rate of 2 mL/h. Additionally, starting on postoperative day 1, 50 mg of flurbiprofen axetil injection was administered intravenously every 12 hours as basal analgesia. Pain assessment: the Visual Analog Scale (VAS) was used to assess pain every 2 hours; when the patient complained of pain or had a VAS score ≥ 4, he was instructed to use the PCIA for additional doses, and the effect was evaluated promptly. For non-pharmacological interventions: before procedures such as turning or dressing changes, the patient was fully informed, and actions were performed gently; he was also guided to perform abdominal deep breathing exercises and listen to music to distract attention and increase pain tolerance thresholds. </w:t>
      </w:r>
    </w:p>
    <w:p w14:paraId="0E17EA77" w14:textId="77777777" w:rsidR="00110119" w:rsidRDefault="00110119" w:rsidP="0014290B">
      <w:pPr>
        <w:snapToGrid w:val="0"/>
        <w:rPr>
          <w:rFonts w:ascii="Times New Roman" w:hAnsi="Times New Roman" w:cs="Times New Roman"/>
          <w:sz w:val="24"/>
        </w:rPr>
      </w:pPr>
    </w:p>
    <w:p w14:paraId="4E6E66A1" w14:textId="4B1E674F"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 xml:space="preserve">.3. Execution of the </w:t>
      </w:r>
      <w:r w:rsidR="0036087E">
        <w:rPr>
          <w:rFonts w:ascii="Times New Roman" w:hAnsi="Times New Roman" w:cs="Times New Roman"/>
          <w:b/>
          <w:bCs/>
          <w:sz w:val="24"/>
        </w:rPr>
        <w:t>“</w:t>
      </w:r>
      <w:r>
        <w:rPr>
          <w:rFonts w:ascii="Times New Roman" w:hAnsi="Times New Roman" w:cs="Times New Roman" w:hint="eastAsia"/>
          <w:b/>
          <w:bCs/>
          <w:sz w:val="24"/>
        </w:rPr>
        <w:t>g</w:t>
      </w:r>
      <w:r>
        <w:rPr>
          <w:rFonts w:ascii="Times New Roman" w:hAnsi="Times New Roman" w:cs="Times New Roman"/>
          <w:b/>
          <w:bCs/>
          <w:sz w:val="24"/>
        </w:rPr>
        <w:t xml:space="preserve">olden 2 </w:t>
      </w:r>
      <w:r>
        <w:rPr>
          <w:rFonts w:ascii="Times New Roman" w:hAnsi="Times New Roman" w:cs="Times New Roman" w:hint="eastAsia"/>
          <w:b/>
          <w:bCs/>
          <w:sz w:val="24"/>
        </w:rPr>
        <w:t>m</w:t>
      </w:r>
      <w:r>
        <w:rPr>
          <w:rFonts w:ascii="Times New Roman" w:hAnsi="Times New Roman" w:cs="Times New Roman"/>
          <w:b/>
          <w:bCs/>
          <w:sz w:val="24"/>
        </w:rPr>
        <w:t>inutes</w:t>
      </w:r>
      <w:r w:rsidR="0036087E">
        <w:rPr>
          <w:rFonts w:ascii="Times New Roman" w:hAnsi="Times New Roman" w:cs="Times New Roman"/>
          <w:b/>
          <w:bCs/>
          <w:sz w:val="24"/>
        </w:rPr>
        <w:t>“</w:t>
      </w:r>
      <w:r>
        <w:rPr>
          <w:rFonts w:ascii="Times New Roman" w:hAnsi="Times New Roman" w:cs="Times New Roman"/>
          <w:b/>
          <w:bCs/>
          <w:sz w:val="24"/>
        </w:rPr>
        <w:t xml:space="preserve"> </w:t>
      </w:r>
      <w:r>
        <w:rPr>
          <w:rFonts w:ascii="Times New Roman" w:hAnsi="Times New Roman" w:cs="Times New Roman" w:hint="eastAsia"/>
          <w:b/>
          <w:bCs/>
          <w:sz w:val="24"/>
        </w:rPr>
        <w:t>i</w:t>
      </w:r>
      <w:r>
        <w:rPr>
          <w:rFonts w:ascii="Times New Roman" w:hAnsi="Times New Roman" w:cs="Times New Roman"/>
          <w:b/>
          <w:bCs/>
          <w:sz w:val="24"/>
        </w:rPr>
        <w:t>n-</w:t>
      </w:r>
      <w:r>
        <w:rPr>
          <w:rFonts w:ascii="Times New Roman" w:hAnsi="Times New Roman" w:cs="Times New Roman" w:hint="eastAsia"/>
          <w:b/>
          <w:bCs/>
          <w:sz w:val="24"/>
        </w:rPr>
        <w:t>h</w:t>
      </w:r>
      <w:r>
        <w:rPr>
          <w:rFonts w:ascii="Times New Roman" w:hAnsi="Times New Roman" w:cs="Times New Roman"/>
          <w:b/>
          <w:bCs/>
          <w:sz w:val="24"/>
        </w:rPr>
        <w:t xml:space="preserve">ospital </w:t>
      </w:r>
      <w:r>
        <w:rPr>
          <w:rFonts w:ascii="Times New Roman" w:hAnsi="Times New Roman" w:cs="Times New Roman" w:hint="eastAsia"/>
          <w:b/>
          <w:bCs/>
          <w:sz w:val="24"/>
        </w:rPr>
        <w:t>e</w:t>
      </w:r>
      <w:r>
        <w:rPr>
          <w:rFonts w:ascii="Times New Roman" w:hAnsi="Times New Roman" w:cs="Times New Roman"/>
          <w:b/>
          <w:bCs/>
          <w:sz w:val="24"/>
        </w:rPr>
        <w:t xml:space="preserve">mergency </w:t>
      </w:r>
      <w:r>
        <w:rPr>
          <w:rFonts w:ascii="Times New Roman" w:hAnsi="Times New Roman" w:cs="Times New Roman" w:hint="eastAsia"/>
          <w:b/>
          <w:bCs/>
          <w:sz w:val="24"/>
        </w:rPr>
        <w:t>r</w:t>
      </w:r>
      <w:r>
        <w:rPr>
          <w:rFonts w:ascii="Times New Roman" w:hAnsi="Times New Roman" w:cs="Times New Roman"/>
          <w:b/>
          <w:bCs/>
          <w:sz w:val="24"/>
        </w:rPr>
        <w:t xml:space="preserve">esponse </w:t>
      </w:r>
      <w:r>
        <w:rPr>
          <w:rFonts w:ascii="Times New Roman" w:hAnsi="Times New Roman" w:cs="Times New Roman" w:hint="eastAsia"/>
          <w:b/>
          <w:bCs/>
          <w:sz w:val="24"/>
        </w:rPr>
        <w:t>p</w:t>
      </w:r>
      <w:r>
        <w:rPr>
          <w:rFonts w:ascii="Times New Roman" w:hAnsi="Times New Roman" w:cs="Times New Roman"/>
          <w:b/>
          <w:bCs/>
          <w:sz w:val="24"/>
        </w:rPr>
        <w:t xml:space="preserve">rotocol </w:t>
      </w:r>
    </w:p>
    <w:p w14:paraId="16B4FAB9" w14:textId="77777777" w:rsidR="00383C8C" w:rsidRDefault="00000000" w:rsidP="00383C8C">
      <w:pPr>
        <w:snapToGrid w:val="0"/>
        <w:rPr>
          <w:rFonts w:ascii="Times New Roman" w:hAnsi="Times New Roman" w:cs="Times New Roman"/>
          <w:sz w:val="24"/>
        </w:rPr>
      </w:pPr>
      <w:r>
        <w:rPr>
          <w:rFonts w:ascii="Times New Roman" w:hAnsi="Times New Roman" w:cs="Times New Roman"/>
          <w:sz w:val="24"/>
        </w:rPr>
        <w:t xml:space="preserve">When the patient experienced cardiac arrest, the nursing team immediately activated the emergency plan: </w:t>
      </w:r>
    </w:p>
    <w:p w14:paraId="5422F245" w14:textId="686E13BE"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Immediate high-quality CPR</w:t>
      </w:r>
    </w:p>
    <w:p w14:paraId="39D38CAF" w14:textId="2435D1FD"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lastRenderedPageBreak/>
        <w:tab/>
        <w:t xml:space="preserve">The first nurse confirmed loss of consciousness and absence of arterial pulses at 17:10 and immediately began chest compressions (rate: 100–120 compressions per minute, depth: 5–6 cm). </w:t>
      </w:r>
    </w:p>
    <w:p w14:paraId="4B2BFE08" w14:textId="3FC59D7E"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Parallel team collaboration</w:t>
      </w:r>
    </w:p>
    <w:p w14:paraId="068183FF" w14:textId="65C32B3D"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ab/>
        <w:t xml:space="preserve">The second nurse simultaneously called for support, notified the physician, and used a simple respirator to provide assisted ventilation at a compression-to-ventilation ratio of 30:2; the third nurse activated the rapid response team (RRT) and used the SBAR communication model to alert the ICU: </w:t>
      </w:r>
      <w:r w:rsidR="0036087E">
        <w:rPr>
          <w:rFonts w:ascii="Times New Roman" w:hAnsi="Times New Roman" w:cs="Times New Roman"/>
          <w:sz w:val="24"/>
        </w:rPr>
        <w:t>“</w:t>
      </w:r>
      <w:r>
        <w:rPr>
          <w:rFonts w:ascii="Times New Roman" w:hAnsi="Times New Roman" w:cs="Times New Roman"/>
          <w:sz w:val="24"/>
        </w:rPr>
        <w:t>Orthopedics, Bed XX, post-lumbar surgery patient, sudden loss of consciousness, heart rate 28 beats per minute, unmeasurable blood pressure, currently undergoing CPR, request immediate admission and preparation for intubation</w:t>
      </w:r>
      <w:r w:rsidR="0036087E">
        <w:rPr>
          <w:rFonts w:ascii="Times New Roman" w:hAnsi="Times New Roman" w:cs="Times New Roman"/>
          <w:sz w:val="24"/>
        </w:rPr>
        <w:t>“</w:t>
      </w:r>
      <w:r>
        <w:rPr>
          <w:rFonts w:ascii="Times New Roman" w:hAnsi="Times New Roman" w:cs="Times New Roman"/>
          <w:sz w:val="24"/>
        </w:rPr>
        <w:t xml:space="preserve">. </w:t>
      </w:r>
    </w:p>
    <w:p w14:paraId="3451CDC1" w14:textId="0B5EA59F"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Seamless transfer under continuous life support</w:t>
      </w:r>
    </w:p>
    <w:p w14:paraId="75D52C88" w14:textId="49A8634D" w:rsidR="00110119" w:rsidRDefault="00383C8C" w:rsidP="0014290B">
      <w:pPr>
        <w:snapToGrid w:val="0"/>
        <w:ind w:left="709" w:hanging="709"/>
        <w:rPr>
          <w:rFonts w:ascii="Times New Roman" w:hAnsi="Times New Roman" w:cs="Times New Roman"/>
          <w:sz w:val="24"/>
        </w:rPr>
      </w:pPr>
      <w:r>
        <w:rPr>
          <w:rFonts w:ascii="Times New Roman" w:hAnsi="Times New Roman" w:cs="Times New Roman"/>
          <w:sz w:val="24"/>
        </w:rPr>
        <w:tab/>
        <w:t xml:space="preserve">While preparing the transfer bed, CPR and artificial ventilation were continued, and the patient was safely transferred to the ICU at 17:12 without interruption of basic life support en route. </w:t>
      </w:r>
    </w:p>
    <w:p w14:paraId="52150901" w14:textId="77777777" w:rsidR="00110119" w:rsidRDefault="00110119" w:rsidP="0014290B">
      <w:pPr>
        <w:snapToGrid w:val="0"/>
        <w:rPr>
          <w:rFonts w:ascii="Times New Roman" w:hAnsi="Times New Roman" w:cs="Times New Roman"/>
          <w:sz w:val="24"/>
        </w:rPr>
      </w:pPr>
    </w:p>
    <w:p w14:paraId="53346FC5" w14:textId="77777777" w:rsidR="00110119" w:rsidRDefault="00000000" w:rsidP="0014290B">
      <w:pPr>
        <w:snapToGrid w:val="0"/>
        <w:rPr>
          <w:rFonts w:ascii="Times New Roman" w:hAnsi="Times New Roman" w:cs="Times New Roman"/>
          <w:sz w:val="24"/>
        </w:rPr>
      </w:pPr>
      <w:r>
        <w:rPr>
          <w:rFonts w:ascii="Times New Roman" w:hAnsi="Times New Roman" w:cs="Times New Roman" w:hint="eastAsia"/>
          <w:b/>
          <w:bCs/>
          <w:sz w:val="24"/>
        </w:rPr>
        <w:t>3</w:t>
      </w:r>
      <w:r>
        <w:rPr>
          <w:rFonts w:ascii="Times New Roman" w:hAnsi="Times New Roman" w:cs="Times New Roman"/>
          <w:b/>
          <w:bCs/>
          <w:sz w:val="24"/>
        </w:rPr>
        <w:t>.4. Individualized rehabilitation process adjustment based on hemodynamic stability</w:t>
      </w:r>
      <w:r>
        <w:rPr>
          <w:rFonts w:ascii="Times New Roman" w:hAnsi="Times New Roman" w:cs="Times New Roman"/>
          <w:sz w:val="24"/>
        </w:rPr>
        <w:t xml:space="preserve"> </w:t>
      </w:r>
    </w:p>
    <w:p w14:paraId="5CD11E1A" w14:textId="1B2F5C3F" w:rsidR="00110119" w:rsidRDefault="00000000" w:rsidP="0014290B">
      <w:pPr>
        <w:snapToGrid w:val="0"/>
        <w:rPr>
          <w:rFonts w:ascii="Times New Roman" w:hAnsi="Times New Roman" w:cs="Times New Roman"/>
          <w:sz w:val="24"/>
        </w:rPr>
      </w:pPr>
      <w:r>
        <w:rPr>
          <w:rFonts w:ascii="Times New Roman" w:hAnsi="Times New Roman" w:cs="Times New Roman"/>
          <w:sz w:val="24"/>
        </w:rPr>
        <w:t>Given the patient</w:t>
      </w:r>
      <w:r w:rsidR="0036087E">
        <w:rPr>
          <w:rFonts w:ascii="Times New Roman" w:hAnsi="Times New Roman" w:cs="Times New Roman"/>
          <w:sz w:val="24"/>
        </w:rPr>
        <w:t>’</w:t>
      </w:r>
      <w:r>
        <w:rPr>
          <w:rFonts w:ascii="Times New Roman" w:hAnsi="Times New Roman" w:cs="Times New Roman"/>
          <w:sz w:val="24"/>
        </w:rPr>
        <w:t>s severe circulatory collapse, the standard ERAS early mobilization protocol was individually adjusted after discussion with the medical team. Early postoperative period (24</w:t>
      </w:r>
      <w:r w:rsidR="00383C8C">
        <w:rPr>
          <w:rFonts w:ascii="Times New Roman" w:hAnsi="Times New Roman" w:cs="Times New Roman"/>
          <w:sz w:val="24"/>
        </w:rPr>
        <w:t>–</w:t>
      </w:r>
      <w:r>
        <w:rPr>
          <w:rFonts w:ascii="Times New Roman" w:hAnsi="Times New Roman" w:cs="Times New Roman"/>
          <w:sz w:val="24"/>
        </w:rPr>
        <w:t>48 hours): ambulation was temporarily suspended, and focus was placed on bed exercises, including one set of ankle pump exercises (10 repetitions per set) and quadriceps isometric contractions (holding for 5</w:t>
      </w:r>
      <w:r w:rsidR="00383C8C">
        <w:rPr>
          <w:rFonts w:ascii="Times New Roman" w:hAnsi="Times New Roman" w:cs="Times New Roman"/>
          <w:sz w:val="24"/>
        </w:rPr>
        <w:t>–</w:t>
      </w:r>
      <w:r>
        <w:rPr>
          <w:rFonts w:ascii="Times New Roman" w:hAnsi="Times New Roman" w:cs="Times New Roman"/>
          <w:sz w:val="24"/>
        </w:rPr>
        <w:t xml:space="preserve">10 seconds per repetition, 10 repetitions per set) every hour. Additionally, an intermittent pneumatic compression (IPC) device was used twice daily to prevent deep vein thrombosis. Mid-postoperative period (from day 3 onwards): after transfer to the general ward, stabilization of vital signs, and discontinuation of vasoactive drugs for 24 hours, the patient attempted to stand beside the bed under close nursing supervision for the first time. If no dizziness, palpitations, or unstable blood pressure or heart rate occurred, he gradually transitioned to short-distance indoor walking. </w:t>
      </w:r>
    </w:p>
    <w:p w14:paraId="1B3EB450" w14:textId="77777777" w:rsidR="00110119" w:rsidRDefault="00110119" w:rsidP="0014290B">
      <w:pPr>
        <w:snapToGrid w:val="0"/>
        <w:rPr>
          <w:rFonts w:ascii="Times New Roman" w:hAnsi="Times New Roman" w:cs="Times New Roman"/>
          <w:sz w:val="24"/>
        </w:rPr>
      </w:pPr>
    </w:p>
    <w:p w14:paraId="3D2D3F92"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4</w:t>
      </w:r>
      <w:r>
        <w:rPr>
          <w:rFonts w:ascii="Times New Roman" w:hAnsi="Times New Roman" w:cs="Times New Roman"/>
          <w:b/>
          <w:bCs/>
          <w:sz w:val="24"/>
        </w:rPr>
        <w:t xml:space="preserve">. Discussion </w:t>
      </w:r>
    </w:p>
    <w:p w14:paraId="46DDFEA4" w14:textId="77777777"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This case reports a case of post-lumbar surgery circulatory collapse induced by severe vasovagal reflex (VVR) under ERAS management. </w:t>
      </w:r>
    </w:p>
    <w:p w14:paraId="5AF05588" w14:textId="77777777" w:rsidR="00110119" w:rsidRDefault="00110119" w:rsidP="0014290B">
      <w:pPr>
        <w:snapToGrid w:val="0"/>
        <w:rPr>
          <w:rFonts w:ascii="Times New Roman" w:hAnsi="Times New Roman" w:cs="Times New Roman"/>
          <w:sz w:val="24"/>
        </w:rPr>
      </w:pPr>
    </w:p>
    <w:p w14:paraId="198DFC15" w14:textId="77777777" w:rsidR="00110119" w:rsidRDefault="00000000" w:rsidP="0014290B">
      <w:pPr>
        <w:snapToGrid w:val="0"/>
        <w:rPr>
          <w:rFonts w:ascii="Times New Roman" w:hAnsi="Times New Roman" w:cs="Times New Roman"/>
          <w:sz w:val="24"/>
        </w:rPr>
      </w:pPr>
      <w:r>
        <w:rPr>
          <w:rFonts w:ascii="Times New Roman" w:hAnsi="Times New Roman" w:cs="Times New Roman" w:hint="eastAsia"/>
          <w:b/>
          <w:bCs/>
          <w:sz w:val="24"/>
        </w:rPr>
        <w:t>4</w:t>
      </w:r>
      <w:r>
        <w:rPr>
          <w:rFonts w:ascii="Times New Roman" w:hAnsi="Times New Roman" w:cs="Times New Roman"/>
          <w:b/>
          <w:bCs/>
          <w:sz w:val="24"/>
        </w:rPr>
        <w:t xml:space="preserve">.1. Pathophysiological </w:t>
      </w:r>
      <w:r>
        <w:rPr>
          <w:rFonts w:ascii="Times New Roman" w:hAnsi="Times New Roman" w:cs="Times New Roman" w:hint="eastAsia"/>
          <w:b/>
          <w:bCs/>
          <w:sz w:val="24"/>
        </w:rPr>
        <w:t>m</w:t>
      </w:r>
      <w:r>
        <w:rPr>
          <w:rFonts w:ascii="Times New Roman" w:hAnsi="Times New Roman" w:cs="Times New Roman"/>
          <w:b/>
          <w:bCs/>
          <w:sz w:val="24"/>
        </w:rPr>
        <w:t xml:space="preserve">echanisms of </w:t>
      </w:r>
      <w:r>
        <w:rPr>
          <w:rFonts w:ascii="Times New Roman" w:hAnsi="Times New Roman" w:cs="Times New Roman" w:hint="eastAsia"/>
          <w:b/>
          <w:bCs/>
          <w:sz w:val="24"/>
        </w:rPr>
        <w:t>v</w:t>
      </w:r>
      <w:r>
        <w:rPr>
          <w:rFonts w:ascii="Times New Roman" w:hAnsi="Times New Roman" w:cs="Times New Roman"/>
          <w:b/>
          <w:bCs/>
          <w:sz w:val="24"/>
        </w:rPr>
        <w:t xml:space="preserve">asovagal </w:t>
      </w:r>
      <w:r>
        <w:rPr>
          <w:rFonts w:ascii="Times New Roman" w:hAnsi="Times New Roman" w:cs="Times New Roman" w:hint="eastAsia"/>
          <w:b/>
          <w:bCs/>
          <w:sz w:val="24"/>
        </w:rPr>
        <w:t>r</w:t>
      </w:r>
      <w:r>
        <w:rPr>
          <w:rFonts w:ascii="Times New Roman" w:hAnsi="Times New Roman" w:cs="Times New Roman"/>
          <w:b/>
          <w:bCs/>
          <w:sz w:val="24"/>
        </w:rPr>
        <w:t xml:space="preserve">eflex (VVR) and </w:t>
      </w:r>
      <w:r>
        <w:rPr>
          <w:rFonts w:ascii="Times New Roman" w:hAnsi="Times New Roman" w:cs="Times New Roman" w:hint="eastAsia"/>
          <w:b/>
          <w:bCs/>
          <w:sz w:val="24"/>
        </w:rPr>
        <w:t>r</w:t>
      </w:r>
      <w:r>
        <w:rPr>
          <w:rFonts w:ascii="Times New Roman" w:hAnsi="Times New Roman" w:cs="Times New Roman"/>
          <w:b/>
          <w:bCs/>
          <w:sz w:val="24"/>
        </w:rPr>
        <w:t xml:space="preserve">isk </w:t>
      </w:r>
      <w:r>
        <w:rPr>
          <w:rFonts w:ascii="Times New Roman" w:hAnsi="Times New Roman" w:cs="Times New Roman" w:hint="eastAsia"/>
          <w:b/>
          <w:bCs/>
          <w:sz w:val="24"/>
        </w:rPr>
        <w:t>r</w:t>
      </w:r>
      <w:r>
        <w:rPr>
          <w:rFonts w:ascii="Times New Roman" w:hAnsi="Times New Roman" w:cs="Times New Roman"/>
          <w:b/>
          <w:bCs/>
          <w:sz w:val="24"/>
        </w:rPr>
        <w:t xml:space="preserve">eassessment in the ERAS </w:t>
      </w:r>
      <w:r>
        <w:rPr>
          <w:rFonts w:ascii="Times New Roman" w:hAnsi="Times New Roman" w:cs="Times New Roman" w:hint="eastAsia"/>
          <w:b/>
          <w:bCs/>
          <w:sz w:val="24"/>
        </w:rPr>
        <w:t>c</w:t>
      </w:r>
      <w:r>
        <w:rPr>
          <w:rFonts w:ascii="Times New Roman" w:hAnsi="Times New Roman" w:cs="Times New Roman"/>
          <w:b/>
          <w:bCs/>
          <w:sz w:val="24"/>
        </w:rPr>
        <w:t xml:space="preserve">ontext </w:t>
      </w:r>
    </w:p>
    <w:p w14:paraId="58452C3E" w14:textId="6FBEBC2D"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Enhanced Recovery After Surgery (ERAS), through its core strategies such as multimodal analgesia and encouragement of early mobilization, has demonstrated significant improvements in patient outcomes. However, these measures may also increase the risk of VVR under specific conditions. The pathophysiological core of VVR lies in the excessive activation of the Bezold-Jarisch reflex (BJR). BJR is a cardiopulmonary chemoreceptor reflex: when mechanoreceptors or chemoreceptors in the left ventricular inferoposterior wall are stimulated by factors such as relative hypovolemia, severe pain, or emotional stress, signals are transmitted via vagal afferent fibers (C fibers) to the nucleus tractus solitarius in the medulla oblongata, leading to enhanced vagal efferent activity and inhibition of sympathetic activity, ultimately resulting in the classic </w:t>
      </w:r>
      <w:r w:rsidR="0036087E">
        <w:rPr>
          <w:rFonts w:ascii="Times New Roman" w:hAnsi="Times New Roman" w:cs="Times New Roman"/>
          <w:sz w:val="24"/>
        </w:rPr>
        <w:t>“</w:t>
      </w:r>
      <w:r>
        <w:rPr>
          <w:rFonts w:ascii="Times New Roman" w:hAnsi="Times New Roman" w:cs="Times New Roman"/>
          <w:sz w:val="24"/>
        </w:rPr>
        <w:t>triad</w:t>
      </w:r>
      <w:r w:rsidR="0036087E">
        <w:rPr>
          <w:rFonts w:ascii="Times New Roman" w:hAnsi="Times New Roman" w:cs="Times New Roman"/>
          <w:sz w:val="24"/>
        </w:rPr>
        <w:t>“</w:t>
      </w:r>
      <w:r>
        <w:rPr>
          <w:rFonts w:ascii="Times New Roman" w:hAnsi="Times New Roman" w:cs="Times New Roman"/>
          <w:sz w:val="24"/>
        </w:rPr>
        <w:t xml:space="preserve"> of bradycardia, vasodilation, and hypotension </w:t>
      </w:r>
      <w:r>
        <w:rPr>
          <w:rFonts w:ascii="Times New Roman" w:hAnsi="Times New Roman" w:cs="Times New Roman"/>
          <w:sz w:val="24"/>
          <w:vertAlign w:val="superscript"/>
        </w:rPr>
        <w:t>[4</w:t>
      </w:r>
      <w:r w:rsidR="00383C8C">
        <w:rPr>
          <w:rFonts w:ascii="Times New Roman" w:hAnsi="Times New Roman" w:cs="Times New Roman"/>
          <w:sz w:val="24"/>
          <w:vertAlign w:val="superscript"/>
        </w:rPr>
        <w:t>–</w:t>
      </w:r>
      <w:r>
        <w:rPr>
          <w:rFonts w:ascii="Times New Roman" w:hAnsi="Times New Roman" w:cs="Times New Roman"/>
          <w:sz w:val="24"/>
          <w:vertAlign w:val="superscript"/>
        </w:rPr>
        <w:t>6]</w:t>
      </w:r>
      <w:r>
        <w:rPr>
          <w:rFonts w:ascii="Times New Roman" w:hAnsi="Times New Roman" w:cs="Times New Roman"/>
          <w:sz w:val="24"/>
        </w:rPr>
        <w:t xml:space="preserve">. </w:t>
      </w:r>
    </w:p>
    <w:p w14:paraId="7CA6474F" w14:textId="77777777" w:rsidR="00383C8C" w:rsidRDefault="00000000" w:rsidP="00383C8C">
      <w:pPr>
        <w:snapToGrid w:val="0"/>
        <w:ind w:firstLineChars="200" w:firstLine="480"/>
        <w:rPr>
          <w:rFonts w:ascii="Times New Roman" w:hAnsi="Times New Roman" w:cs="Times New Roman"/>
          <w:sz w:val="24"/>
        </w:rPr>
      </w:pPr>
      <w:r>
        <w:rPr>
          <w:rFonts w:ascii="Times New Roman" w:hAnsi="Times New Roman" w:cs="Times New Roman"/>
          <w:sz w:val="24"/>
        </w:rPr>
        <w:t xml:space="preserve">This patient exhibited multiple high-risk factors for triggering BJR: </w:t>
      </w:r>
    </w:p>
    <w:p w14:paraId="2F2952FC" w14:textId="0345EF5B"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High-intensity pain stimulation</w:t>
      </w:r>
    </w:p>
    <w:p w14:paraId="0FCF5AAE" w14:textId="3FCAF5C1"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ab/>
        <w:t xml:space="preserve">A preoperative VAS score of 6–7 indicated a state of hyperalgesia, and postoperative acute pain served as a strong abnormal afferent stimulus. </w:t>
      </w:r>
    </w:p>
    <w:p w14:paraId="76C06CE3" w14:textId="6842BC29"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Potential autonomic nervous system dysregulation</w:t>
      </w:r>
    </w:p>
    <w:p w14:paraId="0AA8E3A6" w14:textId="1B18A12C"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ab/>
        <w:t>The patient</w:t>
      </w:r>
      <w:r w:rsidR="0036087E">
        <w:rPr>
          <w:rFonts w:ascii="Times New Roman" w:hAnsi="Times New Roman" w:cs="Times New Roman"/>
          <w:sz w:val="24"/>
        </w:rPr>
        <w:t>‘</w:t>
      </w:r>
      <w:r>
        <w:rPr>
          <w:rFonts w:ascii="Times New Roman" w:hAnsi="Times New Roman" w:cs="Times New Roman"/>
          <w:sz w:val="24"/>
        </w:rPr>
        <w:t xml:space="preserve">s blood pressure upon admission (141/91 mmHg) was at the upper limit of normal, suggesting that his vascular tone regulation and stress buffering capacity might already be at a critical level. </w:t>
      </w:r>
    </w:p>
    <w:p w14:paraId="28EAAEDC" w14:textId="1AEBC2C5"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Surgical stress and circulatory volume changes</w:t>
      </w:r>
    </w:p>
    <w:p w14:paraId="1E5E0347" w14:textId="2D169FD5" w:rsidR="00110119" w:rsidRDefault="00383C8C" w:rsidP="0014290B">
      <w:pPr>
        <w:snapToGrid w:val="0"/>
        <w:ind w:left="709" w:hanging="709"/>
        <w:rPr>
          <w:rFonts w:ascii="Times New Roman" w:hAnsi="Times New Roman" w:cs="Times New Roman"/>
          <w:sz w:val="24"/>
        </w:rPr>
      </w:pPr>
      <w:r>
        <w:rPr>
          <w:rFonts w:ascii="Times New Roman" w:hAnsi="Times New Roman" w:cs="Times New Roman"/>
          <w:sz w:val="24"/>
        </w:rPr>
        <w:tab/>
        <w:t xml:space="preserve">The 3-hour posterior surgery constituted significant physiological stress, and postoperative </w:t>
      </w:r>
      <w:r>
        <w:rPr>
          <w:rFonts w:ascii="Times New Roman" w:hAnsi="Times New Roman" w:cs="Times New Roman"/>
          <w:sz w:val="24"/>
        </w:rPr>
        <w:lastRenderedPageBreak/>
        <w:t xml:space="preserve">fluid redistribution may have led to relative hypovolemia, collectively reducing left ventricular preload and increasing the sensitivity of cardiac mechanoreceptors. </w:t>
      </w:r>
    </w:p>
    <w:p w14:paraId="066C6AAA" w14:textId="77777777" w:rsidR="00110119" w:rsidRDefault="00110119" w:rsidP="0014290B">
      <w:pPr>
        <w:snapToGrid w:val="0"/>
        <w:rPr>
          <w:rFonts w:ascii="Times New Roman" w:hAnsi="Times New Roman" w:cs="Times New Roman"/>
          <w:sz w:val="24"/>
        </w:rPr>
      </w:pPr>
    </w:p>
    <w:p w14:paraId="5DC6A04B"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4</w:t>
      </w:r>
      <w:r>
        <w:rPr>
          <w:rFonts w:ascii="Times New Roman" w:hAnsi="Times New Roman" w:cs="Times New Roman"/>
          <w:b/>
          <w:bCs/>
          <w:sz w:val="24"/>
        </w:rPr>
        <w:t xml:space="preserve">.2. Reconstruction of </w:t>
      </w:r>
      <w:r>
        <w:rPr>
          <w:rFonts w:ascii="Times New Roman" w:hAnsi="Times New Roman" w:cs="Times New Roman" w:hint="eastAsia"/>
          <w:b/>
          <w:bCs/>
          <w:sz w:val="24"/>
        </w:rPr>
        <w:t>n</w:t>
      </w:r>
      <w:r>
        <w:rPr>
          <w:rFonts w:ascii="Times New Roman" w:hAnsi="Times New Roman" w:cs="Times New Roman"/>
          <w:b/>
          <w:bCs/>
          <w:sz w:val="24"/>
        </w:rPr>
        <w:t xml:space="preserve">ursing </w:t>
      </w:r>
      <w:r>
        <w:rPr>
          <w:rFonts w:ascii="Times New Roman" w:hAnsi="Times New Roman" w:cs="Times New Roman" w:hint="eastAsia"/>
          <w:b/>
          <w:bCs/>
          <w:sz w:val="24"/>
        </w:rPr>
        <w:t>s</w:t>
      </w:r>
      <w:r>
        <w:rPr>
          <w:rFonts w:ascii="Times New Roman" w:hAnsi="Times New Roman" w:cs="Times New Roman"/>
          <w:b/>
          <w:bCs/>
          <w:sz w:val="24"/>
        </w:rPr>
        <w:t xml:space="preserve">trategies: From </w:t>
      </w:r>
      <w:r>
        <w:rPr>
          <w:rFonts w:ascii="Times New Roman" w:hAnsi="Times New Roman" w:cs="Times New Roman" w:hint="eastAsia"/>
          <w:b/>
          <w:bCs/>
          <w:sz w:val="24"/>
        </w:rPr>
        <w:t>p</w:t>
      </w:r>
      <w:r>
        <w:rPr>
          <w:rFonts w:ascii="Times New Roman" w:hAnsi="Times New Roman" w:cs="Times New Roman"/>
          <w:b/>
          <w:bCs/>
          <w:sz w:val="24"/>
        </w:rPr>
        <w:t xml:space="preserve">assive </w:t>
      </w:r>
      <w:r>
        <w:rPr>
          <w:rFonts w:ascii="Times New Roman" w:hAnsi="Times New Roman" w:cs="Times New Roman" w:hint="eastAsia"/>
          <w:b/>
          <w:bCs/>
          <w:sz w:val="24"/>
        </w:rPr>
        <w:t>m</w:t>
      </w:r>
      <w:r>
        <w:rPr>
          <w:rFonts w:ascii="Times New Roman" w:hAnsi="Times New Roman" w:cs="Times New Roman"/>
          <w:b/>
          <w:bCs/>
          <w:sz w:val="24"/>
        </w:rPr>
        <w:t xml:space="preserve">onitoring to </w:t>
      </w:r>
      <w:r>
        <w:rPr>
          <w:rFonts w:ascii="Times New Roman" w:hAnsi="Times New Roman" w:cs="Times New Roman" w:hint="eastAsia"/>
          <w:b/>
          <w:bCs/>
          <w:sz w:val="24"/>
        </w:rPr>
        <w:t>m</w:t>
      </w:r>
      <w:r>
        <w:rPr>
          <w:rFonts w:ascii="Times New Roman" w:hAnsi="Times New Roman" w:cs="Times New Roman"/>
          <w:b/>
          <w:bCs/>
          <w:sz w:val="24"/>
        </w:rPr>
        <w:t>echanism-</w:t>
      </w:r>
      <w:r>
        <w:rPr>
          <w:rFonts w:ascii="Times New Roman" w:hAnsi="Times New Roman" w:cs="Times New Roman" w:hint="eastAsia"/>
          <w:b/>
          <w:bCs/>
          <w:sz w:val="24"/>
        </w:rPr>
        <w:t>b</w:t>
      </w:r>
      <w:r>
        <w:rPr>
          <w:rFonts w:ascii="Times New Roman" w:hAnsi="Times New Roman" w:cs="Times New Roman"/>
          <w:b/>
          <w:bCs/>
          <w:sz w:val="24"/>
        </w:rPr>
        <w:t xml:space="preserve">ased </w:t>
      </w:r>
      <w:r>
        <w:rPr>
          <w:rFonts w:ascii="Times New Roman" w:hAnsi="Times New Roman" w:cs="Times New Roman" w:hint="eastAsia"/>
          <w:b/>
          <w:bCs/>
          <w:sz w:val="24"/>
        </w:rPr>
        <w:t>p</w:t>
      </w:r>
      <w:r>
        <w:rPr>
          <w:rFonts w:ascii="Times New Roman" w:hAnsi="Times New Roman" w:cs="Times New Roman"/>
          <w:b/>
          <w:bCs/>
          <w:sz w:val="24"/>
        </w:rPr>
        <w:t xml:space="preserve">roactive </w:t>
      </w:r>
      <w:r>
        <w:rPr>
          <w:rFonts w:ascii="Times New Roman" w:hAnsi="Times New Roman" w:cs="Times New Roman" w:hint="eastAsia"/>
          <w:b/>
          <w:bCs/>
          <w:sz w:val="24"/>
        </w:rPr>
        <w:t>i</w:t>
      </w:r>
      <w:r>
        <w:rPr>
          <w:rFonts w:ascii="Times New Roman" w:hAnsi="Times New Roman" w:cs="Times New Roman"/>
          <w:b/>
          <w:bCs/>
          <w:sz w:val="24"/>
        </w:rPr>
        <w:t xml:space="preserve">ntervention </w:t>
      </w:r>
    </w:p>
    <w:p w14:paraId="119C5DC4" w14:textId="77777777"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The core transformation in nursing practice in this case lies in the implementation of measures based on the pathophysiological mechanisms of VVR, achieving a shift from outcome response to upstream intervention. </w:t>
      </w:r>
    </w:p>
    <w:p w14:paraId="558D66A6" w14:textId="5A7A80FD" w:rsidR="00110119" w:rsidRDefault="00000000" w:rsidP="0014290B">
      <w:pPr>
        <w:snapToGrid w:val="0"/>
        <w:ind w:firstLineChars="200" w:firstLine="480"/>
        <w:rPr>
          <w:rFonts w:ascii="Times New Roman" w:hAnsi="Times New Roman" w:cs="Times New Roman"/>
          <w:sz w:val="24"/>
        </w:rPr>
      </w:pPr>
      <w:r>
        <w:rPr>
          <w:rFonts w:ascii="Times New Roman" w:hAnsi="Times New Roman" w:cs="Times New Roman"/>
          <w:sz w:val="24"/>
        </w:rPr>
        <w:t xml:space="preserve">First, the </w:t>
      </w:r>
      <w:r w:rsidR="0036087E">
        <w:rPr>
          <w:rFonts w:ascii="Times New Roman" w:hAnsi="Times New Roman" w:cs="Times New Roman"/>
          <w:sz w:val="24"/>
        </w:rPr>
        <w:t>“</w:t>
      </w:r>
      <w:r>
        <w:rPr>
          <w:rFonts w:ascii="Times New Roman" w:hAnsi="Times New Roman" w:cs="Times New Roman"/>
          <w:sz w:val="24"/>
        </w:rPr>
        <w:t>trend alarm</w:t>
      </w:r>
      <w:r w:rsidR="0036087E">
        <w:rPr>
          <w:rFonts w:ascii="Times New Roman" w:hAnsi="Times New Roman" w:cs="Times New Roman"/>
          <w:sz w:val="24"/>
        </w:rPr>
        <w:t>“</w:t>
      </w:r>
      <w:r>
        <w:rPr>
          <w:rFonts w:ascii="Times New Roman" w:hAnsi="Times New Roman" w:cs="Times New Roman"/>
          <w:sz w:val="24"/>
        </w:rPr>
        <w:t xml:space="preserve"> system enabled intelligent upgrading of risk warning. Unlike conventional monitoring, which focuses solely on absolute value alarms for vital signs, the linked trend alarm set in this case, which targeted the simultaneous decrease in heart rate and MAP by more than 20% within 5 minutes, directly addressed the characteristic hemodynamic changes following BJR activation (i.e., synchronous decreases in heart rate and blood pressure) </w:t>
      </w:r>
      <w:r>
        <w:rPr>
          <w:rFonts w:ascii="Times New Roman" w:hAnsi="Times New Roman" w:cs="Times New Roman"/>
          <w:sz w:val="24"/>
          <w:vertAlign w:val="superscript"/>
        </w:rPr>
        <w:t>[7]</w:t>
      </w:r>
      <w:r>
        <w:rPr>
          <w:rFonts w:ascii="Times New Roman" w:hAnsi="Times New Roman" w:cs="Times New Roman"/>
          <w:sz w:val="24"/>
        </w:rPr>
        <w:t xml:space="preserve">. </w:t>
      </w:r>
    </w:p>
    <w:p w14:paraId="639AAD12" w14:textId="69FB70C5" w:rsidR="00110119" w:rsidRDefault="00000000" w:rsidP="0014290B">
      <w:pPr>
        <w:snapToGrid w:val="0"/>
        <w:ind w:firstLineChars="200" w:firstLine="480"/>
        <w:rPr>
          <w:rFonts w:ascii="Times New Roman" w:hAnsi="Times New Roman" w:cs="Times New Roman"/>
          <w:sz w:val="24"/>
        </w:rPr>
      </w:pPr>
      <w:r>
        <w:rPr>
          <w:rFonts w:ascii="Times New Roman" w:hAnsi="Times New Roman" w:cs="Times New Roman"/>
          <w:sz w:val="24"/>
        </w:rPr>
        <w:t>Second, the multimodal analgesia strategy aimed to block the initiation of the reflex arc at its source. The nursing goal was not only to control pain scores but also to eliminate strong afferent signals triggering BJR through preventive analgesia. Specifically, the scheduled administration of flurbiprofen axetil (a nonsteroidal anti-inflammatory drug) reduced peripheral nociceptor sensitization by inhibiting cyclooxygenase and decreasing prostaglandin synthesis</w:t>
      </w:r>
      <w:r w:rsidR="00383C8C">
        <w:rPr>
          <w:rFonts w:ascii="Times New Roman" w:hAnsi="Times New Roman" w:cs="Times New Roman"/>
          <w:sz w:val="24"/>
        </w:rPr>
        <w:t>,</w:t>
      </w:r>
      <w:r>
        <w:rPr>
          <w:rFonts w:ascii="Times New Roman" w:hAnsi="Times New Roman" w:cs="Times New Roman"/>
          <w:sz w:val="24"/>
        </w:rPr>
        <w:t xml:space="preserve"> while patient-controlled sufentanil (an opioid) acted on μ-receptors in the central nervous system to elevate the pain threshold </w:t>
      </w:r>
      <w:r>
        <w:rPr>
          <w:rFonts w:ascii="Times New Roman" w:hAnsi="Times New Roman" w:cs="Times New Roman"/>
          <w:sz w:val="24"/>
          <w:vertAlign w:val="superscript"/>
        </w:rPr>
        <w:t>[8]</w:t>
      </w:r>
      <w:r>
        <w:rPr>
          <w:rFonts w:ascii="Times New Roman" w:hAnsi="Times New Roman" w:cs="Times New Roman"/>
          <w:sz w:val="24"/>
        </w:rPr>
        <w:t xml:space="preserve">. </w:t>
      </w:r>
    </w:p>
    <w:p w14:paraId="3B2BA346" w14:textId="77777777" w:rsidR="00110119" w:rsidRDefault="00110119" w:rsidP="0014290B">
      <w:pPr>
        <w:snapToGrid w:val="0"/>
        <w:rPr>
          <w:rFonts w:ascii="Times New Roman" w:hAnsi="Times New Roman" w:cs="Times New Roman"/>
          <w:sz w:val="24"/>
        </w:rPr>
      </w:pPr>
    </w:p>
    <w:p w14:paraId="708412AC"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4</w:t>
      </w:r>
      <w:r>
        <w:rPr>
          <w:rFonts w:ascii="Times New Roman" w:hAnsi="Times New Roman" w:cs="Times New Roman"/>
          <w:b/>
          <w:bCs/>
          <w:sz w:val="24"/>
        </w:rPr>
        <w:t xml:space="preserve">.3. Emergency </w:t>
      </w:r>
      <w:r>
        <w:rPr>
          <w:rFonts w:ascii="Times New Roman" w:hAnsi="Times New Roman" w:cs="Times New Roman" w:hint="eastAsia"/>
          <w:b/>
          <w:bCs/>
          <w:sz w:val="24"/>
        </w:rPr>
        <w:t>r</w:t>
      </w:r>
      <w:r>
        <w:rPr>
          <w:rFonts w:ascii="Times New Roman" w:hAnsi="Times New Roman" w:cs="Times New Roman"/>
          <w:b/>
          <w:bCs/>
          <w:sz w:val="24"/>
        </w:rPr>
        <w:t xml:space="preserve">esponse and ERAS </w:t>
      </w:r>
      <w:r>
        <w:rPr>
          <w:rFonts w:ascii="Times New Roman" w:hAnsi="Times New Roman" w:cs="Times New Roman" w:hint="eastAsia"/>
          <w:b/>
          <w:bCs/>
          <w:sz w:val="24"/>
        </w:rPr>
        <w:t>i</w:t>
      </w:r>
      <w:r>
        <w:rPr>
          <w:rFonts w:ascii="Times New Roman" w:hAnsi="Times New Roman" w:cs="Times New Roman"/>
          <w:b/>
          <w:bCs/>
          <w:sz w:val="24"/>
        </w:rPr>
        <w:t xml:space="preserve">ndividualization: The </w:t>
      </w:r>
      <w:r>
        <w:rPr>
          <w:rFonts w:ascii="Times New Roman" w:hAnsi="Times New Roman" w:cs="Times New Roman" w:hint="eastAsia"/>
          <w:b/>
          <w:bCs/>
          <w:sz w:val="24"/>
        </w:rPr>
        <w:t>d</w:t>
      </w:r>
      <w:r>
        <w:rPr>
          <w:rFonts w:ascii="Times New Roman" w:hAnsi="Times New Roman" w:cs="Times New Roman"/>
          <w:b/>
          <w:bCs/>
          <w:sz w:val="24"/>
        </w:rPr>
        <w:t xml:space="preserve">ialectical </w:t>
      </w:r>
      <w:r>
        <w:rPr>
          <w:rFonts w:ascii="Times New Roman" w:hAnsi="Times New Roman" w:cs="Times New Roman" w:hint="eastAsia"/>
          <w:b/>
          <w:bCs/>
          <w:sz w:val="24"/>
        </w:rPr>
        <w:t>u</w:t>
      </w:r>
      <w:r>
        <w:rPr>
          <w:rFonts w:ascii="Times New Roman" w:hAnsi="Times New Roman" w:cs="Times New Roman"/>
          <w:b/>
          <w:bCs/>
          <w:sz w:val="24"/>
        </w:rPr>
        <w:t xml:space="preserve">nity of </w:t>
      </w:r>
      <w:r>
        <w:rPr>
          <w:rFonts w:ascii="Times New Roman" w:hAnsi="Times New Roman" w:cs="Times New Roman" w:hint="eastAsia"/>
          <w:b/>
          <w:bCs/>
          <w:sz w:val="24"/>
        </w:rPr>
        <w:t>s</w:t>
      </w:r>
      <w:r>
        <w:rPr>
          <w:rFonts w:ascii="Times New Roman" w:hAnsi="Times New Roman" w:cs="Times New Roman"/>
          <w:b/>
          <w:bCs/>
          <w:sz w:val="24"/>
        </w:rPr>
        <w:t xml:space="preserve">afety </w:t>
      </w:r>
      <w:r>
        <w:rPr>
          <w:rFonts w:ascii="Times New Roman" w:hAnsi="Times New Roman" w:cs="Times New Roman" w:hint="eastAsia"/>
          <w:b/>
          <w:bCs/>
          <w:sz w:val="24"/>
        </w:rPr>
        <w:t>a</w:t>
      </w:r>
      <w:r>
        <w:rPr>
          <w:rFonts w:ascii="Times New Roman" w:hAnsi="Times New Roman" w:cs="Times New Roman"/>
          <w:b/>
          <w:bCs/>
          <w:sz w:val="24"/>
        </w:rPr>
        <w:t xml:space="preserve">ssurance and </w:t>
      </w:r>
      <w:r>
        <w:rPr>
          <w:rFonts w:ascii="Times New Roman" w:hAnsi="Times New Roman" w:cs="Times New Roman" w:hint="eastAsia"/>
          <w:b/>
          <w:bCs/>
          <w:sz w:val="24"/>
        </w:rPr>
        <w:t>a</w:t>
      </w:r>
      <w:r>
        <w:rPr>
          <w:rFonts w:ascii="Times New Roman" w:hAnsi="Times New Roman" w:cs="Times New Roman"/>
          <w:b/>
          <w:bCs/>
          <w:sz w:val="24"/>
        </w:rPr>
        <w:t xml:space="preserve">ccelerated </w:t>
      </w:r>
      <w:r>
        <w:rPr>
          <w:rFonts w:ascii="Times New Roman" w:hAnsi="Times New Roman" w:cs="Times New Roman" w:hint="eastAsia"/>
          <w:b/>
          <w:bCs/>
          <w:sz w:val="24"/>
        </w:rPr>
        <w:t>r</w:t>
      </w:r>
      <w:r>
        <w:rPr>
          <w:rFonts w:ascii="Times New Roman" w:hAnsi="Times New Roman" w:cs="Times New Roman"/>
          <w:b/>
          <w:bCs/>
          <w:sz w:val="24"/>
        </w:rPr>
        <w:t xml:space="preserve">ehabilitation </w:t>
      </w:r>
    </w:p>
    <w:p w14:paraId="715F316F" w14:textId="399E06BA"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The successful rescue in this case is empirical evidence of the efficient operation of the in-hospital rapid response </w:t>
      </w:r>
      <w:r w:rsidR="00383C8C">
        <w:rPr>
          <w:rFonts w:ascii="Times New Roman" w:hAnsi="Times New Roman" w:cs="Times New Roman"/>
          <w:sz w:val="24"/>
        </w:rPr>
        <w:t>team</w:t>
      </w:r>
      <w:r>
        <w:rPr>
          <w:rFonts w:ascii="Times New Roman" w:hAnsi="Times New Roman" w:cs="Times New Roman"/>
          <w:sz w:val="24"/>
        </w:rPr>
        <w:t xml:space="preserve"> (RRT). As the first responder, the nurse</w:t>
      </w:r>
      <w:r w:rsidR="0036087E">
        <w:rPr>
          <w:rFonts w:ascii="Times New Roman" w:hAnsi="Times New Roman" w:cs="Times New Roman"/>
          <w:sz w:val="24"/>
        </w:rPr>
        <w:t>’</w:t>
      </w:r>
      <w:r>
        <w:rPr>
          <w:rFonts w:ascii="Times New Roman" w:hAnsi="Times New Roman" w:cs="Times New Roman"/>
          <w:sz w:val="24"/>
        </w:rPr>
        <w:t>s rapid initiation of CPR and precise information transmission using the SBAR model perfectly embodied the core of RRT</w:t>
      </w:r>
      <w:r w:rsidR="00383C8C">
        <w:rPr>
          <w:rFonts w:ascii="Times New Roman" w:hAnsi="Times New Roman" w:cs="Times New Roman"/>
          <w:sz w:val="24"/>
        </w:rPr>
        <w:t>,</w:t>
      </w:r>
      <w:r>
        <w:rPr>
          <w:rFonts w:ascii="Times New Roman" w:hAnsi="Times New Roman" w:cs="Times New Roman" w:hint="eastAsia"/>
          <w:sz w:val="24"/>
        </w:rPr>
        <w:t xml:space="preserve"> </w:t>
      </w:r>
      <w:r w:rsidR="0036087E">
        <w:rPr>
          <w:rFonts w:ascii="Times New Roman" w:hAnsi="Times New Roman" w:cs="Times New Roman"/>
          <w:sz w:val="24"/>
        </w:rPr>
        <w:t>“</w:t>
      </w:r>
      <w:r>
        <w:rPr>
          <w:rFonts w:ascii="Times New Roman" w:hAnsi="Times New Roman" w:cs="Times New Roman"/>
          <w:sz w:val="24"/>
        </w:rPr>
        <w:t>early identification, rapid response</w:t>
      </w:r>
      <w:r w:rsidR="0036087E">
        <w:rPr>
          <w:rFonts w:ascii="Times New Roman" w:hAnsi="Times New Roman" w:cs="Times New Roman"/>
          <w:sz w:val="24"/>
        </w:rPr>
        <w:t>“</w:t>
      </w:r>
      <w:r>
        <w:rPr>
          <w:rFonts w:ascii="Times New Roman" w:hAnsi="Times New Roman" w:cs="Times New Roman"/>
          <w:sz w:val="24"/>
        </w:rPr>
        <w:t xml:space="preserve">, highlighting the critical decision-making role of nurses in critical incidents. This profoundly illustrates that the effective implementation of the ERAS pathway must be grounded in a robust emergency response capability; otherwise, </w:t>
      </w:r>
      <w:r w:rsidR="0036087E">
        <w:rPr>
          <w:rFonts w:ascii="Times New Roman" w:hAnsi="Times New Roman" w:cs="Times New Roman"/>
          <w:sz w:val="24"/>
        </w:rPr>
        <w:t>“</w:t>
      </w:r>
      <w:r>
        <w:rPr>
          <w:rFonts w:ascii="Times New Roman" w:hAnsi="Times New Roman" w:cs="Times New Roman"/>
          <w:sz w:val="24"/>
        </w:rPr>
        <w:t>accelerated recovery</w:t>
      </w:r>
      <w:r w:rsidR="0036087E">
        <w:rPr>
          <w:rFonts w:ascii="Times New Roman" w:hAnsi="Times New Roman" w:cs="Times New Roman"/>
          <w:sz w:val="24"/>
        </w:rPr>
        <w:t>“</w:t>
      </w:r>
      <w:r>
        <w:rPr>
          <w:rFonts w:ascii="Times New Roman" w:hAnsi="Times New Roman" w:cs="Times New Roman"/>
          <w:sz w:val="24"/>
        </w:rPr>
        <w:t xml:space="preserve"> may be compromised by sudden complications. Furthermore, ERAS is not a rigid doctrine but a clinical management framework centered on patient safety that allows and requires dynamic adjustments based on real-time clinical condition </w:t>
      </w:r>
      <w:r>
        <w:rPr>
          <w:rFonts w:ascii="Times New Roman" w:hAnsi="Times New Roman" w:cs="Times New Roman"/>
          <w:sz w:val="24"/>
          <w:vertAlign w:val="superscript"/>
        </w:rPr>
        <w:t>[9</w:t>
      </w:r>
      <w:r w:rsidR="00383C8C">
        <w:rPr>
          <w:rFonts w:ascii="Times New Roman" w:hAnsi="Times New Roman" w:cs="Times New Roman"/>
          <w:sz w:val="24"/>
          <w:vertAlign w:val="superscript"/>
        </w:rPr>
        <w:t>–</w:t>
      </w:r>
      <w:r>
        <w:rPr>
          <w:rFonts w:ascii="Times New Roman" w:hAnsi="Times New Roman" w:cs="Times New Roman"/>
          <w:sz w:val="24"/>
          <w:vertAlign w:val="superscript"/>
        </w:rPr>
        <w:t>12]</w:t>
      </w:r>
      <w:r>
        <w:rPr>
          <w:rFonts w:ascii="Times New Roman" w:hAnsi="Times New Roman" w:cs="Times New Roman"/>
          <w:sz w:val="24"/>
        </w:rPr>
        <w:t xml:space="preserve">. </w:t>
      </w:r>
    </w:p>
    <w:p w14:paraId="1327369C" w14:textId="77777777" w:rsidR="00110119" w:rsidRDefault="00110119" w:rsidP="0014290B">
      <w:pPr>
        <w:snapToGrid w:val="0"/>
        <w:rPr>
          <w:rFonts w:ascii="Times New Roman" w:hAnsi="Times New Roman" w:cs="Times New Roman"/>
          <w:sz w:val="24"/>
        </w:rPr>
      </w:pPr>
    </w:p>
    <w:p w14:paraId="289D42C4"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4</w:t>
      </w:r>
      <w:r>
        <w:rPr>
          <w:rFonts w:ascii="Times New Roman" w:hAnsi="Times New Roman" w:cs="Times New Roman"/>
          <w:b/>
          <w:bCs/>
          <w:sz w:val="24"/>
        </w:rPr>
        <w:t xml:space="preserve">.4. Limitations and </w:t>
      </w:r>
      <w:r>
        <w:rPr>
          <w:rFonts w:ascii="Times New Roman" w:hAnsi="Times New Roman" w:cs="Times New Roman" w:hint="eastAsia"/>
          <w:b/>
          <w:bCs/>
          <w:sz w:val="24"/>
        </w:rPr>
        <w:t>p</w:t>
      </w:r>
      <w:r>
        <w:rPr>
          <w:rFonts w:ascii="Times New Roman" w:hAnsi="Times New Roman" w:cs="Times New Roman"/>
          <w:b/>
          <w:bCs/>
          <w:sz w:val="24"/>
        </w:rPr>
        <w:t xml:space="preserve">rospects </w:t>
      </w:r>
    </w:p>
    <w:p w14:paraId="069E77CA" w14:textId="77777777" w:rsidR="00383C8C" w:rsidRDefault="00000000" w:rsidP="00383C8C">
      <w:pPr>
        <w:snapToGrid w:val="0"/>
        <w:rPr>
          <w:rFonts w:ascii="Times New Roman" w:hAnsi="Times New Roman" w:cs="Times New Roman"/>
          <w:sz w:val="24"/>
        </w:rPr>
      </w:pPr>
      <w:r>
        <w:rPr>
          <w:rFonts w:ascii="Times New Roman" w:hAnsi="Times New Roman" w:cs="Times New Roman"/>
          <w:sz w:val="24"/>
        </w:rPr>
        <w:t xml:space="preserve">This study is a single-case report, and the generalizability of its conclusions requires validation by larger-sample studies. However, the issues it reveals are of significant importance, pointing the way for future clinical practice and research: </w:t>
      </w:r>
    </w:p>
    <w:p w14:paraId="3DC489C1" w14:textId="7E74E768"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Construction of a risk prediction model</w:t>
      </w:r>
    </w:p>
    <w:p w14:paraId="45E48D8C" w14:textId="22CDC378"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ab/>
        <w:t>Multicenter studies are needed to identify independent risk factors for severe VVR after spinal surgery and develop a simple, practical preoperative risk assessment tool.</w:t>
      </w:r>
    </w:p>
    <w:p w14:paraId="7C0C9AAE" w14:textId="3D0D4E34"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Integration of early warning strategies into the ERAS pathway</w:t>
      </w:r>
    </w:p>
    <w:p w14:paraId="34C97AB4" w14:textId="7411A03C"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ab/>
        <w:t xml:space="preserve">It is recommended that VVR risk assessment and graded monitoring protocols be formally incorporated into the standardized nursing pathway for ERAS in spinal surgery. </w:t>
      </w:r>
    </w:p>
    <w:p w14:paraId="112D4D4E" w14:textId="633D15D5" w:rsidR="00383C8C" w:rsidRDefault="00383C8C" w:rsidP="00383C8C">
      <w:pPr>
        <w:snapToGrid w:val="0"/>
        <w:ind w:left="709" w:hanging="709"/>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Strengthening nursing training and capacity building</w:t>
      </w:r>
    </w:p>
    <w:p w14:paraId="6464A618" w14:textId="4E01C488" w:rsidR="00110119" w:rsidRDefault="00383C8C" w:rsidP="0014290B">
      <w:pPr>
        <w:snapToGrid w:val="0"/>
        <w:ind w:left="709" w:hanging="709"/>
        <w:rPr>
          <w:rFonts w:ascii="Times New Roman" w:hAnsi="Times New Roman" w:cs="Times New Roman"/>
          <w:sz w:val="24"/>
        </w:rPr>
      </w:pPr>
      <w:r>
        <w:rPr>
          <w:rFonts w:ascii="Times New Roman" w:hAnsi="Times New Roman" w:cs="Times New Roman"/>
          <w:sz w:val="24"/>
        </w:rPr>
        <w:tab/>
        <w:t>Identification and initial management protocols for rare but critical complications such as VVR should be included in the core competency training and regular simulation drills for orthopedic nurses. Furthermore, the authority and procedures for nurses to initiate emergency responses and perform initial rescues in critical situations should be further clarified.</w:t>
      </w:r>
    </w:p>
    <w:p w14:paraId="615DD104" w14:textId="77777777" w:rsidR="00110119" w:rsidRDefault="00110119" w:rsidP="0014290B">
      <w:pPr>
        <w:snapToGrid w:val="0"/>
        <w:rPr>
          <w:rFonts w:ascii="Times New Roman" w:hAnsi="Times New Roman" w:cs="Times New Roman"/>
          <w:sz w:val="24"/>
        </w:rPr>
      </w:pPr>
    </w:p>
    <w:p w14:paraId="58D8C6E6" w14:textId="77777777" w:rsidR="00110119" w:rsidRDefault="00000000" w:rsidP="0014290B">
      <w:pPr>
        <w:snapToGrid w:val="0"/>
        <w:rPr>
          <w:rFonts w:ascii="Times New Roman" w:hAnsi="Times New Roman" w:cs="Times New Roman"/>
          <w:b/>
          <w:bCs/>
          <w:sz w:val="24"/>
        </w:rPr>
      </w:pPr>
      <w:r>
        <w:rPr>
          <w:rFonts w:ascii="Times New Roman" w:hAnsi="Times New Roman" w:cs="Times New Roman" w:hint="eastAsia"/>
          <w:b/>
          <w:bCs/>
          <w:sz w:val="24"/>
        </w:rPr>
        <w:t>5</w:t>
      </w:r>
      <w:r>
        <w:rPr>
          <w:rFonts w:ascii="Times New Roman" w:hAnsi="Times New Roman" w:cs="Times New Roman"/>
          <w:b/>
          <w:bCs/>
          <w:sz w:val="24"/>
        </w:rPr>
        <w:t xml:space="preserve">. Conclusion </w:t>
      </w:r>
    </w:p>
    <w:p w14:paraId="509021FD" w14:textId="77777777" w:rsidR="00110119" w:rsidRDefault="00000000" w:rsidP="0014290B">
      <w:pPr>
        <w:snapToGrid w:val="0"/>
        <w:rPr>
          <w:rFonts w:ascii="Times New Roman" w:hAnsi="Times New Roman" w:cs="Times New Roman"/>
          <w:sz w:val="24"/>
        </w:rPr>
      </w:pPr>
      <w:r>
        <w:rPr>
          <w:rFonts w:ascii="Times New Roman" w:hAnsi="Times New Roman" w:cs="Times New Roman"/>
          <w:sz w:val="24"/>
        </w:rPr>
        <w:t xml:space="preserve">The successful treatment of circulatory failure caused by vasovagal reflex (VVR) after lumbar spine surgery in this case demonstrates that, under the Enhanced Recovery After Surgery (ERAS) concept, </w:t>
      </w:r>
      <w:r>
        <w:rPr>
          <w:rFonts w:ascii="Times New Roman" w:hAnsi="Times New Roman" w:cs="Times New Roman"/>
          <w:sz w:val="24"/>
        </w:rPr>
        <w:lastRenderedPageBreak/>
        <w:t xml:space="preserve">the nursing role needs to undergo a profound transformation from a plan executor to an active risk manager and a core emergency decision-maker. By implementing a comprehensive nursing strategy that takes risk assessment as the premise, early warning monitoring as the sentinel, pain blockade as the key, and extreme response as the guarantee, it is possible to effectively identify and respond to such concealed and rapidly progressing serious complications. This case suggests that it is necessary to integrate the systematic evaluation and intervention process of VVR into the ERAS guidelines for spinal surgery in the future, and to emphasize the specialized training and clinical authorization of nurses in early identification of warning signs, independent initiation of advanced life support, etc., thereby constructing a more robust perioperative safety barrier </w:t>
      </w:r>
      <w:r>
        <w:rPr>
          <w:rFonts w:ascii="Times New Roman" w:hAnsi="Times New Roman" w:cs="Times New Roman"/>
          <w:sz w:val="24"/>
          <w:vertAlign w:val="superscript"/>
        </w:rPr>
        <w:t>[7]</w:t>
      </w:r>
      <w:r>
        <w:rPr>
          <w:rFonts w:ascii="Times New Roman" w:hAnsi="Times New Roman" w:cs="Times New Roman"/>
          <w:sz w:val="24"/>
        </w:rPr>
        <w:t>.</w:t>
      </w:r>
    </w:p>
    <w:p w14:paraId="7765E0E4" w14:textId="77777777" w:rsidR="00110119" w:rsidRDefault="00110119" w:rsidP="0014290B">
      <w:pPr>
        <w:snapToGrid w:val="0"/>
        <w:rPr>
          <w:rFonts w:ascii="Times New Roman" w:hAnsi="Times New Roman" w:cs="Times New Roman"/>
          <w:sz w:val="24"/>
        </w:rPr>
      </w:pPr>
    </w:p>
    <w:p w14:paraId="3FF8F41C" w14:textId="77777777" w:rsidR="00110119" w:rsidRDefault="00000000" w:rsidP="0014290B">
      <w:pPr>
        <w:snapToGrid w:val="0"/>
        <w:rPr>
          <w:rFonts w:ascii="Times New Roman" w:hAnsi="Times New Roman"/>
          <w:b/>
          <w:bCs/>
          <w:sz w:val="24"/>
        </w:rPr>
      </w:pPr>
      <w:r>
        <w:rPr>
          <w:rFonts w:ascii="Times New Roman" w:hAnsi="Times New Roman"/>
          <w:b/>
          <w:bCs/>
          <w:sz w:val="24"/>
        </w:rPr>
        <w:t>Disclosure statement</w:t>
      </w:r>
    </w:p>
    <w:p w14:paraId="734910D5" w14:textId="77777777" w:rsidR="00110119" w:rsidRDefault="00000000" w:rsidP="0014290B">
      <w:pPr>
        <w:snapToGrid w:val="0"/>
        <w:rPr>
          <w:rFonts w:ascii="Times New Roman" w:hAnsi="Times New Roman"/>
          <w:sz w:val="24"/>
        </w:rPr>
      </w:pPr>
      <w:r>
        <w:rPr>
          <w:rFonts w:ascii="Times New Roman" w:hAnsi="Times New Roman"/>
          <w:sz w:val="24"/>
        </w:rPr>
        <w:t xml:space="preserve">The authors declare no conflict of interest. </w:t>
      </w:r>
    </w:p>
    <w:p w14:paraId="6D33940D" w14:textId="77777777" w:rsidR="00110119" w:rsidRDefault="00110119" w:rsidP="0014290B">
      <w:pPr>
        <w:snapToGrid w:val="0"/>
        <w:rPr>
          <w:rFonts w:ascii="Times New Roman" w:hAnsi="Times New Roman"/>
          <w:sz w:val="24"/>
        </w:rPr>
      </w:pPr>
    </w:p>
    <w:p w14:paraId="5ECBAC5D" w14:textId="77777777" w:rsidR="00110119" w:rsidRDefault="00000000" w:rsidP="0014290B">
      <w:pPr>
        <w:snapToGrid w:val="0"/>
        <w:rPr>
          <w:rFonts w:ascii="Times New Roman" w:hAnsi="Times New Roman" w:cs="Times New Roman"/>
          <w:b/>
          <w:bCs/>
          <w:sz w:val="24"/>
        </w:rPr>
      </w:pPr>
      <w:r>
        <w:rPr>
          <w:rFonts w:ascii="Times New Roman" w:hAnsi="Times New Roman" w:cs="Times New Roman"/>
          <w:b/>
          <w:bCs/>
          <w:sz w:val="24"/>
        </w:rPr>
        <w:t>References</w:t>
      </w:r>
    </w:p>
    <w:p w14:paraId="07E8C432" w14:textId="267FFD9E"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[1] </w:t>
      </w:r>
      <w:r>
        <w:rPr>
          <w:rFonts w:ascii="Times New Roman" w:hAnsi="Times New Roman" w:cs="Times New Roman"/>
          <w:sz w:val="24"/>
        </w:rPr>
        <w:tab/>
      </w:r>
      <w:r w:rsidRPr="0036087E">
        <w:rPr>
          <w:rFonts w:ascii="Times New Roman" w:hAnsi="Times New Roman" w:cs="Times New Roman"/>
          <w:sz w:val="24"/>
        </w:rPr>
        <w:t>Gao F, Zhang H, Liu Z, et al., 2023, Evaluation of the Effect of Multimodal Analgesia Under the ERAS Concept on Postoperative Recovery in Patients Undergoing Percutaneous Pedicle Screw Fixation. Journal of Inner Mongolia Medical University, 45(6): 618–621.</w:t>
      </w:r>
    </w:p>
    <w:p w14:paraId="21A8A8AA"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[2] </w:t>
      </w:r>
      <w:r>
        <w:rPr>
          <w:rFonts w:ascii="Times New Roman" w:hAnsi="Times New Roman" w:cs="Times New Roman"/>
          <w:sz w:val="24"/>
        </w:rPr>
        <w:tab/>
      </w:r>
      <w:r w:rsidRPr="0036087E">
        <w:rPr>
          <w:rFonts w:ascii="Times New Roman" w:hAnsi="Times New Roman" w:cs="Times New Roman"/>
          <w:sz w:val="24"/>
        </w:rPr>
        <w:t>Zhu X, Qiao X, Liu L, et al., 2024, Construction of a Quality Evaluation Standard System for Perioperative Nursing Based on the Concept of Enhanced Recovery After Surgery. Chinese Nursing Management, 24(8): 1192–1197.</w:t>
      </w:r>
    </w:p>
    <w:p w14:paraId="21427EBA"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[3] </w:t>
      </w:r>
      <w:r>
        <w:rPr>
          <w:rFonts w:ascii="Times New Roman" w:hAnsi="Times New Roman" w:cs="Times New Roman"/>
          <w:sz w:val="24"/>
        </w:rPr>
        <w:tab/>
      </w:r>
      <w:r w:rsidRPr="0036087E">
        <w:rPr>
          <w:rFonts w:ascii="Times New Roman" w:hAnsi="Times New Roman" w:cs="Times New Roman"/>
          <w:sz w:val="24"/>
        </w:rPr>
        <w:t>Han B, Bi Y, He D, 2025, A Meta-analysis of the Relationship Between the Frailty Index and Complications After Lumbar Spine Surgery. Chinese Journal of Trauma and Repair (Electronic Edition), 20(3): 233–240.</w:t>
      </w:r>
    </w:p>
    <w:p w14:paraId="34F29518"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[4] </w:t>
      </w:r>
      <w:r>
        <w:rPr>
          <w:rFonts w:ascii="Times New Roman" w:hAnsi="Times New Roman" w:cs="Times New Roman"/>
          <w:sz w:val="24"/>
        </w:rPr>
        <w:tab/>
      </w:r>
      <w:r w:rsidRPr="0036087E">
        <w:rPr>
          <w:rFonts w:ascii="Times New Roman" w:hAnsi="Times New Roman" w:cs="Times New Roman"/>
          <w:sz w:val="24"/>
        </w:rPr>
        <w:t>Luo B, Xin N, Cai K, et al., 2024, Prevention and Treatment of Intraoperative and Postoperative Vasovagal Reflex in Urinary System Diseases. Chinese Modern Doctor, 62(10): 36–38 + 51.</w:t>
      </w:r>
    </w:p>
    <w:p w14:paraId="4CB06CEC"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[5] </w:t>
      </w:r>
      <w:r>
        <w:rPr>
          <w:rFonts w:ascii="Times New Roman" w:hAnsi="Times New Roman" w:cs="Times New Roman"/>
          <w:sz w:val="24"/>
        </w:rPr>
        <w:tab/>
      </w:r>
      <w:r w:rsidRPr="0036087E">
        <w:rPr>
          <w:rFonts w:ascii="Times New Roman" w:hAnsi="Times New Roman" w:cs="Times New Roman"/>
          <w:sz w:val="24"/>
        </w:rPr>
        <w:t>Li M, Zhang Y, Zhang L, et al., 2024, Clinical Exploratory Study on Non-placement of Drainage Tubes in Single-segment Open Lumbar Spine Surgery Under the ERAS Concept. Journal of the Academy of Military Medical Sciences, 45(4): 362–369.</w:t>
      </w:r>
    </w:p>
    <w:p w14:paraId="093C6E34"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[6] </w:t>
      </w:r>
      <w:r>
        <w:rPr>
          <w:rFonts w:ascii="Times New Roman" w:hAnsi="Times New Roman" w:cs="Times New Roman"/>
          <w:sz w:val="24"/>
        </w:rPr>
        <w:tab/>
      </w:r>
      <w:r w:rsidRPr="0036087E">
        <w:rPr>
          <w:rFonts w:ascii="Times New Roman" w:hAnsi="Times New Roman" w:cs="Times New Roman"/>
          <w:sz w:val="24"/>
        </w:rPr>
        <w:t>Yin Y, Bie M, Ma Y, et al., 2023, Effect of a Multidisciplinary Team in Reducing Vasovagal Reflex During Cardiovascular Interventions Based on the Action Research Method. Journal of North Sichuan Medical College, 38(4): 566–570.</w:t>
      </w:r>
    </w:p>
    <w:p w14:paraId="34602F6E"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[7] </w:t>
      </w:r>
      <w:r>
        <w:rPr>
          <w:rFonts w:ascii="Times New Roman" w:hAnsi="Times New Roman" w:cs="Times New Roman"/>
          <w:sz w:val="24"/>
        </w:rPr>
        <w:tab/>
      </w:r>
      <w:r w:rsidRPr="0036087E">
        <w:rPr>
          <w:rFonts w:ascii="Times New Roman" w:hAnsi="Times New Roman" w:cs="Times New Roman"/>
          <w:sz w:val="24"/>
        </w:rPr>
        <w:t>Jiang H, Xiong D, Zhang R, 2023, Application Status and Prospects of Precision Nursing Under the ERAS Concept. Journal of Sichuan University (Medical Sciences Edition), 54(4): 712–716.</w:t>
      </w:r>
    </w:p>
    <w:p w14:paraId="76D646FD"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[8] </w:t>
      </w:r>
      <w:r>
        <w:rPr>
          <w:rFonts w:ascii="Times New Roman" w:hAnsi="Times New Roman" w:cs="Times New Roman"/>
          <w:sz w:val="24"/>
        </w:rPr>
        <w:tab/>
      </w:r>
      <w:r w:rsidRPr="0036087E">
        <w:rPr>
          <w:rFonts w:ascii="Times New Roman" w:hAnsi="Times New Roman" w:cs="Times New Roman"/>
          <w:sz w:val="24"/>
        </w:rPr>
        <w:t xml:space="preserve">Wei M, Zhang X, 2025, Application Effect of Standardized Management of Analgesic Pumps Based on Evidence-based Nursing in Postoperative Pain Control in Orthopedics—Comment on </w:t>
      </w:r>
      <w:r>
        <w:rPr>
          <w:rFonts w:ascii="Times New Roman" w:hAnsi="Times New Roman" w:cs="Times New Roman"/>
          <w:sz w:val="24"/>
        </w:rPr>
        <w:t>“</w:t>
      </w:r>
      <w:r w:rsidRPr="0036087E">
        <w:rPr>
          <w:rFonts w:ascii="Times New Roman" w:hAnsi="Times New Roman" w:cs="Times New Roman"/>
          <w:sz w:val="24"/>
        </w:rPr>
        <w:t>Common Orthopedic Postoperative Rehabilitation Manual</w:t>
      </w:r>
      <w:r>
        <w:rPr>
          <w:rFonts w:ascii="Times New Roman" w:hAnsi="Times New Roman" w:cs="Times New Roman"/>
          <w:sz w:val="24"/>
        </w:rPr>
        <w:t>”</w:t>
      </w:r>
      <w:r w:rsidRPr="0036087E">
        <w:rPr>
          <w:rFonts w:ascii="Times New Roman" w:hAnsi="Times New Roman" w:cs="Times New Roman"/>
          <w:sz w:val="24"/>
        </w:rPr>
        <w:t>. World Chinese Medicine, 20(17): 3120.</w:t>
      </w:r>
    </w:p>
    <w:p w14:paraId="1608403F"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[9] </w:t>
      </w:r>
      <w:r>
        <w:rPr>
          <w:rFonts w:ascii="Times New Roman" w:hAnsi="Times New Roman" w:cs="Times New Roman"/>
          <w:sz w:val="24"/>
        </w:rPr>
        <w:tab/>
      </w:r>
      <w:r w:rsidRPr="0036087E">
        <w:rPr>
          <w:rFonts w:ascii="Times New Roman" w:hAnsi="Times New Roman" w:cs="Times New Roman"/>
          <w:sz w:val="24"/>
        </w:rPr>
        <w:t>Li P, Huang J, Han Y, et al., 2025, Effects of the Rapid Recovery Concept Based on the Caprini Risk Assessment on Lower Limb Motor Function and Deep Vein Thrombosis After Lumbar Spine Surgery in Elderly Patients. Journal of Vascular and Endovascular Surgery, 11(7): 893–897.</w:t>
      </w:r>
    </w:p>
    <w:p w14:paraId="2E431776"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[10] </w:t>
      </w:r>
      <w:r>
        <w:rPr>
          <w:rFonts w:ascii="Times New Roman" w:hAnsi="Times New Roman" w:cs="Times New Roman"/>
          <w:sz w:val="24"/>
        </w:rPr>
        <w:tab/>
      </w:r>
      <w:r w:rsidRPr="0036087E">
        <w:rPr>
          <w:rFonts w:ascii="Times New Roman" w:hAnsi="Times New Roman" w:cs="Times New Roman"/>
          <w:sz w:val="24"/>
        </w:rPr>
        <w:t xml:space="preserve">Yin M, Zhou Z, 2024, The Impact of Nursing Management on Orthopedic Patients During the Perioperative Period—Comment on </w:t>
      </w:r>
      <w:r>
        <w:rPr>
          <w:rFonts w:ascii="Times New Roman" w:hAnsi="Times New Roman" w:cs="Times New Roman"/>
          <w:sz w:val="24"/>
        </w:rPr>
        <w:t>“</w:t>
      </w:r>
      <w:r w:rsidRPr="0036087E">
        <w:rPr>
          <w:rFonts w:ascii="Times New Roman" w:hAnsi="Times New Roman" w:cs="Times New Roman"/>
          <w:sz w:val="24"/>
        </w:rPr>
        <w:t>Orthopedic Enhanced Recovery Nursing Practice</w:t>
      </w:r>
      <w:r>
        <w:rPr>
          <w:rFonts w:ascii="Times New Roman" w:hAnsi="Times New Roman" w:cs="Times New Roman"/>
          <w:sz w:val="24"/>
        </w:rPr>
        <w:t>”</w:t>
      </w:r>
      <w:r w:rsidRPr="0036087E">
        <w:rPr>
          <w:rFonts w:ascii="Times New Roman" w:hAnsi="Times New Roman" w:cs="Times New Roman"/>
          <w:sz w:val="24"/>
        </w:rPr>
        <w:t>. Chinese Journal of Experimental Traditional Medical Formulae, 30(15): 271.</w:t>
      </w:r>
    </w:p>
    <w:p w14:paraId="0D2C162A" w14:textId="77777777" w:rsidR="0036087E" w:rsidRDefault="0036087E" w:rsidP="0036087E">
      <w:pPr>
        <w:snapToGrid w:val="0"/>
        <w:ind w:left="709" w:hanging="709"/>
        <w:rPr>
          <w:rFonts w:ascii="Times New Roman" w:hAnsi="Times New Roman" w:cs="Times New Roman"/>
          <w:sz w:val="24"/>
        </w:rPr>
      </w:pPr>
      <w:r w:rsidRPr="0036087E">
        <w:rPr>
          <w:rFonts w:ascii="Times New Roman" w:hAnsi="Times New Roman" w:cs="Times New Roman"/>
          <w:sz w:val="24"/>
        </w:rPr>
        <w:t xml:space="preserve">[11] </w:t>
      </w:r>
      <w:r>
        <w:rPr>
          <w:rFonts w:ascii="Times New Roman" w:hAnsi="Times New Roman" w:cs="Times New Roman"/>
          <w:sz w:val="24"/>
        </w:rPr>
        <w:tab/>
      </w:r>
      <w:r w:rsidRPr="0036087E">
        <w:rPr>
          <w:rFonts w:ascii="Times New Roman" w:hAnsi="Times New Roman" w:cs="Times New Roman"/>
          <w:sz w:val="24"/>
        </w:rPr>
        <w:t>Zha L, Cai Y, 2024, Effects of Predictive Nursing Combined with the ERAS Concept on Lumbar Spine Function and Sleep Quality in Patients After Lumbar Spine Surgery. World Journal of Sleep Medicine, 11(2): 417–419 + 422.</w:t>
      </w:r>
    </w:p>
    <w:p w14:paraId="79BA3AB3" w14:textId="49C52284" w:rsidR="00383C8C" w:rsidRDefault="0036087E" w:rsidP="0014290B">
      <w:pPr>
        <w:snapToGrid w:val="0"/>
        <w:ind w:left="709" w:hanging="709"/>
        <w:rPr>
          <w:rFonts w:ascii="Times New Roman" w:hAnsi="Times New Roman" w:cs="Times New Roman"/>
          <w:sz w:val="24"/>
        </w:rPr>
      </w:pPr>
      <w:r w:rsidRPr="0036087E">
        <w:rPr>
          <w:rFonts w:ascii="Times New Roman" w:hAnsi="Times New Roman" w:cs="Times New Roman"/>
          <w:sz w:val="24"/>
        </w:rPr>
        <w:t xml:space="preserve">[12] </w:t>
      </w:r>
      <w:r>
        <w:rPr>
          <w:rFonts w:ascii="Times New Roman" w:hAnsi="Times New Roman" w:cs="Times New Roman"/>
          <w:sz w:val="24"/>
        </w:rPr>
        <w:tab/>
      </w:r>
      <w:r w:rsidRPr="0036087E">
        <w:rPr>
          <w:rFonts w:ascii="Times New Roman" w:hAnsi="Times New Roman" w:cs="Times New Roman"/>
          <w:sz w:val="24"/>
        </w:rPr>
        <w:t>Zhang L, He J, 2024, Analysis of the Application Effect of a Clinical Nursing Intervention Pathway Under the ERAS Concept in Patients with Cerebrospinal Fluid Leakage After Lumbar Fusion Surgery. China Foreign Medical Treatment, 43(26): 136–139.</w:t>
      </w:r>
    </w:p>
    <w:p w14:paraId="3BE63B57" w14:textId="77777777" w:rsidR="0036087E" w:rsidRDefault="0036087E" w:rsidP="0036087E">
      <w:pPr>
        <w:snapToGrid w:val="0"/>
        <w:rPr>
          <w:rFonts w:ascii="Times New Roman" w:hAnsi="Times New Roman" w:cs="Times New Roman"/>
          <w:sz w:val="24"/>
        </w:rPr>
      </w:pPr>
    </w:p>
    <w:p w14:paraId="0A421407" w14:textId="30DCC6F6" w:rsidR="00383C8C" w:rsidRPr="0014290B" w:rsidRDefault="00383C8C" w:rsidP="00383C8C">
      <w:pPr>
        <w:snapToGrid w:val="0"/>
        <w:rPr>
          <w:rFonts w:ascii="Times New Roman" w:hAnsi="Times New Roman" w:cs="Times New Roman"/>
          <w:b/>
          <w:bCs/>
          <w:sz w:val="20"/>
          <w:szCs w:val="20"/>
        </w:rPr>
      </w:pPr>
      <w:r w:rsidRPr="0014290B">
        <w:rPr>
          <w:rFonts w:ascii="Times New Roman" w:hAnsi="Times New Roman" w:cs="Times New Roman"/>
          <w:b/>
          <w:bCs/>
          <w:sz w:val="20"/>
          <w:szCs w:val="20"/>
        </w:rPr>
        <w:t>Publisher</w:t>
      </w:r>
      <w:r w:rsidR="0036087E">
        <w:rPr>
          <w:rFonts w:ascii="Times New Roman" w:hAnsi="Times New Roman" w:cs="Times New Roman"/>
          <w:b/>
          <w:bCs/>
          <w:sz w:val="20"/>
          <w:szCs w:val="20"/>
        </w:rPr>
        <w:t>’</w:t>
      </w:r>
      <w:r w:rsidRPr="0014290B">
        <w:rPr>
          <w:rFonts w:ascii="Times New Roman" w:hAnsi="Times New Roman" w:cs="Times New Roman"/>
          <w:b/>
          <w:bCs/>
          <w:sz w:val="20"/>
          <w:szCs w:val="20"/>
        </w:rPr>
        <w:t>s note</w:t>
      </w:r>
    </w:p>
    <w:p w14:paraId="240704C5" w14:textId="77777777" w:rsidR="00383C8C" w:rsidRPr="0014290B" w:rsidRDefault="00383C8C" w:rsidP="00383C8C">
      <w:pPr>
        <w:snapToGrid w:val="0"/>
        <w:rPr>
          <w:rFonts w:ascii="Times New Roman" w:hAnsi="Times New Roman" w:cs="Times New Roman"/>
          <w:bCs/>
          <w:sz w:val="20"/>
          <w:szCs w:val="20"/>
        </w:rPr>
      </w:pPr>
      <w:r w:rsidRPr="0014290B">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355977AB" w14:textId="77777777" w:rsidR="00383C8C" w:rsidRDefault="00383C8C" w:rsidP="0014290B">
      <w:pPr>
        <w:snapToGrid w:val="0"/>
        <w:rPr>
          <w:rFonts w:ascii="Times New Roman" w:hAnsi="Times New Roman" w:cs="Times New Roman"/>
          <w:sz w:val="24"/>
        </w:rPr>
      </w:pPr>
    </w:p>
    <w:sectPr w:rsidR="00383C8C" w:rsidSect="0014290B">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3DD56D8"/>
    <w:rsid w:val="00110119"/>
    <w:rsid w:val="0014290B"/>
    <w:rsid w:val="00290BE2"/>
    <w:rsid w:val="0036087E"/>
    <w:rsid w:val="00383C8C"/>
    <w:rsid w:val="005144EF"/>
    <w:rsid w:val="009E5B96"/>
    <w:rsid w:val="02C81B1F"/>
    <w:rsid w:val="218F35BF"/>
    <w:rsid w:val="5537534E"/>
    <w:rsid w:val="73DD56D8"/>
    <w:rsid w:val="79B47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7C2C6"/>
  <w15:docId w15:val="{2232AB6D-314E-43B5-85FB-B9649045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383C8C"/>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2924</Words>
  <Characters>16672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NB1</cp:lastModifiedBy>
  <cp:revision>3</cp:revision>
  <dcterms:created xsi:type="dcterms:W3CDTF">2026-07-21T17:57:00Z</dcterms:created>
  <dcterms:modified xsi:type="dcterms:W3CDTF">2026-07-22T07:32:00Z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3DA1D29DE8924629A97CA9A807D2EE48_11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778a84d0-61bd-4739-9440-fc496d905e55</vt:lpwstr>
  </property>
</Properties>
</file>