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B9CD9" w14:textId="77777777" w:rsidR="00F83B51" w:rsidRPr="00B038D2" w:rsidRDefault="00581C16" w:rsidP="00B038D2">
      <w:pPr>
        <w:pStyle w:val="Title"/>
        <w:snapToGrid w:val="0"/>
        <w:rPr>
          <w:rFonts w:ascii="Times New Roman" w:hAnsi="Times New Roman" w:cs="Times New Roman"/>
          <w:b/>
          <w:bCs/>
          <w:sz w:val="44"/>
          <w:szCs w:val="44"/>
          <w:lang w:val="en-US"/>
        </w:rPr>
      </w:pPr>
      <w:r w:rsidRPr="00B038D2">
        <w:rPr>
          <w:rFonts w:ascii="Times New Roman" w:hAnsi="Times New Roman" w:cs="Times New Roman"/>
          <w:b/>
          <w:bCs/>
          <w:sz w:val="44"/>
          <w:szCs w:val="44"/>
          <w:lang w:val="en-US"/>
        </w:rPr>
        <w:t>Mechanisms of Zone 2 Aerobic Exercise on Glycemic Control in Prediabetic Populations: A Narrative Review</w:t>
      </w:r>
    </w:p>
    <w:p w14:paraId="5D49C506" w14:textId="77777777" w:rsidR="00F83B51" w:rsidRPr="00B038D2" w:rsidRDefault="00581C16" w:rsidP="00B038D2">
      <w:pPr>
        <w:pStyle w:val="Title"/>
        <w:snapToGrid w:val="0"/>
        <w:jc w:val="both"/>
        <w:rPr>
          <w:rFonts w:ascii="Times New Roman" w:hAnsi="Times New Roman" w:cs="Times New Roman"/>
          <w:b/>
          <w:bCs/>
          <w:sz w:val="24"/>
          <w:szCs w:val="24"/>
          <w:lang w:val="en-US"/>
        </w:rPr>
      </w:pPr>
      <w:r w:rsidRPr="00B038D2">
        <w:rPr>
          <w:rFonts w:ascii="Times New Roman" w:hAnsi="Times New Roman" w:cs="Times New Roman"/>
          <w:b/>
          <w:bCs/>
          <w:sz w:val="24"/>
          <w:szCs w:val="24"/>
          <w:lang w:val="en-US"/>
        </w:rPr>
        <w:t>Luran</w:t>
      </w:r>
      <w:r w:rsidRPr="00133528">
        <w:rPr>
          <w:rFonts w:ascii="Times New Roman" w:hAnsi="Times New Roman" w:cs="Times New Roman"/>
          <w:b/>
          <w:bCs/>
          <w:sz w:val="24"/>
          <w:szCs w:val="24"/>
          <w:lang w:val="en-US"/>
        </w:rPr>
        <w:t xml:space="preserve"> </w:t>
      </w:r>
      <w:r w:rsidRPr="00B038D2">
        <w:rPr>
          <w:rFonts w:ascii="Times New Roman" w:hAnsi="Times New Roman" w:cs="Times New Roman"/>
          <w:b/>
          <w:bCs/>
          <w:sz w:val="24"/>
          <w:szCs w:val="24"/>
          <w:lang w:val="en-US"/>
        </w:rPr>
        <w:t>Huang</w:t>
      </w:r>
    </w:p>
    <w:p w14:paraId="5C75DAE3" w14:textId="77777777" w:rsidR="00F83B51" w:rsidRPr="00133528" w:rsidRDefault="00581C16" w:rsidP="00B038D2">
      <w:pPr>
        <w:pStyle w:val="Title"/>
        <w:snapToGrid w:val="0"/>
        <w:jc w:val="both"/>
        <w:rPr>
          <w:rFonts w:ascii="Times New Roman" w:hAnsi="Times New Roman" w:cs="Times New Roman"/>
          <w:sz w:val="24"/>
          <w:szCs w:val="24"/>
          <w:lang w:val="en-US"/>
        </w:rPr>
      </w:pPr>
      <w:r w:rsidRPr="00133528">
        <w:rPr>
          <w:rFonts w:ascii="Times New Roman" w:hAnsi="Times New Roman" w:cs="Times New Roman"/>
          <w:sz w:val="24"/>
          <w:szCs w:val="24"/>
          <w:lang w:val="en-US"/>
        </w:rPr>
        <w:t>Xi’an Eurasia University, Xi’an</w:t>
      </w:r>
      <w:r w:rsidRPr="00133528">
        <w:rPr>
          <w:rFonts w:ascii="Times New Roman" w:hAnsi="Times New Roman" w:cs="Times New Roman" w:hint="eastAsia"/>
          <w:sz w:val="24"/>
          <w:szCs w:val="24"/>
          <w:lang w:val="en-US"/>
        </w:rPr>
        <w:t xml:space="preserve"> 710065</w:t>
      </w:r>
      <w:r w:rsidRPr="00133528">
        <w:rPr>
          <w:rFonts w:ascii="Times New Roman" w:hAnsi="Times New Roman" w:cs="Times New Roman"/>
          <w:sz w:val="24"/>
          <w:szCs w:val="24"/>
          <w:lang w:val="en-US"/>
        </w:rPr>
        <w:t>,</w:t>
      </w:r>
      <w:r w:rsidRPr="00133528">
        <w:rPr>
          <w:rFonts w:ascii="Times New Roman" w:hAnsi="Times New Roman" w:cs="Times New Roman" w:hint="eastAsia"/>
          <w:sz w:val="24"/>
          <w:szCs w:val="24"/>
          <w:lang w:val="en-US"/>
        </w:rPr>
        <w:t xml:space="preserve"> </w:t>
      </w:r>
      <w:r w:rsidRPr="00133528">
        <w:rPr>
          <w:rFonts w:ascii="Times New Roman" w:hAnsi="Times New Roman" w:cs="Times New Roman"/>
          <w:sz w:val="24"/>
          <w:szCs w:val="24"/>
          <w:lang w:val="en-US"/>
        </w:rPr>
        <w:t>Shaanxi, China</w:t>
      </w:r>
    </w:p>
    <w:p w14:paraId="59D87A9D" w14:textId="77777777" w:rsidR="00F83B51" w:rsidRPr="00B038D2" w:rsidRDefault="00F83B51" w:rsidP="00133528">
      <w:pPr>
        <w:pStyle w:val="Heading1"/>
        <w:snapToGrid w:val="0"/>
        <w:rPr>
          <w:rFonts w:ascii="Times New Roman" w:hAnsi="Times New Roman" w:cs="Times New Roman"/>
          <w:b/>
          <w:bCs/>
          <w:sz w:val="24"/>
          <w:szCs w:val="24"/>
          <w:lang w:val="en-US"/>
        </w:rPr>
      </w:pPr>
    </w:p>
    <w:p w14:paraId="418BD510" w14:textId="77777777" w:rsidR="00133528" w:rsidRPr="00133528" w:rsidRDefault="00133528" w:rsidP="00133528">
      <w:pPr>
        <w:snapToGrid w:val="0"/>
        <w:rPr>
          <w:rFonts w:ascii="Times New Roman" w:hAnsi="Times New Roman" w:cs="Times New Roman"/>
          <w:b/>
          <w:bCs/>
          <w:sz w:val="20"/>
          <w:szCs w:val="20"/>
        </w:rPr>
      </w:pPr>
      <w:r w:rsidRPr="00133528">
        <w:rPr>
          <w:rFonts w:ascii="Times New Roman" w:hAnsi="Times New Roman" w:cs="Times New Roman"/>
          <w:b/>
          <w:bCs/>
          <w:sz w:val="20"/>
          <w:szCs w:val="20"/>
        </w:rPr>
        <w:t xml:space="preserve">Copyright: </w:t>
      </w:r>
      <w:r w:rsidRPr="00133528">
        <w:rPr>
          <w:rFonts w:ascii="Times New Roman" w:hAnsi="Times New Roman" w:cs="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673AC34C" w14:textId="77777777" w:rsidR="00133528" w:rsidRPr="00B038D2" w:rsidRDefault="00133528" w:rsidP="00B038D2"/>
    <w:p w14:paraId="66DCA594" w14:textId="77777777" w:rsidR="00F83B51" w:rsidRPr="00B038D2" w:rsidRDefault="00581C16" w:rsidP="00B038D2">
      <w:pPr>
        <w:pStyle w:val="Heading1"/>
        <w:snapToGrid w:val="0"/>
        <w:jc w:val="both"/>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Abstract</w:t>
      </w:r>
      <w:r w:rsidRPr="00133528">
        <w:rPr>
          <w:rFonts w:ascii="Times New Roman" w:hAnsi="Times New Roman" w:cs="Times New Roman" w:hint="eastAsia"/>
          <w:b/>
          <w:bCs/>
          <w:color w:val="auto"/>
          <w:sz w:val="24"/>
          <w:szCs w:val="24"/>
          <w:lang w:val="en-US"/>
        </w:rPr>
        <w:t xml:space="preserve">: </w:t>
      </w:r>
      <w:r w:rsidRPr="00B038D2">
        <w:rPr>
          <w:rFonts w:ascii="Times New Roman" w:hAnsi="Times New Roman" w:cs="Times New Roman"/>
          <w:color w:val="auto"/>
          <w:sz w:val="24"/>
          <w:szCs w:val="24"/>
          <w:lang w:val="en-US"/>
        </w:rPr>
        <w:t>Prediabetes represents a critical window for the development of type 2 diabetes, with exercise intervention serving as a core management strategy. Zone 2 aerobic exercise, characterized by low-to-moderate intensity and sustained fat oxidation, has recently attracted attention for its potential to improve glucose metabolism. This narrative review synthesizes domestic and international research to explore the underlying mechanisms by which Zone 2 aerobic exercise improves glycemic control in prediabetic popul</w:t>
      </w:r>
      <w:r w:rsidRPr="00B038D2">
        <w:rPr>
          <w:rFonts w:ascii="Times New Roman" w:hAnsi="Times New Roman" w:cs="Times New Roman"/>
          <w:color w:val="auto"/>
          <w:sz w:val="24"/>
          <w:szCs w:val="24"/>
          <w:lang w:val="en-US"/>
        </w:rPr>
        <w:t xml:space="preserve">ations, including enhanced mitochondrial biogenesis, improved fatty acid oxidation capacity, ameliorated insulin signaling pathways, modulation of chronic low-grade inflammation, and gut microbiota remodeling. Current evidence suggests that Zone 2 aerobic exercise can improve insulin sensitivity through multi-target, multi-pathway synergistic effects, thereby reducing the risk of diabetes progression. Future high-quality randomized controlled trials are needed to validate its long-term efficacy and optimal </w:t>
      </w:r>
      <w:r w:rsidRPr="00B038D2">
        <w:rPr>
          <w:rFonts w:ascii="Times New Roman" w:hAnsi="Times New Roman" w:cs="Times New Roman"/>
          <w:color w:val="auto"/>
          <w:sz w:val="24"/>
          <w:szCs w:val="24"/>
          <w:lang w:val="en-US"/>
        </w:rPr>
        <w:t>exercise prescription parameters.</w:t>
      </w:r>
    </w:p>
    <w:p w14:paraId="514C3A99" w14:textId="33E4E67F"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hint="eastAsia"/>
          <w:b/>
          <w:bCs/>
          <w:sz w:val="24"/>
          <w:szCs w:val="24"/>
        </w:rPr>
        <w:t>Keywords</w:t>
      </w:r>
      <w:r w:rsidRPr="00B038D2">
        <w:rPr>
          <w:rFonts w:ascii="Times New Roman" w:hAnsi="Times New Roman" w:cs="Times New Roman" w:hint="eastAsia"/>
          <w:b/>
          <w:bCs/>
          <w:sz w:val="24"/>
          <w:szCs w:val="24"/>
        </w:rPr>
        <w:t>:</w:t>
      </w:r>
      <w:r w:rsidRPr="00133528">
        <w:rPr>
          <w:rFonts w:ascii="Times New Roman" w:hAnsi="Times New Roman" w:cs="Times New Roman" w:hint="eastAsia"/>
          <w:sz w:val="24"/>
          <w:szCs w:val="24"/>
        </w:rPr>
        <w:t xml:space="preserve"> Prediabetes; Zone 2 </w:t>
      </w:r>
      <w:r w:rsidR="00133528">
        <w:rPr>
          <w:rFonts w:ascii="Times New Roman" w:hAnsi="Times New Roman" w:cs="Times New Roman"/>
          <w:sz w:val="24"/>
          <w:szCs w:val="24"/>
        </w:rPr>
        <w:t>a</w:t>
      </w:r>
      <w:r w:rsidR="00133528" w:rsidRPr="00133528">
        <w:rPr>
          <w:rFonts w:ascii="Times New Roman" w:hAnsi="Times New Roman" w:cs="Times New Roman" w:hint="eastAsia"/>
          <w:sz w:val="24"/>
          <w:szCs w:val="24"/>
        </w:rPr>
        <w:t xml:space="preserve">erobic </w:t>
      </w:r>
      <w:r w:rsidR="00133528" w:rsidRPr="00133528">
        <w:rPr>
          <w:rFonts w:ascii="Times New Roman" w:hAnsi="Times New Roman" w:cs="Times New Roman"/>
          <w:sz w:val="24"/>
          <w:szCs w:val="24"/>
        </w:rPr>
        <w:t>e</w:t>
      </w:r>
      <w:r w:rsidR="00133528" w:rsidRPr="00133528">
        <w:rPr>
          <w:rFonts w:ascii="Times New Roman" w:hAnsi="Times New Roman" w:cs="Times New Roman" w:hint="eastAsia"/>
          <w:sz w:val="24"/>
          <w:szCs w:val="24"/>
        </w:rPr>
        <w:t>xercise</w:t>
      </w:r>
      <w:r w:rsidRPr="00133528">
        <w:rPr>
          <w:rFonts w:ascii="Times New Roman" w:hAnsi="Times New Roman" w:cs="Times New Roman" w:hint="eastAsia"/>
          <w:sz w:val="24"/>
          <w:szCs w:val="24"/>
        </w:rPr>
        <w:t xml:space="preserve">; Glycemic </w:t>
      </w:r>
      <w:r w:rsidR="00133528" w:rsidRPr="00133528">
        <w:rPr>
          <w:rFonts w:ascii="Times New Roman" w:hAnsi="Times New Roman" w:cs="Times New Roman"/>
          <w:sz w:val="24"/>
          <w:szCs w:val="24"/>
        </w:rPr>
        <w:t>c</w:t>
      </w:r>
      <w:r w:rsidR="00133528" w:rsidRPr="00133528">
        <w:rPr>
          <w:rFonts w:ascii="Times New Roman" w:hAnsi="Times New Roman" w:cs="Times New Roman" w:hint="eastAsia"/>
          <w:sz w:val="24"/>
          <w:szCs w:val="24"/>
        </w:rPr>
        <w:t>ontrol</w:t>
      </w:r>
    </w:p>
    <w:p w14:paraId="554F47F7" w14:textId="77777777" w:rsidR="00F83B51" w:rsidRPr="00133528" w:rsidRDefault="00F83B51" w:rsidP="00133528">
      <w:pPr>
        <w:snapToGrid w:val="0"/>
        <w:rPr>
          <w:rFonts w:ascii="Times New Roman" w:hAnsi="Times New Roman" w:cs="Times New Roman"/>
          <w:sz w:val="24"/>
          <w:szCs w:val="24"/>
        </w:rPr>
      </w:pPr>
    </w:p>
    <w:p w14:paraId="0BD5E09C" w14:textId="43DB869A" w:rsidR="00133528" w:rsidRPr="00B038D2" w:rsidRDefault="00133528" w:rsidP="00133528">
      <w:pPr>
        <w:snapToGrid w:val="0"/>
        <w:rPr>
          <w:rFonts w:ascii="Times New Roman" w:hAnsi="Times New Roman" w:cs="Times New Roman"/>
          <w:b/>
          <w:bCs/>
          <w:sz w:val="24"/>
          <w:szCs w:val="24"/>
        </w:rPr>
      </w:pPr>
      <w:r w:rsidRPr="00B038D2">
        <w:rPr>
          <w:rFonts w:ascii="Times New Roman" w:hAnsi="Times New Roman" w:cs="Times New Roman"/>
          <w:b/>
          <w:bCs/>
          <w:sz w:val="24"/>
          <w:szCs w:val="24"/>
        </w:rPr>
        <w:t>Online publication:</w:t>
      </w:r>
    </w:p>
    <w:p w14:paraId="559A610B" w14:textId="77777777" w:rsidR="00133528" w:rsidRPr="00133528" w:rsidRDefault="00133528" w:rsidP="00B038D2">
      <w:pPr>
        <w:snapToGrid w:val="0"/>
        <w:rPr>
          <w:rFonts w:ascii="Times New Roman" w:hAnsi="Times New Roman" w:cs="Times New Roman"/>
          <w:sz w:val="24"/>
          <w:szCs w:val="24"/>
        </w:rPr>
      </w:pPr>
    </w:p>
    <w:p w14:paraId="5526AF25" w14:textId="77777777" w:rsidR="00F83B51" w:rsidRPr="00B038D2" w:rsidRDefault="00581C16" w:rsidP="00B038D2">
      <w:pPr>
        <w:pStyle w:val="Heading1"/>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1. Introduction</w:t>
      </w:r>
    </w:p>
    <w:p w14:paraId="07BE7EF8" w14:textId="6F6B675B"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 xml:space="preserve">Prediabetes refers to an intermediate metabolic state in which blood glucose levels are elevated above normal but have not yet reached the diagnostic threshold for type 2 diabetes, encompassing impaired fasting glucose (IFG), impaired glucose tolerance (IGT), or both </w:t>
      </w:r>
      <w:r w:rsidRPr="00133528">
        <w:rPr>
          <w:rFonts w:ascii="Times New Roman" w:hAnsi="Times New Roman" w:cs="Times New Roman" w:hint="eastAsia"/>
          <w:sz w:val="24"/>
          <w:szCs w:val="24"/>
          <w:vertAlign w:val="superscript"/>
        </w:rPr>
        <w:t>[1]</w:t>
      </w:r>
      <w:r w:rsidRPr="00133528">
        <w:rPr>
          <w:rFonts w:ascii="Times New Roman" w:hAnsi="Times New Roman" w:cs="Times New Roman"/>
          <w:sz w:val="24"/>
          <w:szCs w:val="24"/>
        </w:rPr>
        <w:t>. The global prevalence of prediabetes is approximately 37.4%, and without effective intervention, approximately 5</w:t>
      </w:r>
      <w:r w:rsidRPr="00133528">
        <w:rPr>
          <w:rFonts w:ascii="Times New Roman" w:hAnsi="Times New Roman" w:cs="Times New Roman"/>
          <w:sz w:val="24"/>
          <w:szCs w:val="24"/>
        </w:rPr>
        <w:t xml:space="preserve">–10% of prediabetic individuals progress to type 2 diabetes each year </w:t>
      </w:r>
      <w:r w:rsidRPr="00133528">
        <w:rPr>
          <w:rFonts w:ascii="Times New Roman" w:hAnsi="Times New Roman" w:cs="Times New Roman" w:hint="eastAsia"/>
          <w:sz w:val="24"/>
          <w:szCs w:val="24"/>
          <w:vertAlign w:val="superscript"/>
        </w:rPr>
        <w:t>[2]</w:t>
      </w:r>
      <w:r w:rsidRPr="00133528">
        <w:rPr>
          <w:rFonts w:ascii="Times New Roman" w:hAnsi="Times New Roman" w:cs="Times New Roman"/>
          <w:sz w:val="24"/>
          <w:szCs w:val="24"/>
        </w:rPr>
        <w:t>.</w:t>
      </w:r>
    </w:p>
    <w:p w14:paraId="597DAFB5" w14:textId="77777777"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 xml:space="preserve">Exercise intervention is the cornerstone of prediabetes management. The American Diabetes Association recommends at least 150 minutes of moderate-intensity aerobic exercise per week </w:t>
      </w:r>
      <w:r w:rsidRPr="00133528">
        <w:rPr>
          <w:rFonts w:ascii="Times New Roman" w:hAnsi="Times New Roman" w:cs="Times New Roman" w:hint="eastAsia"/>
          <w:sz w:val="24"/>
          <w:szCs w:val="24"/>
          <w:vertAlign w:val="superscript"/>
        </w:rPr>
        <w:t>[3]</w:t>
      </w:r>
      <w:r w:rsidRPr="00133528">
        <w:rPr>
          <w:rFonts w:ascii="Times New Roman" w:hAnsi="Times New Roman" w:cs="Times New Roman"/>
          <w:sz w:val="24"/>
          <w:szCs w:val="24"/>
        </w:rPr>
        <w:t>. However, traditional exercise prescriptions have predominantly focused on moderate-intensity continuous training (MICT) or high-intensity interval training (HIIT), with relatively limited research on Zone 2 aerobic exercise.</w:t>
      </w:r>
    </w:p>
    <w:p w14:paraId="3E15F20E" w14:textId="06BF78D1"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 xml:space="preserve">Zone 2 aerobic exercise is defined as low-to-moderate intensity sustained exercise performed below the first lactate threshold (LT1), with fat serving as the primary fuel substrate </w:t>
      </w:r>
      <w:r w:rsidRPr="00133528">
        <w:rPr>
          <w:rFonts w:ascii="Times New Roman" w:hAnsi="Times New Roman" w:cs="Times New Roman" w:hint="eastAsia"/>
          <w:sz w:val="24"/>
          <w:szCs w:val="24"/>
          <w:vertAlign w:val="superscript"/>
        </w:rPr>
        <w:t>[4]</w:t>
      </w:r>
      <w:r w:rsidRPr="00133528">
        <w:rPr>
          <w:rFonts w:ascii="Times New Roman" w:hAnsi="Times New Roman" w:cs="Times New Roman"/>
          <w:sz w:val="24"/>
          <w:szCs w:val="24"/>
        </w:rPr>
        <w:t>. Its characteristics include relatively low exercise intensity (approximately 60</w:t>
      </w:r>
      <w:r w:rsidRPr="00133528">
        <w:rPr>
          <w:rFonts w:ascii="Times New Roman" w:hAnsi="Times New Roman" w:cs="Times New Roman"/>
          <w:sz w:val="24"/>
          <w:szCs w:val="24"/>
        </w:rPr>
        <w:t>–70% of maximum heart rate), prolonged sustainability, and low perceived exertion, making it suitable for individuals with limited exercise foundations. Increasing evidence has demonstrated that Zone 2 exercise offers unique advantages in improving metabolic health</w:t>
      </w:r>
      <w:r w:rsidR="00133528">
        <w:rPr>
          <w:rFonts w:ascii="Times New Roman" w:hAnsi="Times New Roman" w:cs="Times New Roman"/>
          <w:sz w:val="24"/>
          <w:szCs w:val="24"/>
        </w:rPr>
        <w:t xml:space="preserve"> </w:t>
      </w:r>
      <w:r w:rsidRPr="00133528">
        <w:rPr>
          <w:rFonts w:ascii="Times New Roman" w:hAnsi="Times New Roman" w:cs="Times New Roman" w:hint="eastAsia"/>
          <w:sz w:val="24"/>
          <w:szCs w:val="24"/>
          <w:vertAlign w:val="superscript"/>
        </w:rPr>
        <w:t>[5</w:t>
      </w:r>
      <w:r w:rsidR="00133528">
        <w:rPr>
          <w:rFonts w:ascii="Times New Roman" w:hAnsi="Times New Roman" w:cs="Times New Roman"/>
          <w:sz w:val="24"/>
          <w:szCs w:val="24"/>
          <w:vertAlign w:val="superscript"/>
        </w:rPr>
        <w:t>,</w:t>
      </w:r>
      <w:r w:rsidRPr="00133528">
        <w:rPr>
          <w:rFonts w:ascii="Times New Roman" w:hAnsi="Times New Roman" w:cs="Times New Roman" w:hint="eastAsia"/>
          <w:sz w:val="24"/>
          <w:szCs w:val="24"/>
          <w:vertAlign w:val="superscript"/>
        </w:rPr>
        <w:t>6]</w:t>
      </w:r>
      <w:r w:rsidRPr="00133528">
        <w:rPr>
          <w:rFonts w:ascii="Times New Roman" w:hAnsi="Times New Roman" w:cs="Times New Roman"/>
          <w:sz w:val="24"/>
          <w:szCs w:val="24"/>
        </w:rPr>
        <w:t>.</w:t>
      </w:r>
    </w:p>
    <w:p w14:paraId="698042F9" w14:textId="77777777"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This review aims to synthesize the mechanisms by which Zone 2 aerobic exercise improves glycemic control in prediabetic populations, providing a theoretical basis for clinical exercise prescription.</w:t>
      </w:r>
    </w:p>
    <w:p w14:paraId="0D5B4816" w14:textId="77777777" w:rsidR="00F83B51" w:rsidRPr="00133528" w:rsidRDefault="00F83B51" w:rsidP="00B038D2">
      <w:pPr>
        <w:snapToGrid w:val="0"/>
        <w:ind w:firstLineChars="200" w:firstLine="480"/>
        <w:rPr>
          <w:rFonts w:ascii="Times New Roman" w:hAnsi="Times New Roman" w:cs="Times New Roman"/>
          <w:sz w:val="24"/>
          <w:szCs w:val="24"/>
        </w:rPr>
      </w:pPr>
    </w:p>
    <w:p w14:paraId="39AD703A" w14:textId="77777777" w:rsidR="00F83B51" w:rsidRPr="00B038D2" w:rsidRDefault="00581C16" w:rsidP="00B038D2">
      <w:pPr>
        <w:pStyle w:val="Heading1"/>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 xml:space="preserve">2. Physiological </w:t>
      </w:r>
      <w:r w:rsidRPr="00133528">
        <w:rPr>
          <w:rFonts w:ascii="Times New Roman" w:hAnsi="Times New Roman" w:cs="Times New Roman" w:hint="eastAsia"/>
          <w:b/>
          <w:bCs/>
          <w:color w:val="auto"/>
          <w:sz w:val="24"/>
          <w:szCs w:val="24"/>
          <w:lang w:val="en-US"/>
        </w:rPr>
        <w:t>c</w:t>
      </w:r>
      <w:r w:rsidRPr="00B038D2">
        <w:rPr>
          <w:rFonts w:ascii="Times New Roman" w:hAnsi="Times New Roman" w:cs="Times New Roman"/>
          <w:b/>
          <w:bCs/>
          <w:color w:val="auto"/>
          <w:sz w:val="24"/>
          <w:szCs w:val="24"/>
          <w:lang w:val="en-US"/>
        </w:rPr>
        <w:t xml:space="preserve">haracteristics of </w:t>
      </w:r>
      <w:r w:rsidRPr="00133528">
        <w:rPr>
          <w:rFonts w:ascii="Times New Roman" w:hAnsi="Times New Roman" w:cs="Times New Roman" w:hint="eastAsia"/>
          <w:b/>
          <w:bCs/>
          <w:color w:val="auto"/>
          <w:sz w:val="24"/>
          <w:szCs w:val="24"/>
          <w:lang w:val="en-US"/>
        </w:rPr>
        <w:t>z</w:t>
      </w:r>
      <w:r w:rsidRPr="00B038D2">
        <w:rPr>
          <w:rFonts w:ascii="Times New Roman" w:hAnsi="Times New Roman" w:cs="Times New Roman"/>
          <w:b/>
          <w:bCs/>
          <w:color w:val="auto"/>
          <w:sz w:val="24"/>
          <w:szCs w:val="24"/>
          <w:lang w:val="en-US"/>
        </w:rPr>
        <w:t xml:space="preserve">one 2 </w:t>
      </w:r>
      <w:r w:rsidRPr="00133528">
        <w:rPr>
          <w:rFonts w:ascii="Times New Roman" w:hAnsi="Times New Roman" w:cs="Times New Roman" w:hint="eastAsia"/>
          <w:b/>
          <w:bCs/>
          <w:color w:val="auto"/>
          <w:sz w:val="24"/>
          <w:szCs w:val="24"/>
          <w:lang w:val="en-US"/>
        </w:rPr>
        <w:t>a</w:t>
      </w:r>
      <w:r w:rsidRPr="00B038D2">
        <w:rPr>
          <w:rFonts w:ascii="Times New Roman" w:hAnsi="Times New Roman" w:cs="Times New Roman"/>
          <w:b/>
          <w:bCs/>
          <w:color w:val="auto"/>
          <w:sz w:val="24"/>
          <w:szCs w:val="24"/>
          <w:lang w:val="en-US"/>
        </w:rPr>
        <w:t xml:space="preserve">erobic </w:t>
      </w:r>
      <w:r w:rsidRPr="00133528">
        <w:rPr>
          <w:rFonts w:ascii="Times New Roman" w:hAnsi="Times New Roman" w:cs="Times New Roman" w:hint="eastAsia"/>
          <w:b/>
          <w:bCs/>
          <w:color w:val="auto"/>
          <w:sz w:val="24"/>
          <w:szCs w:val="24"/>
          <w:lang w:val="en-US"/>
        </w:rPr>
        <w:t>e</w:t>
      </w:r>
      <w:r w:rsidRPr="00B038D2">
        <w:rPr>
          <w:rFonts w:ascii="Times New Roman" w:hAnsi="Times New Roman" w:cs="Times New Roman"/>
          <w:b/>
          <w:bCs/>
          <w:color w:val="auto"/>
          <w:sz w:val="24"/>
          <w:szCs w:val="24"/>
          <w:lang w:val="en-US"/>
        </w:rPr>
        <w:t>xercise</w:t>
      </w:r>
    </w:p>
    <w:p w14:paraId="7F58EC34" w14:textId="77777777" w:rsidR="00F83B51" w:rsidRPr="00B038D2" w:rsidRDefault="00581C16" w:rsidP="00B038D2">
      <w:pPr>
        <w:pStyle w:val="Heading2"/>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2.1</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Definition and </w:t>
      </w:r>
      <w:r w:rsidRPr="00133528">
        <w:rPr>
          <w:rFonts w:ascii="Times New Roman" w:hAnsi="Times New Roman" w:cs="Times New Roman" w:hint="eastAsia"/>
          <w:b/>
          <w:bCs/>
          <w:color w:val="auto"/>
          <w:sz w:val="24"/>
          <w:szCs w:val="24"/>
          <w:lang w:val="en-US"/>
        </w:rPr>
        <w:t>i</w:t>
      </w:r>
      <w:r w:rsidRPr="00B038D2">
        <w:rPr>
          <w:rFonts w:ascii="Times New Roman" w:hAnsi="Times New Roman" w:cs="Times New Roman"/>
          <w:b/>
          <w:bCs/>
          <w:color w:val="auto"/>
          <w:sz w:val="24"/>
          <w:szCs w:val="24"/>
          <w:lang w:val="en-US"/>
        </w:rPr>
        <w:t xml:space="preserve">ntensity </w:t>
      </w:r>
      <w:r w:rsidRPr="00133528">
        <w:rPr>
          <w:rFonts w:ascii="Times New Roman" w:hAnsi="Times New Roman" w:cs="Times New Roman" w:hint="eastAsia"/>
          <w:b/>
          <w:bCs/>
          <w:color w:val="auto"/>
          <w:sz w:val="24"/>
          <w:szCs w:val="24"/>
          <w:lang w:val="en-US"/>
        </w:rPr>
        <w:t>d</w:t>
      </w:r>
      <w:r w:rsidRPr="00B038D2">
        <w:rPr>
          <w:rFonts w:ascii="Times New Roman" w:hAnsi="Times New Roman" w:cs="Times New Roman"/>
          <w:b/>
          <w:bCs/>
          <w:color w:val="auto"/>
          <w:sz w:val="24"/>
          <w:szCs w:val="24"/>
          <w:lang w:val="en-US"/>
        </w:rPr>
        <w:t>emarcation</w:t>
      </w:r>
    </w:p>
    <w:p w14:paraId="418556B8" w14:textId="1BAA3053"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 xml:space="preserve">The intensity of Zone 2 aerobic exercise is typically defined as being below the first lactate threshold </w:t>
      </w:r>
      <w:r w:rsidRPr="00133528">
        <w:rPr>
          <w:rFonts w:ascii="Times New Roman" w:hAnsi="Times New Roman" w:cs="Times New Roman"/>
          <w:sz w:val="24"/>
          <w:szCs w:val="24"/>
        </w:rPr>
        <w:lastRenderedPageBreak/>
        <w:t xml:space="preserve">(LT1) or the first ventilatory threshold (VT1) </w:t>
      </w:r>
      <w:r w:rsidRPr="00133528">
        <w:rPr>
          <w:rFonts w:ascii="Times New Roman" w:hAnsi="Times New Roman" w:cs="Times New Roman" w:hint="eastAsia"/>
          <w:sz w:val="24"/>
          <w:szCs w:val="24"/>
          <w:vertAlign w:val="superscript"/>
        </w:rPr>
        <w:t>[4]</w:t>
      </w:r>
      <w:r w:rsidRPr="00133528">
        <w:rPr>
          <w:rFonts w:ascii="Times New Roman" w:hAnsi="Times New Roman" w:cs="Times New Roman"/>
          <w:sz w:val="24"/>
          <w:szCs w:val="24"/>
        </w:rPr>
        <w:t>. At this intensity, blood lactate concentration remains below 2 mmol/L, the body relies predominantly on aerobic metabolism, and fat oxidation rate reaches its peak</w:t>
      </w:r>
      <w:r w:rsidR="00133528">
        <w:rPr>
          <w:rFonts w:ascii="Times New Roman" w:hAnsi="Times New Roman" w:cs="Times New Roman"/>
          <w:sz w:val="24"/>
          <w:szCs w:val="24"/>
        </w:rPr>
        <w:t xml:space="preserve"> </w:t>
      </w:r>
      <w:r w:rsidRPr="00133528">
        <w:rPr>
          <w:rFonts w:ascii="Times New Roman" w:hAnsi="Times New Roman" w:cs="Times New Roman" w:hint="eastAsia"/>
          <w:sz w:val="24"/>
          <w:szCs w:val="24"/>
          <w:vertAlign w:val="superscript"/>
        </w:rPr>
        <w:t>[7]</w:t>
      </w:r>
      <w:r w:rsidRPr="00133528">
        <w:rPr>
          <w:rFonts w:ascii="Times New Roman" w:hAnsi="Times New Roman" w:cs="Times New Roman"/>
          <w:sz w:val="24"/>
          <w:szCs w:val="24"/>
        </w:rPr>
        <w:t>.</w:t>
      </w:r>
    </w:p>
    <w:p w14:paraId="08ED6DAD" w14:textId="315DFA42"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In terms of heart rate, Zone 2 exercise corresponds to 60</w:t>
      </w:r>
      <w:r w:rsidRPr="00133528">
        <w:rPr>
          <w:rFonts w:ascii="Times New Roman" w:hAnsi="Times New Roman" w:cs="Times New Roman"/>
          <w:sz w:val="24"/>
          <w:szCs w:val="24"/>
        </w:rPr>
        <w:t>–70% of maximum heart rate (HRmax) or 40</w:t>
      </w:r>
      <w:r w:rsidRPr="00133528">
        <w:rPr>
          <w:rFonts w:ascii="Times New Roman" w:hAnsi="Times New Roman" w:cs="Times New Roman"/>
          <w:sz w:val="24"/>
          <w:szCs w:val="24"/>
        </w:rPr>
        <w:t xml:space="preserve">–59% of heart rate reserve (HRR) </w:t>
      </w:r>
      <w:r w:rsidRPr="00133528">
        <w:rPr>
          <w:rFonts w:ascii="Times New Roman" w:hAnsi="Times New Roman" w:cs="Times New Roman" w:hint="eastAsia"/>
          <w:sz w:val="24"/>
          <w:szCs w:val="24"/>
          <w:vertAlign w:val="superscript"/>
        </w:rPr>
        <w:t>[8]</w:t>
      </w:r>
      <w:r w:rsidRPr="00133528">
        <w:rPr>
          <w:rFonts w:ascii="Times New Roman" w:hAnsi="Times New Roman" w:cs="Times New Roman"/>
          <w:sz w:val="24"/>
          <w:szCs w:val="24"/>
        </w:rPr>
        <w:t xml:space="preserve">. From the perspective of rating of perceived exertion (RPE), it corresponds to a score of 11–13 on the Borg scale (light to somewhat hard) </w:t>
      </w:r>
      <w:r w:rsidRPr="00133528">
        <w:rPr>
          <w:rFonts w:ascii="Times New Roman" w:hAnsi="Times New Roman" w:cs="Times New Roman" w:hint="eastAsia"/>
          <w:sz w:val="24"/>
          <w:szCs w:val="24"/>
          <w:vertAlign w:val="superscript"/>
        </w:rPr>
        <w:t>[9]</w:t>
      </w:r>
      <w:r w:rsidRPr="00133528">
        <w:rPr>
          <w:rFonts w:ascii="Times New Roman" w:hAnsi="Times New Roman" w:cs="Times New Roman"/>
          <w:sz w:val="24"/>
          <w:szCs w:val="24"/>
        </w:rPr>
        <w:t>.</w:t>
      </w:r>
    </w:p>
    <w:p w14:paraId="75760B50" w14:textId="77777777" w:rsidR="00F83B51" w:rsidRPr="00133528" w:rsidRDefault="00F83B51" w:rsidP="00B038D2">
      <w:pPr>
        <w:snapToGrid w:val="0"/>
        <w:ind w:firstLineChars="200" w:firstLine="480"/>
        <w:rPr>
          <w:rFonts w:ascii="Times New Roman" w:hAnsi="Times New Roman" w:cs="Times New Roman"/>
          <w:sz w:val="24"/>
          <w:szCs w:val="24"/>
        </w:rPr>
      </w:pPr>
    </w:p>
    <w:p w14:paraId="03B9DEEB" w14:textId="77777777" w:rsidR="00F83B51" w:rsidRPr="00B038D2" w:rsidRDefault="00581C16" w:rsidP="00B038D2">
      <w:pPr>
        <w:pStyle w:val="Heading2"/>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2.2</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Metabolic </w:t>
      </w:r>
      <w:r w:rsidRPr="00133528">
        <w:rPr>
          <w:rFonts w:ascii="Times New Roman" w:hAnsi="Times New Roman" w:cs="Times New Roman" w:hint="eastAsia"/>
          <w:b/>
          <w:bCs/>
          <w:color w:val="auto"/>
          <w:sz w:val="24"/>
          <w:szCs w:val="24"/>
          <w:lang w:val="en-US"/>
        </w:rPr>
        <w:t>c</w:t>
      </w:r>
      <w:r w:rsidRPr="00B038D2">
        <w:rPr>
          <w:rFonts w:ascii="Times New Roman" w:hAnsi="Times New Roman" w:cs="Times New Roman"/>
          <w:b/>
          <w:bCs/>
          <w:color w:val="auto"/>
          <w:sz w:val="24"/>
          <w:szCs w:val="24"/>
          <w:lang w:val="en-US"/>
        </w:rPr>
        <w:t>haracteristics</w:t>
      </w:r>
    </w:p>
    <w:p w14:paraId="5995B112" w14:textId="77777777"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 xml:space="preserve">The core metabolic feature of Zone 2 exercise is </w:t>
      </w:r>
      <w:r w:rsidRPr="00133528">
        <w:rPr>
          <w:rFonts w:ascii="Times New Roman" w:hAnsi="Times New Roman" w:cs="Times New Roman"/>
          <w:sz w:val="24"/>
          <w:szCs w:val="24"/>
        </w:rPr>
        <w:t>maximized fat oxidation</w:t>
      </w:r>
      <w:r w:rsidRPr="00133528">
        <w:rPr>
          <w:rFonts w:ascii="Times New Roman" w:hAnsi="Times New Roman" w:cs="Times New Roman"/>
          <w:sz w:val="24"/>
          <w:szCs w:val="24"/>
        </w:rPr>
        <w:t>. San-Millán and Brooks (2018) demonstrated that well-trained athletes can achieve fat oxidation rates of 1.0–1.5 g/min at Zone 2 intensity, whereas sedentary individuals achieve only 0.3–0.5 g/min. This difference reflects variations in mitochondrial function and metabolic flexibility.</w:t>
      </w:r>
    </w:p>
    <w:p w14:paraId="6ACE304C" w14:textId="77777777"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 xml:space="preserve">Additionally, Zone 2 exercise can significantly activate the AMPK (AMP-activated protein kinase) pathway, promoting the translocation of glucose transporter protein GLUT4 to the cell membrane and increasing muscular glucose uptake </w:t>
      </w:r>
      <w:r w:rsidRPr="00133528">
        <w:rPr>
          <w:rFonts w:ascii="Times New Roman" w:hAnsi="Times New Roman" w:cs="Times New Roman" w:hint="eastAsia"/>
          <w:sz w:val="24"/>
          <w:szCs w:val="24"/>
          <w:vertAlign w:val="superscript"/>
        </w:rPr>
        <w:t>[10]</w:t>
      </w:r>
      <w:r w:rsidRPr="00133528">
        <w:rPr>
          <w:rFonts w:ascii="Times New Roman" w:hAnsi="Times New Roman" w:cs="Times New Roman"/>
          <w:sz w:val="24"/>
          <w:szCs w:val="24"/>
        </w:rPr>
        <w:t>.</w:t>
      </w:r>
    </w:p>
    <w:p w14:paraId="7BC22631" w14:textId="77777777" w:rsidR="00F83B51" w:rsidRPr="00133528" w:rsidRDefault="00F83B51" w:rsidP="00B038D2">
      <w:pPr>
        <w:snapToGrid w:val="0"/>
        <w:ind w:firstLineChars="200" w:firstLine="480"/>
        <w:rPr>
          <w:rFonts w:ascii="Times New Roman" w:hAnsi="Times New Roman" w:cs="Times New Roman"/>
          <w:sz w:val="24"/>
          <w:szCs w:val="24"/>
        </w:rPr>
      </w:pPr>
    </w:p>
    <w:p w14:paraId="0CE0FA6E" w14:textId="77777777" w:rsidR="00F83B51" w:rsidRPr="00B038D2" w:rsidRDefault="00581C16" w:rsidP="00B038D2">
      <w:pPr>
        <w:pStyle w:val="Heading1"/>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 xml:space="preserve">3. Pathological </w:t>
      </w:r>
      <w:r w:rsidRPr="00133528">
        <w:rPr>
          <w:rFonts w:ascii="Times New Roman" w:hAnsi="Times New Roman" w:cs="Times New Roman" w:hint="eastAsia"/>
          <w:b/>
          <w:bCs/>
          <w:color w:val="auto"/>
          <w:sz w:val="24"/>
          <w:szCs w:val="24"/>
          <w:lang w:val="en-US"/>
        </w:rPr>
        <w:t>m</w:t>
      </w:r>
      <w:r w:rsidRPr="00B038D2">
        <w:rPr>
          <w:rFonts w:ascii="Times New Roman" w:hAnsi="Times New Roman" w:cs="Times New Roman"/>
          <w:b/>
          <w:bCs/>
          <w:color w:val="auto"/>
          <w:sz w:val="24"/>
          <w:szCs w:val="24"/>
          <w:lang w:val="en-US"/>
        </w:rPr>
        <w:t xml:space="preserve">echanisms of </w:t>
      </w:r>
      <w:r w:rsidRPr="00133528">
        <w:rPr>
          <w:rFonts w:ascii="Times New Roman" w:hAnsi="Times New Roman" w:cs="Times New Roman" w:hint="eastAsia"/>
          <w:b/>
          <w:bCs/>
          <w:color w:val="auto"/>
          <w:sz w:val="24"/>
          <w:szCs w:val="24"/>
          <w:lang w:val="en-US"/>
        </w:rPr>
        <w:t>p</w:t>
      </w:r>
      <w:r w:rsidRPr="00B038D2">
        <w:rPr>
          <w:rFonts w:ascii="Times New Roman" w:hAnsi="Times New Roman" w:cs="Times New Roman"/>
          <w:b/>
          <w:bCs/>
          <w:color w:val="auto"/>
          <w:sz w:val="24"/>
          <w:szCs w:val="24"/>
          <w:lang w:val="en-US"/>
        </w:rPr>
        <w:t>rediabetes</w:t>
      </w:r>
    </w:p>
    <w:p w14:paraId="67AC69D8" w14:textId="77777777"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 xml:space="preserve">The development of prediabetes involves multiple interrelated pathophysiological processes. The primary alteration is insulin resistance, wherein skeletal muscle, liver, and adipose tissue exhibit decreased sensitivity to insulin, resulting in reduced efficiency of glucose uptake and utilization </w:t>
      </w:r>
      <w:r w:rsidRPr="00133528">
        <w:rPr>
          <w:rFonts w:ascii="Times New Roman" w:hAnsi="Times New Roman" w:cs="Times New Roman" w:hint="eastAsia"/>
          <w:sz w:val="24"/>
          <w:szCs w:val="24"/>
          <w:vertAlign w:val="superscript"/>
        </w:rPr>
        <w:t>[11]</w:t>
      </w:r>
      <w:r w:rsidRPr="00133528">
        <w:rPr>
          <w:rFonts w:ascii="Times New Roman" w:hAnsi="Times New Roman" w:cs="Times New Roman"/>
          <w:sz w:val="24"/>
          <w:szCs w:val="24"/>
        </w:rPr>
        <w:t xml:space="preserve">. Concurrently, pancreatic β-cell function progressively deteriorates, and insulin secretory capacity becomes insufficient to compensate for peripheral insulin resistance, leading to disruption of glucose homeostasis </w:t>
      </w:r>
      <w:r w:rsidRPr="00133528">
        <w:rPr>
          <w:rFonts w:ascii="Times New Roman" w:hAnsi="Times New Roman" w:cs="Times New Roman" w:hint="eastAsia"/>
          <w:sz w:val="24"/>
          <w:szCs w:val="24"/>
          <w:vertAlign w:val="superscript"/>
        </w:rPr>
        <w:t>[12]</w:t>
      </w:r>
      <w:r w:rsidRPr="00133528">
        <w:rPr>
          <w:rFonts w:ascii="Times New Roman" w:hAnsi="Times New Roman" w:cs="Times New Roman"/>
          <w:sz w:val="24"/>
          <w:szCs w:val="24"/>
        </w:rPr>
        <w:t>.</w:t>
      </w:r>
    </w:p>
    <w:p w14:paraId="7C6801B7" w14:textId="77777777"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 xml:space="preserve">At the cellular level, elevated free fatty acid levels lead to increased intramyocellular lipid deposition, including accumulation of intramyocellular triglycerides and diacylglycerol, which interfere with insulin signal transduction </w:t>
      </w:r>
      <w:r w:rsidRPr="00133528">
        <w:rPr>
          <w:rFonts w:ascii="Times New Roman" w:hAnsi="Times New Roman" w:cs="Times New Roman" w:hint="eastAsia"/>
          <w:sz w:val="24"/>
          <w:szCs w:val="24"/>
          <w:vertAlign w:val="superscript"/>
        </w:rPr>
        <w:t>[13]</w:t>
      </w:r>
      <w:r w:rsidRPr="00133528">
        <w:rPr>
          <w:rFonts w:ascii="Times New Roman" w:hAnsi="Times New Roman" w:cs="Times New Roman"/>
          <w:sz w:val="24"/>
          <w:szCs w:val="24"/>
        </w:rPr>
        <w:t xml:space="preserve">. Chronic low-grade inflammation also constitutes an important pathological foundation, with elevated levels of pro-inflammatory cytokines such as tumor necrosis factor-alpha (TNF-α) and interleukin-6 (IL-6) activating inflammatory pathways including JNK and IKKβ, thereby suppressing insulin receptor substrate function </w:t>
      </w:r>
      <w:r w:rsidRPr="00133528">
        <w:rPr>
          <w:rFonts w:ascii="Times New Roman" w:hAnsi="Times New Roman" w:cs="Times New Roman" w:hint="eastAsia"/>
          <w:sz w:val="24"/>
          <w:szCs w:val="24"/>
          <w:vertAlign w:val="superscript"/>
        </w:rPr>
        <w:t>[14]</w:t>
      </w:r>
      <w:r w:rsidRPr="00133528">
        <w:rPr>
          <w:rFonts w:ascii="Times New Roman" w:hAnsi="Times New Roman" w:cs="Times New Roman"/>
          <w:sz w:val="24"/>
          <w:szCs w:val="24"/>
        </w:rPr>
        <w:t xml:space="preserve">. Furthermore, decreased skeletal muscle mitochondrial quantity and function, accompanied by reduced fatty acid oxidation capacity, further exacerbate lipid metabolic dysfunction and insulin resistance </w:t>
      </w:r>
      <w:r w:rsidRPr="00133528">
        <w:rPr>
          <w:rFonts w:ascii="Times New Roman" w:hAnsi="Times New Roman" w:cs="Times New Roman" w:hint="eastAsia"/>
          <w:sz w:val="24"/>
          <w:szCs w:val="24"/>
          <w:vertAlign w:val="superscript"/>
        </w:rPr>
        <w:t>[15]</w:t>
      </w:r>
      <w:r w:rsidRPr="00133528">
        <w:rPr>
          <w:rFonts w:ascii="Times New Roman" w:hAnsi="Times New Roman" w:cs="Times New Roman"/>
          <w:sz w:val="24"/>
          <w:szCs w:val="24"/>
        </w:rPr>
        <w:t>. These mechanisms are intricately interconnected and mutually reinforcing, forming a vicious cycle that ultimately drives the progression from prediabetes to type 2 diabetes.</w:t>
      </w:r>
    </w:p>
    <w:p w14:paraId="1BFB79A1" w14:textId="77777777" w:rsidR="00F83B51" w:rsidRPr="00133528" w:rsidRDefault="00F83B51" w:rsidP="00B038D2">
      <w:pPr>
        <w:snapToGrid w:val="0"/>
        <w:ind w:firstLineChars="200" w:firstLine="480"/>
        <w:rPr>
          <w:rFonts w:ascii="Times New Roman" w:hAnsi="Times New Roman" w:cs="Times New Roman"/>
          <w:sz w:val="24"/>
          <w:szCs w:val="24"/>
        </w:rPr>
      </w:pPr>
    </w:p>
    <w:p w14:paraId="377F0B73" w14:textId="77777777" w:rsidR="00F83B51" w:rsidRPr="00B038D2" w:rsidRDefault="00581C16" w:rsidP="00B038D2">
      <w:pPr>
        <w:pStyle w:val="Heading1"/>
        <w:snapToGrid w:val="0"/>
        <w:rPr>
          <w:rFonts w:ascii="Times New Roman" w:hAnsi="Times New Roman" w:cs="Times New Roman"/>
          <w:b/>
          <w:bCs/>
          <w:color w:val="auto"/>
          <w:sz w:val="24"/>
          <w:szCs w:val="24"/>
          <w:lang w:val="en-US"/>
        </w:rPr>
      </w:pPr>
      <w:r w:rsidRPr="00B038D2">
        <w:rPr>
          <w:rFonts w:ascii="Times New Roman" w:hAnsi="Times New Roman" w:cs="Times New Roman"/>
          <w:b/>
          <w:bCs/>
          <w:color w:val="auto"/>
          <w:sz w:val="24"/>
          <w:szCs w:val="24"/>
          <w:lang w:val="en-US"/>
        </w:rPr>
        <w:t xml:space="preserve">4. Mechanisms of </w:t>
      </w:r>
      <w:r w:rsidRPr="00133528">
        <w:rPr>
          <w:rFonts w:ascii="Times New Roman" w:hAnsi="Times New Roman" w:cs="Times New Roman" w:hint="eastAsia"/>
          <w:b/>
          <w:bCs/>
          <w:color w:val="auto"/>
          <w:sz w:val="24"/>
          <w:szCs w:val="24"/>
          <w:lang w:val="en-US"/>
        </w:rPr>
        <w:t>z</w:t>
      </w:r>
      <w:r w:rsidRPr="00B038D2">
        <w:rPr>
          <w:rFonts w:ascii="Times New Roman" w:hAnsi="Times New Roman" w:cs="Times New Roman"/>
          <w:b/>
          <w:bCs/>
          <w:color w:val="auto"/>
          <w:sz w:val="24"/>
          <w:szCs w:val="24"/>
          <w:lang w:val="en-US"/>
        </w:rPr>
        <w:t xml:space="preserve">one 2 </w:t>
      </w:r>
      <w:r w:rsidRPr="00133528">
        <w:rPr>
          <w:rFonts w:ascii="Times New Roman" w:hAnsi="Times New Roman" w:cs="Times New Roman" w:hint="eastAsia"/>
          <w:b/>
          <w:bCs/>
          <w:color w:val="auto"/>
          <w:sz w:val="24"/>
          <w:szCs w:val="24"/>
          <w:lang w:val="en-US"/>
        </w:rPr>
        <w:t>a</w:t>
      </w:r>
      <w:r w:rsidRPr="00B038D2">
        <w:rPr>
          <w:rFonts w:ascii="Times New Roman" w:hAnsi="Times New Roman" w:cs="Times New Roman"/>
          <w:b/>
          <w:bCs/>
          <w:color w:val="auto"/>
          <w:sz w:val="24"/>
          <w:szCs w:val="24"/>
          <w:lang w:val="en-US"/>
        </w:rPr>
        <w:t xml:space="preserve">erobic </w:t>
      </w:r>
      <w:r w:rsidRPr="00133528">
        <w:rPr>
          <w:rFonts w:ascii="Times New Roman" w:hAnsi="Times New Roman" w:cs="Times New Roman" w:hint="eastAsia"/>
          <w:b/>
          <w:bCs/>
          <w:color w:val="auto"/>
          <w:sz w:val="24"/>
          <w:szCs w:val="24"/>
          <w:lang w:val="en-US"/>
        </w:rPr>
        <w:t>e</w:t>
      </w:r>
      <w:r w:rsidRPr="00B038D2">
        <w:rPr>
          <w:rFonts w:ascii="Times New Roman" w:hAnsi="Times New Roman" w:cs="Times New Roman"/>
          <w:b/>
          <w:bCs/>
          <w:color w:val="auto"/>
          <w:sz w:val="24"/>
          <w:szCs w:val="24"/>
          <w:lang w:val="en-US"/>
        </w:rPr>
        <w:t xml:space="preserve">xercise in </w:t>
      </w:r>
      <w:r w:rsidRPr="00133528">
        <w:rPr>
          <w:rFonts w:ascii="Times New Roman" w:hAnsi="Times New Roman" w:cs="Times New Roman" w:hint="eastAsia"/>
          <w:b/>
          <w:bCs/>
          <w:color w:val="auto"/>
          <w:sz w:val="24"/>
          <w:szCs w:val="24"/>
          <w:lang w:val="en-US"/>
        </w:rPr>
        <w:t>i</w:t>
      </w:r>
      <w:r w:rsidRPr="00B038D2">
        <w:rPr>
          <w:rFonts w:ascii="Times New Roman" w:hAnsi="Times New Roman" w:cs="Times New Roman"/>
          <w:b/>
          <w:bCs/>
          <w:color w:val="auto"/>
          <w:sz w:val="24"/>
          <w:szCs w:val="24"/>
          <w:lang w:val="en-US"/>
        </w:rPr>
        <w:t xml:space="preserve">mproving </w:t>
      </w:r>
      <w:r w:rsidRPr="00133528">
        <w:rPr>
          <w:rFonts w:ascii="Times New Roman" w:hAnsi="Times New Roman" w:cs="Times New Roman" w:hint="eastAsia"/>
          <w:b/>
          <w:bCs/>
          <w:color w:val="auto"/>
          <w:sz w:val="24"/>
          <w:szCs w:val="24"/>
          <w:lang w:val="en-US"/>
        </w:rPr>
        <w:t>g</w:t>
      </w:r>
      <w:r w:rsidRPr="00B038D2">
        <w:rPr>
          <w:rFonts w:ascii="Times New Roman" w:hAnsi="Times New Roman" w:cs="Times New Roman"/>
          <w:b/>
          <w:bCs/>
          <w:color w:val="auto"/>
          <w:sz w:val="24"/>
          <w:szCs w:val="24"/>
          <w:lang w:val="en-US"/>
        </w:rPr>
        <w:t xml:space="preserve">lycemic </w:t>
      </w:r>
      <w:r w:rsidRPr="00133528">
        <w:rPr>
          <w:rFonts w:ascii="Times New Roman" w:hAnsi="Times New Roman" w:cs="Times New Roman" w:hint="eastAsia"/>
          <w:b/>
          <w:bCs/>
          <w:color w:val="auto"/>
          <w:sz w:val="24"/>
          <w:szCs w:val="24"/>
          <w:lang w:val="en-US"/>
        </w:rPr>
        <w:t>c</w:t>
      </w:r>
      <w:r w:rsidRPr="00B038D2">
        <w:rPr>
          <w:rFonts w:ascii="Times New Roman" w:hAnsi="Times New Roman" w:cs="Times New Roman"/>
          <w:b/>
          <w:bCs/>
          <w:color w:val="auto"/>
          <w:sz w:val="24"/>
          <w:szCs w:val="24"/>
          <w:lang w:val="en-US"/>
        </w:rPr>
        <w:t>ontrol</w:t>
      </w:r>
    </w:p>
    <w:p w14:paraId="794050DD" w14:textId="77777777" w:rsidR="00F83B51" w:rsidRPr="00B038D2" w:rsidRDefault="00581C16" w:rsidP="00B038D2">
      <w:pPr>
        <w:pStyle w:val="Heading2"/>
        <w:snapToGrid w:val="0"/>
        <w:rPr>
          <w:rFonts w:ascii="Times New Roman" w:hAnsi="Times New Roman" w:cs="Times New Roman"/>
          <w:b/>
          <w:bCs/>
          <w:color w:val="auto"/>
          <w:sz w:val="24"/>
          <w:szCs w:val="24"/>
          <w:lang w:val="en-US"/>
        </w:rPr>
      </w:pPr>
      <w:r w:rsidRPr="00B038D2">
        <w:rPr>
          <w:rFonts w:ascii="Times New Roman" w:hAnsi="Times New Roman" w:cs="Times New Roman"/>
          <w:b/>
          <w:bCs/>
          <w:color w:val="auto"/>
          <w:sz w:val="24"/>
          <w:szCs w:val="24"/>
          <w:lang w:val="en-US"/>
        </w:rPr>
        <w:t>4.1</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Enhancement of </w:t>
      </w:r>
      <w:r w:rsidRPr="00133528">
        <w:rPr>
          <w:rFonts w:ascii="Times New Roman" w:hAnsi="Times New Roman" w:cs="Times New Roman" w:hint="eastAsia"/>
          <w:b/>
          <w:bCs/>
          <w:color w:val="auto"/>
          <w:sz w:val="24"/>
          <w:szCs w:val="24"/>
          <w:lang w:val="en-US"/>
        </w:rPr>
        <w:t>m</w:t>
      </w:r>
      <w:r w:rsidRPr="00B038D2">
        <w:rPr>
          <w:rFonts w:ascii="Times New Roman" w:hAnsi="Times New Roman" w:cs="Times New Roman"/>
          <w:b/>
          <w:bCs/>
          <w:color w:val="auto"/>
          <w:sz w:val="24"/>
          <w:szCs w:val="24"/>
          <w:lang w:val="en-US"/>
        </w:rPr>
        <w:t xml:space="preserve">itochondrial </w:t>
      </w:r>
      <w:r w:rsidRPr="00133528">
        <w:rPr>
          <w:rFonts w:ascii="Times New Roman" w:hAnsi="Times New Roman" w:cs="Times New Roman" w:hint="eastAsia"/>
          <w:b/>
          <w:bCs/>
          <w:color w:val="auto"/>
          <w:sz w:val="24"/>
          <w:szCs w:val="24"/>
          <w:lang w:val="en-US"/>
        </w:rPr>
        <w:t>b</w:t>
      </w:r>
      <w:r w:rsidRPr="00B038D2">
        <w:rPr>
          <w:rFonts w:ascii="Times New Roman" w:hAnsi="Times New Roman" w:cs="Times New Roman"/>
          <w:b/>
          <w:bCs/>
          <w:color w:val="auto"/>
          <w:sz w:val="24"/>
          <w:szCs w:val="24"/>
          <w:lang w:val="en-US"/>
        </w:rPr>
        <w:t xml:space="preserve">iogenesis and </w:t>
      </w:r>
      <w:r w:rsidRPr="00133528">
        <w:rPr>
          <w:rFonts w:ascii="Times New Roman" w:hAnsi="Times New Roman" w:cs="Times New Roman" w:hint="eastAsia"/>
          <w:b/>
          <w:bCs/>
          <w:color w:val="auto"/>
          <w:sz w:val="24"/>
          <w:szCs w:val="24"/>
          <w:lang w:val="en-US"/>
        </w:rPr>
        <w:t>f</w:t>
      </w:r>
      <w:r w:rsidRPr="00B038D2">
        <w:rPr>
          <w:rFonts w:ascii="Times New Roman" w:hAnsi="Times New Roman" w:cs="Times New Roman"/>
          <w:b/>
          <w:bCs/>
          <w:color w:val="auto"/>
          <w:sz w:val="24"/>
          <w:szCs w:val="24"/>
          <w:lang w:val="en-US"/>
        </w:rPr>
        <w:t>unction</w:t>
      </w:r>
    </w:p>
    <w:p w14:paraId="3AAD1396" w14:textId="77777777"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 xml:space="preserve">Mitochondria serve as the primary site of fatty acid oxidation. Prediabetic individuals commonly exhibit skeletal muscle mitochondrial dysfunction, manifested as reduced mitochondrial density and decreased oxidative phosphorylation capacity </w:t>
      </w:r>
      <w:r w:rsidRPr="00133528">
        <w:rPr>
          <w:rFonts w:ascii="Times New Roman" w:hAnsi="Times New Roman" w:cs="Times New Roman" w:hint="eastAsia"/>
          <w:sz w:val="24"/>
          <w:szCs w:val="24"/>
          <w:vertAlign w:val="superscript"/>
        </w:rPr>
        <w:t>[15]</w:t>
      </w:r>
      <w:r w:rsidRPr="00133528">
        <w:rPr>
          <w:rFonts w:ascii="Times New Roman" w:hAnsi="Times New Roman" w:cs="Times New Roman"/>
          <w:sz w:val="24"/>
          <w:szCs w:val="24"/>
        </w:rPr>
        <w:t>. Zone 2 aerobic exercise can improve mitochondrial function through multiple molecular pathways.</w:t>
      </w:r>
    </w:p>
    <w:p w14:paraId="02A014B5" w14:textId="77777777"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 xml:space="preserve">Energy stress induced by exercise activates AMPK, which phosphorylates and activates PGC-1α (peroxisome proliferator-activated receptor gamma coactivator 1-alpha), initiating the mitochondrial biogenesis program </w:t>
      </w:r>
      <w:r w:rsidRPr="00133528">
        <w:rPr>
          <w:rFonts w:ascii="Times New Roman" w:hAnsi="Times New Roman" w:cs="Times New Roman" w:hint="eastAsia"/>
          <w:sz w:val="24"/>
          <w:szCs w:val="24"/>
          <w:vertAlign w:val="superscript"/>
        </w:rPr>
        <w:t>[16]</w:t>
      </w:r>
      <w:r w:rsidRPr="00133528">
        <w:rPr>
          <w:rFonts w:ascii="Times New Roman" w:hAnsi="Times New Roman" w:cs="Times New Roman"/>
          <w:sz w:val="24"/>
          <w:szCs w:val="24"/>
        </w:rPr>
        <w:t xml:space="preserve">. Activated PGC-1α further cooperates with nuclear respiratory factors NRF-1 and NRF-2, as well as mitochondrial transcription factor A (TFAM), to promote mitochondrial DNA replication and mitochondrial protein synthesis </w:t>
      </w:r>
      <w:r w:rsidRPr="00133528">
        <w:rPr>
          <w:rFonts w:ascii="Times New Roman" w:hAnsi="Times New Roman" w:cs="Times New Roman" w:hint="eastAsia"/>
          <w:sz w:val="24"/>
          <w:szCs w:val="24"/>
          <w:vertAlign w:val="superscript"/>
        </w:rPr>
        <w:t>[17]</w:t>
      </w:r>
      <w:r w:rsidRPr="00133528">
        <w:rPr>
          <w:rFonts w:ascii="Times New Roman" w:hAnsi="Times New Roman" w:cs="Times New Roman"/>
          <w:sz w:val="24"/>
          <w:szCs w:val="24"/>
        </w:rPr>
        <w:t xml:space="preserve">. At the functional level, regular Zone 2 exercise can increase the activity of mitochondrial electron transport chain complexes I through IV, enhancing ATP production efficiency and significantly improving the oxidative phosphorylation capacity of skeletal muscle </w:t>
      </w:r>
      <w:r w:rsidRPr="00133528">
        <w:rPr>
          <w:rFonts w:ascii="Times New Roman" w:hAnsi="Times New Roman" w:cs="Times New Roman" w:hint="eastAsia"/>
          <w:sz w:val="24"/>
          <w:szCs w:val="24"/>
          <w:vertAlign w:val="superscript"/>
        </w:rPr>
        <w:t>[18]</w:t>
      </w:r>
      <w:r w:rsidRPr="00133528">
        <w:rPr>
          <w:rFonts w:ascii="Times New Roman" w:hAnsi="Times New Roman" w:cs="Times New Roman"/>
          <w:sz w:val="24"/>
          <w:szCs w:val="24"/>
        </w:rPr>
        <w:t>.</w:t>
      </w:r>
    </w:p>
    <w:p w14:paraId="2F8E4C06" w14:textId="7D56797C"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Hood et al. (2016) demonstrated that six weeks of moderate-intensity aerobic exercise increased skeletal muscle mitochondrial content by 40</w:t>
      </w:r>
      <w:r w:rsidRPr="00133528">
        <w:rPr>
          <w:rFonts w:ascii="Times New Roman" w:hAnsi="Times New Roman" w:cs="Times New Roman"/>
          <w:sz w:val="24"/>
          <w:szCs w:val="24"/>
        </w:rPr>
        <w:t>–50%, with a significant improvement in fatty acid oxidation capacity.</w:t>
      </w:r>
    </w:p>
    <w:p w14:paraId="2AC21765" w14:textId="77777777" w:rsidR="00F83B51" w:rsidRPr="00133528" w:rsidRDefault="00F83B51" w:rsidP="00B038D2">
      <w:pPr>
        <w:snapToGrid w:val="0"/>
        <w:ind w:firstLineChars="200" w:firstLine="480"/>
        <w:rPr>
          <w:rFonts w:ascii="Times New Roman" w:hAnsi="Times New Roman" w:cs="Times New Roman"/>
          <w:sz w:val="24"/>
          <w:szCs w:val="24"/>
        </w:rPr>
      </w:pPr>
    </w:p>
    <w:p w14:paraId="341B96D4" w14:textId="77777777" w:rsidR="00F83B51" w:rsidRPr="00B038D2" w:rsidRDefault="00581C16" w:rsidP="00B038D2">
      <w:pPr>
        <w:pStyle w:val="Heading2"/>
        <w:snapToGrid w:val="0"/>
        <w:rPr>
          <w:rFonts w:ascii="Times New Roman" w:hAnsi="Times New Roman" w:cs="Times New Roman"/>
          <w:b/>
          <w:bCs/>
          <w:color w:val="auto"/>
          <w:sz w:val="24"/>
          <w:szCs w:val="24"/>
          <w:lang w:val="en-US"/>
        </w:rPr>
      </w:pPr>
      <w:r w:rsidRPr="00B038D2">
        <w:rPr>
          <w:rFonts w:ascii="Times New Roman" w:hAnsi="Times New Roman" w:cs="Times New Roman"/>
          <w:b/>
          <w:bCs/>
          <w:color w:val="auto"/>
          <w:sz w:val="24"/>
          <w:szCs w:val="24"/>
          <w:lang w:val="en-US"/>
        </w:rPr>
        <w:lastRenderedPageBreak/>
        <w:t>4.2</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Enhancement of </w:t>
      </w:r>
      <w:r w:rsidRPr="00133528">
        <w:rPr>
          <w:rFonts w:ascii="Times New Roman" w:hAnsi="Times New Roman" w:cs="Times New Roman" w:hint="eastAsia"/>
          <w:b/>
          <w:bCs/>
          <w:color w:val="auto"/>
          <w:sz w:val="24"/>
          <w:szCs w:val="24"/>
          <w:lang w:val="en-US"/>
        </w:rPr>
        <w:t>f</w:t>
      </w:r>
      <w:r w:rsidRPr="00B038D2">
        <w:rPr>
          <w:rFonts w:ascii="Times New Roman" w:hAnsi="Times New Roman" w:cs="Times New Roman"/>
          <w:b/>
          <w:bCs/>
          <w:color w:val="auto"/>
          <w:sz w:val="24"/>
          <w:szCs w:val="24"/>
          <w:lang w:val="en-US"/>
        </w:rPr>
        <w:t xml:space="preserve">atty </w:t>
      </w:r>
      <w:r w:rsidRPr="00133528">
        <w:rPr>
          <w:rFonts w:ascii="Times New Roman" w:hAnsi="Times New Roman" w:cs="Times New Roman" w:hint="eastAsia"/>
          <w:b/>
          <w:bCs/>
          <w:color w:val="auto"/>
          <w:sz w:val="24"/>
          <w:szCs w:val="24"/>
          <w:lang w:val="en-US"/>
        </w:rPr>
        <w:t>a</w:t>
      </w:r>
      <w:r w:rsidRPr="00B038D2">
        <w:rPr>
          <w:rFonts w:ascii="Times New Roman" w:hAnsi="Times New Roman" w:cs="Times New Roman"/>
          <w:b/>
          <w:bCs/>
          <w:color w:val="auto"/>
          <w:sz w:val="24"/>
          <w:szCs w:val="24"/>
          <w:lang w:val="en-US"/>
        </w:rPr>
        <w:t xml:space="preserve">cid </w:t>
      </w:r>
      <w:r w:rsidRPr="00133528">
        <w:rPr>
          <w:rFonts w:ascii="Times New Roman" w:hAnsi="Times New Roman" w:cs="Times New Roman" w:hint="eastAsia"/>
          <w:b/>
          <w:bCs/>
          <w:color w:val="auto"/>
          <w:sz w:val="24"/>
          <w:szCs w:val="24"/>
          <w:lang w:val="en-US"/>
        </w:rPr>
        <w:t>o</w:t>
      </w:r>
      <w:r w:rsidRPr="00B038D2">
        <w:rPr>
          <w:rFonts w:ascii="Times New Roman" w:hAnsi="Times New Roman" w:cs="Times New Roman"/>
          <w:b/>
          <w:bCs/>
          <w:color w:val="auto"/>
          <w:sz w:val="24"/>
          <w:szCs w:val="24"/>
          <w:lang w:val="en-US"/>
        </w:rPr>
        <w:t xml:space="preserve">xidation </w:t>
      </w:r>
      <w:r w:rsidRPr="00133528">
        <w:rPr>
          <w:rFonts w:ascii="Times New Roman" w:hAnsi="Times New Roman" w:cs="Times New Roman" w:hint="eastAsia"/>
          <w:b/>
          <w:bCs/>
          <w:color w:val="auto"/>
          <w:sz w:val="24"/>
          <w:szCs w:val="24"/>
          <w:lang w:val="en-US"/>
        </w:rPr>
        <w:t>c</w:t>
      </w:r>
      <w:r w:rsidRPr="00B038D2">
        <w:rPr>
          <w:rFonts w:ascii="Times New Roman" w:hAnsi="Times New Roman" w:cs="Times New Roman"/>
          <w:b/>
          <w:bCs/>
          <w:color w:val="auto"/>
          <w:sz w:val="24"/>
          <w:szCs w:val="24"/>
          <w:lang w:val="en-US"/>
        </w:rPr>
        <w:t xml:space="preserve">apacity and </w:t>
      </w:r>
      <w:r w:rsidRPr="00133528">
        <w:rPr>
          <w:rFonts w:ascii="Times New Roman" w:hAnsi="Times New Roman" w:cs="Times New Roman" w:hint="eastAsia"/>
          <w:b/>
          <w:bCs/>
          <w:color w:val="auto"/>
          <w:sz w:val="24"/>
          <w:szCs w:val="24"/>
          <w:lang w:val="en-US"/>
        </w:rPr>
        <w:t>r</w:t>
      </w:r>
      <w:r w:rsidRPr="00B038D2">
        <w:rPr>
          <w:rFonts w:ascii="Times New Roman" w:hAnsi="Times New Roman" w:cs="Times New Roman"/>
          <w:b/>
          <w:bCs/>
          <w:color w:val="auto"/>
          <w:sz w:val="24"/>
          <w:szCs w:val="24"/>
          <w:lang w:val="en-US"/>
        </w:rPr>
        <w:t xml:space="preserve">eduction of </w:t>
      </w:r>
      <w:r w:rsidRPr="00133528">
        <w:rPr>
          <w:rFonts w:ascii="Times New Roman" w:hAnsi="Times New Roman" w:cs="Times New Roman" w:hint="eastAsia"/>
          <w:b/>
          <w:bCs/>
          <w:color w:val="auto"/>
          <w:sz w:val="24"/>
          <w:szCs w:val="24"/>
          <w:lang w:val="en-US"/>
        </w:rPr>
        <w:t>l</w:t>
      </w:r>
      <w:r w:rsidRPr="00B038D2">
        <w:rPr>
          <w:rFonts w:ascii="Times New Roman" w:hAnsi="Times New Roman" w:cs="Times New Roman"/>
          <w:b/>
          <w:bCs/>
          <w:color w:val="auto"/>
          <w:sz w:val="24"/>
          <w:szCs w:val="24"/>
          <w:lang w:val="en-US"/>
        </w:rPr>
        <w:t>ipotoxicity</w:t>
      </w:r>
    </w:p>
    <w:p w14:paraId="530397A3" w14:textId="77777777"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 xml:space="preserve">Intramyocellular lipid deposition, particularly diacylglycerol and ceramides, is an important contributor to insulin resistance </w:t>
      </w:r>
      <w:r w:rsidRPr="00133528">
        <w:rPr>
          <w:rFonts w:ascii="Times New Roman" w:hAnsi="Times New Roman" w:cs="Times New Roman" w:hint="eastAsia"/>
          <w:sz w:val="24"/>
          <w:szCs w:val="24"/>
          <w:vertAlign w:val="superscript"/>
        </w:rPr>
        <w:t>[13]</w:t>
      </w:r>
      <w:r w:rsidRPr="00133528">
        <w:rPr>
          <w:rFonts w:ascii="Times New Roman" w:hAnsi="Times New Roman" w:cs="Times New Roman"/>
          <w:sz w:val="24"/>
          <w:szCs w:val="24"/>
        </w:rPr>
        <w:t xml:space="preserve">. These lipid metabolites can activate protein kinase C, which phosphorylates inhibitory sites on insulin receptor substrate-1 (IRS-1), thereby blocking insulin signal transduction </w:t>
      </w:r>
      <w:r w:rsidRPr="00133528">
        <w:rPr>
          <w:rFonts w:ascii="Times New Roman" w:hAnsi="Times New Roman" w:cs="Times New Roman" w:hint="eastAsia"/>
          <w:sz w:val="24"/>
          <w:szCs w:val="24"/>
          <w:vertAlign w:val="superscript"/>
        </w:rPr>
        <w:t>[19]</w:t>
      </w:r>
      <w:r w:rsidRPr="00133528">
        <w:rPr>
          <w:rFonts w:ascii="Times New Roman" w:hAnsi="Times New Roman" w:cs="Times New Roman"/>
          <w:sz w:val="24"/>
          <w:szCs w:val="24"/>
        </w:rPr>
        <w:t>.</w:t>
      </w:r>
    </w:p>
    <w:p w14:paraId="289FF366" w14:textId="77777777"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 xml:space="preserve">Zone 2 aerobic exercise reduces lipotoxicity through synergistic effects at multiple levels. At the level of fatty acid uptake, exercise upregulates the expression of fatty acid transport proteins such as CD36 and FATP, promoting efficient fatty acid entry into mitochondria </w:t>
      </w:r>
      <w:r w:rsidRPr="00133528">
        <w:rPr>
          <w:rFonts w:ascii="Times New Roman" w:hAnsi="Times New Roman" w:cs="Times New Roman" w:hint="eastAsia"/>
          <w:sz w:val="24"/>
          <w:szCs w:val="24"/>
          <w:vertAlign w:val="superscript"/>
        </w:rPr>
        <w:t>[20]</w:t>
      </w:r>
      <w:r w:rsidRPr="00133528">
        <w:rPr>
          <w:rFonts w:ascii="Times New Roman" w:hAnsi="Times New Roman" w:cs="Times New Roman"/>
          <w:sz w:val="24"/>
          <w:szCs w:val="24"/>
        </w:rPr>
        <w:t>. At the level of oxidative metabolism, exercise increases the activity of carnitine palmitoyl</w:t>
      </w:r>
      <w:r w:rsidRPr="00133528">
        <w:rPr>
          <w:rFonts w:ascii="Times New Roman" w:hAnsi="Times New Roman" w:cs="Times New Roman"/>
          <w:sz w:val="24"/>
          <w:szCs w:val="24"/>
        </w:rPr>
        <w:t xml:space="preserve"> </w:t>
      </w:r>
      <w:r w:rsidRPr="00133528">
        <w:rPr>
          <w:rFonts w:ascii="Times New Roman" w:hAnsi="Times New Roman" w:cs="Times New Roman"/>
          <w:sz w:val="24"/>
          <w:szCs w:val="24"/>
        </w:rPr>
        <w:t xml:space="preserve">transferase-1, the rate-limiting enzyme for long-chain fatty acid entry into the mitochondrial matrix for β-oxidation </w:t>
      </w:r>
      <w:r w:rsidRPr="00133528">
        <w:rPr>
          <w:rFonts w:ascii="Times New Roman" w:hAnsi="Times New Roman" w:cs="Times New Roman" w:hint="eastAsia"/>
          <w:sz w:val="24"/>
          <w:szCs w:val="24"/>
          <w:vertAlign w:val="superscript"/>
        </w:rPr>
        <w:t>[21]</w:t>
      </w:r>
      <w:r w:rsidRPr="00133528">
        <w:rPr>
          <w:rFonts w:ascii="Times New Roman" w:hAnsi="Times New Roman" w:cs="Times New Roman"/>
          <w:sz w:val="24"/>
          <w:szCs w:val="24"/>
        </w:rPr>
        <w:t xml:space="preserve">. Through sustained fat oxidation, intramyocellular DAG and ceramide levels are significantly reduced, restoring the sensitivity of the insulin signaling pathway </w:t>
      </w:r>
      <w:r w:rsidRPr="00133528">
        <w:rPr>
          <w:rFonts w:ascii="Times New Roman" w:hAnsi="Times New Roman" w:cs="Times New Roman" w:hint="eastAsia"/>
          <w:sz w:val="24"/>
          <w:szCs w:val="24"/>
          <w:vertAlign w:val="superscript"/>
        </w:rPr>
        <w:t>[22]</w:t>
      </w:r>
      <w:r w:rsidRPr="00133528">
        <w:rPr>
          <w:rFonts w:ascii="Times New Roman" w:hAnsi="Times New Roman" w:cs="Times New Roman"/>
          <w:sz w:val="24"/>
          <w:szCs w:val="24"/>
        </w:rPr>
        <w:t>.</w:t>
      </w:r>
    </w:p>
    <w:p w14:paraId="15EFA416" w14:textId="797F7D22"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Van Aggel-Leijssen et al. (2002) found that six weeks of indoor cycling exercise (intensity approximately 60% VO</w:t>
      </w:r>
      <w:r w:rsidR="00133528">
        <w:rPr>
          <w:rFonts w:ascii="Times New Roman" w:hAnsi="Times New Roman" w:cs="Times New Roman"/>
          <w:sz w:val="24"/>
          <w:szCs w:val="24"/>
          <w:vertAlign w:val="subscript"/>
        </w:rPr>
        <w:t>2</w:t>
      </w:r>
      <w:r w:rsidR="00133528">
        <w:rPr>
          <w:rFonts w:ascii="Times New Roman" w:hAnsi="Times New Roman" w:cs="Times New Roman"/>
          <w:sz w:val="24"/>
          <w:szCs w:val="24"/>
        </w:rPr>
        <w:t xml:space="preserve"> </w:t>
      </w:r>
      <w:r w:rsidRPr="00133528">
        <w:rPr>
          <w:rFonts w:ascii="Times New Roman" w:hAnsi="Times New Roman" w:cs="Times New Roman"/>
          <w:sz w:val="24"/>
          <w:szCs w:val="24"/>
        </w:rPr>
        <w:t>max) significantly reduced intramyocellular triglyceride content in prediabetic male subjects and improved insulin sensitivity.</w:t>
      </w:r>
    </w:p>
    <w:p w14:paraId="1103F33D" w14:textId="77777777" w:rsidR="00F83B51" w:rsidRPr="00133528" w:rsidRDefault="00F83B51" w:rsidP="00B038D2">
      <w:pPr>
        <w:snapToGrid w:val="0"/>
        <w:ind w:firstLineChars="200" w:firstLine="480"/>
        <w:rPr>
          <w:rFonts w:ascii="Times New Roman" w:hAnsi="Times New Roman" w:cs="Times New Roman"/>
          <w:sz w:val="24"/>
          <w:szCs w:val="24"/>
        </w:rPr>
      </w:pPr>
    </w:p>
    <w:p w14:paraId="7C7879C8" w14:textId="77777777" w:rsidR="00F83B51" w:rsidRPr="00B038D2" w:rsidRDefault="00581C16" w:rsidP="00B038D2">
      <w:pPr>
        <w:pStyle w:val="Heading2"/>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4.3</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Improvement of </w:t>
      </w:r>
      <w:r w:rsidRPr="00133528">
        <w:rPr>
          <w:rFonts w:ascii="Times New Roman" w:hAnsi="Times New Roman" w:cs="Times New Roman" w:hint="eastAsia"/>
          <w:b/>
          <w:bCs/>
          <w:color w:val="auto"/>
          <w:sz w:val="24"/>
          <w:szCs w:val="24"/>
          <w:lang w:val="en-US"/>
        </w:rPr>
        <w:t>i</w:t>
      </w:r>
      <w:r w:rsidRPr="00B038D2">
        <w:rPr>
          <w:rFonts w:ascii="Times New Roman" w:hAnsi="Times New Roman" w:cs="Times New Roman"/>
          <w:b/>
          <w:bCs/>
          <w:color w:val="auto"/>
          <w:sz w:val="24"/>
          <w:szCs w:val="24"/>
          <w:lang w:val="en-US"/>
        </w:rPr>
        <w:t xml:space="preserve">nsulin </w:t>
      </w:r>
      <w:r w:rsidRPr="00133528">
        <w:rPr>
          <w:rFonts w:ascii="Times New Roman" w:hAnsi="Times New Roman" w:cs="Times New Roman" w:hint="eastAsia"/>
          <w:b/>
          <w:bCs/>
          <w:color w:val="auto"/>
          <w:sz w:val="24"/>
          <w:szCs w:val="24"/>
          <w:lang w:val="en-US"/>
        </w:rPr>
        <w:t>s</w:t>
      </w:r>
      <w:r w:rsidRPr="00B038D2">
        <w:rPr>
          <w:rFonts w:ascii="Times New Roman" w:hAnsi="Times New Roman" w:cs="Times New Roman"/>
          <w:b/>
          <w:bCs/>
          <w:color w:val="auto"/>
          <w:sz w:val="24"/>
          <w:szCs w:val="24"/>
          <w:lang w:val="en-US"/>
        </w:rPr>
        <w:t xml:space="preserve">ignaling </w:t>
      </w:r>
      <w:r w:rsidRPr="00133528">
        <w:rPr>
          <w:rFonts w:ascii="Times New Roman" w:hAnsi="Times New Roman" w:cs="Times New Roman" w:hint="eastAsia"/>
          <w:b/>
          <w:bCs/>
          <w:color w:val="auto"/>
          <w:sz w:val="24"/>
          <w:szCs w:val="24"/>
          <w:lang w:val="en-US"/>
        </w:rPr>
        <w:t>p</w:t>
      </w:r>
      <w:r w:rsidRPr="00B038D2">
        <w:rPr>
          <w:rFonts w:ascii="Times New Roman" w:hAnsi="Times New Roman" w:cs="Times New Roman"/>
          <w:b/>
          <w:bCs/>
          <w:color w:val="auto"/>
          <w:sz w:val="24"/>
          <w:szCs w:val="24"/>
          <w:lang w:val="en-US"/>
        </w:rPr>
        <w:t>athways</w:t>
      </w:r>
    </w:p>
    <w:p w14:paraId="6A38EB40" w14:textId="77777777"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 xml:space="preserve">The core cascade of the insulin signaling pathway proceeds as follows: insulin binds to the insulin receptor (IR) on the cell membrane, activating insulin receptor substrate (IRS), which in turn activates phosphoinositide 3-kinase and protein kinase B, ultimately promoting the translocation of glucose transporter protein GLUT4 to the cell membrane to facilitate glucose uptake </w:t>
      </w:r>
      <w:r w:rsidRPr="00133528">
        <w:rPr>
          <w:rFonts w:ascii="Times New Roman" w:hAnsi="Times New Roman" w:cs="Times New Roman" w:hint="eastAsia"/>
          <w:sz w:val="24"/>
          <w:szCs w:val="24"/>
          <w:vertAlign w:val="superscript"/>
        </w:rPr>
        <w:t>[23]</w:t>
      </w:r>
      <w:r w:rsidRPr="00133528">
        <w:rPr>
          <w:rFonts w:ascii="Times New Roman" w:hAnsi="Times New Roman" w:cs="Times New Roman"/>
          <w:sz w:val="24"/>
          <w:szCs w:val="24"/>
        </w:rPr>
        <w:t>.</w:t>
      </w:r>
    </w:p>
    <w:p w14:paraId="4C5C06BF" w14:textId="2AF0818E"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 xml:space="preserve">Zone 2 aerobic exercise can enhance this pathway at multiple levels. At the receptor level, exercise upregulates the expression density of insulin receptors in skeletal muscle, increasing insulin binding capacity </w:t>
      </w:r>
      <w:r w:rsidRPr="00133528">
        <w:rPr>
          <w:rFonts w:ascii="Times New Roman" w:hAnsi="Times New Roman" w:cs="Times New Roman" w:hint="eastAsia"/>
          <w:sz w:val="24"/>
          <w:szCs w:val="24"/>
          <w:vertAlign w:val="superscript"/>
        </w:rPr>
        <w:t>[24]</w:t>
      </w:r>
      <w:r w:rsidRPr="00133528">
        <w:rPr>
          <w:rFonts w:ascii="Times New Roman" w:hAnsi="Times New Roman" w:cs="Times New Roman"/>
          <w:sz w:val="24"/>
          <w:szCs w:val="24"/>
        </w:rPr>
        <w:t xml:space="preserve">. At the signal transduction level, exercise restores the normal tyrosine phosphorylation state of IRS-1 by reducing inhibitory serine phosphorylation caused by inflammatory cytokines and lipid metabolites, ensuring effective downstream signal transmission </w:t>
      </w:r>
      <w:r w:rsidRPr="00133528">
        <w:rPr>
          <w:rFonts w:ascii="Times New Roman" w:hAnsi="Times New Roman" w:cs="Times New Roman" w:hint="eastAsia"/>
          <w:sz w:val="24"/>
          <w:szCs w:val="24"/>
          <w:vertAlign w:val="superscript"/>
        </w:rPr>
        <w:t>[25]</w:t>
      </w:r>
      <w:r w:rsidRPr="00133528">
        <w:rPr>
          <w:rFonts w:ascii="Times New Roman" w:hAnsi="Times New Roman" w:cs="Times New Roman"/>
          <w:sz w:val="24"/>
          <w:szCs w:val="24"/>
        </w:rPr>
        <w:t xml:space="preserve">. At the effector level, mechanical stress and metabolic signals induced by exercise activate Akt, promoting GLUT4 translocation to the cell membrane </w:t>
      </w:r>
      <w:r w:rsidRPr="00133528">
        <w:rPr>
          <w:rFonts w:ascii="Times New Roman" w:hAnsi="Times New Roman" w:cs="Times New Roman" w:hint="eastAsia"/>
          <w:sz w:val="24"/>
          <w:szCs w:val="24"/>
          <w:vertAlign w:val="superscript"/>
        </w:rPr>
        <w:t>[26]</w:t>
      </w:r>
      <w:r w:rsidRPr="00133528">
        <w:rPr>
          <w:rFonts w:ascii="Times New Roman" w:hAnsi="Times New Roman" w:cs="Times New Roman"/>
          <w:sz w:val="24"/>
          <w:szCs w:val="24"/>
        </w:rPr>
        <w:t>. Additionally, regular exercise can increase skeletal muscle GLUT4 protein expression by 30</w:t>
      </w:r>
      <w:r w:rsidRPr="00133528">
        <w:rPr>
          <w:rFonts w:ascii="Times New Roman" w:hAnsi="Times New Roman" w:cs="Times New Roman"/>
          <w:sz w:val="24"/>
          <w:szCs w:val="24"/>
        </w:rPr>
        <w:t>–50% through transcriptional regulation</w:t>
      </w:r>
      <w:r w:rsidR="00133528">
        <w:rPr>
          <w:rFonts w:ascii="Times New Roman" w:hAnsi="Times New Roman" w:cs="Times New Roman"/>
          <w:sz w:val="24"/>
          <w:szCs w:val="24"/>
        </w:rPr>
        <w:t xml:space="preserve"> </w:t>
      </w:r>
      <w:r w:rsidRPr="00133528">
        <w:rPr>
          <w:rFonts w:ascii="Times New Roman" w:hAnsi="Times New Roman" w:cs="Times New Roman" w:hint="eastAsia"/>
          <w:sz w:val="24"/>
          <w:szCs w:val="24"/>
          <w:vertAlign w:val="superscript"/>
        </w:rPr>
        <w:t>[27]</w:t>
      </w:r>
      <w:r w:rsidRPr="00133528">
        <w:rPr>
          <w:rFonts w:ascii="Times New Roman" w:hAnsi="Times New Roman" w:cs="Times New Roman"/>
          <w:sz w:val="24"/>
          <w:szCs w:val="24"/>
        </w:rPr>
        <w:t>.</w:t>
      </w:r>
    </w:p>
    <w:p w14:paraId="7F0BB784" w14:textId="77777777"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Richter and Hargreaves (2013) noted that a single bout of exercise can increase GLUT4 translocation through contraction-dependent pathways, while regular exercise increases total GLUT4 content through transcriptional regulation. The synergistic effects of both mechanisms significantly enhance skeletal muscle glucose uptake capacity.</w:t>
      </w:r>
    </w:p>
    <w:p w14:paraId="484D0BE4" w14:textId="77777777" w:rsidR="00F83B51" w:rsidRPr="00133528" w:rsidRDefault="00F83B51" w:rsidP="00B038D2">
      <w:pPr>
        <w:snapToGrid w:val="0"/>
        <w:ind w:firstLineChars="200" w:firstLine="480"/>
        <w:rPr>
          <w:rFonts w:ascii="Times New Roman" w:hAnsi="Times New Roman" w:cs="Times New Roman"/>
          <w:sz w:val="24"/>
          <w:szCs w:val="24"/>
        </w:rPr>
      </w:pPr>
    </w:p>
    <w:p w14:paraId="573FCED4" w14:textId="77777777" w:rsidR="00F83B51" w:rsidRPr="00B038D2" w:rsidRDefault="00581C16" w:rsidP="00B038D2">
      <w:pPr>
        <w:pStyle w:val="Heading2"/>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4.4</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Modulation of </w:t>
      </w:r>
      <w:r w:rsidRPr="00133528">
        <w:rPr>
          <w:rFonts w:ascii="Times New Roman" w:hAnsi="Times New Roman" w:cs="Times New Roman" w:hint="eastAsia"/>
          <w:b/>
          <w:bCs/>
          <w:color w:val="auto"/>
          <w:sz w:val="24"/>
          <w:szCs w:val="24"/>
          <w:lang w:val="en-US"/>
        </w:rPr>
        <w:t>c</w:t>
      </w:r>
      <w:r w:rsidRPr="00B038D2">
        <w:rPr>
          <w:rFonts w:ascii="Times New Roman" w:hAnsi="Times New Roman" w:cs="Times New Roman"/>
          <w:b/>
          <w:bCs/>
          <w:color w:val="auto"/>
          <w:sz w:val="24"/>
          <w:szCs w:val="24"/>
          <w:lang w:val="en-US"/>
        </w:rPr>
        <w:t xml:space="preserve">hronic </w:t>
      </w:r>
      <w:r w:rsidRPr="00133528">
        <w:rPr>
          <w:rFonts w:ascii="Times New Roman" w:hAnsi="Times New Roman" w:cs="Times New Roman" w:hint="eastAsia"/>
          <w:b/>
          <w:bCs/>
          <w:color w:val="auto"/>
          <w:sz w:val="24"/>
          <w:szCs w:val="24"/>
          <w:lang w:val="en-US"/>
        </w:rPr>
        <w:t>l</w:t>
      </w:r>
      <w:r w:rsidRPr="00B038D2">
        <w:rPr>
          <w:rFonts w:ascii="Times New Roman" w:hAnsi="Times New Roman" w:cs="Times New Roman"/>
          <w:b/>
          <w:bCs/>
          <w:color w:val="auto"/>
          <w:sz w:val="24"/>
          <w:szCs w:val="24"/>
          <w:lang w:val="en-US"/>
        </w:rPr>
        <w:t>ow-</w:t>
      </w:r>
      <w:r w:rsidRPr="00133528">
        <w:rPr>
          <w:rFonts w:ascii="Times New Roman" w:hAnsi="Times New Roman" w:cs="Times New Roman" w:hint="eastAsia"/>
          <w:b/>
          <w:bCs/>
          <w:color w:val="auto"/>
          <w:sz w:val="24"/>
          <w:szCs w:val="24"/>
          <w:lang w:val="en-US"/>
        </w:rPr>
        <w:t>g</w:t>
      </w:r>
      <w:r w:rsidRPr="00B038D2">
        <w:rPr>
          <w:rFonts w:ascii="Times New Roman" w:hAnsi="Times New Roman" w:cs="Times New Roman"/>
          <w:b/>
          <w:bCs/>
          <w:color w:val="auto"/>
          <w:sz w:val="24"/>
          <w:szCs w:val="24"/>
          <w:lang w:val="en-US"/>
        </w:rPr>
        <w:t xml:space="preserve">rade </w:t>
      </w:r>
      <w:r w:rsidRPr="00133528">
        <w:rPr>
          <w:rFonts w:ascii="Times New Roman" w:hAnsi="Times New Roman" w:cs="Times New Roman" w:hint="eastAsia"/>
          <w:b/>
          <w:bCs/>
          <w:color w:val="auto"/>
          <w:sz w:val="24"/>
          <w:szCs w:val="24"/>
          <w:lang w:val="en-US"/>
        </w:rPr>
        <w:t>i</w:t>
      </w:r>
      <w:r w:rsidRPr="00B038D2">
        <w:rPr>
          <w:rFonts w:ascii="Times New Roman" w:hAnsi="Times New Roman" w:cs="Times New Roman"/>
          <w:b/>
          <w:bCs/>
          <w:color w:val="auto"/>
          <w:sz w:val="24"/>
          <w:szCs w:val="24"/>
          <w:lang w:val="en-US"/>
        </w:rPr>
        <w:t>nflammation</w:t>
      </w:r>
    </w:p>
    <w:p w14:paraId="09DC1A3E" w14:textId="77777777"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 xml:space="preserve">Chronic low-grade inflammation is an important driver of insulin resistance. In prediabetic individuals, increased macrophage infiltration in adipose tissue and elevated levels of pro-inflammatory cytokines such as TNF-α, IL-6, and C-reactive protein can activate JNK and IKKβ pathways, suppressing insulin signaling </w:t>
      </w:r>
      <w:r w:rsidRPr="00133528">
        <w:rPr>
          <w:rFonts w:ascii="Times New Roman" w:hAnsi="Times New Roman" w:cs="Times New Roman" w:hint="eastAsia"/>
          <w:sz w:val="24"/>
          <w:szCs w:val="24"/>
          <w:vertAlign w:val="superscript"/>
        </w:rPr>
        <w:t>[14]</w:t>
      </w:r>
      <w:r w:rsidRPr="00133528">
        <w:rPr>
          <w:rFonts w:ascii="Times New Roman" w:hAnsi="Times New Roman" w:cs="Times New Roman"/>
          <w:sz w:val="24"/>
          <w:szCs w:val="24"/>
        </w:rPr>
        <w:t>.</w:t>
      </w:r>
    </w:p>
    <w:p w14:paraId="478A795A" w14:textId="77777777"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 xml:space="preserve">Zone 2 aerobic exercise exerts significant anti-inflammatory effects. At the cellular level, exercise reduces the proportion of M1-type (pro-inflammatory) macrophages in adipose tissue while increasing M2-type (anti-inflammatory) macrophage infiltration, thereby improving the inflammatory microenvironment of adipose tissue </w:t>
      </w:r>
      <w:r w:rsidRPr="00133528">
        <w:rPr>
          <w:rFonts w:ascii="Times New Roman" w:hAnsi="Times New Roman" w:cs="Times New Roman" w:hint="eastAsia"/>
          <w:sz w:val="24"/>
          <w:szCs w:val="24"/>
          <w:vertAlign w:val="superscript"/>
        </w:rPr>
        <w:t>[28]</w:t>
      </w:r>
      <w:r w:rsidRPr="00133528">
        <w:rPr>
          <w:rFonts w:ascii="Times New Roman" w:hAnsi="Times New Roman" w:cs="Times New Roman"/>
          <w:sz w:val="24"/>
          <w:szCs w:val="24"/>
        </w:rPr>
        <w:t xml:space="preserve">. At the circulating cytokine level, regular exercise significantly reduces peripheral blood levels of TNF-α, IL-6, and CRP </w:t>
      </w:r>
      <w:r w:rsidRPr="00133528">
        <w:rPr>
          <w:rFonts w:ascii="Times New Roman" w:hAnsi="Times New Roman" w:cs="Times New Roman" w:hint="eastAsia"/>
          <w:sz w:val="24"/>
          <w:szCs w:val="24"/>
          <w:vertAlign w:val="superscript"/>
        </w:rPr>
        <w:t>[29]</w:t>
      </w:r>
      <w:r w:rsidRPr="00133528">
        <w:rPr>
          <w:rFonts w:ascii="Times New Roman" w:hAnsi="Times New Roman" w:cs="Times New Roman"/>
          <w:sz w:val="24"/>
          <w:szCs w:val="24"/>
        </w:rPr>
        <w:t xml:space="preserve">. Notably, IL-6 released from skeletal muscle during exercise has anti-inflammatory properties, promoting the secretion of anti-inflammatory cytokines IL-10 and IL-1 receptor antagonist </w:t>
      </w:r>
      <w:r w:rsidRPr="00133528">
        <w:rPr>
          <w:rFonts w:ascii="Times New Roman" w:hAnsi="Times New Roman" w:cs="Times New Roman" w:hint="eastAsia"/>
          <w:sz w:val="24"/>
          <w:szCs w:val="24"/>
          <w:vertAlign w:val="superscript"/>
        </w:rPr>
        <w:t>[30]</w:t>
      </w:r>
      <w:r w:rsidRPr="00133528">
        <w:rPr>
          <w:rFonts w:ascii="Times New Roman" w:hAnsi="Times New Roman" w:cs="Times New Roman"/>
          <w:sz w:val="24"/>
          <w:szCs w:val="24"/>
        </w:rPr>
        <w:t xml:space="preserve">. At the molecular mechanism level, exercise inhibits NF-κB nuclear translocation, reducing the transcriptional activation of pro-inflammatory genes </w:t>
      </w:r>
      <w:r w:rsidRPr="00133528">
        <w:rPr>
          <w:rFonts w:ascii="Times New Roman" w:hAnsi="Times New Roman" w:cs="Times New Roman" w:hint="eastAsia"/>
          <w:sz w:val="24"/>
          <w:szCs w:val="24"/>
          <w:vertAlign w:val="superscript"/>
        </w:rPr>
        <w:t>[31]</w:t>
      </w:r>
      <w:r w:rsidRPr="00133528">
        <w:rPr>
          <w:rFonts w:ascii="Times New Roman" w:hAnsi="Times New Roman" w:cs="Times New Roman"/>
          <w:sz w:val="24"/>
          <w:szCs w:val="24"/>
        </w:rPr>
        <w:t>.</w:t>
      </w:r>
    </w:p>
    <w:p w14:paraId="08CB8824" w14:textId="0B44FB3D"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The systematic review by Gleeson et al. (2011) demonstrated that regular moderate-intensity exercise can reduce CRP levels by 20</w:t>
      </w:r>
      <w:r w:rsidRPr="00133528">
        <w:rPr>
          <w:rFonts w:ascii="Times New Roman" w:hAnsi="Times New Roman" w:cs="Times New Roman"/>
          <w:sz w:val="24"/>
          <w:szCs w:val="24"/>
        </w:rPr>
        <w:t>–30% and TNF-α by 15</w:t>
      </w:r>
      <w:r w:rsidRPr="00133528">
        <w:rPr>
          <w:rFonts w:ascii="Times New Roman" w:hAnsi="Times New Roman" w:cs="Times New Roman"/>
          <w:sz w:val="24"/>
          <w:szCs w:val="24"/>
        </w:rPr>
        <w:t>–20%, an anti-inflammatory effect that is of considerable significance for improving insulin sensitivity.</w:t>
      </w:r>
    </w:p>
    <w:p w14:paraId="124AA40A" w14:textId="77777777" w:rsidR="00F83B51" w:rsidRPr="00133528" w:rsidRDefault="00F83B51" w:rsidP="00B038D2">
      <w:pPr>
        <w:snapToGrid w:val="0"/>
        <w:ind w:firstLineChars="200" w:firstLine="480"/>
        <w:rPr>
          <w:rFonts w:ascii="Times New Roman" w:hAnsi="Times New Roman" w:cs="Times New Roman"/>
          <w:sz w:val="24"/>
          <w:szCs w:val="24"/>
        </w:rPr>
      </w:pPr>
    </w:p>
    <w:p w14:paraId="04C21219" w14:textId="77777777" w:rsidR="00F83B51" w:rsidRPr="00B038D2" w:rsidRDefault="00581C16" w:rsidP="00B038D2">
      <w:pPr>
        <w:pStyle w:val="Heading2"/>
        <w:snapToGrid w:val="0"/>
        <w:rPr>
          <w:rFonts w:ascii="Times New Roman" w:hAnsi="Times New Roman" w:cs="Times New Roman"/>
          <w:b/>
          <w:bCs/>
          <w:color w:val="auto"/>
          <w:sz w:val="24"/>
          <w:szCs w:val="24"/>
          <w:lang w:val="en-US"/>
        </w:rPr>
      </w:pPr>
      <w:r w:rsidRPr="00B038D2">
        <w:rPr>
          <w:rFonts w:ascii="Times New Roman" w:hAnsi="Times New Roman" w:cs="Times New Roman"/>
          <w:b/>
          <w:bCs/>
          <w:color w:val="auto"/>
          <w:sz w:val="24"/>
          <w:szCs w:val="24"/>
          <w:lang w:val="en-US"/>
        </w:rPr>
        <w:lastRenderedPageBreak/>
        <w:t>4.5</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Remodeling of </w:t>
      </w:r>
      <w:r w:rsidRPr="00133528">
        <w:rPr>
          <w:rFonts w:ascii="Times New Roman" w:hAnsi="Times New Roman" w:cs="Times New Roman" w:hint="eastAsia"/>
          <w:b/>
          <w:bCs/>
          <w:color w:val="auto"/>
          <w:sz w:val="24"/>
          <w:szCs w:val="24"/>
          <w:lang w:val="en-US"/>
        </w:rPr>
        <w:t>g</w:t>
      </w:r>
      <w:r w:rsidRPr="00B038D2">
        <w:rPr>
          <w:rFonts w:ascii="Times New Roman" w:hAnsi="Times New Roman" w:cs="Times New Roman"/>
          <w:b/>
          <w:bCs/>
          <w:color w:val="auto"/>
          <w:sz w:val="24"/>
          <w:szCs w:val="24"/>
          <w:lang w:val="en-US"/>
        </w:rPr>
        <w:t xml:space="preserve">ut </w:t>
      </w:r>
      <w:r w:rsidRPr="00133528">
        <w:rPr>
          <w:rFonts w:ascii="Times New Roman" w:hAnsi="Times New Roman" w:cs="Times New Roman" w:hint="eastAsia"/>
          <w:b/>
          <w:bCs/>
          <w:color w:val="auto"/>
          <w:sz w:val="24"/>
          <w:szCs w:val="24"/>
          <w:lang w:val="en-US"/>
        </w:rPr>
        <w:t>m</w:t>
      </w:r>
      <w:r w:rsidRPr="00B038D2">
        <w:rPr>
          <w:rFonts w:ascii="Times New Roman" w:hAnsi="Times New Roman" w:cs="Times New Roman"/>
          <w:b/>
          <w:bCs/>
          <w:color w:val="auto"/>
          <w:sz w:val="24"/>
          <w:szCs w:val="24"/>
          <w:lang w:val="en-US"/>
        </w:rPr>
        <w:t>icrobiota</w:t>
      </w:r>
    </w:p>
    <w:p w14:paraId="31BA7962" w14:textId="77777777"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 xml:space="preserve">In recent years, the relationship between gut microbiota and metabolic health has attracted considerable attention. Prediabetic individuals commonly exhibit gut dysbiosis, characterized by an elevated Firmicutes-to-Bacteroidetes ratio and reduced abundance of short-chain fatty acid -producing bacteria </w:t>
      </w:r>
      <w:r w:rsidRPr="00133528">
        <w:rPr>
          <w:rFonts w:ascii="Times New Roman" w:hAnsi="Times New Roman" w:cs="Times New Roman" w:hint="eastAsia"/>
          <w:sz w:val="24"/>
          <w:szCs w:val="24"/>
          <w:vertAlign w:val="superscript"/>
        </w:rPr>
        <w:t>[32]</w:t>
      </w:r>
      <w:r w:rsidRPr="00133528">
        <w:rPr>
          <w:rFonts w:ascii="Times New Roman" w:hAnsi="Times New Roman" w:cs="Times New Roman"/>
          <w:sz w:val="24"/>
          <w:szCs w:val="24"/>
        </w:rPr>
        <w:t>.</w:t>
      </w:r>
    </w:p>
    <w:p w14:paraId="6D56907D" w14:textId="77777777"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 xml:space="preserve">Zone 2 aerobic exercise can improve gut microbiota composition and function across multiple dimensions. First, exercise increases the α-diversity of gut microorganisms, promoting a healthier microbial community structure </w:t>
      </w:r>
      <w:r w:rsidRPr="00133528">
        <w:rPr>
          <w:rFonts w:ascii="Times New Roman" w:hAnsi="Times New Roman" w:cs="Times New Roman" w:hint="eastAsia"/>
          <w:sz w:val="24"/>
          <w:szCs w:val="24"/>
          <w:vertAlign w:val="superscript"/>
        </w:rPr>
        <w:t>[33]</w:t>
      </w:r>
      <w:r w:rsidRPr="00133528">
        <w:rPr>
          <w:rFonts w:ascii="Times New Roman" w:hAnsi="Times New Roman" w:cs="Times New Roman"/>
          <w:sz w:val="24"/>
          <w:szCs w:val="24"/>
        </w:rPr>
        <w:t xml:space="preserve">. Second, exercise promotes the proliferation of beneficial bacteria such as </w:t>
      </w:r>
      <w:r w:rsidRPr="00133528">
        <w:rPr>
          <w:rFonts w:ascii="Times New Roman" w:hAnsi="Times New Roman" w:cs="Times New Roman"/>
          <w:i/>
          <w:iCs/>
          <w:sz w:val="24"/>
          <w:szCs w:val="24"/>
        </w:rPr>
        <w:t>Akkermansia muciniphila</w:t>
      </w:r>
      <w:r w:rsidRPr="00133528">
        <w:rPr>
          <w:rFonts w:ascii="Times New Roman" w:hAnsi="Times New Roman" w:cs="Times New Roman"/>
          <w:sz w:val="24"/>
          <w:szCs w:val="24"/>
        </w:rPr>
        <w:t xml:space="preserve"> and </w:t>
      </w:r>
      <w:r w:rsidRPr="00133528">
        <w:rPr>
          <w:rFonts w:ascii="Times New Roman" w:hAnsi="Times New Roman" w:cs="Times New Roman"/>
          <w:i/>
          <w:iCs/>
          <w:sz w:val="24"/>
          <w:szCs w:val="24"/>
        </w:rPr>
        <w:t>Faecalibacterium prausnitzii</w:t>
      </w:r>
      <w:r w:rsidRPr="00133528">
        <w:rPr>
          <w:rFonts w:ascii="Times New Roman" w:hAnsi="Times New Roman" w:cs="Times New Roman"/>
          <w:sz w:val="24"/>
          <w:szCs w:val="24"/>
        </w:rPr>
        <w:t xml:space="preserve">, which are the primary producers of SCFAs </w:t>
      </w:r>
      <w:r w:rsidRPr="00133528">
        <w:rPr>
          <w:rFonts w:ascii="Times New Roman" w:hAnsi="Times New Roman" w:cs="Times New Roman" w:hint="eastAsia"/>
          <w:sz w:val="24"/>
          <w:szCs w:val="24"/>
          <w:vertAlign w:val="superscript"/>
        </w:rPr>
        <w:t>[34]</w:t>
      </w:r>
      <w:r w:rsidRPr="00133528">
        <w:rPr>
          <w:rFonts w:ascii="Times New Roman" w:hAnsi="Times New Roman" w:cs="Times New Roman"/>
          <w:sz w:val="24"/>
          <w:szCs w:val="24"/>
        </w:rPr>
        <w:t xml:space="preserve">. SCFAs, particularly butyrate and propionate, can activate G protein-coupled receptors GPR41 and GPR43, improving intestinal barrier function, reducing gut permeability, and attenuating endotoxemia </w:t>
      </w:r>
      <w:r w:rsidRPr="00133528">
        <w:rPr>
          <w:rFonts w:ascii="Times New Roman" w:hAnsi="Times New Roman" w:cs="Times New Roman" w:hint="eastAsia"/>
          <w:sz w:val="24"/>
          <w:szCs w:val="24"/>
          <w:vertAlign w:val="superscript"/>
        </w:rPr>
        <w:t>[35]</w:t>
      </w:r>
      <w:r w:rsidRPr="00133528">
        <w:rPr>
          <w:rFonts w:ascii="Times New Roman" w:hAnsi="Times New Roman" w:cs="Times New Roman"/>
          <w:sz w:val="24"/>
          <w:szCs w:val="24"/>
        </w:rPr>
        <w:t xml:space="preserve">. Additionally, exercise can alter the bile acid metabolic profile, activating the farnesoid X receptor and TGR5 receptor, thereby improving glucose and lipid metabolism </w:t>
      </w:r>
      <w:r w:rsidRPr="00133528">
        <w:rPr>
          <w:rFonts w:ascii="Times New Roman" w:hAnsi="Times New Roman" w:cs="Times New Roman" w:hint="eastAsia"/>
          <w:sz w:val="24"/>
          <w:szCs w:val="24"/>
          <w:vertAlign w:val="superscript"/>
        </w:rPr>
        <w:t>[36]</w:t>
      </w:r>
      <w:r w:rsidRPr="00133528">
        <w:rPr>
          <w:rFonts w:ascii="Times New Roman" w:hAnsi="Times New Roman" w:cs="Times New Roman"/>
          <w:sz w:val="24"/>
          <w:szCs w:val="24"/>
        </w:rPr>
        <w:t>.</w:t>
      </w:r>
    </w:p>
    <w:p w14:paraId="1F7A100E" w14:textId="77777777"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Allen et al. (2018) found that six weeks of aerobic exercise significantly increased SCFA-producing bacteria in subjects, and the elevation of SCFA levels was positively correlated with improved insulin sensitivity.</w:t>
      </w:r>
    </w:p>
    <w:p w14:paraId="2F240C1B" w14:textId="77777777" w:rsidR="00F83B51" w:rsidRPr="00133528" w:rsidRDefault="00F83B51" w:rsidP="00B038D2">
      <w:pPr>
        <w:snapToGrid w:val="0"/>
        <w:ind w:firstLineChars="200" w:firstLine="480"/>
        <w:rPr>
          <w:rFonts w:ascii="Times New Roman" w:hAnsi="Times New Roman" w:cs="Times New Roman"/>
          <w:sz w:val="24"/>
          <w:szCs w:val="24"/>
        </w:rPr>
      </w:pPr>
    </w:p>
    <w:p w14:paraId="2E603B3A" w14:textId="77777777" w:rsidR="00F83B51" w:rsidRPr="00B038D2" w:rsidRDefault="00581C16" w:rsidP="00B038D2">
      <w:pPr>
        <w:pStyle w:val="Heading2"/>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4.6</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Other </w:t>
      </w:r>
      <w:r w:rsidRPr="00133528">
        <w:rPr>
          <w:rFonts w:ascii="Times New Roman" w:hAnsi="Times New Roman" w:cs="Times New Roman" w:hint="eastAsia"/>
          <w:b/>
          <w:bCs/>
          <w:color w:val="auto"/>
          <w:sz w:val="24"/>
          <w:szCs w:val="24"/>
          <w:lang w:val="en-US"/>
        </w:rPr>
        <w:t>p</w:t>
      </w:r>
      <w:r w:rsidRPr="00B038D2">
        <w:rPr>
          <w:rFonts w:ascii="Times New Roman" w:hAnsi="Times New Roman" w:cs="Times New Roman"/>
          <w:b/>
          <w:bCs/>
          <w:color w:val="auto"/>
          <w:sz w:val="24"/>
          <w:szCs w:val="24"/>
          <w:lang w:val="en-US"/>
        </w:rPr>
        <w:t xml:space="preserve">otential </w:t>
      </w:r>
      <w:r w:rsidRPr="00133528">
        <w:rPr>
          <w:rFonts w:ascii="Times New Roman" w:hAnsi="Times New Roman" w:cs="Times New Roman" w:hint="eastAsia"/>
          <w:b/>
          <w:bCs/>
          <w:color w:val="auto"/>
          <w:sz w:val="24"/>
          <w:szCs w:val="24"/>
          <w:lang w:val="en-US"/>
        </w:rPr>
        <w:t>m</w:t>
      </w:r>
      <w:r w:rsidRPr="00B038D2">
        <w:rPr>
          <w:rFonts w:ascii="Times New Roman" w:hAnsi="Times New Roman" w:cs="Times New Roman"/>
          <w:b/>
          <w:bCs/>
          <w:color w:val="auto"/>
          <w:sz w:val="24"/>
          <w:szCs w:val="24"/>
          <w:lang w:val="en-US"/>
        </w:rPr>
        <w:t>echanisms</w:t>
      </w:r>
    </w:p>
    <w:p w14:paraId="17DBACAF" w14:textId="77777777"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 xml:space="preserve">Beyond the core mechanisms described above, Zone 2 aerobic exercise may indirectly improve glycemic control through additional pathways. At the vascular level, exercise increases the bioavailability of nitric oxide, improving endothelial function and microcirculation, thereby facilitating glucose delivery to skeletal muscle </w:t>
      </w:r>
      <w:r w:rsidRPr="00133528">
        <w:rPr>
          <w:rFonts w:ascii="Times New Roman" w:hAnsi="Times New Roman" w:cs="Times New Roman" w:hint="eastAsia"/>
          <w:sz w:val="24"/>
          <w:szCs w:val="24"/>
          <w:vertAlign w:val="superscript"/>
        </w:rPr>
        <w:t>[37]</w:t>
      </w:r>
      <w:r w:rsidRPr="00133528">
        <w:rPr>
          <w:rFonts w:ascii="Times New Roman" w:hAnsi="Times New Roman" w:cs="Times New Roman"/>
          <w:sz w:val="24"/>
          <w:szCs w:val="24"/>
        </w:rPr>
        <w:t xml:space="preserve">. At the level of cellular quality control, exercise activates skeletal muscle autophagy, clearing damaged mitochondria and protein aggregates to maintain cellular metabolic homeostasis </w:t>
      </w:r>
      <w:r w:rsidRPr="00133528">
        <w:rPr>
          <w:rFonts w:ascii="Times New Roman" w:hAnsi="Times New Roman" w:cs="Times New Roman" w:hint="eastAsia"/>
          <w:sz w:val="24"/>
          <w:szCs w:val="24"/>
          <w:vertAlign w:val="superscript"/>
        </w:rPr>
        <w:t>[38]</w:t>
      </w:r>
      <w:r w:rsidRPr="00133528">
        <w:rPr>
          <w:rFonts w:ascii="Times New Roman" w:hAnsi="Times New Roman" w:cs="Times New Roman"/>
          <w:sz w:val="24"/>
          <w:szCs w:val="24"/>
        </w:rPr>
        <w:t xml:space="preserve">. At the level of gene regulation, exercise can modulate the expression of metabolism-related genes through epigenetic mechanisms including DNA methylation and histone modification </w:t>
      </w:r>
      <w:r w:rsidRPr="00133528">
        <w:rPr>
          <w:rFonts w:ascii="Times New Roman" w:hAnsi="Times New Roman" w:cs="Times New Roman" w:hint="eastAsia"/>
          <w:sz w:val="24"/>
          <w:szCs w:val="24"/>
          <w:vertAlign w:val="superscript"/>
        </w:rPr>
        <w:t>[39]</w:t>
      </w:r>
      <w:r w:rsidRPr="00133528">
        <w:rPr>
          <w:rFonts w:ascii="Times New Roman" w:hAnsi="Times New Roman" w:cs="Times New Roman"/>
          <w:sz w:val="24"/>
          <w:szCs w:val="24"/>
        </w:rPr>
        <w:t xml:space="preserve">. Furthermore, exercise can optimize sleep quality and reduce cortisol levels, indirectly promoting glycemic control by improving sleep and attenuating stress responses </w:t>
      </w:r>
      <w:r w:rsidRPr="00133528">
        <w:rPr>
          <w:rFonts w:ascii="Times New Roman" w:hAnsi="Times New Roman" w:cs="Times New Roman" w:hint="eastAsia"/>
          <w:sz w:val="24"/>
          <w:szCs w:val="24"/>
          <w:vertAlign w:val="superscript"/>
        </w:rPr>
        <w:t>[40]</w:t>
      </w:r>
      <w:r w:rsidRPr="00133528">
        <w:rPr>
          <w:rFonts w:ascii="Times New Roman" w:hAnsi="Times New Roman" w:cs="Times New Roman"/>
          <w:sz w:val="24"/>
          <w:szCs w:val="24"/>
        </w:rPr>
        <w:t>.</w:t>
      </w:r>
    </w:p>
    <w:p w14:paraId="27EEBB37" w14:textId="77777777" w:rsidR="00F83B51" w:rsidRPr="00133528" w:rsidRDefault="00F83B51" w:rsidP="00B038D2">
      <w:pPr>
        <w:snapToGrid w:val="0"/>
        <w:rPr>
          <w:rFonts w:ascii="Times New Roman" w:hAnsi="Times New Roman" w:cs="Times New Roman"/>
          <w:sz w:val="24"/>
          <w:szCs w:val="24"/>
        </w:rPr>
      </w:pPr>
    </w:p>
    <w:p w14:paraId="6DEBF756" w14:textId="77777777" w:rsidR="00F83B51" w:rsidRPr="00B038D2" w:rsidRDefault="00581C16" w:rsidP="00B038D2">
      <w:pPr>
        <w:pStyle w:val="Heading1"/>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 xml:space="preserve">5. Summary of </w:t>
      </w:r>
      <w:r w:rsidRPr="00133528">
        <w:rPr>
          <w:rFonts w:ascii="Times New Roman" w:hAnsi="Times New Roman" w:cs="Times New Roman" w:hint="eastAsia"/>
          <w:b/>
          <w:bCs/>
          <w:color w:val="auto"/>
          <w:sz w:val="24"/>
          <w:szCs w:val="24"/>
          <w:lang w:val="en-US"/>
        </w:rPr>
        <w:t>c</w:t>
      </w:r>
      <w:r w:rsidRPr="00B038D2">
        <w:rPr>
          <w:rFonts w:ascii="Times New Roman" w:hAnsi="Times New Roman" w:cs="Times New Roman"/>
          <w:b/>
          <w:bCs/>
          <w:color w:val="auto"/>
          <w:sz w:val="24"/>
          <w:szCs w:val="24"/>
          <w:lang w:val="en-US"/>
        </w:rPr>
        <w:t xml:space="preserve">urrent </w:t>
      </w:r>
      <w:r w:rsidRPr="00133528">
        <w:rPr>
          <w:rFonts w:ascii="Times New Roman" w:hAnsi="Times New Roman" w:cs="Times New Roman" w:hint="eastAsia"/>
          <w:b/>
          <w:bCs/>
          <w:color w:val="auto"/>
          <w:sz w:val="24"/>
          <w:szCs w:val="24"/>
          <w:lang w:val="en-US"/>
        </w:rPr>
        <w:t>r</w:t>
      </w:r>
      <w:r w:rsidRPr="00B038D2">
        <w:rPr>
          <w:rFonts w:ascii="Times New Roman" w:hAnsi="Times New Roman" w:cs="Times New Roman"/>
          <w:b/>
          <w:bCs/>
          <w:color w:val="auto"/>
          <w:sz w:val="24"/>
          <w:szCs w:val="24"/>
          <w:lang w:val="en-US"/>
        </w:rPr>
        <w:t xml:space="preserve">esearch </w:t>
      </w:r>
      <w:r w:rsidRPr="00133528">
        <w:rPr>
          <w:rFonts w:ascii="Times New Roman" w:hAnsi="Times New Roman" w:cs="Times New Roman" w:hint="eastAsia"/>
          <w:b/>
          <w:bCs/>
          <w:color w:val="auto"/>
          <w:sz w:val="24"/>
          <w:szCs w:val="24"/>
          <w:lang w:val="en-US"/>
        </w:rPr>
        <w:t>e</w:t>
      </w:r>
      <w:r w:rsidRPr="00B038D2">
        <w:rPr>
          <w:rFonts w:ascii="Times New Roman" w:hAnsi="Times New Roman" w:cs="Times New Roman"/>
          <w:b/>
          <w:bCs/>
          <w:color w:val="auto"/>
          <w:sz w:val="24"/>
          <w:szCs w:val="24"/>
          <w:lang w:val="en-US"/>
        </w:rPr>
        <w:t>vidence</w:t>
      </w:r>
    </w:p>
    <w:p w14:paraId="39B50DB6" w14:textId="77777777" w:rsidR="00F83B51" w:rsidRPr="00B038D2" w:rsidRDefault="00581C16" w:rsidP="00B038D2">
      <w:pPr>
        <w:pStyle w:val="Heading2"/>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5.1</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Animal </w:t>
      </w:r>
      <w:r w:rsidRPr="00133528">
        <w:rPr>
          <w:rFonts w:ascii="Times New Roman" w:hAnsi="Times New Roman" w:cs="Times New Roman" w:hint="eastAsia"/>
          <w:b/>
          <w:bCs/>
          <w:color w:val="auto"/>
          <w:sz w:val="24"/>
          <w:szCs w:val="24"/>
          <w:lang w:val="en-US"/>
        </w:rPr>
        <w:t>s</w:t>
      </w:r>
      <w:r w:rsidRPr="00B038D2">
        <w:rPr>
          <w:rFonts w:ascii="Times New Roman" w:hAnsi="Times New Roman" w:cs="Times New Roman"/>
          <w:b/>
          <w:bCs/>
          <w:color w:val="auto"/>
          <w:sz w:val="24"/>
          <w:szCs w:val="24"/>
          <w:lang w:val="en-US"/>
        </w:rPr>
        <w:t>tudies</w:t>
      </w:r>
    </w:p>
    <w:p w14:paraId="6663E1A9" w14:textId="4AE7745E"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Multiple animal studies have confirmed the metabolic benefits of Zone 2 exercise. Zhang et al. (2017) found that 12 weeks of moderate-intensity treadmill exercise (15</w:t>
      </w:r>
      <w:r w:rsidRPr="00133528">
        <w:rPr>
          <w:rFonts w:ascii="Times New Roman" w:hAnsi="Times New Roman" w:cs="Times New Roman"/>
          <w:sz w:val="24"/>
          <w:szCs w:val="24"/>
        </w:rPr>
        <w:t xml:space="preserve"> </w:t>
      </w:r>
      <w:r w:rsidRPr="00133528">
        <w:rPr>
          <w:rFonts w:ascii="Times New Roman" w:hAnsi="Times New Roman" w:cs="Times New Roman"/>
          <w:sz w:val="24"/>
          <w:szCs w:val="24"/>
        </w:rPr>
        <w:t>m/min, 60</w:t>
      </w:r>
      <w:r w:rsidRPr="00133528">
        <w:rPr>
          <w:rFonts w:ascii="Times New Roman" w:hAnsi="Times New Roman" w:cs="Times New Roman"/>
          <w:sz w:val="24"/>
          <w:szCs w:val="24"/>
        </w:rPr>
        <w:t xml:space="preserve"> </w:t>
      </w:r>
      <w:r w:rsidRPr="00133528">
        <w:rPr>
          <w:rFonts w:ascii="Times New Roman" w:hAnsi="Times New Roman" w:cs="Times New Roman"/>
          <w:sz w:val="24"/>
          <w:szCs w:val="24"/>
        </w:rPr>
        <w:t>min/day) significantly improved insulin sensitivity in high-fat diet-induced prediabetic mice, with mechanisms closely related to AMPK activation and enhanced mitochondrial biogenesis</w:t>
      </w:r>
      <w:r w:rsidR="00133528">
        <w:rPr>
          <w:rFonts w:ascii="Times New Roman" w:hAnsi="Times New Roman" w:cs="Times New Roman"/>
          <w:sz w:val="24"/>
          <w:szCs w:val="24"/>
        </w:rPr>
        <w:t xml:space="preserve"> </w:t>
      </w:r>
      <w:r w:rsidRPr="00133528">
        <w:rPr>
          <w:rFonts w:ascii="Times New Roman" w:hAnsi="Times New Roman" w:cs="Times New Roman" w:hint="eastAsia"/>
          <w:sz w:val="24"/>
          <w:szCs w:val="24"/>
          <w:vertAlign w:val="superscript"/>
        </w:rPr>
        <w:t>[</w:t>
      </w:r>
      <w:r w:rsidRPr="00133528">
        <w:rPr>
          <w:rFonts w:ascii="Times New Roman" w:hAnsi="Times New Roman" w:cs="Times New Roman" w:hint="eastAsia"/>
          <w:sz w:val="24"/>
          <w:szCs w:val="24"/>
          <w:vertAlign w:val="superscript"/>
        </w:rPr>
        <w:t>41]</w:t>
      </w:r>
      <w:r w:rsidRPr="00133528">
        <w:rPr>
          <w:rFonts w:ascii="Times New Roman" w:hAnsi="Times New Roman" w:cs="Times New Roman"/>
          <w:sz w:val="24"/>
          <w:szCs w:val="24"/>
        </w:rPr>
        <w:t>.</w:t>
      </w:r>
    </w:p>
    <w:p w14:paraId="0B7C3216" w14:textId="77777777" w:rsidR="00F83B51" w:rsidRPr="00133528" w:rsidRDefault="00F83B51" w:rsidP="00B038D2">
      <w:pPr>
        <w:snapToGrid w:val="0"/>
        <w:rPr>
          <w:rFonts w:ascii="Times New Roman" w:hAnsi="Times New Roman" w:cs="Times New Roman"/>
          <w:sz w:val="24"/>
          <w:szCs w:val="24"/>
        </w:rPr>
      </w:pPr>
    </w:p>
    <w:p w14:paraId="21EB13D2" w14:textId="77777777" w:rsidR="00F83B51" w:rsidRPr="00B038D2" w:rsidRDefault="00581C16" w:rsidP="00B038D2">
      <w:pPr>
        <w:pStyle w:val="Heading2"/>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5.2</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Human </w:t>
      </w:r>
      <w:r w:rsidRPr="00133528">
        <w:rPr>
          <w:rFonts w:ascii="Times New Roman" w:hAnsi="Times New Roman" w:cs="Times New Roman" w:hint="eastAsia"/>
          <w:b/>
          <w:bCs/>
          <w:color w:val="auto"/>
          <w:sz w:val="24"/>
          <w:szCs w:val="24"/>
          <w:lang w:val="en-US"/>
        </w:rPr>
        <w:t>s</w:t>
      </w:r>
      <w:r w:rsidRPr="00B038D2">
        <w:rPr>
          <w:rFonts w:ascii="Times New Roman" w:hAnsi="Times New Roman" w:cs="Times New Roman"/>
          <w:b/>
          <w:bCs/>
          <w:color w:val="auto"/>
          <w:sz w:val="24"/>
          <w:szCs w:val="24"/>
          <w:lang w:val="en-US"/>
        </w:rPr>
        <w:t>tudies</w:t>
      </w:r>
    </w:p>
    <w:p w14:paraId="5B6BBC11" w14:textId="3EDA85D5"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 xml:space="preserve">In human randomized controlled trials, the landmark Diabetes Prevention Program study demonstrated that lifestyle intervention, including exercise, reduced diabetes incidence by 58% </w:t>
      </w:r>
      <w:r w:rsidRPr="00133528">
        <w:rPr>
          <w:rFonts w:ascii="Times New Roman" w:hAnsi="Times New Roman" w:cs="Times New Roman" w:hint="eastAsia"/>
          <w:sz w:val="24"/>
          <w:szCs w:val="24"/>
          <w:vertAlign w:val="superscript"/>
        </w:rPr>
        <w:t>[42]</w:t>
      </w:r>
      <w:r w:rsidRPr="00133528">
        <w:rPr>
          <w:rFonts w:ascii="Times New Roman" w:hAnsi="Times New Roman" w:cs="Times New Roman"/>
          <w:sz w:val="24"/>
          <w:szCs w:val="24"/>
        </w:rPr>
        <w:t>. Uusitupa et al. (2003) found that 12 weeks of moderate-intensity aerobic exercise reduced HbA1c by 0.2</w:t>
      </w:r>
      <w:r w:rsidRPr="00133528">
        <w:rPr>
          <w:rFonts w:ascii="Times New Roman" w:hAnsi="Times New Roman" w:cs="Times New Roman"/>
          <w:sz w:val="24"/>
          <w:szCs w:val="24"/>
        </w:rPr>
        <w:t>–0.4% in prediabetic individuals</w:t>
      </w:r>
      <w:r w:rsidR="00133528">
        <w:rPr>
          <w:rFonts w:ascii="Times New Roman" w:hAnsi="Times New Roman" w:cs="Times New Roman"/>
          <w:sz w:val="24"/>
          <w:szCs w:val="24"/>
        </w:rPr>
        <w:t xml:space="preserve"> </w:t>
      </w:r>
      <w:r w:rsidR="00133528">
        <w:rPr>
          <w:rFonts w:ascii="Times New Roman" w:hAnsi="Times New Roman" w:cs="Times New Roman"/>
          <w:sz w:val="24"/>
          <w:szCs w:val="24"/>
          <w:vertAlign w:val="superscript"/>
        </w:rPr>
        <w:t>[43]</w:t>
      </w:r>
      <w:r w:rsidRPr="00133528">
        <w:rPr>
          <w:rFonts w:ascii="Times New Roman" w:hAnsi="Times New Roman" w:cs="Times New Roman"/>
          <w:sz w:val="24"/>
          <w:szCs w:val="24"/>
        </w:rPr>
        <w:t>. In the Chinese population</w:t>
      </w:r>
      <w:r w:rsidRPr="00133528">
        <w:rPr>
          <w:rFonts w:ascii="Times New Roman" w:hAnsi="Times New Roman" w:cs="Times New Roman"/>
          <w:sz w:val="24"/>
          <w:szCs w:val="24"/>
        </w:rPr>
        <w:t>, long-term follow-up from the Da Qing Diabetes Prevention Study showed that 16 weeks of cycle ergometer exercise (5</w:t>
      </w:r>
      <w:r w:rsidRPr="00133528">
        <w:rPr>
          <w:rFonts w:ascii="Times New Roman" w:hAnsi="Times New Roman" w:cs="Times New Roman"/>
          <w:sz w:val="24"/>
          <w:szCs w:val="24"/>
        </w:rPr>
        <w:t xml:space="preserve"> </w:t>
      </w:r>
      <w:r w:rsidRPr="00133528">
        <w:rPr>
          <w:rFonts w:ascii="Times New Roman" w:hAnsi="Times New Roman" w:cs="Times New Roman"/>
          <w:sz w:val="24"/>
          <w:szCs w:val="24"/>
        </w:rPr>
        <w:t xml:space="preserve">sessions/week, 45 min/session) significantly improved fasting plasma glucose and oral glucose tolerance test results </w:t>
      </w:r>
      <w:r w:rsidRPr="00133528">
        <w:rPr>
          <w:rFonts w:ascii="Times New Roman" w:hAnsi="Times New Roman" w:cs="Times New Roman" w:hint="eastAsia"/>
          <w:sz w:val="24"/>
          <w:szCs w:val="24"/>
          <w:vertAlign w:val="superscript"/>
        </w:rPr>
        <w:t>[44]</w:t>
      </w:r>
      <w:r w:rsidRPr="00133528">
        <w:rPr>
          <w:rFonts w:ascii="Times New Roman" w:hAnsi="Times New Roman" w:cs="Times New Roman"/>
          <w:sz w:val="24"/>
          <w:szCs w:val="24"/>
        </w:rPr>
        <w:t>.</w:t>
      </w:r>
    </w:p>
    <w:p w14:paraId="3EBD4B5B" w14:textId="05BF5206" w:rsidR="00F83B51" w:rsidRPr="00133528" w:rsidRDefault="00581C16" w:rsidP="00B038D2">
      <w:pPr>
        <w:snapToGrid w:val="0"/>
        <w:ind w:firstLineChars="200" w:firstLine="480"/>
        <w:rPr>
          <w:rFonts w:ascii="Times New Roman" w:hAnsi="Times New Roman" w:cs="Times New Roman"/>
          <w:sz w:val="24"/>
          <w:szCs w:val="24"/>
        </w:rPr>
      </w:pPr>
      <w:r w:rsidRPr="00133528">
        <w:rPr>
          <w:rFonts w:ascii="Times New Roman" w:hAnsi="Times New Roman" w:cs="Times New Roman"/>
          <w:sz w:val="24"/>
          <w:szCs w:val="24"/>
        </w:rPr>
        <w:t>Regarding dose-response relationships, current evidence suggests that 150–300 minutes of moderate-intensity exercise per week yields the greatest metabolic benefits</w:t>
      </w:r>
      <w:r w:rsidRPr="00133528">
        <w:rPr>
          <w:rFonts w:ascii="Times New Roman" w:hAnsi="Times New Roman" w:cs="Times New Roman"/>
          <w:sz w:val="24"/>
          <w:szCs w:val="24"/>
        </w:rPr>
        <w:t>, with an optimal frequency of 4–5 sessions per week and a recommended duration of 30–60 minutes per session</w:t>
      </w:r>
      <w:r w:rsidRPr="00133528">
        <w:rPr>
          <w:rFonts w:ascii="Times New Roman" w:hAnsi="Times New Roman" w:cs="Times New Roman" w:hint="eastAsia"/>
          <w:sz w:val="24"/>
          <w:szCs w:val="24"/>
        </w:rPr>
        <w:t xml:space="preserve"> </w:t>
      </w:r>
      <w:r w:rsidRPr="00133528">
        <w:rPr>
          <w:rFonts w:ascii="Times New Roman" w:hAnsi="Times New Roman" w:cs="Times New Roman" w:hint="eastAsia"/>
          <w:sz w:val="24"/>
          <w:szCs w:val="24"/>
          <w:vertAlign w:val="superscript"/>
        </w:rPr>
        <w:t>[</w:t>
      </w:r>
      <w:r w:rsidR="00133528">
        <w:rPr>
          <w:rFonts w:ascii="Times New Roman" w:hAnsi="Times New Roman" w:cs="Times New Roman"/>
          <w:sz w:val="24"/>
          <w:szCs w:val="24"/>
          <w:vertAlign w:val="superscript"/>
        </w:rPr>
        <w:t>45,</w:t>
      </w:r>
      <w:r w:rsidRPr="00133528">
        <w:rPr>
          <w:rFonts w:ascii="Times New Roman" w:hAnsi="Times New Roman" w:cs="Times New Roman" w:hint="eastAsia"/>
          <w:sz w:val="24"/>
          <w:szCs w:val="24"/>
          <w:vertAlign w:val="superscript"/>
        </w:rPr>
        <w:t>46]</w:t>
      </w:r>
      <w:r w:rsidRPr="00133528">
        <w:rPr>
          <w:rFonts w:ascii="Times New Roman" w:hAnsi="Times New Roman" w:cs="Times New Roman"/>
          <w:sz w:val="24"/>
          <w:szCs w:val="24"/>
        </w:rPr>
        <w:t>.</w:t>
      </w:r>
    </w:p>
    <w:p w14:paraId="007AEDB6" w14:textId="77777777" w:rsidR="00F83B51" w:rsidRPr="00133528" w:rsidRDefault="00F83B51" w:rsidP="00B038D2">
      <w:pPr>
        <w:snapToGrid w:val="0"/>
        <w:ind w:firstLineChars="200" w:firstLine="480"/>
        <w:rPr>
          <w:rFonts w:ascii="Times New Roman" w:hAnsi="Times New Roman" w:cs="Times New Roman"/>
          <w:sz w:val="24"/>
          <w:szCs w:val="24"/>
        </w:rPr>
      </w:pPr>
    </w:p>
    <w:p w14:paraId="56180A4A" w14:textId="77777777" w:rsidR="00F83B51" w:rsidRPr="00B038D2" w:rsidRDefault="00581C16" w:rsidP="00B038D2">
      <w:pPr>
        <w:pStyle w:val="Heading2"/>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5.3</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Comparison with </w:t>
      </w:r>
      <w:r w:rsidRPr="00133528">
        <w:rPr>
          <w:rFonts w:ascii="Times New Roman" w:hAnsi="Times New Roman" w:cs="Times New Roman" w:hint="eastAsia"/>
          <w:b/>
          <w:bCs/>
          <w:color w:val="auto"/>
          <w:sz w:val="24"/>
          <w:szCs w:val="24"/>
          <w:lang w:val="en-US"/>
        </w:rPr>
        <w:t>o</w:t>
      </w:r>
      <w:r w:rsidRPr="00B038D2">
        <w:rPr>
          <w:rFonts w:ascii="Times New Roman" w:hAnsi="Times New Roman" w:cs="Times New Roman"/>
          <w:b/>
          <w:bCs/>
          <w:color w:val="auto"/>
          <w:sz w:val="24"/>
          <w:szCs w:val="24"/>
          <w:lang w:val="en-US"/>
        </w:rPr>
        <w:t xml:space="preserve">ther </w:t>
      </w:r>
      <w:r w:rsidRPr="00133528">
        <w:rPr>
          <w:rFonts w:ascii="Times New Roman" w:hAnsi="Times New Roman" w:cs="Times New Roman" w:hint="eastAsia"/>
          <w:b/>
          <w:bCs/>
          <w:color w:val="auto"/>
          <w:sz w:val="24"/>
          <w:szCs w:val="24"/>
          <w:lang w:val="en-US"/>
        </w:rPr>
        <w:t>e</w:t>
      </w:r>
      <w:r w:rsidRPr="00B038D2">
        <w:rPr>
          <w:rFonts w:ascii="Times New Roman" w:hAnsi="Times New Roman" w:cs="Times New Roman"/>
          <w:b/>
          <w:bCs/>
          <w:color w:val="auto"/>
          <w:sz w:val="24"/>
          <w:szCs w:val="24"/>
          <w:lang w:val="en-US"/>
        </w:rPr>
        <w:t xml:space="preserve">xercise </w:t>
      </w:r>
      <w:r w:rsidRPr="00133528">
        <w:rPr>
          <w:rFonts w:ascii="Times New Roman" w:hAnsi="Times New Roman" w:cs="Times New Roman" w:hint="eastAsia"/>
          <w:b/>
          <w:bCs/>
          <w:color w:val="auto"/>
          <w:sz w:val="24"/>
          <w:szCs w:val="24"/>
          <w:lang w:val="en-US"/>
        </w:rPr>
        <w:t>m</w:t>
      </w:r>
      <w:r w:rsidRPr="00B038D2">
        <w:rPr>
          <w:rFonts w:ascii="Times New Roman" w:hAnsi="Times New Roman" w:cs="Times New Roman"/>
          <w:b/>
          <w:bCs/>
          <w:color w:val="auto"/>
          <w:sz w:val="24"/>
          <w:szCs w:val="24"/>
          <w:lang w:val="en-US"/>
        </w:rPr>
        <w:t>odalities</w:t>
      </w:r>
    </w:p>
    <w:p w14:paraId="37C6FF9C" w14:textId="17BA6036"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Compared to high-intensity interval training (HIIT), Zone 2 aerobic exercise offers unique advantages across multiple dimensions. In terms of exercise intensity, Zone 2 exercise is classified as low-to-moderate intensity, whereas HIIT requires 85</w:t>
      </w:r>
      <w:r w:rsidRPr="00133528">
        <w:rPr>
          <w:rFonts w:ascii="Times New Roman" w:hAnsi="Times New Roman" w:cs="Times New Roman"/>
          <w:sz w:val="24"/>
          <w:szCs w:val="24"/>
        </w:rPr>
        <w:t xml:space="preserve">–95% of maximum heart rate, placing higher demands </w:t>
      </w:r>
      <w:r w:rsidRPr="00133528">
        <w:rPr>
          <w:rFonts w:ascii="Times New Roman" w:hAnsi="Times New Roman" w:cs="Times New Roman"/>
          <w:sz w:val="24"/>
          <w:szCs w:val="24"/>
        </w:rPr>
        <w:lastRenderedPageBreak/>
        <w:t>on cardiopulmonary function. Regarding fat oxidation efficiency, Zone 2 exercise, with intensity maintained within the fat oxidation peak zone, achieves significantly higher fat oxidation per unit time compared to HIIT. In terms of adherence, Zone 2 exercise, due to its low perceived exertion and minimal subjective discomfort, is more conducive to long-term participation. Regarding exercise injury risk, Zone 2 exercise carries substantially lower joint load</w:t>
      </w:r>
      <w:r w:rsidRPr="00133528">
        <w:rPr>
          <w:rFonts w:ascii="Times New Roman" w:hAnsi="Times New Roman" w:cs="Times New Roman"/>
          <w:sz w:val="24"/>
          <w:szCs w:val="24"/>
        </w:rPr>
        <w:t>ing and muscle damage risk than HIIT. Therefore, for prediabetic individuals with limited exercise foundations, older age, or multiple comorbidities, Zone 2 aerobic exercise represents a safer and more feasible choice</w:t>
      </w:r>
      <w:r w:rsidR="00133528">
        <w:rPr>
          <w:rFonts w:ascii="Times New Roman" w:hAnsi="Times New Roman" w:cs="Times New Roman"/>
          <w:sz w:val="24"/>
          <w:szCs w:val="24"/>
        </w:rPr>
        <w:t xml:space="preserve"> </w:t>
      </w:r>
      <w:r w:rsidRPr="00133528">
        <w:rPr>
          <w:rFonts w:ascii="Times New Roman" w:hAnsi="Times New Roman" w:cs="Times New Roman" w:hint="eastAsia"/>
          <w:sz w:val="24"/>
          <w:szCs w:val="24"/>
          <w:vertAlign w:val="superscript"/>
        </w:rPr>
        <w:t>[47]</w:t>
      </w:r>
      <w:r w:rsidRPr="00133528">
        <w:rPr>
          <w:rFonts w:ascii="Times New Roman" w:hAnsi="Times New Roman" w:cs="Times New Roman"/>
          <w:sz w:val="24"/>
          <w:szCs w:val="24"/>
        </w:rPr>
        <w:t>.</w:t>
      </w:r>
    </w:p>
    <w:p w14:paraId="2A05289F" w14:textId="77777777" w:rsidR="00F83B51" w:rsidRPr="00133528" w:rsidRDefault="00F83B51" w:rsidP="00B038D2">
      <w:pPr>
        <w:snapToGrid w:val="0"/>
        <w:rPr>
          <w:rFonts w:ascii="Times New Roman" w:hAnsi="Times New Roman" w:cs="Times New Roman"/>
          <w:sz w:val="24"/>
          <w:szCs w:val="24"/>
        </w:rPr>
      </w:pPr>
    </w:p>
    <w:p w14:paraId="58FF8F26" w14:textId="77777777" w:rsidR="00F83B51" w:rsidRPr="00B038D2" w:rsidRDefault="00581C16" w:rsidP="00B038D2">
      <w:pPr>
        <w:pStyle w:val="Heading1"/>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 xml:space="preserve">6. Conclusions and </w:t>
      </w:r>
      <w:r w:rsidRPr="00133528">
        <w:rPr>
          <w:rFonts w:ascii="Times New Roman" w:hAnsi="Times New Roman" w:cs="Times New Roman" w:hint="eastAsia"/>
          <w:b/>
          <w:bCs/>
          <w:color w:val="auto"/>
          <w:sz w:val="24"/>
          <w:szCs w:val="24"/>
          <w:lang w:val="en-US"/>
        </w:rPr>
        <w:t>f</w:t>
      </w:r>
      <w:r w:rsidRPr="00B038D2">
        <w:rPr>
          <w:rFonts w:ascii="Times New Roman" w:hAnsi="Times New Roman" w:cs="Times New Roman"/>
          <w:b/>
          <w:bCs/>
          <w:color w:val="auto"/>
          <w:sz w:val="24"/>
          <w:szCs w:val="24"/>
          <w:lang w:val="en-US"/>
        </w:rPr>
        <w:t xml:space="preserve">uture </w:t>
      </w:r>
      <w:r w:rsidRPr="00133528">
        <w:rPr>
          <w:rFonts w:ascii="Times New Roman" w:hAnsi="Times New Roman" w:cs="Times New Roman" w:hint="eastAsia"/>
          <w:b/>
          <w:bCs/>
          <w:color w:val="auto"/>
          <w:sz w:val="24"/>
          <w:szCs w:val="24"/>
          <w:lang w:val="en-US"/>
        </w:rPr>
        <w:t>d</w:t>
      </w:r>
      <w:r w:rsidRPr="00B038D2">
        <w:rPr>
          <w:rFonts w:ascii="Times New Roman" w:hAnsi="Times New Roman" w:cs="Times New Roman"/>
          <w:b/>
          <w:bCs/>
          <w:color w:val="auto"/>
          <w:sz w:val="24"/>
          <w:szCs w:val="24"/>
          <w:lang w:val="en-US"/>
        </w:rPr>
        <w:t>irections</w:t>
      </w:r>
    </w:p>
    <w:p w14:paraId="45FD855D" w14:textId="77777777" w:rsidR="00F83B51" w:rsidRPr="00B038D2" w:rsidRDefault="00581C16" w:rsidP="00B038D2">
      <w:pPr>
        <w:pStyle w:val="Heading2"/>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6.1</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Main </w:t>
      </w:r>
      <w:r w:rsidRPr="00133528">
        <w:rPr>
          <w:rFonts w:ascii="Times New Roman" w:hAnsi="Times New Roman" w:cs="Times New Roman" w:hint="eastAsia"/>
          <w:b/>
          <w:bCs/>
          <w:color w:val="auto"/>
          <w:sz w:val="24"/>
          <w:szCs w:val="24"/>
          <w:lang w:val="en-US"/>
        </w:rPr>
        <w:t>c</w:t>
      </w:r>
      <w:r w:rsidRPr="00B038D2">
        <w:rPr>
          <w:rFonts w:ascii="Times New Roman" w:hAnsi="Times New Roman" w:cs="Times New Roman"/>
          <w:b/>
          <w:bCs/>
          <w:color w:val="auto"/>
          <w:sz w:val="24"/>
          <w:szCs w:val="24"/>
          <w:lang w:val="en-US"/>
        </w:rPr>
        <w:t>onclusions</w:t>
      </w:r>
    </w:p>
    <w:p w14:paraId="00E571C6" w14:textId="77777777"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In summary, Zone 2 aerobic exercise can effectively improve glycemic control in prediabetic populations through multi-target, multi-pathway synergistic mechanisms, including enhancing mitochondrial biogenesis and function, increasing fatty acid oxidation capacity to reduce lipotoxicity, improving insulin signaling pathways, modulating chronic low-grade inflammation, and remodeling gut microbiota. This exercise modality is characterized by low intensity, high sustainability, strong adherence, and favorable s</w:t>
      </w:r>
      <w:r w:rsidRPr="00133528">
        <w:rPr>
          <w:rFonts w:ascii="Times New Roman" w:hAnsi="Times New Roman" w:cs="Times New Roman"/>
          <w:sz w:val="24"/>
          <w:szCs w:val="24"/>
        </w:rPr>
        <w:t>afety profiles, making it suitable as a first-line exercise intervention strategy for prediabetic populations.</w:t>
      </w:r>
    </w:p>
    <w:p w14:paraId="3B96075E" w14:textId="77777777" w:rsidR="00F83B51" w:rsidRPr="00133528" w:rsidRDefault="00F83B51" w:rsidP="00B038D2">
      <w:pPr>
        <w:snapToGrid w:val="0"/>
        <w:rPr>
          <w:rFonts w:ascii="Times New Roman" w:hAnsi="Times New Roman" w:cs="Times New Roman"/>
          <w:sz w:val="24"/>
          <w:szCs w:val="24"/>
        </w:rPr>
      </w:pPr>
    </w:p>
    <w:p w14:paraId="00CA49DE" w14:textId="77777777" w:rsidR="00F83B51" w:rsidRPr="00B038D2" w:rsidRDefault="00581C16" w:rsidP="00B038D2">
      <w:pPr>
        <w:pStyle w:val="Heading2"/>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6.2</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Practical </w:t>
      </w:r>
      <w:r w:rsidRPr="00133528">
        <w:rPr>
          <w:rFonts w:ascii="Times New Roman" w:hAnsi="Times New Roman" w:cs="Times New Roman" w:hint="eastAsia"/>
          <w:b/>
          <w:bCs/>
          <w:color w:val="auto"/>
          <w:sz w:val="24"/>
          <w:szCs w:val="24"/>
          <w:lang w:val="en-US"/>
        </w:rPr>
        <w:t>r</w:t>
      </w:r>
      <w:r w:rsidRPr="00B038D2">
        <w:rPr>
          <w:rFonts w:ascii="Times New Roman" w:hAnsi="Times New Roman" w:cs="Times New Roman"/>
          <w:b/>
          <w:bCs/>
          <w:color w:val="auto"/>
          <w:sz w:val="24"/>
          <w:szCs w:val="24"/>
          <w:lang w:val="en-US"/>
        </w:rPr>
        <w:t>ecommendations</w:t>
      </w:r>
    </w:p>
    <w:p w14:paraId="52A58E12" w14:textId="6409BBA6"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Based on current evidence, it is recommended that prediabetic individuals select exercise modalities such as cycle ergometry, brisk walking, jogging, or swimming, maintaining exercise intensity at 60</w:t>
      </w:r>
      <w:r w:rsidRPr="00133528">
        <w:rPr>
          <w:rFonts w:ascii="Times New Roman" w:hAnsi="Times New Roman" w:cs="Times New Roman"/>
          <w:sz w:val="24"/>
          <w:szCs w:val="24"/>
        </w:rPr>
        <w:t>–70% of maximum heart rate or an RPE of 11–13, exercising for 30–60 minutes per session, 4–5 times per week, with a minimum intervention duration of 12 weeks to achieve significant metabolic improvements.</w:t>
      </w:r>
    </w:p>
    <w:p w14:paraId="1B56AF6A" w14:textId="77777777" w:rsidR="00F83B51" w:rsidRPr="00133528" w:rsidRDefault="00F83B51" w:rsidP="00B038D2">
      <w:pPr>
        <w:snapToGrid w:val="0"/>
        <w:rPr>
          <w:rFonts w:ascii="Times New Roman" w:hAnsi="Times New Roman" w:cs="Times New Roman"/>
          <w:sz w:val="24"/>
          <w:szCs w:val="24"/>
        </w:rPr>
      </w:pPr>
    </w:p>
    <w:p w14:paraId="336E86F4" w14:textId="77777777" w:rsidR="00F83B51" w:rsidRPr="00B038D2" w:rsidRDefault="00581C16" w:rsidP="00B038D2">
      <w:pPr>
        <w:pStyle w:val="Heading2"/>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6.3</w:t>
      </w:r>
      <w:r w:rsidRPr="00133528">
        <w:rPr>
          <w:rFonts w:ascii="Times New Roman" w:hAnsi="Times New Roman" w:cs="Times New Roman" w:hint="eastAsia"/>
          <w:b/>
          <w:bCs/>
          <w:color w:val="auto"/>
          <w:sz w:val="24"/>
          <w:szCs w:val="24"/>
          <w:lang w:val="en-US"/>
        </w:rPr>
        <w:t>.</w:t>
      </w:r>
      <w:r w:rsidRPr="00B038D2">
        <w:rPr>
          <w:rFonts w:ascii="Times New Roman" w:hAnsi="Times New Roman" w:cs="Times New Roman"/>
          <w:b/>
          <w:bCs/>
          <w:color w:val="auto"/>
          <w:sz w:val="24"/>
          <w:szCs w:val="24"/>
          <w:lang w:val="en-US"/>
        </w:rPr>
        <w:t xml:space="preserve"> Future </w:t>
      </w:r>
      <w:r w:rsidRPr="00133528">
        <w:rPr>
          <w:rFonts w:ascii="Times New Roman" w:hAnsi="Times New Roman" w:cs="Times New Roman" w:hint="eastAsia"/>
          <w:b/>
          <w:bCs/>
          <w:color w:val="auto"/>
          <w:sz w:val="24"/>
          <w:szCs w:val="24"/>
          <w:lang w:val="en-US"/>
        </w:rPr>
        <w:t>r</w:t>
      </w:r>
      <w:r w:rsidRPr="00B038D2">
        <w:rPr>
          <w:rFonts w:ascii="Times New Roman" w:hAnsi="Times New Roman" w:cs="Times New Roman"/>
          <w:b/>
          <w:bCs/>
          <w:color w:val="auto"/>
          <w:sz w:val="24"/>
          <w:szCs w:val="24"/>
          <w:lang w:val="en-US"/>
        </w:rPr>
        <w:t xml:space="preserve">esearch </w:t>
      </w:r>
      <w:r w:rsidRPr="00133528">
        <w:rPr>
          <w:rFonts w:ascii="Times New Roman" w:hAnsi="Times New Roman" w:cs="Times New Roman" w:hint="eastAsia"/>
          <w:b/>
          <w:bCs/>
          <w:color w:val="auto"/>
          <w:sz w:val="24"/>
          <w:szCs w:val="24"/>
          <w:lang w:val="en-US"/>
        </w:rPr>
        <w:t>d</w:t>
      </w:r>
      <w:r w:rsidRPr="00B038D2">
        <w:rPr>
          <w:rFonts w:ascii="Times New Roman" w:hAnsi="Times New Roman" w:cs="Times New Roman"/>
          <w:b/>
          <w:bCs/>
          <w:color w:val="auto"/>
          <w:sz w:val="24"/>
          <w:szCs w:val="24"/>
          <w:lang w:val="en-US"/>
        </w:rPr>
        <w:t>irections</w:t>
      </w:r>
    </w:p>
    <w:p w14:paraId="7B9FB257" w14:textId="77777777" w:rsidR="00F83B51" w:rsidRPr="00133528" w:rsidRDefault="00581C16" w:rsidP="00B038D2">
      <w:pPr>
        <w:snapToGrid w:val="0"/>
        <w:rPr>
          <w:rFonts w:ascii="Times New Roman" w:hAnsi="Times New Roman" w:cs="Times New Roman"/>
          <w:sz w:val="24"/>
          <w:szCs w:val="24"/>
        </w:rPr>
      </w:pPr>
      <w:r w:rsidRPr="00133528">
        <w:rPr>
          <w:rFonts w:ascii="Times New Roman" w:hAnsi="Times New Roman" w:cs="Times New Roman"/>
          <w:sz w:val="24"/>
          <w:szCs w:val="24"/>
        </w:rPr>
        <w:t>Future research should focus on several key areas: conducting multi-center, large-scale randomized controlled trials to validate the long-term efficacy of Zone 2 exercise and its diabetes prevention effects; exploring dose-response relationships among different combinations of exercise frequency, duration, and intensity to establish individualized exercise prescription models; utilizing metabolomics, transcriptomics, and metagenomics to elucidate molecular mechanisms in greater depth; developing intelligent</w:t>
      </w:r>
      <w:r w:rsidRPr="00133528">
        <w:rPr>
          <w:rFonts w:ascii="Times New Roman" w:hAnsi="Times New Roman" w:cs="Times New Roman"/>
          <w:sz w:val="24"/>
          <w:szCs w:val="24"/>
        </w:rPr>
        <w:t xml:space="preserve"> exercise prescription systems based on wearable devices for real-time monitoring and dynamic adjustment of exercise intensity; and investigating the combined effects of Zone 2 exercise with dietary interventions and pharmacotherapy to provide more comprehensive evidence-based support for the integrated management of prediabetes.</w:t>
      </w:r>
    </w:p>
    <w:p w14:paraId="0E53FA92" w14:textId="77777777" w:rsidR="00F83B51" w:rsidRPr="00133528" w:rsidRDefault="00F83B51" w:rsidP="00B038D2">
      <w:pPr>
        <w:snapToGrid w:val="0"/>
        <w:rPr>
          <w:rFonts w:ascii="Times New Roman" w:hAnsi="Times New Roman" w:cs="Times New Roman"/>
          <w:sz w:val="24"/>
          <w:szCs w:val="24"/>
        </w:rPr>
      </w:pPr>
    </w:p>
    <w:p w14:paraId="3FF8F41C" w14:textId="77777777" w:rsidR="00F83B51" w:rsidRPr="00133528" w:rsidRDefault="00581C16" w:rsidP="00B038D2">
      <w:pPr>
        <w:snapToGrid w:val="0"/>
        <w:rPr>
          <w:rFonts w:ascii="Times New Roman" w:hAnsi="Times New Roman"/>
          <w:b/>
          <w:bCs/>
          <w:sz w:val="24"/>
        </w:rPr>
      </w:pPr>
      <w:bookmarkStart w:id="0" w:name="_Hlk181689731"/>
      <w:r w:rsidRPr="00133528">
        <w:rPr>
          <w:rFonts w:ascii="Times New Roman" w:hAnsi="Times New Roman"/>
          <w:b/>
          <w:bCs/>
          <w:sz w:val="24"/>
        </w:rPr>
        <w:t>Disclosure statement</w:t>
      </w:r>
    </w:p>
    <w:p w14:paraId="3655EE0C" w14:textId="6470CCCF" w:rsidR="00F83B51" w:rsidRPr="00133528" w:rsidRDefault="00581C16" w:rsidP="00B038D2">
      <w:pPr>
        <w:snapToGrid w:val="0"/>
        <w:rPr>
          <w:rFonts w:ascii="Times New Roman" w:hAnsi="Times New Roman"/>
          <w:sz w:val="24"/>
        </w:rPr>
      </w:pPr>
      <w:r w:rsidRPr="00133528">
        <w:rPr>
          <w:rFonts w:ascii="Times New Roman" w:hAnsi="Times New Roman"/>
          <w:sz w:val="24"/>
        </w:rPr>
        <w:t>The author</w:t>
      </w:r>
      <w:r w:rsidRPr="00133528">
        <w:rPr>
          <w:rFonts w:ascii="Times New Roman" w:hAnsi="Times New Roman"/>
          <w:sz w:val="24"/>
        </w:rPr>
        <w:t xml:space="preserve"> declare</w:t>
      </w:r>
      <w:r w:rsidR="00133528">
        <w:rPr>
          <w:rFonts w:ascii="Times New Roman" w:hAnsi="Times New Roman"/>
          <w:sz w:val="24"/>
        </w:rPr>
        <w:t>s</w:t>
      </w:r>
      <w:r w:rsidRPr="00133528">
        <w:rPr>
          <w:rFonts w:ascii="Times New Roman" w:hAnsi="Times New Roman"/>
          <w:sz w:val="24"/>
        </w:rPr>
        <w:t xml:space="preserve"> no conflict of interest. </w:t>
      </w:r>
    </w:p>
    <w:bookmarkEnd w:id="0"/>
    <w:p w14:paraId="2340DFA8" w14:textId="77777777" w:rsidR="00F83B51" w:rsidRPr="00133528" w:rsidRDefault="00F83B51" w:rsidP="00B038D2">
      <w:pPr>
        <w:snapToGrid w:val="0"/>
        <w:rPr>
          <w:rFonts w:ascii="Times New Roman" w:hAnsi="Times New Roman" w:cs="Times New Roman"/>
          <w:sz w:val="24"/>
          <w:szCs w:val="24"/>
        </w:rPr>
      </w:pPr>
    </w:p>
    <w:p w14:paraId="7866B432" w14:textId="77777777" w:rsidR="00F83B51" w:rsidRPr="00B038D2" w:rsidRDefault="00581C16" w:rsidP="00B038D2">
      <w:pPr>
        <w:pStyle w:val="Heading1"/>
        <w:snapToGrid w:val="0"/>
        <w:rPr>
          <w:rFonts w:ascii="Times New Roman" w:hAnsi="Times New Roman" w:cs="Times New Roman"/>
          <w:color w:val="auto"/>
          <w:sz w:val="24"/>
          <w:szCs w:val="24"/>
          <w:lang w:val="en-US"/>
        </w:rPr>
      </w:pPr>
      <w:r w:rsidRPr="00B038D2">
        <w:rPr>
          <w:rFonts w:ascii="Times New Roman" w:hAnsi="Times New Roman" w:cs="Times New Roman"/>
          <w:b/>
          <w:bCs/>
          <w:color w:val="auto"/>
          <w:sz w:val="24"/>
          <w:szCs w:val="24"/>
          <w:lang w:val="en-US"/>
        </w:rPr>
        <w:t>References</w:t>
      </w:r>
    </w:p>
    <w:p w14:paraId="4D864D62"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[1] </w:t>
      </w:r>
      <w:r>
        <w:rPr>
          <w:rFonts w:ascii="Times New Roman" w:hAnsi="Times New Roman" w:cs="Times New Roman"/>
          <w:sz w:val="24"/>
          <w:szCs w:val="24"/>
          <w:lang w:val="en-MY"/>
        </w:rPr>
        <w:tab/>
      </w:r>
      <w:r>
        <w:rPr>
          <w:rFonts w:ascii="Times New Roman" w:hAnsi="Times New Roman" w:cs="Times New Roman"/>
          <w:sz w:val="24"/>
          <w:szCs w:val="24"/>
          <w:lang w:val="en-MY"/>
        </w:rPr>
        <w:tab/>
      </w:r>
      <w:r w:rsidRPr="00E3662F">
        <w:rPr>
          <w:rFonts w:ascii="Times New Roman" w:hAnsi="Times New Roman" w:cs="Times New Roman"/>
          <w:sz w:val="24"/>
          <w:szCs w:val="24"/>
          <w:lang w:val="en-MY"/>
        </w:rPr>
        <w:t>American Diabetes Association, 2024, Classification and Diagnosis of Diabetes: Standards of Medical Care in Diabetes—2024. Diabetes Care, 47(Suppl 1): S20–S42.</w:t>
      </w:r>
    </w:p>
    <w:p w14:paraId="0F254EAF"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[2] </w:t>
      </w:r>
      <w:r>
        <w:rPr>
          <w:rFonts w:ascii="Times New Roman" w:hAnsi="Times New Roman" w:cs="Times New Roman"/>
          <w:sz w:val="24"/>
          <w:szCs w:val="24"/>
          <w:lang w:val="en-MY"/>
        </w:rPr>
        <w:tab/>
      </w:r>
      <w:r>
        <w:rPr>
          <w:rFonts w:ascii="Times New Roman" w:hAnsi="Times New Roman" w:cs="Times New Roman"/>
          <w:sz w:val="24"/>
          <w:szCs w:val="24"/>
          <w:lang w:val="en-MY"/>
        </w:rPr>
        <w:tab/>
      </w:r>
      <w:r w:rsidRPr="00E3662F">
        <w:rPr>
          <w:rFonts w:ascii="Times New Roman" w:hAnsi="Times New Roman" w:cs="Times New Roman"/>
          <w:sz w:val="24"/>
          <w:szCs w:val="24"/>
          <w:lang w:val="en-MY"/>
        </w:rPr>
        <w:t>Tabák A, Herder C, Rathmann W, et al., 2012, Prediabetes: A High-Risk State for Diabetes Development. The Lancet, 379(9833): 2279–2290.</w:t>
      </w:r>
    </w:p>
    <w:p w14:paraId="5AD71D0F"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[3] </w:t>
      </w:r>
      <w:r>
        <w:rPr>
          <w:rFonts w:ascii="Times New Roman" w:hAnsi="Times New Roman" w:cs="Times New Roman"/>
          <w:sz w:val="24"/>
          <w:szCs w:val="24"/>
          <w:lang w:val="en-MY"/>
        </w:rPr>
        <w:tab/>
      </w:r>
      <w:r>
        <w:rPr>
          <w:rFonts w:ascii="Times New Roman" w:hAnsi="Times New Roman" w:cs="Times New Roman"/>
          <w:sz w:val="24"/>
          <w:szCs w:val="24"/>
          <w:lang w:val="en-MY"/>
        </w:rPr>
        <w:tab/>
      </w:r>
      <w:r w:rsidRPr="00E3662F">
        <w:rPr>
          <w:rFonts w:ascii="Times New Roman" w:hAnsi="Times New Roman" w:cs="Times New Roman"/>
          <w:sz w:val="24"/>
          <w:szCs w:val="24"/>
          <w:lang w:val="en-MY"/>
        </w:rPr>
        <w:t>Colberg S, Sigal R, Fernhall B, et al., 2010, Exercise and Type 2 Diabetes: The American College of Sports Medicine and the American Diabetes Association Joint Position Statement. Diabetes Care, 33(12): e147–e167.</w:t>
      </w:r>
    </w:p>
    <w:p w14:paraId="0AEC7E61"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[4] </w:t>
      </w:r>
      <w:r>
        <w:rPr>
          <w:rFonts w:ascii="Times New Roman" w:hAnsi="Times New Roman" w:cs="Times New Roman"/>
          <w:sz w:val="24"/>
          <w:szCs w:val="24"/>
          <w:lang w:val="en-MY"/>
        </w:rPr>
        <w:tab/>
      </w:r>
      <w:r>
        <w:rPr>
          <w:rFonts w:ascii="Times New Roman" w:hAnsi="Times New Roman" w:cs="Times New Roman"/>
          <w:sz w:val="24"/>
          <w:szCs w:val="24"/>
          <w:lang w:val="en-MY"/>
        </w:rPr>
        <w:tab/>
      </w:r>
      <w:r w:rsidRPr="00E3662F">
        <w:rPr>
          <w:rFonts w:ascii="Times New Roman" w:hAnsi="Times New Roman" w:cs="Times New Roman"/>
          <w:sz w:val="24"/>
          <w:szCs w:val="24"/>
          <w:lang w:val="en-MY"/>
        </w:rPr>
        <w:t>Coyle E, González-Alonso J, 2001, Cardiovascular Drift During Prolonged Exercise: New Perspectives. Exercise and Sport Sciences Reviews, 29(2): 88–92.</w:t>
      </w:r>
    </w:p>
    <w:p w14:paraId="1D46C104"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[5] </w:t>
      </w:r>
      <w:r>
        <w:rPr>
          <w:rFonts w:ascii="Times New Roman" w:hAnsi="Times New Roman" w:cs="Times New Roman"/>
          <w:sz w:val="24"/>
          <w:szCs w:val="24"/>
          <w:lang w:val="en-MY"/>
        </w:rPr>
        <w:tab/>
      </w:r>
      <w:r>
        <w:rPr>
          <w:rFonts w:ascii="Times New Roman" w:hAnsi="Times New Roman" w:cs="Times New Roman"/>
          <w:sz w:val="24"/>
          <w:szCs w:val="24"/>
          <w:lang w:val="en-MY"/>
        </w:rPr>
        <w:tab/>
      </w:r>
      <w:r w:rsidRPr="00E3662F">
        <w:rPr>
          <w:rFonts w:ascii="Times New Roman" w:hAnsi="Times New Roman" w:cs="Times New Roman"/>
          <w:sz w:val="24"/>
          <w:szCs w:val="24"/>
          <w:lang w:val="en-MY"/>
        </w:rPr>
        <w:t>Mielgo-Ayuso J, Calleja-González J, Marqués-Jiménez D, et al., 2021, Effects of Different Training Interventions on the Physical Fitness of Overweight and Obese Children and Adolescents: A Systematic Review and Meta-analysis. Children, 8(12): 1132.</w:t>
      </w:r>
    </w:p>
    <w:p w14:paraId="02122AB9"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lastRenderedPageBreak/>
        <w:t xml:space="preserve">[6] </w:t>
      </w:r>
      <w:r>
        <w:rPr>
          <w:rFonts w:ascii="Times New Roman" w:hAnsi="Times New Roman" w:cs="Times New Roman"/>
          <w:sz w:val="24"/>
          <w:szCs w:val="24"/>
          <w:lang w:val="en-MY"/>
        </w:rPr>
        <w:tab/>
      </w:r>
      <w:r>
        <w:rPr>
          <w:rFonts w:ascii="Times New Roman" w:hAnsi="Times New Roman" w:cs="Times New Roman"/>
          <w:sz w:val="24"/>
          <w:szCs w:val="24"/>
          <w:lang w:val="en-MY"/>
        </w:rPr>
        <w:tab/>
      </w:r>
      <w:r w:rsidRPr="00E3662F">
        <w:rPr>
          <w:rFonts w:ascii="Times New Roman" w:hAnsi="Times New Roman" w:cs="Times New Roman"/>
          <w:sz w:val="24"/>
          <w:szCs w:val="24"/>
          <w:lang w:val="en-MY"/>
        </w:rPr>
        <w:t>San-Millán I, Brooks G, 2018, Assessment of Metabolic Flexibility by Means of Measuring Blood Lactate, Fat, and Carbohydrate Oxidation Responses to Exercise in Professional Endurance Athletes and Less-Fit Individuals. Sports Medicine, 48(2): 467–479.</w:t>
      </w:r>
    </w:p>
    <w:p w14:paraId="0B59378B"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[7] </w:t>
      </w:r>
      <w:r>
        <w:rPr>
          <w:rFonts w:ascii="Times New Roman" w:hAnsi="Times New Roman" w:cs="Times New Roman"/>
          <w:sz w:val="24"/>
          <w:szCs w:val="24"/>
          <w:lang w:val="en-MY"/>
        </w:rPr>
        <w:tab/>
      </w:r>
      <w:r>
        <w:rPr>
          <w:rFonts w:ascii="Times New Roman" w:hAnsi="Times New Roman" w:cs="Times New Roman"/>
          <w:sz w:val="24"/>
          <w:szCs w:val="24"/>
          <w:lang w:val="en-MY"/>
        </w:rPr>
        <w:tab/>
      </w:r>
      <w:r w:rsidRPr="00E3662F">
        <w:rPr>
          <w:rFonts w:ascii="Times New Roman" w:hAnsi="Times New Roman" w:cs="Times New Roman"/>
          <w:sz w:val="24"/>
          <w:szCs w:val="24"/>
          <w:lang w:val="en-MY"/>
        </w:rPr>
        <w:t>Jeukendrup A, Wallis G, 2005, Measurement of Substrate Oxidation During Exercise by Means of Gas Exchange Measurements. International Journal of Sports Medicine, 26(Suppl 1): S28–S37.</w:t>
      </w:r>
    </w:p>
    <w:p w14:paraId="5F40CC04"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[8] </w:t>
      </w:r>
      <w:r>
        <w:rPr>
          <w:rFonts w:ascii="Times New Roman" w:hAnsi="Times New Roman" w:cs="Times New Roman"/>
          <w:sz w:val="24"/>
          <w:szCs w:val="24"/>
          <w:lang w:val="en-MY"/>
        </w:rPr>
        <w:tab/>
      </w:r>
      <w:r>
        <w:rPr>
          <w:rFonts w:ascii="Times New Roman" w:hAnsi="Times New Roman" w:cs="Times New Roman"/>
          <w:sz w:val="24"/>
          <w:szCs w:val="24"/>
          <w:lang w:val="en-MY"/>
        </w:rPr>
        <w:tab/>
      </w:r>
      <w:r w:rsidRPr="00E3662F">
        <w:rPr>
          <w:rFonts w:ascii="Times New Roman" w:hAnsi="Times New Roman" w:cs="Times New Roman"/>
          <w:sz w:val="24"/>
          <w:szCs w:val="24"/>
          <w:lang w:val="en-MY"/>
        </w:rPr>
        <w:t>Liguori G, 2022, ACSM's Guidelines for Exercise Testing and Prescription. 11th ed. Wolters Kluwer.</w:t>
      </w:r>
    </w:p>
    <w:p w14:paraId="081C691E"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[9] </w:t>
      </w:r>
      <w:r>
        <w:rPr>
          <w:rFonts w:ascii="Times New Roman" w:hAnsi="Times New Roman" w:cs="Times New Roman"/>
          <w:sz w:val="24"/>
          <w:szCs w:val="24"/>
          <w:lang w:val="en-MY"/>
        </w:rPr>
        <w:tab/>
      </w:r>
      <w:r>
        <w:rPr>
          <w:rFonts w:ascii="Times New Roman" w:hAnsi="Times New Roman" w:cs="Times New Roman"/>
          <w:sz w:val="24"/>
          <w:szCs w:val="24"/>
          <w:lang w:val="en-MY"/>
        </w:rPr>
        <w:tab/>
      </w:r>
      <w:r w:rsidRPr="00E3662F">
        <w:rPr>
          <w:rFonts w:ascii="Times New Roman" w:hAnsi="Times New Roman" w:cs="Times New Roman"/>
          <w:sz w:val="24"/>
          <w:szCs w:val="24"/>
          <w:lang w:val="en-MY"/>
        </w:rPr>
        <w:t>Borg G, 1982, Psychophysical Bases of Perceived Exertion. Medicine &amp; Science in Sports &amp; Exercise, 14(5): 377–381.</w:t>
      </w:r>
    </w:p>
    <w:p w14:paraId="64D9EC6E"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[10]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Egan B, Zierath J, 2013, Exercise Metabolism and the Molecular Regulation of Skeletal Muscle Adaptation. Cell Metabolism, 17(2): 162–184.</w:t>
      </w:r>
    </w:p>
    <w:p w14:paraId="173C51A0"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[11]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DeFronzo R, 2004, Pathogenesis of Type 2 Diabetes Mellitus. Medical Clinics of North America, 88(4): 787–835.</w:t>
      </w:r>
    </w:p>
    <w:p w14:paraId="36086361"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[12]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Kahn S, Hull R, Utzschneider K, 2006, Mechanisms Linking Obesity to Insulin Resistance and Type 2 Diabetes. Nature, 444(7121): 840–846.</w:t>
      </w:r>
    </w:p>
    <w:p w14:paraId="2454C8D3"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[13]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Shulman G, 2000, Cellular Mechanisms of Insulin Resistance. Journal of Clinical Investigation, 106(2): 177–182.</w:t>
      </w:r>
    </w:p>
    <w:p w14:paraId="2641C49F"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[14]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Hotamisligil G, 2006, Inflammation and Metabolic Disorders. Nature, 444(7121): 860–867.</w:t>
      </w:r>
    </w:p>
    <w:p w14:paraId="5A19D8C8"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[15]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Kelley D, He J, Menshikova E, et al., 2002, Dysfunction of Mitochondria in Human Skeletal Muscle in Type 2 Diabetes. Diabetes, 51(10): 2944–2950.</w:t>
      </w:r>
    </w:p>
    <w:p w14:paraId="1BA4C974"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[16]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Hood D, Tryon L, Carter H, et al., 2016, Regulation of Mitochondrial Content and Bioenergetics in Skeletal Muscle. Applied Physiology, Nutrition, and Metabolism, 41(6): S1–S10.</w:t>
      </w:r>
    </w:p>
    <w:p w14:paraId="51FE7105"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[17]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Scarpulla R, Vega R, Kelly D, 2012, Transcriptional Integration of Mitochondrial Biogenesis. Trends in Endocrinology &amp; Metabolism, 23(9): 459–466.</w:t>
      </w:r>
    </w:p>
    <w:p w14:paraId="5DFBF442"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[18]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Larsen S, Hey-Mogensen M, Rabøl R, et al., 2012, The Effect of High-Intensity Training on Mitochondrial Fat Oxidation in Skeletal Muscle and Subcutaneous Adipose Tissue. Scandinavian Journal of Medicine &amp; Science in Sports, 22(1): e59–e69.</w:t>
      </w:r>
    </w:p>
    <w:p w14:paraId="7D6B88F6"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[19]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Morino K, Petersen K, Shulman G, 2006, Molecular Mechanisms of Insulin Resistance in Humans and Their Potential Links with Mitochondrial Dysfunction. Diabetes, 55(Suppl 2): S9–S15.</w:t>
      </w:r>
    </w:p>
    <w:p w14:paraId="6222C63B"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[20]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Bonen A, Luiken J, Arumugam Y, et al., 2000, Acute Regulation of Fatty Acid Uptake Involves the Cellular Redistribution of Fatty Acid Translocase. Journal of Biological Chemistry, 275(19): 14501–14508.</w:t>
      </w:r>
    </w:p>
    <w:p w14:paraId="0E20BFFB"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[21]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Foster D, 2012, Malonyl-CoA: The Regulator of Fatty Acid Synthesis and Oxidation. Journal of Clinical Investigation, 122(6): 1958–1959.</w:t>
      </w:r>
    </w:p>
    <w:p w14:paraId="06FCF28D"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[22]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van Aggel-Leijssen D, Saris W, Wagenmakers A, et al., 2002, The Effect of Indoor Cycling Exercise on Evening Postprandial Insulin Responses in Men with Impaired Glucose Tolerance. Journal of Nutritional Science and Vitaminology, 48(6): 481–486.</w:t>
      </w:r>
    </w:p>
    <w:p w14:paraId="551E1B46"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[23]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Saltiel A, Kahn C, 2001, Insulin Signaling and the Regulation of Glucose and Lipid Metabolism. Nature, 414(6865): 799–806.</w:t>
      </w:r>
    </w:p>
    <w:p w14:paraId="11EA66AF"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 xml:space="preserve">[24]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Dela F, Mikines K, von Linstow M, et al., 1996, Insulin Receptor and Insulin Receptor Substrate-1 Protein Content in Human Skeletal Muscle: Effect of Training and Detraining. Journal of Applied Physiology, 81(4): 1617–1623.</w:t>
      </w:r>
    </w:p>
    <w:p w14:paraId="133C883D"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25</w:t>
      </w:r>
      <w:r w:rsidRPr="00E3662F">
        <w:rPr>
          <w:rFonts w:ascii="Times New Roman" w:hAnsi="Times New Roman" w:cs="Times New Roman"/>
          <w:sz w:val="24"/>
          <w:szCs w:val="24"/>
          <w:lang w:val="en-MY"/>
        </w:rPr>
        <w:t xml:space="preserve">]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Goodyear L, Kahn B, 1998, Exercise, Glucose Transport, and Insulin Sensitivity. Annual Review of Medicine, 49: 235–261.</w:t>
      </w:r>
    </w:p>
    <w:p w14:paraId="794D37D1"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[2</w:t>
      </w:r>
      <w:r>
        <w:rPr>
          <w:rFonts w:ascii="Times New Roman" w:hAnsi="Times New Roman" w:cs="Times New Roman"/>
          <w:sz w:val="24"/>
          <w:szCs w:val="24"/>
          <w:lang w:val="en-MY"/>
        </w:rPr>
        <w:t>6</w:t>
      </w:r>
      <w:r w:rsidRPr="00E3662F">
        <w:rPr>
          <w:rFonts w:ascii="Times New Roman" w:hAnsi="Times New Roman" w:cs="Times New Roman"/>
          <w:sz w:val="24"/>
          <w:szCs w:val="24"/>
          <w:lang w:val="en-MY"/>
        </w:rPr>
        <w:t xml:space="preserve">]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Wojtaszewski J, Nielsen P, Kiens B, et al., 1999, Regulation of 5'AMP-Activated Protein Kinase Activity in Human Skeletal Muscle: Role of Carbohydrate and Exercise. American Journal of Physiology, 277(1 Pt 1): E22–E28.</w:t>
      </w:r>
    </w:p>
    <w:p w14:paraId="6146FE47"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27</w:t>
      </w:r>
      <w:r w:rsidRPr="00E3662F">
        <w:rPr>
          <w:rFonts w:ascii="Times New Roman" w:hAnsi="Times New Roman" w:cs="Times New Roman"/>
          <w:sz w:val="24"/>
          <w:szCs w:val="24"/>
          <w:lang w:val="en-MY"/>
        </w:rPr>
        <w:t xml:space="preserve">]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Richter E, Hargreaves M, 2013, Exercise, GLUT4, and Skeletal Muscle Glucose Uptake. Physiological Reviews, 93(3): 993–1017.</w:t>
      </w:r>
    </w:p>
    <w:p w14:paraId="1A5C86AE"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lastRenderedPageBreak/>
        <w:t>[</w:t>
      </w:r>
      <w:r>
        <w:rPr>
          <w:rFonts w:ascii="Times New Roman" w:hAnsi="Times New Roman" w:cs="Times New Roman"/>
          <w:sz w:val="24"/>
          <w:szCs w:val="24"/>
          <w:lang w:val="en-MY"/>
        </w:rPr>
        <w:t>28</w:t>
      </w:r>
      <w:r w:rsidRPr="00E3662F">
        <w:rPr>
          <w:rFonts w:ascii="Times New Roman" w:hAnsi="Times New Roman" w:cs="Times New Roman"/>
          <w:sz w:val="24"/>
          <w:szCs w:val="24"/>
          <w:lang w:val="en-MY"/>
        </w:rPr>
        <w:t xml:space="preserve">]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Nieman D, Henson D, Austin M, et al., 2002, Influence of Carbohydrate Ingestion on Immune Changes After 2.5 h of Prolonged Running. Journal of Applied Physiology, 93(5): 1770–1777.</w:t>
      </w:r>
    </w:p>
    <w:p w14:paraId="79CABB61"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29</w:t>
      </w:r>
      <w:r w:rsidRPr="00E3662F">
        <w:rPr>
          <w:rFonts w:ascii="Times New Roman" w:hAnsi="Times New Roman" w:cs="Times New Roman"/>
          <w:sz w:val="24"/>
          <w:szCs w:val="24"/>
          <w:lang w:val="en-MY"/>
        </w:rPr>
        <w:t xml:space="preserve">]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Gleeson M, Bishop N, Stensel D, et al., 2011, The Anti-Inflammatory Effects of Exercise: Mechanisms and Implications for the Prevention and Treatment of Disease. Nature Reviews Immunology, 11(9): 607–615.</w:t>
      </w:r>
    </w:p>
    <w:p w14:paraId="03895508"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30</w:t>
      </w:r>
      <w:r w:rsidRPr="00E3662F">
        <w:rPr>
          <w:rFonts w:ascii="Times New Roman" w:hAnsi="Times New Roman" w:cs="Times New Roman"/>
          <w:sz w:val="24"/>
          <w:szCs w:val="24"/>
          <w:lang w:val="en-MY"/>
        </w:rPr>
        <w:t xml:space="preserve">]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Pedersen B, Febbraio M, 2012, Muscles, Exercise and Obesity: Skeletal Muscle as a Secretory Organ. Nature Reviews Endocrinology, 8(8): 457–465.</w:t>
      </w:r>
    </w:p>
    <w:p w14:paraId="30D8A8AA" w14:textId="77777777" w:rsidR="00E3662F" w:rsidRDefault="00E3662F" w:rsidP="00E3662F">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31</w:t>
      </w:r>
      <w:r w:rsidRPr="00E3662F">
        <w:rPr>
          <w:rFonts w:ascii="Times New Roman" w:hAnsi="Times New Roman" w:cs="Times New Roman"/>
          <w:sz w:val="24"/>
          <w:szCs w:val="24"/>
          <w:lang w:val="en-MY"/>
        </w:rPr>
        <w:t xml:space="preserve">]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Kasapis C, Thompson P, 2005, The Effects of Physical Activity on Serum C-Reactive Protein and Inflammatory Markers: A Systematic Review. Journal of the American College of Cardiology, 45(10): 1563–1569.</w:t>
      </w:r>
    </w:p>
    <w:p w14:paraId="7F4D2086"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32</w:t>
      </w:r>
      <w:r w:rsidRPr="00E3662F">
        <w:rPr>
          <w:rFonts w:ascii="Times New Roman" w:hAnsi="Times New Roman" w:cs="Times New Roman"/>
          <w:sz w:val="24"/>
          <w:szCs w:val="24"/>
          <w:lang w:val="en-MY"/>
        </w:rPr>
        <w:t xml:space="preserve">] </w:t>
      </w:r>
      <w:r>
        <w:rPr>
          <w:rFonts w:ascii="Times New Roman" w:hAnsi="Times New Roman" w:cs="Times New Roman"/>
          <w:sz w:val="24"/>
          <w:szCs w:val="24"/>
          <w:lang w:val="en-MY"/>
        </w:rPr>
        <w:tab/>
      </w:r>
      <w:r w:rsidRPr="00E3662F">
        <w:rPr>
          <w:rFonts w:ascii="Times New Roman" w:hAnsi="Times New Roman" w:cs="Times New Roman"/>
          <w:sz w:val="24"/>
          <w:szCs w:val="24"/>
          <w:lang w:val="en-MY"/>
        </w:rPr>
        <w:t>Qin J, Li Y, Cai Z, et al., 2012, A Metagenome-Wide Association Study of Gut Microbiota in Type 2 Diabetes. Nature, 490(7418): 55–60.</w:t>
      </w:r>
    </w:p>
    <w:p w14:paraId="50CB61F8"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33</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Clarke S, Murphy E, O'Sullivan O, et al., 2014, Exercise and Associated Dietary Extremes Impact on Gut Microbial Diversity. Gut, 63(12): 1913–1920.</w:t>
      </w:r>
    </w:p>
    <w:p w14:paraId="3E69C8AE"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34</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Allen J, Mailing L, Niemiro G, et al., 2018, Exercise Alters Gut Microbiota Composition and Function in Lean and Obese Humans. Medicine &amp; Science in Sports &amp; Exercise, 50(4): 747–757.</w:t>
      </w:r>
    </w:p>
    <w:p w14:paraId="6FE818B4"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35</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Lambert G, Lang C, Ji L, et al., 2002, Cytokine and Heat Shock Protein Responses to Exercise in Humans. Exercise Immunology Review, 8: 6–22.</w:t>
      </w:r>
    </w:p>
    <w:p w14:paraId="37965B5A" w14:textId="30FC1100"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36</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 xml:space="preserve">Thomas C, Pellicciari R, Pruzanski M, et al., 2008, Targeting Bile-Acid </w:t>
      </w:r>
      <w:r w:rsidR="0007595A">
        <w:rPr>
          <w:rFonts w:ascii="Times New Roman" w:hAnsi="Times New Roman" w:cs="Times New Roman"/>
          <w:sz w:val="24"/>
          <w:szCs w:val="24"/>
          <w:lang w:val="en-MY"/>
        </w:rPr>
        <w:t>Signaling</w:t>
      </w:r>
      <w:r w:rsidRPr="00E3662F">
        <w:rPr>
          <w:rFonts w:ascii="Times New Roman" w:hAnsi="Times New Roman" w:cs="Times New Roman"/>
          <w:sz w:val="24"/>
          <w:szCs w:val="24"/>
          <w:lang w:val="en-MY"/>
        </w:rPr>
        <w:t xml:space="preserve"> for Metabolic Diseases. Nature Reviews Drug Discovery, 7(8): 678–693.</w:t>
      </w:r>
    </w:p>
    <w:p w14:paraId="28C436C0"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37</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Green D, Maiorana A, O'Driscoll G, et al., 2004, Effect of Exercise Training on Endothelium-Derived Nitric Oxide Function in Humans. Journal of Physiology, 561(Pt 1): 1–25.</w:t>
      </w:r>
    </w:p>
    <w:p w14:paraId="13656EC3"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38</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He C, Bassik M, Moresi V, et al., 2012, Exercise-Induced BCL2-Regulated Autophagy Is Required for Muscle Glucose Homeostasis. Nature, 481(7382): 511–515.</w:t>
      </w:r>
    </w:p>
    <w:p w14:paraId="747AE31D"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39</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Barrès R, Yan J, Egan B, et al., 2012, Acute Exercise Remodels Promoter Methylation in Human Skeletal Muscle. Cell Metabolism, 15(3): 405–411.</w:t>
      </w:r>
    </w:p>
    <w:p w14:paraId="3181ABBC"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40</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Kredlow M, Capozzoli M, Hearon B, et al., 2015, The Effects of Physical Activity on Sleep: A Meta-Analytic Review. Journal of Behavioral Medicine, 38(3): 427–449.</w:t>
      </w:r>
    </w:p>
    <w:p w14:paraId="47346037"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41</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Zhang Y, Xie Y, Wang H, et al., 2017, High-Intensity Exercise Reduces Fat Accumulation and Improves Insulin Sensitivity in High-Fat Diet-Induced Obese Mice. Journal of Endocrinology, 232(2): 231–243.</w:t>
      </w:r>
    </w:p>
    <w:p w14:paraId="39F1C64C"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42</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Knowler W, Barrett-Connor E, Fowler S, et al., 2002, Reduction in the Incidence of Type 2 Diabetes with Lifestyle Intervention or Metformin. New England Journal of Medicine, 346(6): 393–403.</w:t>
      </w:r>
    </w:p>
    <w:p w14:paraId="6AD17F99"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43</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Uusitupa M, Lindi V, Louheranta A, et al., 2003, Long-Term Improvement in Insulin Sensitivity by Changing Lifestyles of People with Impaired Glucose Tolerance: 4-Year Results from the Finnish Diabetes Prevention Study. Diabetes, 52(10): 2532–2538.</w:t>
      </w:r>
    </w:p>
    <w:p w14:paraId="30845C02"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44</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Li G, Zhang P, Wang J, et al., 2008, The Long-Term Effect of Lifestyle Interventions to Prevent Diabetes in the China Da Qing Diabetes Prevention Study: A 20-Year Follow-Up Study. The Lancet, 371(9626): 1783–1789.</w:t>
      </w:r>
    </w:p>
    <w:p w14:paraId="2A69555E"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45</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Arem H, Moore S, Patel A, et al., 2015, Leisure Time Physical Activity and Mortality: A Detailed Pooled Analysis of the Dose-Response Relationship. JAMA Internal Medicine, 175(6): 959–967.</w:t>
      </w:r>
    </w:p>
    <w:p w14:paraId="234146A6" w14:textId="77777777" w:rsidR="0007595A" w:rsidRDefault="00E3662F" w:rsidP="0007595A">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46</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Warburton D, Nicol C, Bredin S, 2006, Health Benefits of Physical Activity: The Evidence. Canadian Medical Association Journal, 174(6): 801–809.</w:t>
      </w:r>
    </w:p>
    <w:p w14:paraId="259106D7" w14:textId="3417D728" w:rsidR="00E3662F" w:rsidRPr="00E3662F" w:rsidRDefault="00E3662F" w:rsidP="00B038D2">
      <w:pPr>
        <w:tabs>
          <w:tab w:val="left" w:pos="420"/>
        </w:tabs>
        <w:snapToGrid w:val="0"/>
        <w:ind w:left="709" w:hanging="709"/>
        <w:rPr>
          <w:rFonts w:ascii="Times New Roman" w:hAnsi="Times New Roman" w:cs="Times New Roman"/>
          <w:sz w:val="24"/>
          <w:szCs w:val="24"/>
          <w:lang w:val="en-MY"/>
        </w:rPr>
      </w:pPr>
      <w:r w:rsidRPr="00E3662F">
        <w:rPr>
          <w:rFonts w:ascii="Times New Roman" w:hAnsi="Times New Roman" w:cs="Times New Roman"/>
          <w:sz w:val="24"/>
          <w:szCs w:val="24"/>
          <w:lang w:val="en-MY"/>
        </w:rPr>
        <w:t>[</w:t>
      </w:r>
      <w:r>
        <w:rPr>
          <w:rFonts w:ascii="Times New Roman" w:hAnsi="Times New Roman" w:cs="Times New Roman"/>
          <w:sz w:val="24"/>
          <w:szCs w:val="24"/>
          <w:lang w:val="en-MY"/>
        </w:rPr>
        <w:t>47</w:t>
      </w:r>
      <w:r w:rsidRPr="00E3662F">
        <w:rPr>
          <w:rFonts w:ascii="Times New Roman" w:hAnsi="Times New Roman" w:cs="Times New Roman"/>
          <w:sz w:val="24"/>
          <w:szCs w:val="24"/>
          <w:lang w:val="en-MY"/>
        </w:rPr>
        <w:t xml:space="preserve">] </w:t>
      </w:r>
      <w:r w:rsidR="0007595A">
        <w:rPr>
          <w:rFonts w:ascii="Times New Roman" w:hAnsi="Times New Roman" w:cs="Times New Roman"/>
          <w:sz w:val="24"/>
          <w:szCs w:val="24"/>
          <w:lang w:val="en-MY"/>
        </w:rPr>
        <w:tab/>
      </w:r>
      <w:r w:rsidRPr="00E3662F">
        <w:rPr>
          <w:rFonts w:ascii="Times New Roman" w:hAnsi="Times New Roman" w:cs="Times New Roman"/>
          <w:sz w:val="24"/>
          <w:szCs w:val="24"/>
          <w:lang w:val="en-MY"/>
        </w:rPr>
        <w:t>Jelleyman C, Yates T, O'Donovan G, et al., 2015, The Effects of High-Intensity Interval Training on Glucose Regulation and Insulin Resistance: A Meta-Analysis. Obesity Reviews, 16(11): 942–961.</w:t>
      </w:r>
    </w:p>
    <w:p w14:paraId="00BA7696" w14:textId="77777777" w:rsidR="00133528" w:rsidRDefault="00133528" w:rsidP="00133528">
      <w:pPr>
        <w:tabs>
          <w:tab w:val="left" w:pos="0"/>
          <w:tab w:val="left" w:pos="420"/>
        </w:tabs>
        <w:snapToGrid w:val="0"/>
        <w:rPr>
          <w:rFonts w:ascii="Times New Roman" w:hAnsi="Times New Roman" w:cs="Times New Roman"/>
          <w:sz w:val="24"/>
          <w:szCs w:val="24"/>
        </w:rPr>
      </w:pPr>
    </w:p>
    <w:p w14:paraId="0B836679" w14:textId="77777777" w:rsidR="00133528" w:rsidRPr="00560674" w:rsidRDefault="00133528" w:rsidP="00133528">
      <w:pPr>
        <w:tabs>
          <w:tab w:val="left" w:pos="420"/>
        </w:tabs>
        <w:snapToGrid w:val="0"/>
        <w:rPr>
          <w:rFonts w:ascii="Times New Roman" w:hAnsi="Times New Roman" w:cs="Times New Roman"/>
          <w:b/>
          <w:bCs/>
          <w:sz w:val="20"/>
          <w:szCs w:val="20"/>
        </w:rPr>
      </w:pPr>
      <w:r w:rsidRPr="00560674">
        <w:rPr>
          <w:rFonts w:ascii="Times New Roman" w:hAnsi="Times New Roman" w:cs="Times New Roman"/>
          <w:b/>
          <w:bCs/>
          <w:sz w:val="20"/>
          <w:szCs w:val="20"/>
        </w:rPr>
        <w:t>Publisher</w:t>
      </w:r>
      <w:r>
        <w:rPr>
          <w:rFonts w:ascii="Times New Roman" w:hAnsi="Times New Roman" w:cs="Times New Roman"/>
          <w:b/>
          <w:bCs/>
          <w:sz w:val="20"/>
          <w:szCs w:val="20"/>
        </w:rPr>
        <w:t>’</w:t>
      </w:r>
      <w:r w:rsidRPr="00560674">
        <w:rPr>
          <w:rFonts w:ascii="Times New Roman" w:hAnsi="Times New Roman" w:cs="Times New Roman"/>
          <w:b/>
          <w:bCs/>
          <w:sz w:val="20"/>
          <w:szCs w:val="20"/>
        </w:rPr>
        <w:t>s note</w:t>
      </w:r>
    </w:p>
    <w:p w14:paraId="4AFEF138" w14:textId="77777777" w:rsidR="00133528" w:rsidRPr="00560674" w:rsidRDefault="00133528" w:rsidP="00133528">
      <w:pPr>
        <w:tabs>
          <w:tab w:val="left" w:pos="420"/>
        </w:tabs>
        <w:snapToGrid w:val="0"/>
        <w:rPr>
          <w:rFonts w:ascii="Times New Roman" w:hAnsi="Times New Roman" w:cs="Times New Roman"/>
          <w:bCs/>
          <w:sz w:val="20"/>
          <w:szCs w:val="20"/>
        </w:rPr>
      </w:pPr>
      <w:r w:rsidRPr="00560674">
        <w:rPr>
          <w:rFonts w:ascii="Times New Roman" w:hAnsi="Times New Roman" w:cs="Times New Roman"/>
          <w:bCs/>
          <w:sz w:val="20"/>
          <w:szCs w:val="20"/>
        </w:rPr>
        <w:t xml:space="preserve">Bio-Byword Scientific Publishing remains neutral with regard to jurisdictional claims in published maps and institutional affiliations. </w:t>
      </w:r>
    </w:p>
    <w:p w14:paraId="44ED48E8" w14:textId="77777777" w:rsidR="00133528" w:rsidRPr="00133528" w:rsidRDefault="00133528" w:rsidP="00B038D2">
      <w:pPr>
        <w:tabs>
          <w:tab w:val="left" w:pos="0"/>
          <w:tab w:val="left" w:pos="420"/>
        </w:tabs>
        <w:snapToGrid w:val="0"/>
        <w:rPr>
          <w:rFonts w:ascii="Times New Roman" w:hAnsi="Times New Roman" w:cs="Times New Roman"/>
          <w:sz w:val="24"/>
          <w:szCs w:val="24"/>
        </w:rPr>
      </w:pPr>
    </w:p>
    <w:p w14:paraId="4EE3A64D" w14:textId="77777777" w:rsidR="00F83B51" w:rsidRPr="00133528" w:rsidRDefault="00F83B51" w:rsidP="00B038D2">
      <w:pPr>
        <w:snapToGrid w:val="0"/>
      </w:pPr>
    </w:p>
    <w:p w14:paraId="7B94E938" w14:textId="77777777" w:rsidR="00F83B51" w:rsidRDefault="00F83B51" w:rsidP="00B038D2">
      <w:pPr>
        <w:snapToGrid w:val="0"/>
        <w:rPr>
          <w:rFonts w:ascii="Times New Roman" w:hAnsi="Times New Roman" w:cs="Times New Roman"/>
          <w:sz w:val="24"/>
          <w:szCs w:val="24"/>
        </w:rPr>
      </w:pPr>
    </w:p>
    <w:sectPr w:rsidR="00F83B51" w:rsidSect="00B038D2">
      <w:pgSz w:w="11906" w:h="16838"/>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FFF105"/>
    <w:multiLevelType w:val="singleLevel"/>
    <w:tmpl w:val="FAFFF105"/>
    <w:lvl w:ilvl="0">
      <w:start w:val="1"/>
      <w:numFmt w:val="decimal"/>
      <w:lvlText w:val="[%1]"/>
      <w:lvlJc w:val="left"/>
      <w:pPr>
        <w:tabs>
          <w:tab w:val="left" w:pos="420"/>
        </w:tabs>
        <w:ind w:left="425" w:hanging="425"/>
      </w:pPr>
      <w:rPr>
        <w:rFonts w:hint="default"/>
      </w:rPr>
    </w:lvl>
  </w:abstractNum>
  <w:num w:numId="1" w16cid:durableId="1430466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B51"/>
    <w:rsid w:val="0007595A"/>
    <w:rsid w:val="00133528"/>
    <w:rsid w:val="00581C16"/>
    <w:rsid w:val="00B038D2"/>
    <w:rsid w:val="00E3662F"/>
    <w:rsid w:val="00F83B51"/>
    <w:rsid w:val="00F85CA9"/>
    <w:rsid w:val="069412FF"/>
    <w:rsid w:val="07E91121"/>
    <w:rsid w:val="13D24647"/>
    <w:rsid w:val="1D282D05"/>
    <w:rsid w:val="2AAB2948"/>
    <w:rsid w:val="357A4CBA"/>
    <w:rsid w:val="37EE42A3"/>
    <w:rsid w:val="503D0B94"/>
    <w:rsid w:val="55EB330A"/>
    <w:rsid w:val="60FB2220"/>
    <w:rsid w:val="62775131"/>
    <w:rsid w:val="73F2195D"/>
    <w:rsid w:val="748414BD"/>
    <w:rsid w:val="BFDE4DFF"/>
    <w:rsid w:val="FFFF3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86F70"/>
  <w15:docId w15:val="{FC3883AE-C68F-44F2-B99D-62650DFD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sz w:val="21"/>
      <w:szCs w:val="22"/>
      <w:lang w:val="en-US"/>
    </w:rPr>
  </w:style>
  <w:style w:type="paragraph" w:styleId="Heading1">
    <w:name w:val="heading 1"/>
    <w:next w:val="Normal"/>
    <w:qFormat/>
    <w:pPr>
      <w:outlineLvl w:val="0"/>
    </w:pPr>
    <w:rPr>
      <w:rFonts w:asciiTheme="minorHAnsi" w:eastAsiaTheme="minorEastAsia" w:hAnsiTheme="minorHAnsi" w:cstheme="minorBidi"/>
      <w:color w:val="2E74B5"/>
      <w:sz w:val="32"/>
      <w:szCs w:val="32"/>
    </w:rPr>
  </w:style>
  <w:style w:type="paragraph" w:styleId="Heading2">
    <w:name w:val="heading 2"/>
    <w:next w:val="Normal"/>
    <w:qFormat/>
    <w:pPr>
      <w:outlineLvl w:val="1"/>
    </w:pPr>
    <w:rPr>
      <w:rFonts w:asciiTheme="minorHAnsi" w:eastAsiaTheme="minorEastAsia" w:hAnsiTheme="minorHAnsi" w:cstheme="minorBidi"/>
      <w:color w:val="2E74B5"/>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Title">
    <w:name w:val="Title"/>
    <w:qFormat/>
    <w:rPr>
      <w:rFonts w:asciiTheme="minorHAnsi" w:eastAsiaTheme="minorEastAsia" w:hAnsiTheme="minorHAnsi" w:cstheme="minorBidi"/>
      <w:sz w:val="56"/>
      <w:szCs w:val="56"/>
    </w:rPr>
  </w:style>
  <w:style w:type="paragraph" w:styleId="Revision">
    <w:name w:val="Revision"/>
    <w:hidden/>
    <w:uiPriority w:val="99"/>
    <w:unhideWhenUsed/>
    <w:rsid w:val="00133528"/>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3995</Words>
  <Characters>22774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 NB1</cp:lastModifiedBy>
  <cp:revision>2</cp:revision>
  <dcterms:created xsi:type="dcterms:W3CDTF">2026-07-24T03:53:00Z</dcterms:created>
  <dcterms:modified xsi:type="dcterms:W3CDTF">2026-07-24T03:53:00Z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eyJoZGlkIjoiZTBiYjBjMzJlZDA2ZWE2YWNmMzQyN2E2MGVlZTcxZjkiLCJ1c2VySWQiOiI2MTA5NTIyOTYifQ==</vt:lpwstr>
  </property>
  <property fmtid="{D5CDD505-2E9C-101B-9397-08002B2CF9AE}" pid="4" name="ICV">
    <vt:lpwstr>2275EB253CF349147537606AFAA0F49E_43</vt:lpwstr>
  </property>
  <property fmtid="{D5CDD505-2E9C-101B-9397-08002B2CF9AE}" pid="5" name="GrammarlyDocumentId">
    <vt:lpwstr>35c451f7-5fb6-4405-b15c-73dbbc8428bb</vt:lpwstr>
  </property>
</Properties>
</file>