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BD58" w14:textId="77777777" w:rsidR="001E0D4B" w:rsidRPr="00520419" w:rsidRDefault="00000000" w:rsidP="00062633">
      <w:pPr>
        <w:snapToGrid w:val="0"/>
        <w:jc w:val="left"/>
        <w:rPr>
          <w:rFonts w:ascii="Times New Roman" w:eastAsia="DengXian" w:hAnsi="Times New Roman" w:cs="Times New Roman"/>
          <w:b/>
          <w:sz w:val="44"/>
          <w:szCs w:val="44"/>
        </w:rPr>
      </w:pPr>
      <w:r w:rsidRPr="00520419">
        <w:rPr>
          <w:rFonts w:ascii="Times New Roman" w:eastAsia="DengXian" w:hAnsi="Times New Roman" w:cs="Times New Roman"/>
          <w:b/>
          <w:sz w:val="44"/>
          <w:szCs w:val="44"/>
        </w:rPr>
        <w:t>Characteristics Analysis of Patients with SET-NUP214 Fusion Gene-Positive Acute Leukemia</w:t>
      </w:r>
    </w:p>
    <w:p w14:paraId="01BD35D7" w14:textId="77777777" w:rsidR="001E0D4B" w:rsidRPr="00520419" w:rsidRDefault="00000000" w:rsidP="00062633">
      <w:pPr>
        <w:snapToGrid w:val="0"/>
        <w:rPr>
          <w:rFonts w:ascii="Times New Roman" w:eastAsia="DengXian" w:hAnsi="Times New Roman" w:cs="Times New Roman"/>
          <w:b/>
          <w:sz w:val="24"/>
          <w:szCs w:val="24"/>
        </w:rPr>
      </w:pPr>
      <w:r w:rsidRPr="00520419">
        <w:rPr>
          <w:rFonts w:ascii="Times New Roman" w:eastAsia="DengXian" w:hAnsi="Times New Roman" w:cs="Times New Roman"/>
          <w:b/>
          <w:sz w:val="24"/>
          <w:szCs w:val="24"/>
        </w:rPr>
        <w:t>Bingxia</w:t>
      </w:r>
      <w:r w:rsidRPr="00520419">
        <w:rPr>
          <w:rFonts w:ascii="Times New Roman" w:eastAsia="DengXian" w:hAnsi="Times New Roman" w:cs="Times New Roman" w:hint="eastAsia"/>
          <w:b/>
          <w:sz w:val="24"/>
          <w:szCs w:val="24"/>
        </w:rPr>
        <w:t xml:space="preserve"> </w:t>
      </w:r>
      <w:r w:rsidRPr="00520419">
        <w:rPr>
          <w:rFonts w:ascii="Times New Roman" w:eastAsia="DengXian" w:hAnsi="Times New Roman" w:cs="Times New Roman"/>
          <w:b/>
          <w:sz w:val="24"/>
          <w:szCs w:val="24"/>
        </w:rPr>
        <w:t xml:space="preserve">Li </w:t>
      </w:r>
    </w:p>
    <w:p w14:paraId="0CFA7B85" w14:textId="77777777" w:rsidR="001E0D4B" w:rsidRPr="00520419" w:rsidRDefault="00000000" w:rsidP="00062633">
      <w:pPr>
        <w:snapToGrid w:val="0"/>
        <w:rPr>
          <w:rFonts w:ascii="Times New Roman" w:eastAsia="DengXian" w:hAnsi="Times New Roman" w:cs="Times New Roman"/>
          <w:bCs/>
          <w:sz w:val="24"/>
          <w:szCs w:val="24"/>
        </w:rPr>
      </w:pPr>
      <w:r w:rsidRPr="00520419">
        <w:rPr>
          <w:rFonts w:ascii="Times New Roman" w:eastAsia="DengXian" w:hAnsi="Times New Roman" w:cs="Times New Roman"/>
          <w:bCs/>
          <w:sz w:val="24"/>
          <w:szCs w:val="24"/>
        </w:rPr>
        <w:t>The Fifth Medical Center of Chinese PLA General Hospital, Beijing 100071, China</w:t>
      </w:r>
    </w:p>
    <w:p w14:paraId="3FB8F3D9" w14:textId="77777777" w:rsidR="001E0D4B" w:rsidRPr="0093162F" w:rsidRDefault="001E0D4B" w:rsidP="00520419">
      <w:pPr>
        <w:snapToGrid w:val="0"/>
        <w:rPr>
          <w:rFonts w:ascii="Times New Roman" w:eastAsia="DengXian" w:hAnsi="Times New Roman" w:cs="Times New Roman"/>
          <w:bCs/>
          <w:sz w:val="24"/>
          <w:szCs w:val="24"/>
        </w:rPr>
      </w:pPr>
    </w:p>
    <w:p w14:paraId="5F3F23C7" w14:textId="77777777" w:rsidR="00520419" w:rsidRPr="00520419" w:rsidRDefault="00520419" w:rsidP="00520419">
      <w:pPr>
        <w:snapToGrid w:val="0"/>
        <w:rPr>
          <w:rFonts w:ascii="Times New Roman" w:hAnsi="Times New Roman" w:cs="Times New Roman"/>
          <w:b/>
          <w:bCs/>
          <w:sz w:val="20"/>
          <w:szCs w:val="20"/>
        </w:rPr>
      </w:pPr>
      <w:r w:rsidRPr="00520419">
        <w:rPr>
          <w:rFonts w:ascii="Times New Roman" w:hAnsi="Times New Roman" w:cs="Times New Roman"/>
          <w:b/>
          <w:bCs/>
          <w:sz w:val="20"/>
          <w:szCs w:val="20"/>
        </w:rPr>
        <w:t xml:space="preserve">Copyright: </w:t>
      </w:r>
      <w:r w:rsidRPr="00520419">
        <w:rPr>
          <w:rFonts w:ascii="Times New Roman" w:hAnsi="Times New Roman" w:cs="Times New Roman"/>
          <w:sz w:val="20"/>
          <w:szCs w:val="20"/>
        </w:rPr>
        <w:t>© 2026 Author(s). This is an open-access article distributed under the terms of the Creative Commons Attribution License (CC BY 4.0), permitting distribution and reproduction in any medium, provided the original work is cited.</w:t>
      </w:r>
    </w:p>
    <w:p w14:paraId="43ABF67C" w14:textId="77777777" w:rsidR="00520419" w:rsidRPr="00520419" w:rsidRDefault="00520419" w:rsidP="00062633">
      <w:pPr>
        <w:snapToGrid w:val="0"/>
        <w:rPr>
          <w:rFonts w:ascii="Times New Roman" w:eastAsia="DengXian" w:hAnsi="Times New Roman" w:cs="Times New Roman"/>
          <w:bCs/>
          <w:sz w:val="24"/>
          <w:szCs w:val="24"/>
        </w:rPr>
      </w:pPr>
    </w:p>
    <w:p w14:paraId="0F058BA1" w14:textId="57BB1C72" w:rsidR="001E0D4B" w:rsidRPr="00520419" w:rsidRDefault="00000000" w:rsidP="00062633">
      <w:pPr>
        <w:snapToGrid w:val="0"/>
        <w:outlineLvl w:val="1"/>
        <w:rPr>
          <w:rFonts w:ascii="Times New Roman" w:hAnsi="Times New Roman" w:cs="Times New Roman"/>
          <w:sz w:val="24"/>
          <w:szCs w:val="24"/>
        </w:rPr>
      </w:pPr>
      <w:bookmarkStart w:id="0" w:name="heading_0"/>
      <w:r w:rsidRPr="00520419">
        <w:rPr>
          <w:rFonts w:ascii="Times New Roman" w:eastAsia="DengXian" w:hAnsi="Times New Roman" w:cs="Times New Roman"/>
          <w:b/>
          <w:sz w:val="24"/>
          <w:szCs w:val="24"/>
        </w:rPr>
        <w:t>Abstract</w:t>
      </w:r>
      <w:bookmarkEnd w:id="0"/>
      <w:r w:rsidRPr="00520419">
        <w:rPr>
          <w:rFonts w:ascii="Times New Roman" w:eastAsia="DengXian" w:hAnsi="Times New Roman" w:cs="Times New Roman" w:hint="eastAsia"/>
          <w:b/>
          <w:sz w:val="24"/>
          <w:szCs w:val="24"/>
        </w:rPr>
        <w:t xml:space="preserve">: </w:t>
      </w:r>
      <w:r w:rsidRPr="00520419">
        <w:rPr>
          <w:rFonts w:ascii="Times New Roman" w:eastAsia="DengXian" w:hAnsi="Times New Roman" w:cs="Times New Roman"/>
          <w:sz w:val="24"/>
          <w:szCs w:val="24"/>
        </w:rPr>
        <w:t>Patients with SET-NUP214 fusion gene-positive acute leukemia are mainly young and middle-aged males, most of whom are diagnosed with T-cell acute lymphoblastic leukemia (T-ALL). Immunophenotyping is often accompanied by the expression of myeloid markers such as CD13 and CD33. Karyotype analysis presents normal karyotypes in some patients and abnormalities</w:t>
      </w:r>
      <w:r w:rsidR="00520419" w:rsidRPr="00520419">
        <w:rPr>
          <w:rFonts w:ascii="Times New Roman" w:eastAsia="DengXian" w:hAnsi="Times New Roman" w:cs="Times New Roman"/>
          <w:sz w:val="24"/>
          <w:szCs w:val="24"/>
        </w:rPr>
        <w:t>, including 9q34 deletion,</w:t>
      </w:r>
      <w:r w:rsidRPr="00520419">
        <w:rPr>
          <w:rFonts w:ascii="Times New Roman" w:eastAsia="DengXian" w:hAnsi="Times New Roman" w:cs="Times New Roman"/>
          <w:sz w:val="24"/>
          <w:szCs w:val="24"/>
        </w:rPr>
        <w:t xml:space="preserve"> in others. This type of leukemia is frequently accompanied by mutations of PHF6, NOTCH1, JAK3</w:t>
      </w:r>
      <w:r w:rsidR="00520419" w:rsidRPr="00520419">
        <w:rPr>
          <w:rFonts w:ascii="Times New Roman" w:eastAsia="DengXian" w:hAnsi="Times New Roman" w:cs="Times New Roman"/>
          <w:sz w:val="24"/>
          <w:szCs w:val="24"/>
        </w:rPr>
        <w:t>,</w:t>
      </w:r>
      <w:r w:rsidRPr="00520419">
        <w:rPr>
          <w:rFonts w:ascii="Times New Roman" w:eastAsia="DengXian" w:hAnsi="Times New Roman" w:cs="Times New Roman"/>
          <w:sz w:val="24"/>
          <w:szCs w:val="24"/>
        </w:rPr>
        <w:t xml:space="preserve"> and other genes. In terms of treatment, conventional chemotherapy has a low remission rate and tends to induce drug resistance, while allogeneic hematopoietic stem cell transplantation can bring benefits to some patients. The expression level of SET-NUP214 can be used as an indicator for follow-up of minimal residual disease and prognostic monitoring, but further expansion of sample size is required for verification to achieve better detection results.</w:t>
      </w:r>
    </w:p>
    <w:p w14:paraId="6D034180" w14:textId="77777777" w:rsidR="001E0D4B" w:rsidRPr="00520419" w:rsidRDefault="00000000" w:rsidP="00062633">
      <w:pPr>
        <w:snapToGrid w:val="0"/>
        <w:outlineLvl w:val="1"/>
        <w:rPr>
          <w:rFonts w:ascii="Times New Roman" w:eastAsia="DengXian" w:hAnsi="Times New Roman" w:cs="Times New Roman"/>
          <w:sz w:val="24"/>
          <w:szCs w:val="24"/>
        </w:rPr>
      </w:pPr>
      <w:bookmarkStart w:id="1" w:name="heading_1"/>
      <w:r w:rsidRPr="00520419">
        <w:rPr>
          <w:rFonts w:ascii="Times New Roman" w:eastAsia="DengXian" w:hAnsi="Times New Roman" w:cs="Times New Roman"/>
          <w:b/>
          <w:sz w:val="24"/>
          <w:szCs w:val="24"/>
        </w:rPr>
        <w:t>Keywords</w:t>
      </w:r>
      <w:bookmarkEnd w:id="1"/>
      <w:r w:rsidRPr="00520419">
        <w:rPr>
          <w:rFonts w:ascii="Times New Roman" w:eastAsia="DengXian" w:hAnsi="Times New Roman" w:cs="Times New Roman" w:hint="eastAsia"/>
          <w:b/>
          <w:sz w:val="24"/>
          <w:szCs w:val="24"/>
        </w:rPr>
        <w:t xml:space="preserve">: </w:t>
      </w:r>
      <w:r w:rsidRPr="00520419">
        <w:rPr>
          <w:rFonts w:ascii="Times New Roman" w:eastAsia="DengXian" w:hAnsi="Times New Roman" w:cs="Times New Roman"/>
          <w:sz w:val="24"/>
          <w:szCs w:val="24"/>
        </w:rPr>
        <w:t xml:space="preserve">SET-NUP214; </w:t>
      </w:r>
      <w:r w:rsidRPr="00520419">
        <w:rPr>
          <w:rFonts w:ascii="Times New Roman" w:eastAsia="DengXian" w:hAnsi="Times New Roman" w:cs="Times New Roman" w:hint="eastAsia"/>
          <w:sz w:val="24"/>
          <w:szCs w:val="24"/>
        </w:rPr>
        <w:t>F</w:t>
      </w:r>
      <w:r w:rsidRPr="00520419">
        <w:rPr>
          <w:rFonts w:ascii="Times New Roman" w:eastAsia="DengXian" w:hAnsi="Times New Roman" w:cs="Times New Roman"/>
          <w:sz w:val="24"/>
          <w:szCs w:val="24"/>
        </w:rPr>
        <w:t xml:space="preserve">usion gene; </w:t>
      </w:r>
      <w:r w:rsidRPr="00520419">
        <w:rPr>
          <w:rFonts w:ascii="Times New Roman" w:eastAsia="DengXian" w:hAnsi="Times New Roman" w:cs="Times New Roman" w:hint="eastAsia"/>
          <w:sz w:val="24"/>
          <w:szCs w:val="24"/>
        </w:rPr>
        <w:t>A</w:t>
      </w:r>
      <w:r w:rsidRPr="00520419">
        <w:rPr>
          <w:rFonts w:ascii="Times New Roman" w:eastAsia="DengXian" w:hAnsi="Times New Roman" w:cs="Times New Roman"/>
          <w:sz w:val="24"/>
          <w:szCs w:val="24"/>
        </w:rPr>
        <w:t xml:space="preserve">cute leukemia; </w:t>
      </w:r>
      <w:r w:rsidRPr="00520419">
        <w:rPr>
          <w:rFonts w:ascii="Times New Roman" w:eastAsia="DengXian" w:hAnsi="Times New Roman" w:cs="Times New Roman" w:hint="eastAsia"/>
          <w:sz w:val="24"/>
          <w:szCs w:val="24"/>
        </w:rPr>
        <w:t>P</w:t>
      </w:r>
      <w:r w:rsidRPr="00520419">
        <w:rPr>
          <w:rFonts w:ascii="Times New Roman" w:eastAsia="DengXian" w:hAnsi="Times New Roman" w:cs="Times New Roman"/>
          <w:sz w:val="24"/>
          <w:szCs w:val="24"/>
        </w:rPr>
        <w:t>atient characteristic analysis</w:t>
      </w:r>
    </w:p>
    <w:p w14:paraId="2B655622" w14:textId="77777777" w:rsidR="001E0D4B" w:rsidRPr="00520419" w:rsidRDefault="001E0D4B" w:rsidP="00062633">
      <w:pPr>
        <w:snapToGrid w:val="0"/>
        <w:rPr>
          <w:rFonts w:ascii="Times New Roman" w:eastAsia="DengXian" w:hAnsi="Times New Roman" w:cs="Times New Roman"/>
          <w:sz w:val="24"/>
          <w:szCs w:val="24"/>
        </w:rPr>
      </w:pPr>
    </w:p>
    <w:p w14:paraId="568DE795" w14:textId="376DBD6C" w:rsidR="001E0D4B" w:rsidRPr="00062633" w:rsidRDefault="00520419" w:rsidP="00520419">
      <w:pPr>
        <w:snapToGrid w:val="0"/>
        <w:rPr>
          <w:rFonts w:ascii="Times New Roman" w:eastAsia="DengXian" w:hAnsi="Times New Roman" w:cs="Times New Roman"/>
          <w:b/>
          <w:bCs/>
          <w:sz w:val="24"/>
          <w:szCs w:val="24"/>
        </w:rPr>
      </w:pPr>
      <w:r w:rsidRPr="00062633">
        <w:rPr>
          <w:rFonts w:ascii="Times New Roman" w:eastAsia="DengXian" w:hAnsi="Times New Roman" w:cs="Times New Roman"/>
          <w:b/>
          <w:bCs/>
          <w:sz w:val="24"/>
          <w:szCs w:val="24"/>
        </w:rPr>
        <w:t>Online publication:</w:t>
      </w:r>
    </w:p>
    <w:p w14:paraId="3E728AEE" w14:textId="77777777" w:rsidR="00520419" w:rsidRPr="00520419" w:rsidRDefault="00520419" w:rsidP="00062633">
      <w:pPr>
        <w:snapToGrid w:val="0"/>
        <w:rPr>
          <w:rFonts w:ascii="Times New Roman" w:eastAsia="DengXian" w:hAnsi="Times New Roman" w:cs="Times New Roman"/>
          <w:sz w:val="24"/>
          <w:szCs w:val="24"/>
        </w:rPr>
      </w:pPr>
    </w:p>
    <w:p w14:paraId="11CCEC3C" w14:textId="77777777" w:rsidR="001E0D4B" w:rsidRPr="00520419" w:rsidRDefault="00000000" w:rsidP="00062633">
      <w:pPr>
        <w:snapToGrid w:val="0"/>
        <w:outlineLvl w:val="1"/>
        <w:rPr>
          <w:rFonts w:ascii="Times New Roman" w:hAnsi="Times New Roman" w:cs="Times New Roman"/>
          <w:sz w:val="24"/>
          <w:szCs w:val="24"/>
        </w:rPr>
      </w:pPr>
      <w:bookmarkStart w:id="2" w:name="heading_2"/>
      <w:r w:rsidRPr="00520419">
        <w:rPr>
          <w:rFonts w:ascii="Times New Roman" w:eastAsia="DengXian" w:hAnsi="Times New Roman" w:cs="Times New Roman"/>
          <w:b/>
          <w:sz w:val="24"/>
          <w:szCs w:val="24"/>
        </w:rPr>
        <w:t>1</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Introduction</w:t>
      </w:r>
      <w:bookmarkEnd w:id="2"/>
    </w:p>
    <w:p w14:paraId="6DCA2AC0" w14:textId="268556A8"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Acute leukemia is a malignant tumor of the hematological system with diverse pathogenesis, among which chromosomal abnormalities and the generation of fusion genes play decisive roles. Numerous fusion genes have been identified, and the SET-NUP214 fusion gene is relatively special and rare. Previous studies have found that SET-NUP214-positive acute leukemia shares common clinical and biological characteristics. Clinically, this disease mostly occurs in young and middle-aged males and is predominantly T-cell acute lymphoblastic leukemia, accounting for a relatively high proportion of adult T-cell acute lymphoblastic leukemia cases in the same period. Patients usually suffer from fever, hepatosplenomegaly, lymphadenopathy</w:t>
      </w:r>
      <w:r w:rsidR="00520419" w:rsidRPr="00520419">
        <w:rPr>
          <w:rFonts w:ascii="Times New Roman" w:eastAsia="DengXian" w:hAnsi="Times New Roman" w:cs="Times New Roman"/>
          <w:sz w:val="24"/>
          <w:szCs w:val="24"/>
        </w:rPr>
        <w:t>,</w:t>
      </w:r>
      <w:r w:rsidRPr="00520419">
        <w:rPr>
          <w:rFonts w:ascii="Times New Roman" w:eastAsia="DengXian" w:hAnsi="Times New Roman" w:cs="Times New Roman"/>
          <w:sz w:val="24"/>
          <w:szCs w:val="24"/>
        </w:rPr>
        <w:t xml:space="preserve"> and other symptoms, mostly accompanied by elevated white blood cell counts and a relatively high proportion of bone marrow blasts at onset. Biologically, immunophenotyping often shows expression of myeloid markers; karyotype analysis demonstrates normal karyotypes in some patients and complex karyotypes in a certain proportion of cases. This fusion gene frequently coexists with mutations of PHF6, NOTCH1, JAK3</w:t>
      </w:r>
      <w:r w:rsidR="00520419" w:rsidRPr="00520419">
        <w:rPr>
          <w:rFonts w:ascii="Times New Roman" w:eastAsia="DengXian" w:hAnsi="Times New Roman" w:cs="Times New Roman"/>
          <w:sz w:val="24"/>
          <w:szCs w:val="24"/>
        </w:rPr>
        <w:t>,</w:t>
      </w:r>
      <w:r w:rsidRPr="00520419">
        <w:rPr>
          <w:rFonts w:ascii="Times New Roman" w:eastAsia="DengXian" w:hAnsi="Times New Roman" w:cs="Times New Roman"/>
          <w:sz w:val="24"/>
          <w:szCs w:val="24"/>
        </w:rPr>
        <w:t xml:space="preserve"> and other genes. These mutant genes participate in the occurrence and progression of leukemia, leading to diverse clinical phenotypes and prognoses</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[1]</w:t>
      </w:r>
      <w:r w:rsidRPr="00520419">
        <w:rPr>
          <w:rFonts w:ascii="Times New Roman" w:eastAsia="DengXian" w:hAnsi="Times New Roman" w:cs="Times New Roman"/>
          <w:sz w:val="24"/>
          <w:szCs w:val="24"/>
        </w:rPr>
        <w:t>. In-depth analysis of the characteristics of patients with SET-NUP214-positive acute leukemia helps improve the understanding of this disease and guide clinical practice.</w:t>
      </w:r>
    </w:p>
    <w:p w14:paraId="0D27449B" w14:textId="77777777" w:rsidR="001E0D4B" w:rsidRPr="00520419" w:rsidRDefault="001E0D4B" w:rsidP="00062633">
      <w:pPr>
        <w:snapToGrid w:val="0"/>
        <w:rPr>
          <w:rFonts w:ascii="Times New Roman" w:eastAsia="DengXian" w:hAnsi="Times New Roman" w:cs="Times New Roman"/>
          <w:sz w:val="24"/>
          <w:szCs w:val="24"/>
        </w:rPr>
      </w:pPr>
    </w:p>
    <w:p w14:paraId="116471B9" w14:textId="77777777" w:rsidR="001E0D4B" w:rsidRPr="00520419" w:rsidRDefault="00000000" w:rsidP="00062633">
      <w:pPr>
        <w:snapToGrid w:val="0"/>
        <w:outlineLvl w:val="1"/>
        <w:rPr>
          <w:rFonts w:ascii="Times New Roman" w:hAnsi="Times New Roman" w:cs="Times New Roman"/>
          <w:sz w:val="24"/>
          <w:szCs w:val="24"/>
        </w:rPr>
      </w:pPr>
      <w:bookmarkStart w:id="3" w:name="heading_3"/>
      <w:r w:rsidRPr="00520419">
        <w:rPr>
          <w:rFonts w:ascii="Times New Roman" w:eastAsia="DengXian" w:hAnsi="Times New Roman" w:cs="Times New Roman"/>
          <w:b/>
          <w:sz w:val="24"/>
          <w:szCs w:val="24"/>
        </w:rPr>
        <w:t>2</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Overview of SET-NUP214 </w:t>
      </w:r>
      <w:r w:rsidRPr="00520419">
        <w:rPr>
          <w:rFonts w:ascii="Times New Roman" w:eastAsia="DengXian" w:hAnsi="Times New Roman" w:cs="Times New Roman" w:hint="eastAsia"/>
          <w:b/>
          <w:sz w:val="24"/>
          <w:szCs w:val="24"/>
        </w:rPr>
        <w:t>f</w:t>
      </w:r>
      <w:r w:rsidRPr="00520419">
        <w:rPr>
          <w:rFonts w:ascii="Times New Roman" w:eastAsia="DengXian" w:hAnsi="Times New Roman" w:cs="Times New Roman"/>
          <w:b/>
          <w:sz w:val="24"/>
          <w:szCs w:val="24"/>
        </w:rPr>
        <w:t xml:space="preserve">usion </w:t>
      </w:r>
      <w:r w:rsidRPr="00520419">
        <w:rPr>
          <w:rFonts w:ascii="Times New Roman" w:eastAsia="DengXian" w:hAnsi="Times New Roman" w:cs="Times New Roman" w:hint="eastAsia"/>
          <w:b/>
          <w:sz w:val="24"/>
          <w:szCs w:val="24"/>
        </w:rPr>
        <w:t>g</w:t>
      </w:r>
      <w:r w:rsidRPr="00520419">
        <w:rPr>
          <w:rFonts w:ascii="Times New Roman" w:eastAsia="DengXian" w:hAnsi="Times New Roman" w:cs="Times New Roman"/>
          <w:b/>
          <w:sz w:val="24"/>
          <w:szCs w:val="24"/>
        </w:rPr>
        <w:t>ene-</w:t>
      </w:r>
      <w:r w:rsidRPr="00520419">
        <w:rPr>
          <w:rFonts w:ascii="Times New Roman" w:eastAsia="DengXian" w:hAnsi="Times New Roman" w:cs="Times New Roman" w:hint="eastAsia"/>
          <w:b/>
          <w:sz w:val="24"/>
          <w:szCs w:val="24"/>
        </w:rPr>
        <w:t>p</w:t>
      </w:r>
      <w:r w:rsidRPr="00520419">
        <w:rPr>
          <w:rFonts w:ascii="Times New Roman" w:eastAsia="DengXian" w:hAnsi="Times New Roman" w:cs="Times New Roman"/>
          <w:b/>
          <w:sz w:val="24"/>
          <w:szCs w:val="24"/>
        </w:rPr>
        <w:t xml:space="preserve">ositive </w:t>
      </w:r>
      <w:r w:rsidRPr="00520419">
        <w:rPr>
          <w:rFonts w:ascii="Times New Roman" w:eastAsia="DengXian" w:hAnsi="Times New Roman" w:cs="Times New Roman" w:hint="eastAsia"/>
          <w:b/>
          <w:sz w:val="24"/>
          <w:szCs w:val="24"/>
        </w:rPr>
        <w:t>a</w:t>
      </w:r>
      <w:r w:rsidRPr="00520419">
        <w:rPr>
          <w:rFonts w:ascii="Times New Roman" w:eastAsia="DengXian" w:hAnsi="Times New Roman" w:cs="Times New Roman"/>
          <w:b/>
          <w:sz w:val="24"/>
          <w:szCs w:val="24"/>
        </w:rPr>
        <w:t xml:space="preserve">cute </w:t>
      </w:r>
      <w:r w:rsidRPr="00520419">
        <w:rPr>
          <w:rFonts w:ascii="Times New Roman" w:eastAsia="DengXian" w:hAnsi="Times New Roman" w:cs="Times New Roman" w:hint="eastAsia"/>
          <w:b/>
          <w:sz w:val="24"/>
          <w:szCs w:val="24"/>
        </w:rPr>
        <w:t>l</w:t>
      </w:r>
      <w:r w:rsidRPr="00520419">
        <w:rPr>
          <w:rFonts w:ascii="Times New Roman" w:eastAsia="DengXian" w:hAnsi="Times New Roman" w:cs="Times New Roman"/>
          <w:b/>
          <w:sz w:val="24"/>
          <w:szCs w:val="24"/>
        </w:rPr>
        <w:t>eukemia</w:t>
      </w:r>
      <w:bookmarkEnd w:id="3"/>
    </w:p>
    <w:p w14:paraId="22255A8A" w14:textId="7A40DAEB" w:rsidR="001E0D4B" w:rsidRPr="00520419" w:rsidRDefault="00000000" w:rsidP="00062633">
      <w:pPr>
        <w:snapToGrid w:val="0"/>
        <w:rPr>
          <w:rFonts w:ascii="Times New Roman" w:hAnsi="Times New Roman" w:cs="Times New Roman"/>
          <w:sz w:val="24"/>
          <w:szCs w:val="24"/>
        </w:rPr>
      </w:pPr>
      <w:r w:rsidRPr="00520419">
        <w:rPr>
          <w:rFonts w:ascii="Times New Roman" w:eastAsia="DengXian" w:hAnsi="Times New Roman" w:cs="Times New Roman"/>
          <w:sz w:val="24"/>
          <w:szCs w:val="24"/>
        </w:rPr>
        <w:t>The SET-NUP214 fusion gene is a rare subtype of fusion gene detected in acute leukemia</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[2]</w:t>
      </w:r>
      <w:r w:rsidRPr="00520419">
        <w:rPr>
          <w:rFonts w:ascii="Times New Roman" w:eastAsia="DengXian" w:hAnsi="Times New Roman" w:cs="Times New Roman"/>
          <w:sz w:val="24"/>
          <w:szCs w:val="24"/>
        </w:rPr>
        <w:t>. Its formation is usually associated with chromosomal abnormalities such as t(9;9)</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rPr>
        <w:t>(q34;q34) or del(9)</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rPr>
        <w:t xml:space="preserve">(q34.11q34.13), which result in the fusion of </w:t>
      </w:r>
      <w:r w:rsidR="00520419" w:rsidRPr="00520419">
        <w:rPr>
          <w:rFonts w:ascii="Times New Roman" w:eastAsia="DengXian" w:hAnsi="Times New Roman" w:cs="Times New Roman"/>
          <w:sz w:val="24"/>
          <w:szCs w:val="24"/>
        </w:rPr>
        <w:t xml:space="preserve">the SET gene and the </w:t>
      </w:r>
      <w:r w:rsidRPr="00520419">
        <w:rPr>
          <w:rFonts w:ascii="Times New Roman" w:eastAsia="DengXian" w:hAnsi="Times New Roman" w:cs="Times New Roman"/>
          <w:sz w:val="24"/>
          <w:szCs w:val="24"/>
        </w:rPr>
        <w:t>NUP214 gene</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[3]</w:t>
      </w:r>
      <w:r w:rsidRPr="00520419">
        <w:rPr>
          <w:rFonts w:ascii="Times New Roman" w:eastAsia="DengXian" w:hAnsi="Times New Roman" w:cs="Times New Roman"/>
          <w:sz w:val="24"/>
          <w:szCs w:val="24"/>
        </w:rPr>
        <w:t>. This fusion gene plays an important role in the initiation and progression of acute leukemia. The abnormal fusion protein encoded by it may interfere with normal physiological functions of cells, affect cell proliferation, differentiation, apoptosis</w:t>
      </w:r>
      <w:r w:rsidR="00520419" w:rsidRPr="00520419">
        <w:rPr>
          <w:rFonts w:ascii="Times New Roman" w:eastAsia="DengXian" w:hAnsi="Times New Roman" w:cs="Times New Roman"/>
          <w:sz w:val="24"/>
          <w:szCs w:val="24"/>
        </w:rPr>
        <w:t>,</w:t>
      </w:r>
      <w:r w:rsidRPr="00520419">
        <w:rPr>
          <w:rFonts w:ascii="Times New Roman" w:eastAsia="DengXian" w:hAnsi="Times New Roman" w:cs="Times New Roman"/>
          <w:sz w:val="24"/>
          <w:szCs w:val="24"/>
        </w:rPr>
        <w:t xml:space="preserve"> and other processes, and further induce leukemia</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[4]</w:t>
      </w:r>
      <w:r w:rsidRPr="00520419">
        <w:rPr>
          <w:rFonts w:ascii="Times New Roman" w:eastAsia="DengXian" w:hAnsi="Times New Roman" w:cs="Times New Roman"/>
          <w:sz w:val="24"/>
          <w:szCs w:val="24"/>
        </w:rPr>
        <w:t>.</w:t>
      </w:r>
    </w:p>
    <w:p w14:paraId="4A0D39AD" w14:textId="77777777" w:rsidR="001E0D4B" w:rsidRPr="00520419" w:rsidRDefault="001E0D4B" w:rsidP="00062633">
      <w:pPr>
        <w:snapToGrid w:val="0"/>
        <w:outlineLvl w:val="1"/>
        <w:rPr>
          <w:rFonts w:ascii="Times New Roman" w:eastAsia="DengXian" w:hAnsi="Times New Roman" w:cs="Times New Roman"/>
          <w:b/>
          <w:sz w:val="24"/>
          <w:szCs w:val="24"/>
        </w:rPr>
      </w:pPr>
      <w:bookmarkStart w:id="4" w:name="heading_4"/>
    </w:p>
    <w:p w14:paraId="5401A7A9" w14:textId="77777777" w:rsidR="001E0D4B" w:rsidRPr="00520419" w:rsidRDefault="00000000" w:rsidP="00062633">
      <w:pPr>
        <w:snapToGrid w:val="0"/>
        <w:outlineLvl w:val="1"/>
        <w:rPr>
          <w:rFonts w:ascii="Times New Roman" w:hAnsi="Times New Roman" w:cs="Times New Roman"/>
          <w:sz w:val="24"/>
          <w:szCs w:val="24"/>
        </w:rPr>
      </w:pPr>
      <w:r w:rsidRPr="00520419">
        <w:rPr>
          <w:rFonts w:ascii="Times New Roman" w:eastAsia="DengXian" w:hAnsi="Times New Roman" w:cs="Times New Roman"/>
          <w:b/>
          <w:sz w:val="24"/>
          <w:szCs w:val="24"/>
        </w:rPr>
        <w:t>3</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General </w:t>
      </w:r>
      <w:r w:rsidRPr="00520419">
        <w:rPr>
          <w:rFonts w:ascii="Times New Roman" w:eastAsia="DengXian" w:hAnsi="Times New Roman" w:cs="Times New Roman" w:hint="eastAsia"/>
          <w:b/>
          <w:sz w:val="24"/>
          <w:szCs w:val="24"/>
        </w:rPr>
        <w:t>c</w:t>
      </w:r>
      <w:r w:rsidRPr="00520419">
        <w:rPr>
          <w:rFonts w:ascii="Times New Roman" w:eastAsia="DengXian" w:hAnsi="Times New Roman" w:cs="Times New Roman"/>
          <w:b/>
          <w:sz w:val="24"/>
          <w:szCs w:val="24"/>
        </w:rPr>
        <w:t xml:space="preserve">haracteristics of </w:t>
      </w:r>
      <w:r w:rsidRPr="00520419">
        <w:rPr>
          <w:rFonts w:ascii="Times New Roman" w:eastAsia="DengXian" w:hAnsi="Times New Roman" w:cs="Times New Roman" w:hint="eastAsia"/>
          <w:b/>
          <w:sz w:val="24"/>
          <w:szCs w:val="24"/>
        </w:rPr>
        <w:t>p</w:t>
      </w:r>
      <w:r w:rsidRPr="00520419">
        <w:rPr>
          <w:rFonts w:ascii="Times New Roman" w:eastAsia="DengXian" w:hAnsi="Times New Roman" w:cs="Times New Roman"/>
          <w:b/>
          <w:sz w:val="24"/>
          <w:szCs w:val="24"/>
        </w:rPr>
        <w:t xml:space="preserve">atients with SET-NUP214 </w:t>
      </w:r>
      <w:r w:rsidRPr="00520419">
        <w:rPr>
          <w:rFonts w:ascii="Times New Roman" w:eastAsia="DengXian" w:hAnsi="Times New Roman" w:cs="Times New Roman" w:hint="eastAsia"/>
          <w:b/>
          <w:sz w:val="24"/>
          <w:szCs w:val="24"/>
        </w:rPr>
        <w:t>f</w:t>
      </w:r>
      <w:r w:rsidRPr="00520419">
        <w:rPr>
          <w:rFonts w:ascii="Times New Roman" w:eastAsia="DengXian" w:hAnsi="Times New Roman" w:cs="Times New Roman"/>
          <w:b/>
          <w:sz w:val="24"/>
          <w:szCs w:val="24"/>
        </w:rPr>
        <w:t xml:space="preserve">usion </w:t>
      </w:r>
      <w:r w:rsidRPr="00520419">
        <w:rPr>
          <w:rFonts w:ascii="Times New Roman" w:eastAsia="DengXian" w:hAnsi="Times New Roman" w:cs="Times New Roman" w:hint="eastAsia"/>
          <w:b/>
          <w:sz w:val="24"/>
          <w:szCs w:val="24"/>
        </w:rPr>
        <w:t>g</w:t>
      </w:r>
      <w:r w:rsidRPr="00520419">
        <w:rPr>
          <w:rFonts w:ascii="Times New Roman" w:eastAsia="DengXian" w:hAnsi="Times New Roman" w:cs="Times New Roman"/>
          <w:b/>
          <w:sz w:val="24"/>
          <w:szCs w:val="24"/>
        </w:rPr>
        <w:t>ene-</w:t>
      </w:r>
      <w:r w:rsidRPr="00520419">
        <w:rPr>
          <w:rFonts w:ascii="Times New Roman" w:eastAsia="DengXian" w:hAnsi="Times New Roman" w:cs="Times New Roman" w:hint="eastAsia"/>
          <w:b/>
          <w:sz w:val="24"/>
          <w:szCs w:val="24"/>
        </w:rPr>
        <w:t>p</w:t>
      </w:r>
      <w:r w:rsidRPr="00520419">
        <w:rPr>
          <w:rFonts w:ascii="Times New Roman" w:eastAsia="DengXian" w:hAnsi="Times New Roman" w:cs="Times New Roman"/>
          <w:b/>
          <w:sz w:val="24"/>
          <w:szCs w:val="24"/>
        </w:rPr>
        <w:t xml:space="preserve">ositive </w:t>
      </w:r>
      <w:r w:rsidRPr="00520419">
        <w:rPr>
          <w:rFonts w:ascii="Times New Roman" w:eastAsia="DengXian" w:hAnsi="Times New Roman" w:cs="Times New Roman" w:hint="eastAsia"/>
          <w:b/>
          <w:sz w:val="24"/>
          <w:szCs w:val="24"/>
        </w:rPr>
        <w:t>a</w:t>
      </w:r>
      <w:r w:rsidRPr="00520419">
        <w:rPr>
          <w:rFonts w:ascii="Times New Roman" w:eastAsia="DengXian" w:hAnsi="Times New Roman" w:cs="Times New Roman"/>
          <w:b/>
          <w:sz w:val="24"/>
          <w:szCs w:val="24"/>
        </w:rPr>
        <w:t xml:space="preserve">cute </w:t>
      </w:r>
      <w:r w:rsidRPr="00520419">
        <w:rPr>
          <w:rFonts w:ascii="Times New Roman" w:eastAsia="DengXian" w:hAnsi="Times New Roman" w:cs="Times New Roman" w:hint="eastAsia"/>
          <w:b/>
          <w:sz w:val="24"/>
          <w:szCs w:val="24"/>
        </w:rPr>
        <w:t>l</w:t>
      </w:r>
      <w:r w:rsidRPr="00520419">
        <w:rPr>
          <w:rFonts w:ascii="Times New Roman" w:eastAsia="DengXian" w:hAnsi="Times New Roman" w:cs="Times New Roman"/>
          <w:b/>
          <w:sz w:val="24"/>
          <w:szCs w:val="24"/>
        </w:rPr>
        <w:t>eukemia</w:t>
      </w:r>
      <w:bookmarkEnd w:id="4"/>
    </w:p>
    <w:p w14:paraId="4B812A7A" w14:textId="77777777" w:rsidR="001E0D4B" w:rsidRPr="00520419" w:rsidRDefault="00000000" w:rsidP="00062633">
      <w:pPr>
        <w:snapToGrid w:val="0"/>
        <w:outlineLvl w:val="2"/>
        <w:rPr>
          <w:rFonts w:ascii="Times New Roman" w:hAnsi="Times New Roman" w:cs="Times New Roman"/>
          <w:sz w:val="24"/>
          <w:szCs w:val="24"/>
        </w:rPr>
      </w:pPr>
      <w:bookmarkStart w:id="5" w:name="heading_5"/>
      <w:r w:rsidRPr="00520419">
        <w:rPr>
          <w:rFonts w:ascii="Times New Roman" w:eastAsia="DengXian" w:hAnsi="Times New Roman" w:cs="Times New Roman"/>
          <w:b/>
          <w:sz w:val="24"/>
          <w:szCs w:val="24"/>
        </w:rPr>
        <w:t>3.1</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Age and </w:t>
      </w:r>
      <w:r w:rsidRPr="00520419">
        <w:rPr>
          <w:rFonts w:ascii="Times New Roman" w:eastAsia="DengXian" w:hAnsi="Times New Roman" w:cs="Times New Roman" w:hint="eastAsia"/>
          <w:b/>
          <w:sz w:val="24"/>
          <w:szCs w:val="24"/>
        </w:rPr>
        <w:t>g</w:t>
      </w:r>
      <w:r w:rsidRPr="00520419">
        <w:rPr>
          <w:rFonts w:ascii="Times New Roman" w:eastAsia="DengXian" w:hAnsi="Times New Roman" w:cs="Times New Roman"/>
          <w:b/>
          <w:sz w:val="24"/>
          <w:szCs w:val="24"/>
        </w:rPr>
        <w:t xml:space="preserve">ender </w:t>
      </w:r>
      <w:r w:rsidRPr="00520419">
        <w:rPr>
          <w:rFonts w:ascii="Times New Roman" w:eastAsia="DengXian" w:hAnsi="Times New Roman" w:cs="Times New Roman" w:hint="eastAsia"/>
          <w:b/>
          <w:sz w:val="24"/>
          <w:szCs w:val="24"/>
        </w:rPr>
        <w:t>d</w:t>
      </w:r>
      <w:r w:rsidRPr="00520419">
        <w:rPr>
          <w:rFonts w:ascii="Times New Roman" w:eastAsia="DengXian" w:hAnsi="Times New Roman" w:cs="Times New Roman"/>
          <w:b/>
          <w:sz w:val="24"/>
          <w:szCs w:val="24"/>
        </w:rPr>
        <w:t>istribution</w:t>
      </w:r>
      <w:bookmarkEnd w:id="5"/>
    </w:p>
    <w:p w14:paraId="5A043850" w14:textId="1521BF43"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 xml:space="preserve">Multiple studies have shown that SET-NUP214 fusion gene-positive acute leukemia mainly affects </w:t>
      </w:r>
      <w:r w:rsidRPr="00520419">
        <w:rPr>
          <w:rFonts w:ascii="Times New Roman" w:eastAsia="DengXian" w:hAnsi="Times New Roman" w:cs="Times New Roman"/>
          <w:sz w:val="24"/>
          <w:szCs w:val="24"/>
        </w:rPr>
        <w:lastRenderedPageBreak/>
        <w:t>young and middle-aged people</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[5]</w:t>
      </w:r>
      <w:r w:rsidRPr="00520419">
        <w:rPr>
          <w:rFonts w:ascii="Times New Roman" w:eastAsia="DengXian" w:hAnsi="Times New Roman" w:cs="Times New Roman"/>
          <w:sz w:val="24"/>
          <w:szCs w:val="24"/>
        </w:rPr>
        <w:t>. Retrospective analysis of patients admitted to our hospital with SET-NUP214 fusion gene-positive acute leukemia shows a median age of 36 years (range 18–50 years), with a high proportion of male patients. For example, one study included 13 patients, among whom there were 11 males and 2 females</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[6]</w:t>
      </w:r>
      <w:r w:rsidRPr="00520419">
        <w:rPr>
          <w:rFonts w:ascii="Times New Roman" w:eastAsia="DengXian" w:hAnsi="Times New Roman" w:cs="Times New Roman"/>
          <w:sz w:val="24"/>
          <w:szCs w:val="24"/>
        </w:rPr>
        <w:t>. Another study analyzing 17 newly diagnosed patients over 14 years old also found a higher proportion of males. The predominance of male patients with SET-NUP214 fusion gene-positive acute leukemia may be related to patients’ genetic background, hormone levels, lifestyles</w:t>
      </w:r>
      <w:r w:rsidR="00520419" w:rsidRPr="00520419">
        <w:rPr>
          <w:rFonts w:ascii="Times New Roman" w:eastAsia="DengXian" w:hAnsi="Times New Roman" w:cs="Times New Roman"/>
          <w:sz w:val="24"/>
          <w:szCs w:val="24"/>
        </w:rPr>
        <w:t>,</w:t>
      </w:r>
      <w:r w:rsidRPr="00520419">
        <w:rPr>
          <w:rFonts w:ascii="Times New Roman" w:eastAsia="DengXian" w:hAnsi="Times New Roman" w:cs="Times New Roman"/>
          <w:sz w:val="24"/>
          <w:szCs w:val="24"/>
        </w:rPr>
        <w:t xml:space="preserve"> and other factors, yet the specific mechanism needs further research</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[7]</w:t>
      </w:r>
      <w:r w:rsidRPr="00520419">
        <w:rPr>
          <w:rFonts w:ascii="Times New Roman" w:eastAsia="DengXian" w:hAnsi="Times New Roman" w:cs="Times New Roman"/>
          <w:sz w:val="24"/>
          <w:szCs w:val="24"/>
        </w:rPr>
        <w:t>.</w:t>
      </w:r>
    </w:p>
    <w:p w14:paraId="46CEA880" w14:textId="77777777" w:rsidR="001E0D4B" w:rsidRPr="00520419" w:rsidRDefault="001E0D4B" w:rsidP="00062633">
      <w:pPr>
        <w:snapToGrid w:val="0"/>
        <w:rPr>
          <w:rFonts w:ascii="Times New Roman" w:eastAsia="DengXian" w:hAnsi="Times New Roman" w:cs="Times New Roman"/>
          <w:sz w:val="24"/>
          <w:szCs w:val="24"/>
        </w:rPr>
      </w:pPr>
    </w:p>
    <w:p w14:paraId="62C5CB7F" w14:textId="77777777" w:rsidR="001E0D4B" w:rsidRPr="00520419" w:rsidRDefault="00000000" w:rsidP="00062633">
      <w:pPr>
        <w:snapToGrid w:val="0"/>
        <w:outlineLvl w:val="2"/>
        <w:rPr>
          <w:rFonts w:ascii="Times New Roman" w:hAnsi="Times New Roman" w:cs="Times New Roman"/>
          <w:sz w:val="24"/>
          <w:szCs w:val="24"/>
        </w:rPr>
      </w:pPr>
      <w:bookmarkStart w:id="6" w:name="heading_6"/>
      <w:r w:rsidRPr="00520419">
        <w:rPr>
          <w:rFonts w:ascii="Times New Roman" w:eastAsia="DengXian" w:hAnsi="Times New Roman" w:cs="Times New Roman"/>
          <w:b/>
          <w:sz w:val="24"/>
          <w:szCs w:val="24"/>
        </w:rPr>
        <w:t>3.2</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Disease </w:t>
      </w:r>
      <w:r w:rsidRPr="00520419">
        <w:rPr>
          <w:rFonts w:ascii="Times New Roman" w:eastAsia="DengXian" w:hAnsi="Times New Roman" w:cs="Times New Roman" w:hint="eastAsia"/>
          <w:b/>
          <w:sz w:val="24"/>
          <w:szCs w:val="24"/>
        </w:rPr>
        <w:t>s</w:t>
      </w:r>
      <w:r w:rsidRPr="00520419">
        <w:rPr>
          <w:rFonts w:ascii="Times New Roman" w:eastAsia="DengXian" w:hAnsi="Times New Roman" w:cs="Times New Roman"/>
          <w:b/>
          <w:sz w:val="24"/>
          <w:szCs w:val="24"/>
        </w:rPr>
        <w:t xml:space="preserve">ubtype </w:t>
      </w:r>
      <w:r w:rsidRPr="00520419">
        <w:rPr>
          <w:rFonts w:ascii="Times New Roman" w:eastAsia="DengXian" w:hAnsi="Times New Roman" w:cs="Times New Roman" w:hint="eastAsia"/>
          <w:b/>
          <w:sz w:val="24"/>
          <w:szCs w:val="24"/>
        </w:rPr>
        <w:t>d</w:t>
      </w:r>
      <w:r w:rsidRPr="00520419">
        <w:rPr>
          <w:rFonts w:ascii="Times New Roman" w:eastAsia="DengXian" w:hAnsi="Times New Roman" w:cs="Times New Roman"/>
          <w:b/>
          <w:sz w:val="24"/>
          <w:szCs w:val="24"/>
        </w:rPr>
        <w:t>istribution</w:t>
      </w:r>
      <w:bookmarkEnd w:id="6"/>
    </w:p>
    <w:p w14:paraId="65FF6491" w14:textId="5CE64D68"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SET-NUP214 fusion gene-positive acute leukemia is mainly T-cell acute lymphoblastic leukemia (T-ALL)/T-lymphoblastic lymphoma (T-LBL). Relevant studies show a large proportion of T-ALL/T-LBL patients: among 13 enrolled patients, 10 were diagnosed with T-ALL/T-LBL, accounting for 12.20% (10/82) of adult T-ALL patients in the same period. Among 17 newly diagnosed patients over 14 years old, 13 suffered from ALL (all T-ALL, including 3 ETP, 6 Pro-T-ALL, 3 Pre-T-ALL</w:t>
      </w:r>
      <w:r w:rsidR="00520419" w:rsidRPr="00520419">
        <w:rPr>
          <w:rFonts w:ascii="Times New Roman" w:eastAsia="DengXian" w:hAnsi="Times New Roman" w:cs="Times New Roman"/>
          <w:sz w:val="24"/>
          <w:szCs w:val="24"/>
        </w:rPr>
        <w:t>,</w:t>
      </w:r>
      <w:r w:rsidRPr="00520419">
        <w:rPr>
          <w:rFonts w:ascii="Times New Roman" w:eastAsia="DengXian" w:hAnsi="Times New Roman" w:cs="Times New Roman"/>
          <w:sz w:val="24"/>
          <w:szCs w:val="24"/>
        </w:rPr>
        <w:t xml:space="preserve"> and 1 Medullary-T-ALL), 3 suffered from AML (2 M5 and 1 M0), and 1 patient was diagnosed with acute leukemia of ambiguous lineage (ALAL). These results indicate that the SET-NUP214 fusion gene is closely associated with T-lineage acute leukemia and may participate in abnormal regulation during T-cell development to trigger leukemia.</w:t>
      </w:r>
    </w:p>
    <w:p w14:paraId="54670375" w14:textId="77777777" w:rsidR="001E0D4B" w:rsidRPr="00520419" w:rsidRDefault="001E0D4B" w:rsidP="00062633">
      <w:pPr>
        <w:snapToGrid w:val="0"/>
        <w:rPr>
          <w:rFonts w:ascii="Times New Roman" w:eastAsia="DengXian" w:hAnsi="Times New Roman" w:cs="Times New Roman"/>
          <w:sz w:val="24"/>
          <w:szCs w:val="24"/>
        </w:rPr>
      </w:pPr>
    </w:p>
    <w:p w14:paraId="74097DED" w14:textId="77777777" w:rsidR="001E0D4B" w:rsidRPr="00520419" w:rsidRDefault="00000000" w:rsidP="00062633">
      <w:pPr>
        <w:snapToGrid w:val="0"/>
        <w:outlineLvl w:val="1"/>
        <w:rPr>
          <w:rFonts w:ascii="Times New Roman" w:hAnsi="Times New Roman" w:cs="Times New Roman"/>
          <w:sz w:val="24"/>
          <w:szCs w:val="24"/>
        </w:rPr>
      </w:pPr>
      <w:bookmarkStart w:id="7" w:name="heading_7"/>
      <w:r w:rsidRPr="00520419">
        <w:rPr>
          <w:rFonts w:ascii="Times New Roman" w:eastAsia="DengXian" w:hAnsi="Times New Roman" w:cs="Times New Roman"/>
          <w:b/>
          <w:sz w:val="24"/>
          <w:szCs w:val="24"/>
        </w:rPr>
        <w:t>4</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Clinical </w:t>
      </w:r>
      <w:r w:rsidRPr="00520419">
        <w:rPr>
          <w:rFonts w:ascii="Times New Roman" w:eastAsia="DengXian" w:hAnsi="Times New Roman" w:cs="Times New Roman" w:hint="eastAsia"/>
          <w:b/>
          <w:sz w:val="24"/>
          <w:szCs w:val="24"/>
        </w:rPr>
        <w:t>c</w:t>
      </w:r>
      <w:r w:rsidRPr="00520419">
        <w:rPr>
          <w:rFonts w:ascii="Times New Roman" w:eastAsia="DengXian" w:hAnsi="Times New Roman" w:cs="Times New Roman"/>
          <w:b/>
          <w:sz w:val="24"/>
          <w:szCs w:val="24"/>
        </w:rPr>
        <w:t xml:space="preserve">haracteristics of </w:t>
      </w:r>
      <w:r w:rsidRPr="00520419">
        <w:rPr>
          <w:rFonts w:ascii="Times New Roman" w:eastAsia="DengXian" w:hAnsi="Times New Roman" w:cs="Times New Roman" w:hint="eastAsia"/>
          <w:b/>
          <w:sz w:val="24"/>
          <w:szCs w:val="24"/>
        </w:rPr>
        <w:t>p</w:t>
      </w:r>
      <w:r w:rsidRPr="00520419">
        <w:rPr>
          <w:rFonts w:ascii="Times New Roman" w:eastAsia="DengXian" w:hAnsi="Times New Roman" w:cs="Times New Roman"/>
          <w:b/>
          <w:sz w:val="24"/>
          <w:szCs w:val="24"/>
        </w:rPr>
        <w:t xml:space="preserve">atients with SET-NUP214 </w:t>
      </w:r>
      <w:r w:rsidRPr="00520419">
        <w:rPr>
          <w:rFonts w:ascii="Times New Roman" w:eastAsia="DengXian" w:hAnsi="Times New Roman" w:cs="Times New Roman" w:hint="eastAsia"/>
          <w:b/>
          <w:sz w:val="24"/>
          <w:szCs w:val="24"/>
        </w:rPr>
        <w:t>f</w:t>
      </w:r>
      <w:r w:rsidRPr="00520419">
        <w:rPr>
          <w:rFonts w:ascii="Times New Roman" w:eastAsia="DengXian" w:hAnsi="Times New Roman" w:cs="Times New Roman"/>
          <w:b/>
          <w:sz w:val="24"/>
          <w:szCs w:val="24"/>
        </w:rPr>
        <w:t xml:space="preserve">usion </w:t>
      </w:r>
      <w:r w:rsidRPr="00520419">
        <w:rPr>
          <w:rFonts w:ascii="Times New Roman" w:eastAsia="DengXian" w:hAnsi="Times New Roman" w:cs="Times New Roman" w:hint="eastAsia"/>
          <w:b/>
          <w:sz w:val="24"/>
          <w:szCs w:val="24"/>
        </w:rPr>
        <w:t>g</w:t>
      </w:r>
      <w:r w:rsidRPr="00520419">
        <w:rPr>
          <w:rFonts w:ascii="Times New Roman" w:eastAsia="DengXian" w:hAnsi="Times New Roman" w:cs="Times New Roman"/>
          <w:b/>
          <w:sz w:val="24"/>
          <w:szCs w:val="24"/>
        </w:rPr>
        <w:t>ene-</w:t>
      </w:r>
      <w:r w:rsidRPr="00520419">
        <w:rPr>
          <w:rFonts w:ascii="Times New Roman" w:eastAsia="DengXian" w:hAnsi="Times New Roman" w:cs="Times New Roman" w:hint="eastAsia"/>
          <w:b/>
          <w:sz w:val="24"/>
          <w:szCs w:val="24"/>
        </w:rPr>
        <w:t>p</w:t>
      </w:r>
      <w:r w:rsidRPr="00520419">
        <w:rPr>
          <w:rFonts w:ascii="Times New Roman" w:eastAsia="DengXian" w:hAnsi="Times New Roman" w:cs="Times New Roman"/>
          <w:b/>
          <w:sz w:val="24"/>
          <w:szCs w:val="24"/>
        </w:rPr>
        <w:t xml:space="preserve">ositive </w:t>
      </w:r>
      <w:r w:rsidRPr="00520419">
        <w:rPr>
          <w:rFonts w:ascii="Times New Roman" w:eastAsia="DengXian" w:hAnsi="Times New Roman" w:cs="Times New Roman" w:hint="eastAsia"/>
          <w:b/>
          <w:sz w:val="24"/>
          <w:szCs w:val="24"/>
        </w:rPr>
        <w:t>a</w:t>
      </w:r>
      <w:r w:rsidRPr="00520419">
        <w:rPr>
          <w:rFonts w:ascii="Times New Roman" w:eastAsia="DengXian" w:hAnsi="Times New Roman" w:cs="Times New Roman"/>
          <w:b/>
          <w:sz w:val="24"/>
          <w:szCs w:val="24"/>
        </w:rPr>
        <w:t xml:space="preserve">cute </w:t>
      </w:r>
      <w:r w:rsidRPr="00520419">
        <w:rPr>
          <w:rFonts w:ascii="Times New Roman" w:eastAsia="DengXian" w:hAnsi="Times New Roman" w:cs="Times New Roman" w:hint="eastAsia"/>
          <w:b/>
          <w:sz w:val="24"/>
          <w:szCs w:val="24"/>
        </w:rPr>
        <w:t>l</w:t>
      </w:r>
      <w:r w:rsidRPr="00520419">
        <w:rPr>
          <w:rFonts w:ascii="Times New Roman" w:eastAsia="DengXian" w:hAnsi="Times New Roman" w:cs="Times New Roman"/>
          <w:b/>
          <w:sz w:val="24"/>
          <w:szCs w:val="24"/>
        </w:rPr>
        <w:t>eukemia</w:t>
      </w:r>
      <w:bookmarkEnd w:id="7"/>
    </w:p>
    <w:p w14:paraId="753C17D1" w14:textId="77777777" w:rsidR="001E0D4B" w:rsidRPr="00520419" w:rsidRDefault="00000000" w:rsidP="00062633">
      <w:pPr>
        <w:snapToGrid w:val="0"/>
        <w:outlineLvl w:val="2"/>
        <w:rPr>
          <w:rFonts w:ascii="Times New Roman" w:hAnsi="Times New Roman" w:cs="Times New Roman"/>
          <w:sz w:val="24"/>
          <w:szCs w:val="24"/>
        </w:rPr>
      </w:pPr>
      <w:bookmarkStart w:id="8" w:name="heading_8"/>
      <w:r w:rsidRPr="00520419">
        <w:rPr>
          <w:rFonts w:ascii="Times New Roman" w:eastAsia="DengXian" w:hAnsi="Times New Roman" w:cs="Times New Roman"/>
          <w:b/>
          <w:sz w:val="24"/>
          <w:szCs w:val="24"/>
        </w:rPr>
        <w:t>4.1</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Symptoms and </w:t>
      </w:r>
      <w:r w:rsidRPr="00520419">
        <w:rPr>
          <w:rFonts w:ascii="Times New Roman" w:eastAsia="DengXian" w:hAnsi="Times New Roman" w:cs="Times New Roman" w:hint="eastAsia"/>
          <w:b/>
          <w:sz w:val="24"/>
          <w:szCs w:val="24"/>
        </w:rPr>
        <w:t>s</w:t>
      </w:r>
      <w:r w:rsidRPr="00520419">
        <w:rPr>
          <w:rFonts w:ascii="Times New Roman" w:eastAsia="DengXian" w:hAnsi="Times New Roman" w:cs="Times New Roman"/>
          <w:b/>
          <w:sz w:val="24"/>
          <w:szCs w:val="24"/>
        </w:rPr>
        <w:t>igns</w:t>
      </w:r>
      <w:bookmarkEnd w:id="8"/>
    </w:p>
    <w:p w14:paraId="2B295011" w14:textId="5ED71F93"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Patients often present with fever, anemia</w:t>
      </w:r>
      <w:r w:rsidR="00520419" w:rsidRPr="00520419">
        <w:rPr>
          <w:rFonts w:ascii="Times New Roman" w:eastAsia="DengXian" w:hAnsi="Times New Roman" w:cs="Times New Roman"/>
          <w:sz w:val="24"/>
          <w:szCs w:val="24"/>
        </w:rPr>
        <w:t>,</w:t>
      </w:r>
      <w:r w:rsidRPr="00520419">
        <w:rPr>
          <w:rFonts w:ascii="Times New Roman" w:eastAsia="DengXian" w:hAnsi="Times New Roman" w:cs="Times New Roman"/>
          <w:sz w:val="24"/>
          <w:szCs w:val="24"/>
        </w:rPr>
        <w:t xml:space="preserve"> and hemorrhage, consistent with general symptoms of acute leukemia. Fever may be caused by infection or pyrogenic substances released by leukemic cells; anemia occurs because leukemic cells inhibit normal hematopoiesis and reduce erythropoiesis; hemorrhage is associated with thrombocytopenia and abnormal coagulation function. Physical signs such as hepatosplenomegaly and lymphadenopathy can also be observed occasionally. One study reported extramedullary infiltration in all 13 patients at admission, suggesting that SET-NUP214 fusion gene-positive acute leukemia tends to develop extramedullary infiltration, which impairs treatment and prognosis</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[8]</w:t>
      </w:r>
      <w:r w:rsidRPr="00520419">
        <w:rPr>
          <w:rFonts w:ascii="Times New Roman" w:eastAsia="DengXian" w:hAnsi="Times New Roman" w:cs="Times New Roman"/>
          <w:sz w:val="24"/>
          <w:szCs w:val="24"/>
        </w:rPr>
        <w:t>.</w:t>
      </w:r>
    </w:p>
    <w:p w14:paraId="5B419891" w14:textId="77777777" w:rsidR="001E0D4B" w:rsidRPr="00520419" w:rsidRDefault="001E0D4B" w:rsidP="00062633">
      <w:pPr>
        <w:snapToGrid w:val="0"/>
        <w:rPr>
          <w:rFonts w:ascii="Times New Roman" w:eastAsia="DengXian" w:hAnsi="Times New Roman" w:cs="Times New Roman"/>
          <w:sz w:val="24"/>
          <w:szCs w:val="24"/>
        </w:rPr>
      </w:pPr>
    </w:p>
    <w:p w14:paraId="0D3604F3" w14:textId="77777777" w:rsidR="001E0D4B" w:rsidRPr="00520419" w:rsidRDefault="00000000" w:rsidP="00062633">
      <w:pPr>
        <w:snapToGrid w:val="0"/>
        <w:outlineLvl w:val="2"/>
        <w:rPr>
          <w:rFonts w:ascii="Times New Roman" w:hAnsi="Times New Roman" w:cs="Times New Roman"/>
          <w:sz w:val="24"/>
          <w:szCs w:val="24"/>
        </w:rPr>
      </w:pPr>
      <w:bookmarkStart w:id="9" w:name="heading_9"/>
      <w:r w:rsidRPr="00520419">
        <w:rPr>
          <w:rFonts w:ascii="Times New Roman" w:eastAsia="DengXian" w:hAnsi="Times New Roman" w:cs="Times New Roman"/>
          <w:b/>
          <w:sz w:val="24"/>
          <w:szCs w:val="24"/>
        </w:rPr>
        <w:t>4.2</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Laboratory </w:t>
      </w:r>
      <w:r w:rsidRPr="00520419">
        <w:rPr>
          <w:rFonts w:ascii="Times New Roman" w:eastAsia="DengXian" w:hAnsi="Times New Roman" w:cs="Times New Roman" w:hint="eastAsia"/>
          <w:b/>
          <w:sz w:val="24"/>
          <w:szCs w:val="24"/>
        </w:rPr>
        <w:t>e</w:t>
      </w:r>
      <w:r w:rsidRPr="00520419">
        <w:rPr>
          <w:rFonts w:ascii="Times New Roman" w:eastAsia="DengXian" w:hAnsi="Times New Roman" w:cs="Times New Roman"/>
          <w:b/>
          <w:sz w:val="24"/>
          <w:szCs w:val="24"/>
        </w:rPr>
        <w:t xml:space="preserve">xamination </w:t>
      </w:r>
      <w:r w:rsidRPr="00520419">
        <w:rPr>
          <w:rFonts w:ascii="Times New Roman" w:eastAsia="DengXian" w:hAnsi="Times New Roman" w:cs="Times New Roman" w:hint="eastAsia"/>
          <w:b/>
          <w:sz w:val="24"/>
          <w:szCs w:val="24"/>
        </w:rPr>
        <w:t>i</w:t>
      </w:r>
      <w:r w:rsidRPr="00520419">
        <w:rPr>
          <w:rFonts w:ascii="Times New Roman" w:eastAsia="DengXian" w:hAnsi="Times New Roman" w:cs="Times New Roman"/>
          <w:b/>
          <w:sz w:val="24"/>
          <w:szCs w:val="24"/>
        </w:rPr>
        <w:t>ndicators</w:t>
      </w:r>
      <w:bookmarkEnd w:id="9"/>
    </w:p>
    <w:p w14:paraId="2D7EAA94" w14:textId="77777777" w:rsidR="001E0D4B" w:rsidRPr="00520419" w:rsidRDefault="00000000" w:rsidP="00062633">
      <w:pPr>
        <w:snapToGrid w:val="0"/>
        <w:outlineLvl w:val="3"/>
        <w:rPr>
          <w:rFonts w:ascii="Times New Roman" w:hAnsi="Times New Roman" w:cs="Times New Roman"/>
          <w:sz w:val="24"/>
          <w:szCs w:val="24"/>
        </w:rPr>
      </w:pPr>
      <w:bookmarkStart w:id="10" w:name="heading_10"/>
      <w:r w:rsidRPr="00520419">
        <w:rPr>
          <w:rFonts w:ascii="Times New Roman" w:eastAsia="DengXian" w:hAnsi="Times New Roman" w:cs="Times New Roman"/>
          <w:b/>
          <w:sz w:val="24"/>
          <w:szCs w:val="24"/>
        </w:rPr>
        <w:t>4.2.1</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Routine </w:t>
      </w:r>
      <w:r w:rsidRPr="00520419">
        <w:rPr>
          <w:rFonts w:ascii="Times New Roman" w:eastAsia="DengXian" w:hAnsi="Times New Roman" w:cs="Times New Roman" w:hint="eastAsia"/>
          <w:b/>
          <w:sz w:val="24"/>
          <w:szCs w:val="24"/>
        </w:rPr>
        <w:t>b</w:t>
      </w:r>
      <w:r w:rsidRPr="00520419">
        <w:rPr>
          <w:rFonts w:ascii="Times New Roman" w:eastAsia="DengXian" w:hAnsi="Times New Roman" w:cs="Times New Roman"/>
          <w:b/>
          <w:sz w:val="24"/>
          <w:szCs w:val="24"/>
        </w:rPr>
        <w:t xml:space="preserve">lood </w:t>
      </w:r>
      <w:r w:rsidRPr="00520419">
        <w:rPr>
          <w:rFonts w:ascii="Times New Roman" w:eastAsia="DengXian" w:hAnsi="Times New Roman" w:cs="Times New Roman" w:hint="eastAsia"/>
          <w:b/>
          <w:sz w:val="24"/>
          <w:szCs w:val="24"/>
        </w:rPr>
        <w:t>t</w:t>
      </w:r>
      <w:r w:rsidRPr="00520419">
        <w:rPr>
          <w:rFonts w:ascii="Times New Roman" w:eastAsia="DengXian" w:hAnsi="Times New Roman" w:cs="Times New Roman"/>
          <w:b/>
          <w:sz w:val="24"/>
          <w:szCs w:val="24"/>
        </w:rPr>
        <w:t>est</w:t>
      </w:r>
      <w:bookmarkEnd w:id="10"/>
    </w:p>
    <w:p w14:paraId="03B9413C" w14:textId="1D7CE357"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Patients usually have abnormal white blood cell counts, which can be elevated or decreased. Relevant studies report a median white blood cell count of 5.8 (1.6–135.4) ×10</w:t>
      </w:r>
      <w:r w:rsidR="00520419">
        <w:rPr>
          <w:rFonts w:ascii="Times New Roman" w:eastAsia="DengXian" w:hAnsi="Times New Roman" w:cs="Times New Roman"/>
          <w:sz w:val="24"/>
          <w:szCs w:val="24"/>
          <w:vertAlign w:val="superscript"/>
        </w:rPr>
        <w:t>9</w:t>
      </w:r>
      <w:r w:rsidRPr="00520419">
        <w:rPr>
          <w:rFonts w:ascii="Times New Roman" w:eastAsia="DengXian" w:hAnsi="Times New Roman" w:cs="Times New Roman"/>
          <w:sz w:val="24"/>
          <w:szCs w:val="24"/>
        </w:rPr>
        <w:t>/L at disease onset. Meanwhile, hemoglobin and platelet counts are generally reduced, reflecting anemia and thrombocytopenia</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vertAlign w:val="superscript"/>
        </w:rPr>
        <w:t>[9]</w:t>
      </w:r>
      <w:r w:rsidRPr="00520419">
        <w:rPr>
          <w:rFonts w:ascii="Times New Roman" w:eastAsia="DengXian" w:hAnsi="Times New Roman" w:cs="Times New Roman"/>
          <w:sz w:val="24"/>
          <w:szCs w:val="24"/>
        </w:rPr>
        <w:t>.</w:t>
      </w:r>
    </w:p>
    <w:p w14:paraId="1B5FC0F1" w14:textId="77777777" w:rsidR="001E0D4B" w:rsidRPr="00520419" w:rsidRDefault="001E0D4B" w:rsidP="00062633">
      <w:pPr>
        <w:snapToGrid w:val="0"/>
        <w:rPr>
          <w:rFonts w:ascii="Times New Roman" w:eastAsia="DengXian" w:hAnsi="Times New Roman" w:cs="Times New Roman"/>
          <w:sz w:val="24"/>
          <w:szCs w:val="24"/>
        </w:rPr>
      </w:pPr>
    </w:p>
    <w:p w14:paraId="2ADF3ED8" w14:textId="77777777" w:rsidR="001E0D4B" w:rsidRPr="00520419" w:rsidRDefault="00000000" w:rsidP="00062633">
      <w:pPr>
        <w:snapToGrid w:val="0"/>
        <w:outlineLvl w:val="3"/>
        <w:rPr>
          <w:rFonts w:ascii="Times New Roman" w:hAnsi="Times New Roman" w:cs="Times New Roman"/>
          <w:sz w:val="24"/>
          <w:szCs w:val="24"/>
        </w:rPr>
      </w:pPr>
      <w:bookmarkStart w:id="11" w:name="heading_11"/>
      <w:r w:rsidRPr="00520419">
        <w:rPr>
          <w:rFonts w:ascii="Times New Roman" w:eastAsia="DengXian" w:hAnsi="Times New Roman" w:cs="Times New Roman"/>
          <w:b/>
          <w:sz w:val="24"/>
          <w:szCs w:val="24"/>
        </w:rPr>
        <w:t>4.2.2</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Bone </w:t>
      </w:r>
      <w:r w:rsidRPr="00520419">
        <w:rPr>
          <w:rFonts w:ascii="Times New Roman" w:eastAsia="DengXian" w:hAnsi="Times New Roman" w:cs="Times New Roman" w:hint="eastAsia"/>
          <w:b/>
          <w:sz w:val="24"/>
          <w:szCs w:val="24"/>
        </w:rPr>
        <w:t>m</w:t>
      </w:r>
      <w:r w:rsidRPr="00520419">
        <w:rPr>
          <w:rFonts w:ascii="Times New Roman" w:eastAsia="DengXian" w:hAnsi="Times New Roman" w:cs="Times New Roman"/>
          <w:b/>
          <w:sz w:val="24"/>
          <w:szCs w:val="24"/>
        </w:rPr>
        <w:t xml:space="preserve">arrow </w:t>
      </w:r>
      <w:r w:rsidRPr="00520419">
        <w:rPr>
          <w:rFonts w:ascii="Times New Roman" w:eastAsia="DengXian" w:hAnsi="Times New Roman" w:cs="Times New Roman" w:hint="eastAsia"/>
          <w:b/>
          <w:sz w:val="24"/>
          <w:szCs w:val="24"/>
        </w:rPr>
        <w:t>m</w:t>
      </w:r>
      <w:r w:rsidRPr="00520419">
        <w:rPr>
          <w:rFonts w:ascii="Times New Roman" w:eastAsia="DengXian" w:hAnsi="Times New Roman" w:cs="Times New Roman"/>
          <w:b/>
          <w:sz w:val="24"/>
          <w:szCs w:val="24"/>
        </w:rPr>
        <w:t>orphology</w:t>
      </w:r>
      <w:bookmarkEnd w:id="11"/>
    </w:p>
    <w:p w14:paraId="5CEF967A" w14:textId="70C94457" w:rsidR="001E0D4B" w:rsidRPr="00520419" w:rsidRDefault="00520419"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A significantly</w:t>
      </w:r>
      <w:r w:rsidR="00000000" w:rsidRPr="00520419">
        <w:rPr>
          <w:rFonts w:ascii="Times New Roman" w:eastAsia="DengXian" w:hAnsi="Times New Roman" w:cs="Times New Roman"/>
          <w:sz w:val="24"/>
          <w:szCs w:val="24"/>
        </w:rPr>
        <w:t xml:space="preserve"> elevated proportion of blasts in bone marrow is an important characteristic of acute leukemia</w:t>
      </w:r>
      <w:r>
        <w:rPr>
          <w:rFonts w:ascii="Times New Roman" w:eastAsia="DengXian" w:hAnsi="Times New Roman" w:cs="Times New Roman"/>
          <w:sz w:val="24"/>
          <w:szCs w:val="24"/>
        </w:rPr>
        <w:t xml:space="preserve"> </w:t>
      </w:r>
      <w:r w:rsidR="00000000" w:rsidRPr="00520419">
        <w:rPr>
          <w:rFonts w:ascii="Times New Roman" w:eastAsia="DengXian" w:hAnsi="Times New Roman" w:cs="Times New Roman"/>
          <w:sz w:val="24"/>
          <w:szCs w:val="24"/>
          <w:vertAlign w:val="superscript"/>
        </w:rPr>
        <w:t>[10]</w:t>
      </w:r>
      <w:r w:rsidR="00000000" w:rsidRPr="00520419">
        <w:rPr>
          <w:rFonts w:ascii="Times New Roman" w:eastAsia="DengXian" w:hAnsi="Times New Roman" w:cs="Times New Roman"/>
          <w:sz w:val="24"/>
          <w:szCs w:val="24"/>
        </w:rPr>
        <w:t>. Patients with SET-NUP214 fusion gene-positive acute leukemia have a median bone marrow blast proportion of 0.740 (0.568–0.912). These blasts feature abnormal morphology and function, which form the pathological basis of leukemia.</w:t>
      </w:r>
    </w:p>
    <w:p w14:paraId="7255A7E1" w14:textId="77777777" w:rsidR="001E0D4B" w:rsidRPr="00520419" w:rsidRDefault="001E0D4B" w:rsidP="00062633">
      <w:pPr>
        <w:snapToGrid w:val="0"/>
        <w:rPr>
          <w:rFonts w:ascii="Times New Roman" w:eastAsia="DengXian" w:hAnsi="Times New Roman" w:cs="Times New Roman"/>
          <w:sz w:val="24"/>
          <w:szCs w:val="24"/>
        </w:rPr>
      </w:pPr>
    </w:p>
    <w:p w14:paraId="7091176B" w14:textId="77777777" w:rsidR="001E0D4B" w:rsidRPr="00520419" w:rsidRDefault="00000000" w:rsidP="00062633">
      <w:pPr>
        <w:snapToGrid w:val="0"/>
        <w:outlineLvl w:val="3"/>
        <w:rPr>
          <w:rFonts w:ascii="Times New Roman" w:hAnsi="Times New Roman" w:cs="Times New Roman"/>
          <w:sz w:val="24"/>
          <w:szCs w:val="24"/>
        </w:rPr>
      </w:pPr>
      <w:bookmarkStart w:id="12" w:name="heading_12"/>
      <w:r w:rsidRPr="00520419">
        <w:rPr>
          <w:rFonts w:ascii="Times New Roman" w:eastAsia="DengXian" w:hAnsi="Times New Roman" w:cs="Times New Roman"/>
          <w:b/>
          <w:sz w:val="24"/>
          <w:szCs w:val="24"/>
        </w:rPr>
        <w:t>4.2.3</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Immunophenotyping</w:t>
      </w:r>
      <w:bookmarkEnd w:id="12"/>
    </w:p>
    <w:p w14:paraId="16614CC9" w14:textId="28F8C684"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 xml:space="preserve">Immunophenotyping is vital to clarify the cellular origin and subtype of leukemia. Immunophenotyping of patients with SET-NUP214 fusion gene-positive acute leukemia often shows expression of myeloid markers such as CD33. Relevant studies confirm that all patients express CD34 and CD7, and T-ALL patients co-express </w:t>
      </w:r>
      <w:r w:rsidR="00520419" w:rsidRPr="00520419">
        <w:rPr>
          <w:rFonts w:ascii="Times New Roman" w:eastAsia="DengXian" w:hAnsi="Times New Roman" w:cs="Times New Roman"/>
          <w:sz w:val="24"/>
          <w:szCs w:val="24"/>
        </w:rPr>
        <w:t xml:space="preserve">the </w:t>
      </w:r>
      <w:r w:rsidRPr="00520419">
        <w:rPr>
          <w:rFonts w:ascii="Times New Roman" w:eastAsia="DengXian" w:hAnsi="Times New Roman" w:cs="Times New Roman"/>
          <w:sz w:val="24"/>
          <w:szCs w:val="24"/>
        </w:rPr>
        <w:t>myeloid marker CD33. This immunophenotypic feature implies that leukemic cells may possess bipotent differentiation potential toward myeloid and lymphoid lineages, increasing disease heterogeneity.</w:t>
      </w:r>
    </w:p>
    <w:p w14:paraId="0E955E8B" w14:textId="77777777" w:rsidR="001E0D4B" w:rsidRPr="00520419" w:rsidRDefault="001E0D4B" w:rsidP="00062633">
      <w:pPr>
        <w:snapToGrid w:val="0"/>
        <w:rPr>
          <w:rFonts w:ascii="Times New Roman" w:eastAsia="DengXian" w:hAnsi="Times New Roman" w:cs="Times New Roman"/>
          <w:sz w:val="24"/>
          <w:szCs w:val="24"/>
        </w:rPr>
      </w:pPr>
    </w:p>
    <w:p w14:paraId="3EBA0711" w14:textId="77777777" w:rsidR="001E0D4B" w:rsidRPr="00520419" w:rsidRDefault="00000000" w:rsidP="00062633">
      <w:pPr>
        <w:snapToGrid w:val="0"/>
        <w:outlineLvl w:val="2"/>
        <w:rPr>
          <w:rFonts w:ascii="Times New Roman" w:hAnsi="Times New Roman" w:cs="Times New Roman"/>
          <w:sz w:val="24"/>
          <w:szCs w:val="24"/>
        </w:rPr>
      </w:pPr>
      <w:bookmarkStart w:id="13" w:name="heading_13"/>
      <w:r w:rsidRPr="00520419">
        <w:rPr>
          <w:rFonts w:ascii="Times New Roman" w:eastAsia="DengXian" w:hAnsi="Times New Roman" w:cs="Times New Roman"/>
          <w:b/>
          <w:sz w:val="24"/>
          <w:szCs w:val="24"/>
        </w:rPr>
        <w:t>4.3</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Karyotype and </w:t>
      </w:r>
      <w:r w:rsidRPr="00520419">
        <w:rPr>
          <w:rFonts w:ascii="Times New Roman" w:eastAsia="DengXian" w:hAnsi="Times New Roman" w:cs="Times New Roman" w:hint="eastAsia"/>
          <w:b/>
          <w:sz w:val="24"/>
          <w:szCs w:val="24"/>
        </w:rPr>
        <w:t>g</w:t>
      </w:r>
      <w:r w:rsidRPr="00520419">
        <w:rPr>
          <w:rFonts w:ascii="Times New Roman" w:eastAsia="DengXian" w:hAnsi="Times New Roman" w:cs="Times New Roman"/>
          <w:b/>
          <w:sz w:val="24"/>
          <w:szCs w:val="24"/>
        </w:rPr>
        <w:t xml:space="preserve">ene </w:t>
      </w:r>
      <w:r w:rsidRPr="00520419">
        <w:rPr>
          <w:rFonts w:ascii="Times New Roman" w:eastAsia="DengXian" w:hAnsi="Times New Roman" w:cs="Times New Roman" w:hint="eastAsia"/>
          <w:b/>
          <w:sz w:val="24"/>
          <w:szCs w:val="24"/>
        </w:rPr>
        <w:t>m</w:t>
      </w:r>
      <w:r w:rsidRPr="00520419">
        <w:rPr>
          <w:rFonts w:ascii="Times New Roman" w:eastAsia="DengXian" w:hAnsi="Times New Roman" w:cs="Times New Roman"/>
          <w:b/>
          <w:sz w:val="24"/>
          <w:szCs w:val="24"/>
        </w:rPr>
        <w:t>utations</w:t>
      </w:r>
      <w:bookmarkEnd w:id="13"/>
    </w:p>
    <w:p w14:paraId="26EB5B09" w14:textId="77777777" w:rsidR="001E0D4B" w:rsidRPr="00520419" w:rsidRDefault="00000000" w:rsidP="00062633">
      <w:pPr>
        <w:snapToGrid w:val="0"/>
        <w:outlineLvl w:val="3"/>
        <w:rPr>
          <w:rFonts w:ascii="Times New Roman" w:hAnsi="Times New Roman" w:cs="Times New Roman"/>
          <w:sz w:val="24"/>
          <w:szCs w:val="24"/>
        </w:rPr>
      </w:pPr>
      <w:bookmarkStart w:id="14" w:name="heading_14"/>
      <w:r w:rsidRPr="00520419">
        <w:rPr>
          <w:rFonts w:ascii="Times New Roman" w:eastAsia="DengXian" w:hAnsi="Times New Roman" w:cs="Times New Roman"/>
          <w:b/>
          <w:sz w:val="24"/>
          <w:szCs w:val="24"/>
        </w:rPr>
        <w:t>4.3.1</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Karyotype </w:t>
      </w:r>
      <w:r w:rsidRPr="00520419">
        <w:rPr>
          <w:rFonts w:ascii="Times New Roman" w:eastAsia="DengXian" w:hAnsi="Times New Roman" w:cs="Times New Roman" w:hint="eastAsia"/>
          <w:b/>
          <w:sz w:val="24"/>
          <w:szCs w:val="24"/>
        </w:rPr>
        <w:t>a</w:t>
      </w:r>
      <w:r w:rsidRPr="00520419">
        <w:rPr>
          <w:rFonts w:ascii="Times New Roman" w:eastAsia="DengXian" w:hAnsi="Times New Roman" w:cs="Times New Roman"/>
          <w:b/>
          <w:sz w:val="24"/>
          <w:szCs w:val="24"/>
        </w:rPr>
        <w:t>nalysis</w:t>
      </w:r>
      <w:bookmarkEnd w:id="14"/>
    </w:p>
    <w:p w14:paraId="722195E6" w14:textId="77777777"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lastRenderedPageBreak/>
        <w:t>Conventional karyotype analysis often fails to detect obvious abnormalities in patients with SET-NUP214 fusion gene-positive acute leukemia. In relevant studies, 4 out of 8 patients who received karyotype detection presented normal karyotypes. This may be attributed to subtle chromosomal microaberrations underlying SET-NUP214 fusion formation, which cannot be identified by conventional karyotyping. Nevertheless, some patients may carry other chromosomal abnormalities such as complex karyotypes, which are potentially related to disease progression and prognosis.</w:t>
      </w:r>
    </w:p>
    <w:p w14:paraId="2639DBB4" w14:textId="77777777" w:rsidR="001E0D4B" w:rsidRPr="00520419" w:rsidRDefault="001E0D4B" w:rsidP="00062633">
      <w:pPr>
        <w:snapToGrid w:val="0"/>
        <w:rPr>
          <w:rFonts w:ascii="Times New Roman" w:eastAsia="DengXian" w:hAnsi="Times New Roman" w:cs="Times New Roman"/>
          <w:sz w:val="24"/>
          <w:szCs w:val="24"/>
        </w:rPr>
      </w:pPr>
    </w:p>
    <w:p w14:paraId="07AE9CE3" w14:textId="77777777" w:rsidR="001E0D4B" w:rsidRPr="00520419" w:rsidRDefault="00000000" w:rsidP="00062633">
      <w:pPr>
        <w:snapToGrid w:val="0"/>
        <w:outlineLvl w:val="3"/>
        <w:rPr>
          <w:rFonts w:ascii="Times New Roman" w:hAnsi="Times New Roman" w:cs="Times New Roman"/>
          <w:sz w:val="24"/>
          <w:szCs w:val="24"/>
        </w:rPr>
      </w:pPr>
      <w:bookmarkStart w:id="15" w:name="heading_15"/>
      <w:r w:rsidRPr="00520419">
        <w:rPr>
          <w:rFonts w:ascii="Times New Roman" w:eastAsia="DengXian" w:hAnsi="Times New Roman" w:cs="Times New Roman"/>
          <w:b/>
          <w:sz w:val="24"/>
          <w:szCs w:val="24"/>
        </w:rPr>
        <w:t>4.3.2</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Gene </w:t>
      </w:r>
      <w:r w:rsidRPr="00520419">
        <w:rPr>
          <w:rFonts w:ascii="Times New Roman" w:eastAsia="DengXian" w:hAnsi="Times New Roman" w:cs="Times New Roman" w:hint="eastAsia"/>
          <w:b/>
          <w:sz w:val="24"/>
          <w:szCs w:val="24"/>
        </w:rPr>
        <w:t>m</w:t>
      </w:r>
      <w:r w:rsidRPr="00520419">
        <w:rPr>
          <w:rFonts w:ascii="Times New Roman" w:eastAsia="DengXian" w:hAnsi="Times New Roman" w:cs="Times New Roman"/>
          <w:b/>
          <w:sz w:val="24"/>
          <w:szCs w:val="24"/>
        </w:rPr>
        <w:t>utations</w:t>
      </w:r>
      <w:bookmarkEnd w:id="15"/>
    </w:p>
    <w:p w14:paraId="58EB87FB" w14:textId="77777777"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Patients with SET-NUP214 fusion gene-positive acute leukemia are often accompanied by other gene mutations. In relevant studies, among 10 patients who underwent gene mutation detection, 2 carried PHF6 mutations, 2 carried NOTCH1 mutations, and 2 carried JAK3 mutations. PHF6 gene mutations may relate to cell growth regulation and differentiation; NOTCH1 mutations are common in T-ALL and participate in T-cell development and differentiation; JAK3 mutations may interfere with cellular signal transduction pathways. The coexistence of these gene mutations may synergistically promote the initiation and progression of leukemia, and also provide potential therapeutic targets for the disease.</w:t>
      </w:r>
    </w:p>
    <w:p w14:paraId="2AC4FDFB" w14:textId="77777777" w:rsidR="001E0D4B" w:rsidRPr="00520419" w:rsidRDefault="001E0D4B" w:rsidP="00062633">
      <w:pPr>
        <w:snapToGrid w:val="0"/>
        <w:rPr>
          <w:rFonts w:ascii="Times New Roman" w:eastAsia="DengXian" w:hAnsi="Times New Roman" w:cs="Times New Roman"/>
          <w:sz w:val="24"/>
          <w:szCs w:val="24"/>
        </w:rPr>
      </w:pPr>
    </w:p>
    <w:p w14:paraId="1695B254" w14:textId="77777777" w:rsidR="001E0D4B" w:rsidRPr="00520419" w:rsidRDefault="00000000" w:rsidP="00062633">
      <w:pPr>
        <w:snapToGrid w:val="0"/>
        <w:outlineLvl w:val="1"/>
        <w:rPr>
          <w:rFonts w:ascii="Times New Roman" w:hAnsi="Times New Roman" w:cs="Times New Roman"/>
          <w:sz w:val="24"/>
          <w:szCs w:val="24"/>
        </w:rPr>
      </w:pPr>
      <w:bookmarkStart w:id="16" w:name="heading_16"/>
      <w:r w:rsidRPr="00520419">
        <w:rPr>
          <w:rFonts w:ascii="Times New Roman" w:eastAsia="DengXian" w:hAnsi="Times New Roman" w:cs="Times New Roman"/>
          <w:b/>
          <w:sz w:val="24"/>
          <w:szCs w:val="24"/>
        </w:rPr>
        <w:t>5</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Analysis of </w:t>
      </w:r>
      <w:r w:rsidRPr="00520419">
        <w:rPr>
          <w:rFonts w:ascii="Times New Roman" w:eastAsia="DengXian" w:hAnsi="Times New Roman" w:cs="Times New Roman" w:hint="eastAsia"/>
          <w:b/>
          <w:sz w:val="24"/>
          <w:szCs w:val="24"/>
        </w:rPr>
        <w:t>r</w:t>
      </w:r>
      <w:r w:rsidRPr="00520419">
        <w:rPr>
          <w:rFonts w:ascii="Times New Roman" w:eastAsia="DengXian" w:hAnsi="Times New Roman" w:cs="Times New Roman"/>
          <w:b/>
          <w:sz w:val="24"/>
          <w:szCs w:val="24"/>
        </w:rPr>
        <w:t xml:space="preserve">are </w:t>
      </w:r>
      <w:r w:rsidRPr="00520419">
        <w:rPr>
          <w:rFonts w:ascii="Times New Roman" w:eastAsia="DengXian" w:hAnsi="Times New Roman" w:cs="Times New Roman" w:hint="eastAsia"/>
          <w:b/>
          <w:sz w:val="24"/>
          <w:szCs w:val="24"/>
        </w:rPr>
        <w:t>c</w:t>
      </w:r>
      <w:r w:rsidRPr="00520419">
        <w:rPr>
          <w:rFonts w:ascii="Times New Roman" w:eastAsia="DengXian" w:hAnsi="Times New Roman" w:cs="Times New Roman"/>
          <w:b/>
          <w:sz w:val="24"/>
          <w:szCs w:val="24"/>
        </w:rPr>
        <w:t xml:space="preserve">ases with SET-NUP214 </w:t>
      </w:r>
      <w:r w:rsidRPr="00520419">
        <w:rPr>
          <w:rFonts w:ascii="Times New Roman" w:eastAsia="DengXian" w:hAnsi="Times New Roman" w:cs="Times New Roman" w:hint="eastAsia"/>
          <w:b/>
          <w:sz w:val="24"/>
          <w:szCs w:val="24"/>
        </w:rPr>
        <w:t>f</w:t>
      </w:r>
      <w:r w:rsidRPr="00520419">
        <w:rPr>
          <w:rFonts w:ascii="Times New Roman" w:eastAsia="DengXian" w:hAnsi="Times New Roman" w:cs="Times New Roman"/>
          <w:b/>
          <w:sz w:val="24"/>
          <w:szCs w:val="24"/>
        </w:rPr>
        <w:t xml:space="preserve">usion </w:t>
      </w:r>
      <w:r w:rsidRPr="00520419">
        <w:rPr>
          <w:rFonts w:ascii="Times New Roman" w:eastAsia="DengXian" w:hAnsi="Times New Roman" w:cs="Times New Roman" w:hint="eastAsia"/>
          <w:b/>
          <w:sz w:val="24"/>
          <w:szCs w:val="24"/>
        </w:rPr>
        <w:t>g</w:t>
      </w:r>
      <w:r w:rsidRPr="00520419">
        <w:rPr>
          <w:rFonts w:ascii="Times New Roman" w:eastAsia="DengXian" w:hAnsi="Times New Roman" w:cs="Times New Roman"/>
          <w:b/>
          <w:sz w:val="24"/>
          <w:szCs w:val="24"/>
        </w:rPr>
        <w:t>ene-</w:t>
      </w:r>
      <w:r w:rsidRPr="00520419">
        <w:rPr>
          <w:rFonts w:ascii="Times New Roman" w:eastAsia="DengXian" w:hAnsi="Times New Roman" w:cs="Times New Roman" w:hint="eastAsia"/>
          <w:b/>
          <w:sz w:val="24"/>
          <w:szCs w:val="24"/>
        </w:rPr>
        <w:t>p</w:t>
      </w:r>
      <w:r w:rsidRPr="00520419">
        <w:rPr>
          <w:rFonts w:ascii="Times New Roman" w:eastAsia="DengXian" w:hAnsi="Times New Roman" w:cs="Times New Roman"/>
          <w:b/>
          <w:sz w:val="24"/>
          <w:szCs w:val="24"/>
        </w:rPr>
        <w:t xml:space="preserve">ositive </w:t>
      </w:r>
      <w:r w:rsidRPr="00520419">
        <w:rPr>
          <w:rFonts w:ascii="Times New Roman" w:eastAsia="DengXian" w:hAnsi="Times New Roman" w:cs="Times New Roman" w:hint="eastAsia"/>
          <w:b/>
          <w:sz w:val="24"/>
          <w:szCs w:val="24"/>
        </w:rPr>
        <w:t>l</w:t>
      </w:r>
      <w:r w:rsidRPr="00520419">
        <w:rPr>
          <w:rFonts w:ascii="Times New Roman" w:eastAsia="DengXian" w:hAnsi="Times New Roman" w:cs="Times New Roman"/>
          <w:b/>
          <w:sz w:val="24"/>
          <w:szCs w:val="24"/>
        </w:rPr>
        <w:t>eukemia</w:t>
      </w:r>
      <w:bookmarkEnd w:id="16"/>
    </w:p>
    <w:p w14:paraId="076D295B" w14:textId="77777777" w:rsidR="001E0D4B" w:rsidRPr="00520419" w:rsidRDefault="00000000" w:rsidP="00062633">
      <w:pPr>
        <w:snapToGrid w:val="0"/>
        <w:outlineLvl w:val="2"/>
        <w:rPr>
          <w:rFonts w:ascii="Times New Roman" w:hAnsi="Times New Roman" w:cs="Times New Roman"/>
          <w:sz w:val="24"/>
          <w:szCs w:val="24"/>
        </w:rPr>
      </w:pPr>
      <w:bookmarkStart w:id="17" w:name="heading_17"/>
      <w:r w:rsidRPr="00520419">
        <w:rPr>
          <w:rFonts w:ascii="Times New Roman" w:eastAsia="DengXian" w:hAnsi="Times New Roman" w:cs="Times New Roman"/>
          <w:b/>
          <w:sz w:val="24"/>
          <w:szCs w:val="24"/>
        </w:rPr>
        <w:t>5.1</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Case 1</w:t>
      </w:r>
      <w:bookmarkEnd w:id="17"/>
    </w:p>
    <w:p w14:paraId="63585E44" w14:textId="77777777" w:rsidR="001E0D4B" w:rsidRPr="00520419" w:rsidRDefault="00000000" w:rsidP="00062633">
      <w:pPr>
        <w:snapToGrid w:val="0"/>
        <w:outlineLvl w:val="3"/>
        <w:rPr>
          <w:rFonts w:ascii="Times New Roman" w:hAnsi="Times New Roman" w:cs="Times New Roman"/>
          <w:sz w:val="24"/>
          <w:szCs w:val="24"/>
        </w:rPr>
      </w:pPr>
      <w:bookmarkStart w:id="18" w:name="heading_18"/>
      <w:r w:rsidRPr="00520419">
        <w:rPr>
          <w:rFonts w:ascii="Times New Roman" w:eastAsia="DengXian" w:hAnsi="Times New Roman" w:cs="Times New Roman"/>
          <w:b/>
          <w:sz w:val="24"/>
          <w:szCs w:val="24"/>
        </w:rPr>
        <w:t>5.1.1</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Basic </w:t>
      </w:r>
      <w:r w:rsidRPr="00520419">
        <w:rPr>
          <w:rFonts w:ascii="Times New Roman" w:eastAsia="DengXian" w:hAnsi="Times New Roman" w:cs="Times New Roman" w:hint="eastAsia"/>
          <w:b/>
          <w:sz w:val="24"/>
          <w:szCs w:val="24"/>
        </w:rPr>
        <w:t>i</w:t>
      </w:r>
      <w:r w:rsidRPr="00520419">
        <w:rPr>
          <w:rFonts w:ascii="Times New Roman" w:eastAsia="DengXian" w:hAnsi="Times New Roman" w:cs="Times New Roman"/>
          <w:b/>
          <w:sz w:val="24"/>
          <w:szCs w:val="24"/>
        </w:rPr>
        <w:t>nformation</w:t>
      </w:r>
      <w:bookmarkEnd w:id="18"/>
    </w:p>
    <w:p w14:paraId="762DD937" w14:textId="77777777"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A 28-year-old male patient presented with fever and fatigue. Routine blood test showed elevated white blood cell count, decreased hemoglobin and platelet counts. Bone marrow puncture indicated acute leukemia, and subsequent fusion gene test confirmed SET-NUP214 fusion gene positivity.</w:t>
      </w:r>
    </w:p>
    <w:p w14:paraId="328F31BA" w14:textId="77777777" w:rsidR="001E0D4B" w:rsidRPr="00520419" w:rsidRDefault="001E0D4B" w:rsidP="00062633">
      <w:pPr>
        <w:snapToGrid w:val="0"/>
        <w:rPr>
          <w:rFonts w:ascii="Times New Roman" w:eastAsia="DengXian" w:hAnsi="Times New Roman" w:cs="Times New Roman"/>
          <w:sz w:val="24"/>
          <w:szCs w:val="24"/>
        </w:rPr>
      </w:pPr>
    </w:p>
    <w:p w14:paraId="204AE668" w14:textId="77777777" w:rsidR="001E0D4B" w:rsidRPr="00520419" w:rsidRDefault="00000000" w:rsidP="00062633">
      <w:pPr>
        <w:snapToGrid w:val="0"/>
        <w:outlineLvl w:val="3"/>
        <w:rPr>
          <w:rFonts w:ascii="Times New Roman" w:hAnsi="Times New Roman" w:cs="Times New Roman"/>
          <w:sz w:val="24"/>
          <w:szCs w:val="24"/>
        </w:rPr>
      </w:pPr>
      <w:bookmarkStart w:id="19" w:name="heading_19"/>
      <w:r w:rsidRPr="00520419">
        <w:rPr>
          <w:rFonts w:ascii="Times New Roman" w:eastAsia="DengXian" w:hAnsi="Times New Roman" w:cs="Times New Roman"/>
          <w:b/>
          <w:sz w:val="24"/>
          <w:szCs w:val="24"/>
        </w:rPr>
        <w:t>5.1.2</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Clinical </w:t>
      </w:r>
      <w:r w:rsidRPr="00520419">
        <w:rPr>
          <w:rFonts w:ascii="Times New Roman" w:eastAsia="DengXian" w:hAnsi="Times New Roman" w:cs="Times New Roman" w:hint="eastAsia"/>
          <w:b/>
          <w:sz w:val="24"/>
          <w:szCs w:val="24"/>
        </w:rPr>
        <w:t>c</w:t>
      </w:r>
      <w:r w:rsidRPr="00520419">
        <w:rPr>
          <w:rFonts w:ascii="Times New Roman" w:eastAsia="DengXian" w:hAnsi="Times New Roman" w:cs="Times New Roman"/>
          <w:b/>
          <w:sz w:val="24"/>
          <w:szCs w:val="24"/>
        </w:rPr>
        <w:t>haracteristics</w:t>
      </w:r>
      <w:bookmarkEnd w:id="19"/>
    </w:p>
    <w:p w14:paraId="2C1BAD2D" w14:textId="5B2A53C6"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The patient suffered from irregular fever with a maximum temperature of 39</w:t>
      </w:r>
      <w:r w:rsidR="00520419">
        <w:rPr>
          <w:rFonts w:ascii="Times New Roman" w:eastAsia="DengXian" w:hAnsi="Times New Roman" w:cs="Times New Roman"/>
          <w:sz w:val="24"/>
          <w:szCs w:val="24"/>
        </w:rPr>
        <w:t xml:space="preserve"> ℃</w:t>
      </w:r>
      <w:r w:rsidRPr="00520419">
        <w:rPr>
          <w:rFonts w:ascii="Times New Roman" w:eastAsia="DengXian" w:hAnsi="Times New Roman" w:cs="Times New Roman"/>
          <w:sz w:val="24"/>
          <w:szCs w:val="24"/>
        </w:rPr>
        <w:t>, accompanied by respiratory infection symptoms such as cough and expectoration. Mild hepatosplenomegaly was observed, while no obvious lymphadenopathy was palpated. Immunophenotyping revealed expression of CD34, CD7, CD33 and other antigens, consistent with the characteristics of SET-NUP214 fusion gene-positive T-cell acute lymphoblastic leukemia.</w:t>
      </w:r>
    </w:p>
    <w:p w14:paraId="09F67655" w14:textId="77777777" w:rsidR="001E0D4B" w:rsidRPr="00520419" w:rsidRDefault="001E0D4B" w:rsidP="00062633">
      <w:pPr>
        <w:snapToGrid w:val="0"/>
        <w:rPr>
          <w:rFonts w:ascii="Times New Roman" w:eastAsia="DengXian" w:hAnsi="Times New Roman" w:cs="Times New Roman"/>
          <w:sz w:val="24"/>
          <w:szCs w:val="24"/>
        </w:rPr>
      </w:pPr>
    </w:p>
    <w:p w14:paraId="14E8C364" w14:textId="77777777" w:rsidR="001E0D4B" w:rsidRPr="00520419" w:rsidRDefault="00000000" w:rsidP="00062633">
      <w:pPr>
        <w:snapToGrid w:val="0"/>
        <w:outlineLvl w:val="3"/>
        <w:rPr>
          <w:rFonts w:ascii="Times New Roman" w:hAnsi="Times New Roman" w:cs="Times New Roman"/>
          <w:sz w:val="24"/>
          <w:szCs w:val="24"/>
        </w:rPr>
      </w:pPr>
      <w:bookmarkStart w:id="20" w:name="heading_20"/>
      <w:r w:rsidRPr="00520419">
        <w:rPr>
          <w:rFonts w:ascii="Times New Roman" w:eastAsia="DengXian" w:hAnsi="Times New Roman" w:cs="Times New Roman"/>
          <w:b/>
          <w:sz w:val="24"/>
          <w:szCs w:val="24"/>
        </w:rPr>
        <w:t>5.1.3</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Treatment and </w:t>
      </w:r>
      <w:r w:rsidRPr="00520419">
        <w:rPr>
          <w:rFonts w:ascii="Times New Roman" w:eastAsia="DengXian" w:hAnsi="Times New Roman" w:cs="Times New Roman" w:hint="eastAsia"/>
          <w:b/>
          <w:sz w:val="24"/>
          <w:szCs w:val="24"/>
        </w:rPr>
        <w:t>p</w:t>
      </w:r>
      <w:r w:rsidRPr="00520419">
        <w:rPr>
          <w:rFonts w:ascii="Times New Roman" w:eastAsia="DengXian" w:hAnsi="Times New Roman" w:cs="Times New Roman"/>
          <w:b/>
          <w:sz w:val="24"/>
          <w:szCs w:val="24"/>
        </w:rPr>
        <w:t>rognosis</w:t>
      </w:r>
      <w:bookmarkEnd w:id="20"/>
    </w:p>
    <w:p w14:paraId="7DB82F37" w14:textId="67055B6C"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 xml:space="preserve">The patient received standard induction chemotherapy, but developed severe infection during induction therapy and eventually died due to ineffective treatment. This suggests that patients with SET-NUP214 fusion gene-positive acute leukemia may have poor tolerance to chemotherapy, </w:t>
      </w:r>
      <w:r w:rsidR="00520419" w:rsidRPr="00520419">
        <w:rPr>
          <w:rFonts w:ascii="Times New Roman" w:eastAsia="DengXian" w:hAnsi="Times New Roman" w:cs="Times New Roman"/>
          <w:sz w:val="24"/>
          <w:szCs w:val="24"/>
        </w:rPr>
        <w:t xml:space="preserve">be prone to complications, and have an </w:t>
      </w:r>
      <w:r w:rsidRPr="00520419">
        <w:rPr>
          <w:rFonts w:ascii="Times New Roman" w:eastAsia="DengXian" w:hAnsi="Times New Roman" w:cs="Times New Roman"/>
          <w:sz w:val="24"/>
          <w:szCs w:val="24"/>
        </w:rPr>
        <w:t>unfavorable prognosis.</w:t>
      </w:r>
    </w:p>
    <w:p w14:paraId="464AB1DB" w14:textId="77777777" w:rsidR="001E0D4B" w:rsidRPr="00520419" w:rsidRDefault="001E0D4B" w:rsidP="00062633">
      <w:pPr>
        <w:snapToGrid w:val="0"/>
        <w:rPr>
          <w:rFonts w:ascii="Times New Roman" w:eastAsia="DengXian" w:hAnsi="Times New Roman" w:cs="Times New Roman"/>
          <w:sz w:val="24"/>
          <w:szCs w:val="24"/>
        </w:rPr>
      </w:pPr>
    </w:p>
    <w:p w14:paraId="17BD0DAB" w14:textId="77777777" w:rsidR="001E0D4B" w:rsidRPr="00520419" w:rsidRDefault="00000000" w:rsidP="00062633">
      <w:pPr>
        <w:snapToGrid w:val="0"/>
        <w:outlineLvl w:val="2"/>
        <w:rPr>
          <w:rFonts w:ascii="Times New Roman" w:hAnsi="Times New Roman" w:cs="Times New Roman"/>
          <w:sz w:val="24"/>
          <w:szCs w:val="24"/>
        </w:rPr>
      </w:pPr>
      <w:bookmarkStart w:id="21" w:name="heading_21"/>
      <w:r w:rsidRPr="00520419">
        <w:rPr>
          <w:rFonts w:ascii="Times New Roman" w:eastAsia="DengXian" w:hAnsi="Times New Roman" w:cs="Times New Roman"/>
          <w:b/>
          <w:sz w:val="24"/>
          <w:szCs w:val="24"/>
        </w:rPr>
        <w:t>5.2</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Case 2</w:t>
      </w:r>
      <w:bookmarkEnd w:id="21"/>
    </w:p>
    <w:p w14:paraId="125C5FE5" w14:textId="77777777" w:rsidR="001E0D4B" w:rsidRPr="00520419" w:rsidRDefault="00000000" w:rsidP="00062633">
      <w:pPr>
        <w:snapToGrid w:val="0"/>
        <w:outlineLvl w:val="3"/>
        <w:rPr>
          <w:rFonts w:ascii="Times New Roman" w:hAnsi="Times New Roman" w:cs="Times New Roman"/>
          <w:sz w:val="24"/>
          <w:szCs w:val="24"/>
        </w:rPr>
      </w:pPr>
      <w:bookmarkStart w:id="22" w:name="heading_22"/>
      <w:r w:rsidRPr="00520419">
        <w:rPr>
          <w:rFonts w:ascii="Times New Roman" w:eastAsia="DengXian" w:hAnsi="Times New Roman" w:cs="Times New Roman"/>
          <w:b/>
          <w:sz w:val="24"/>
          <w:szCs w:val="24"/>
        </w:rPr>
        <w:t>5.2.1</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Basic </w:t>
      </w:r>
      <w:r w:rsidRPr="00520419">
        <w:rPr>
          <w:rFonts w:ascii="Times New Roman" w:eastAsia="DengXian" w:hAnsi="Times New Roman" w:cs="Times New Roman" w:hint="eastAsia"/>
          <w:b/>
          <w:sz w:val="24"/>
          <w:szCs w:val="24"/>
        </w:rPr>
        <w:t>i</w:t>
      </w:r>
      <w:r w:rsidRPr="00520419">
        <w:rPr>
          <w:rFonts w:ascii="Times New Roman" w:eastAsia="DengXian" w:hAnsi="Times New Roman" w:cs="Times New Roman"/>
          <w:b/>
          <w:sz w:val="24"/>
          <w:szCs w:val="24"/>
        </w:rPr>
        <w:t>nformation</w:t>
      </w:r>
      <w:bookmarkEnd w:id="22"/>
    </w:p>
    <w:p w14:paraId="38713001" w14:textId="4F0BB0E0"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 xml:space="preserve">A 35-year-old female patient visited </w:t>
      </w:r>
      <w:r w:rsidR="00520419" w:rsidRPr="00520419">
        <w:rPr>
          <w:rFonts w:ascii="Times New Roman" w:eastAsia="DengXian" w:hAnsi="Times New Roman" w:cs="Times New Roman"/>
          <w:sz w:val="24"/>
          <w:szCs w:val="24"/>
        </w:rPr>
        <w:t xml:space="preserve">the </w:t>
      </w:r>
      <w:r w:rsidRPr="00520419">
        <w:rPr>
          <w:rFonts w:ascii="Times New Roman" w:eastAsia="DengXian" w:hAnsi="Times New Roman" w:cs="Times New Roman"/>
          <w:sz w:val="24"/>
          <w:szCs w:val="24"/>
        </w:rPr>
        <w:t>hospital for extensive skin petechiae and ecchymosis. Routine blood test showed significantly reduced platelets, with normal white blood cell count and hemoglobin level. Bone marrow puncture revealed increased abnormal promyelocytes. Subsequent tests excluded PML-RARα fusion gene positivity but detected SET-NUP214 fusion gene positivity, leading to a diagnosis of variant acute promyelocytic leukemia.</w:t>
      </w:r>
    </w:p>
    <w:p w14:paraId="64B5B300" w14:textId="77777777" w:rsidR="001E0D4B" w:rsidRPr="00520419" w:rsidRDefault="001E0D4B" w:rsidP="00062633">
      <w:pPr>
        <w:snapToGrid w:val="0"/>
        <w:rPr>
          <w:rFonts w:ascii="Times New Roman" w:eastAsia="DengXian" w:hAnsi="Times New Roman" w:cs="Times New Roman"/>
          <w:sz w:val="24"/>
          <w:szCs w:val="24"/>
        </w:rPr>
      </w:pPr>
    </w:p>
    <w:p w14:paraId="35C28631" w14:textId="77777777" w:rsidR="001E0D4B" w:rsidRPr="00520419" w:rsidRDefault="00000000" w:rsidP="00062633">
      <w:pPr>
        <w:snapToGrid w:val="0"/>
        <w:outlineLvl w:val="3"/>
        <w:rPr>
          <w:rFonts w:ascii="Times New Roman" w:hAnsi="Times New Roman" w:cs="Times New Roman"/>
          <w:sz w:val="24"/>
          <w:szCs w:val="24"/>
        </w:rPr>
      </w:pPr>
      <w:bookmarkStart w:id="23" w:name="heading_23"/>
      <w:r w:rsidRPr="00520419">
        <w:rPr>
          <w:rFonts w:ascii="Times New Roman" w:eastAsia="DengXian" w:hAnsi="Times New Roman" w:cs="Times New Roman"/>
          <w:b/>
          <w:sz w:val="24"/>
          <w:szCs w:val="24"/>
        </w:rPr>
        <w:t>5.2.2</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Clinical </w:t>
      </w:r>
      <w:r w:rsidRPr="00520419">
        <w:rPr>
          <w:rFonts w:ascii="Times New Roman" w:eastAsia="DengXian" w:hAnsi="Times New Roman" w:cs="Times New Roman" w:hint="eastAsia"/>
          <w:b/>
          <w:sz w:val="24"/>
          <w:szCs w:val="24"/>
        </w:rPr>
        <w:t>c</w:t>
      </w:r>
      <w:r w:rsidRPr="00520419">
        <w:rPr>
          <w:rFonts w:ascii="Times New Roman" w:eastAsia="DengXian" w:hAnsi="Times New Roman" w:cs="Times New Roman"/>
          <w:b/>
          <w:sz w:val="24"/>
          <w:szCs w:val="24"/>
        </w:rPr>
        <w:t>haracteristics</w:t>
      </w:r>
      <w:bookmarkEnd w:id="23"/>
    </w:p>
    <w:p w14:paraId="1FB0DFF5" w14:textId="1B9C9493"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 xml:space="preserve">The patient had widespread skin petechiae and ecchymosis complicated </w:t>
      </w:r>
      <w:r w:rsidR="00520419" w:rsidRPr="00520419">
        <w:rPr>
          <w:rFonts w:ascii="Times New Roman" w:eastAsia="DengXian" w:hAnsi="Times New Roman" w:cs="Times New Roman"/>
          <w:sz w:val="24"/>
          <w:szCs w:val="24"/>
        </w:rPr>
        <w:t>by</w:t>
      </w:r>
      <w:r w:rsidRPr="00520419">
        <w:rPr>
          <w:rFonts w:ascii="Times New Roman" w:eastAsia="DengXian" w:hAnsi="Times New Roman" w:cs="Times New Roman"/>
          <w:sz w:val="24"/>
          <w:szCs w:val="24"/>
        </w:rPr>
        <w:t xml:space="preserve"> gingival bleeding. Chest CT showed a small amount of pulmonary </w:t>
      </w:r>
      <w:r w:rsidR="00520419" w:rsidRPr="00520419">
        <w:rPr>
          <w:rFonts w:ascii="Times New Roman" w:eastAsia="DengXian" w:hAnsi="Times New Roman" w:cs="Times New Roman"/>
          <w:sz w:val="24"/>
          <w:szCs w:val="24"/>
        </w:rPr>
        <w:t>exudate</w:t>
      </w:r>
      <w:r w:rsidRPr="00520419">
        <w:rPr>
          <w:rFonts w:ascii="Times New Roman" w:eastAsia="DengXian" w:hAnsi="Times New Roman" w:cs="Times New Roman"/>
          <w:sz w:val="24"/>
          <w:szCs w:val="24"/>
        </w:rPr>
        <w:t>, suggesting potential pulmonary infection. Immunophenotyping demonstrated myeloid features of leukemic cells with partial expression of lymphoid antigens.</w:t>
      </w:r>
    </w:p>
    <w:p w14:paraId="7B6F46B7" w14:textId="77777777" w:rsidR="001E0D4B" w:rsidRPr="00520419" w:rsidRDefault="001E0D4B" w:rsidP="00062633">
      <w:pPr>
        <w:snapToGrid w:val="0"/>
        <w:rPr>
          <w:rFonts w:ascii="Times New Roman" w:eastAsia="DengXian" w:hAnsi="Times New Roman" w:cs="Times New Roman"/>
          <w:sz w:val="24"/>
          <w:szCs w:val="24"/>
        </w:rPr>
      </w:pPr>
    </w:p>
    <w:p w14:paraId="233CA39D" w14:textId="77777777" w:rsidR="001E0D4B" w:rsidRPr="00520419" w:rsidRDefault="00000000" w:rsidP="00062633">
      <w:pPr>
        <w:snapToGrid w:val="0"/>
        <w:outlineLvl w:val="3"/>
        <w:rPr>
          <w:rFonts w:ascii="Times New Roman" w:hAnsi="Times New Roman" w:cs="Times New Roman"/>
          <w:sz w:val="24"/>
          <w:szCs w:val="24"/>
        </w:rPr>
      </w:pPr>
      <w:bookmarkStart w:id="24" w:name="heading_24"/>
      <w:r w:rsidRPr="00520419">
        <w:rPr>
          <w:rFonts w:ascii="Times New Roman" w:eastAsia="DengXian" w:hAnsi="Times New Roman" w:cs="Times New Roman"/>
          <w:b/>
          <w:sz w:val="24"/>
          <w:szCs w:val="24"/>
        </w:rPr>
        <w:t>5.2.3</w:t>
      </w:r>
      <w:r w:rsidRPr="00520419">
        <w:rPr>
          <w:rFonts w:ascii="Times New Roman" w:eastAsia="DengXian" w:hAnsi="Times New Roman" w:cs="Times New Roman" w:hint="eastAsia"/>
          <w:b/>
          <w:sz w:val="24"/>
          <w:szCs w:val="24"/>
        </w:rPr>
        <w:t>.</w:t>
      </w:r>
      <w:r w:rsidRPr="00520419">
        <w:rPr>
          <w:rFonts w:ascii="Times New Roman" w:eastAsia="DengXian" w:hAnsi="Times New Roman" w:cs="Times New Roman"/>
          <w:b/>
          <w:sz w:val="24"/>
          <w:szCs w:val="24"/>
        </w:rPr>
        <w:t xml:space="preserve"> Treatment and </w:t>
      </w:r>
      <w:r w:rsidRPr="00520419">
        <w:rPr>
          <w:rFonts w:ascii="Times New Roman" w:eastAsia="DengXian" w:hAnsi="Times New Roman" w:cs="Times New Roman" w:hint="eastAsia"/>
          <w:b/>
          <w:sz w:val="24"/>
          <w:szCs w:val="24"/>
        </w:rPr>
        <w:t>p</w:t>
      </w:r>
      <w:r w:rsidRPr="00520419">
        <w:rPr>
          <w:rFonts w:ascii="Times New Roman" w:eastAsia="DengXian" w:hAnsi="Times New Roman" w:cs="Times New Roman"/>
          <w:b/>
          <w:sz w:val="24"/>
          <w:szCs w:val="24"/>
        </w:rPr>
        <w:t>rognosis</w:t>
      </w:r>
      <w:bookmarkEnd w:id="24"/>
    </w:p>
    <w:p w14:paraId="25596B7C" w14:textId="0DE8FD03" w:rsidR="001E0D4B" w:rsidRPr="00520419" w:rsidRDefault="00000000" w:rsidP="00062633">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lastRenderedPageBreak/>
        <w:t xml:space="preserve">The patient initially received induction therapy with all-trans retinoic acid (ATRA) combined with arsenic trioxide (ATO), which yielded unsatisfactory efficacy. The regimen was then switched to combined chemotherapy, yet the induction effect remained poor. Allogeneic hematopoietic stem cell transplantation was performed </w:t>
      </w:r>
      <w:r w:rsidR="00520419" w:rsidRPr="00520419">
        <w:rPr>
          <w:rFonts w:ascii="Times New Roman" w:eastAsia="DengXian" w:hAnsi="Times New Roman" w:cs="Times New Roman"/>
          <w:sz w:val="24"/>
          <w:szCs w:val="24"/>
        </w:rPr>
        <w:t>afterward</w:t>
      </w:r>
      <w:r w:rsidRPr="00520419">
        <w:rPr>
          <w:rFonts w:ascii="Times New Roman" w:eastAsia="DengXian" w:hAnsi="Times New Roman" w:cs="Times New Roman"/>
          <w:sz w:val="24"/>
          <w:szCs w:val="24"/>
        </w:rPr>
        <w:t xml:space="preserve">. Mild graft-versus-host disease (GVHD) occurred after transplantation and was controlled by corresponding treatment. The patient </w:t>
      </w:r>
      <w:r w:rsidR="00520419" w:rsidRPr="00520419">
        <w:rPr>
          <w:rFonts w:ascii="Times New Roman" w:eastAsia="DengXian" w:hAnsi="Times New Roman" w:cs="Times New Roman"/>
          <w:sz w:val="24"/>
          <w:szCs w:val="24"/>
        </w:rPr>
        <w:t xml:space="preserve">currently receives regular follow-up examinations </w:t>
      </w:r>
      <w:r w:rsidRPr="00520419">
        <w:rPr>
          <w:rFonts w:ascii="Times New Roman" w:eastAsia="DengXian" w:hAnsi="Times New Roman" w:cs="Times New Roman"/>
          <w:sz w:val="24"/>
          <w:szCs w:val="24"/>
        </w:rPr>
        <w:t>and has resumed normal life and study. It can be seen that allogeneic hematopoietic stem cell transplantation may provide a chance of cure for a small subset of patients with SET-NUP214 fusion gene-positive acute leukemia, helping them recover and return to daily life.</w:t>
      </w:r>
    </w:p>
    <w:p w14:paraId="2C9797F5" w14:textId="77777777" w:rsidR="001E0D4B" w:rsidRPr="00520419" w:rsidRDefault="001E0D4B" w:rsidP="00062633">
      <w:pPr>
        <w:snapToGrid w:val="0"/>
        <w:rPr>
          <w:rFonts w:ascii="Times New Roman" w:eastAsia="DengXian" w:hAnsi="Times New Roman" w:cs="Times New Roman"/>
          <w:sz w:val="24"/>
          <w:szCs w:val="24"/>
        </w:rPr>
      </w:pPr>
    </w:p>
    <w:p w14:paraId="6B7B5EB1" w14:textId="77777777" w:rsidR="001E0D4B" w:rsidRPr="00520419" w:rsidRDefault="00000000" w:rsidP="00062633">
      <w:pPr>
        <w:snapToGrid w:val="0"/>
        <w:outlineLvl w:val="1"/>
        <w:rPr>
          <w:rFonts w:ascii="Times New Roman" w:hAnsi="Times New Roman" w:cs="Times New Roman"/>
          <w:sz w:val="24"/>
          <w:szCs w:val="24"/>
        </w:rPr>
      </w:pPr>
      <w:bookmarkStart w:id="25" w:name="heading_25"/>
      <w:r w:rsidRPr="00520419">
        <w:rPr>
          <w:rFonts w:ascii="Times New Roman" w:eastAsia="DengXian" w:hAnsi="Times New Roman" w:cs="Times New Roman" w:hint="eastAsia"/>
          <w:b/>
          <w:sz w:val="24"/>
          <w:szCs w:val="24"/>
        </w:rPr>
        <w:t xml:space="preserve">6. </w:t>
      </w:r>
      <w:r w:rsidRPr="00520419">
        <w:rPr>
          <w:rFonts w:ascii="Times New Roman" w:eastAsia="DengXian" w:hAnsi="Times New Roman" w:cs="Times New Roman"/>
          <w:b/>
          <w:sz w:val="24"/>
          <w:szCs w:val="24"/>
        </w:rPr>
        <w:t>Conclusion</w:t>
      </w:r>
      <w:bookmarkEnd w:id="25"/>
    </w:p>
    <w:p w14:paraId="6FFE0A4E" w14:textId="35400427" w:rsidR="001E0D4B" w:rsidRDefault="00000000" w:rsidP="00520419">
      <w:pPr>
        <w:snapToGrid w:val="0"/>
        <w:rPr>
          <w:rFonts w:ascii="Times New Roman" w:eastAsia="DengXian" w:hAnsi="Times New Roman" w:cs="Times New Roman"/>
          <w:sz w:val="24"/>
          <w:szCs w:val="24"/>
        </w:rPr>
      </w:pPr>
      <w:r w:rsidRPr="00520419">
        <w:rPr>
          <w:rFonts w:ascii="Times New Roman" w:eastAsia="DengXian" w:hAnsi="Times New Roman" w:cs="Times New Roman"/>
          <w:sz w:val="24"/>
          <w:szCs w:val="24"/>
        </w:rPr>
        <w:t xml:space="preserve">SET-NUP214 fusion gene-positive acute leukemia mostly occurs in young and middle-aged males, lacking specific myeloid and T-cell differentiation markers, often accompanied by chromosomal karyotype abnormalities and other gene mutations. This disease is insensitive to chemotherapy, frequently complicated by various complications and associated with </w:t>
      </w:r>
      <w:r w:rsidR="00520419" w:rsidRPr="00520419">
        <w:rPr>
          <w:rFonts w:ascii="Times New Roman" w:eastAsia="DengXian" w:hAnsi="Times New Roman" w:cs="Times New Roman"/>
          <w:sz w:val="24"/>
          <w:szCs w:val="24"/>
        </w:rPr>
        <w:t>an extremely poor prognosis, while allogeneic hematopoietic stem cell transplantation may cure some</w:t>
      </w:r>
      <w:r w:rsidRPr="00520419">
        <w:rPr>
          <w:rFonts w:ascii="Times New Roman" w:eastAsia="DengXian" w:hAnsi="Times New Roman" w:cs="Times New Roman"/>
          <w:sz w:val="24"/>
          <w:szCs w:val="24"/>
        </w:rPr>
        <w:t xml:space="preserve"> patients. In the future, systematic research on the correlation between SET-NUP214 fusion gene and the initiation and progression of acute leukemia based on larger sample sizes is required to discover specific targeted drugs, optimize treatment regimens, and improve patients’ survival rate and quality of life. Meanwhile, active research on rare fusion gene-positive leukemia contributes to understanding the pathogenesis of leukemia, and further explores new approaches for precise treatment of leukemia.</w:t>
      </w:r>
    </w:p>
    <w:p w14:paraId="45DADF83" w14:textId="77777777" w:rsidR="00520419" w:rsidRPr="00520419" w:rsidRDefault="00520419" w:rsidP="00062633">
      <w:pPr>
        <w:snapToGrid w:val="0"/>
        <w:rPr>
          <w:rFonts w:ascii="Times New Roman" w:hAnsi="Times New Roman" w:cs="Times New Roman"/>
          <w:sz w:val="24"/>
          <w:szCs w:val="24"/>
        </w:rPr>
      </w:pPr>
    </w:p>
    <w:p w14:paraId="005EE2EC" w14:textId="77777777" w:rsidR="001E0D4B" w:rsidRPr="00520419" w:rsidRDefault="00000000" w:rsidP="00062633">
      <w:pPr>
        <w:snapToGrid w:val="0"/>
        <w:rPr>
          <w:rFonts w:ascii="Times New Roman" w:hAnsi="Times New Roman"/>
          <w:b/>
          <w:bCs/>
          <w:sz w:val="24"/>
        </w:rPr>
      </w:pPr>
      <w:bookmarkStart w:id="26" w:name="_Hlk181689731"/>
      <w:bookmarkStart w:id="27" w:name="heading_26"/>
      <w:r w:rsidRPr="00520419">
        <w:rPr>
          <w:rFonts w:ascii="Times New Roman" w:hAnsi="Times New Roman"/>
          <w:b/>
          <w:bCs/>
          <w:sz w:val="24"/>
        </w:rPr>
        <w:t>Disclosure statement</w:t>
      </w:r>
    </w:p>
    <w:p w14:paraId="2ABA1FC3" w14:textId="01DCC49A" w:rsidR="001E0D4B" w:rsidRPr="00520419" w:rsidRDefault="00000000" w:rsidP="00062633">
      <w:pPr>
        <w:snapToGrid w:val="0"/>
        <w:rPr>
          <w:rFonts w:ascii="Times New Roman" w:hAnsi="Times New Roman"/>
          <w:sz w:val="24"/>
        </w:rPr>
      </w:pPr>
      <w:r w:rsidRPr="00520419">
        <w:rPr>
          <w:rFonts w:ascii="Times New Roman" w:hAnsi="Times New Roman"/>
          <w:sz w:val="24"/>
        </w:rPr>
        <w:t>The author declare</w:t>
      </w:r>
      <w:r w:rsidR="00520419">
        <w:rPr>
          <w:rFonts w:ascii="Times New Roman" w:hAnsi="Times New Roman"/>
          <w:sz w:val="24"/>
        </w:rPr>
        <w:t>s</w:t>
      </w:r>
      <w:r w:rsidRPr="00520419">
        <w:rPr>
          <w:rFonts w:ascii="Times New Roman" w:hAnsi="Times New Roman"/>
          <w:sz w:val="24"/>
        </w:rPr>
        <w:t xml:space="preserve"> no conflict of interest. </w:t>
      </w:r>
    </w:p>
    <w:bookmarkEnd w:id="26"/>
    <w:p w14:paraId="4546F07E" w14:textId="77777777" w:rsidR="001E0D4B" w:rsidRPr="00520419" w:rsidRDefault="001E0D4B" w:rsidP="00062633">
      <w:pPr>
        <w:snapToGrid w:val="0"/>
        <w:outlineLvl w:val="1"/>
        <w:rPr>
          <w:rFonts w:ascii="Times New Roman" w:eastAsia="DengXian" w:hAnsi="Times New Roman" w:cs="Times New Roman"/>
          <w:b/>
          <w:sz w:val="24"/>
          <w:szCs w:val="24"/>
        </w:rPr>
      </w:pPr>
    </w:p>
    <w:p w14:paraId="2890B738" w14:textId="77777777" w:rsidR="001E0D4B" w:rsidRPr="00520419" w:rsidRDefault="00000000" w:rsidP="00062633">
      <w:pPr>
        <w:snapToGrid w:val="0"/>
        <w:outlineLvl w:val="1"/>
        <w:rPr>
          <w:rFonts w:ascii="Times New Roman" w:hAnsi="Times New Roman" w:cs="Times New Roman"/>
          <w:sz w:val="24"/>
          <w:szCs w:val="24"/>
        </w:rPr>
      </w:pPr>
      <w:r w:rsidRPr="00520419">
        <w:rPr>
          <w:rFonts w:ascii="Times New Roman" w:eastAsia="DengXian" w:hAnsi="Times New Roman" w:cs="Times New Roman"/>
          <w:b/>
          <w:sz w:val="24"/>
          <w:szCs w:val="24"/>
        </w:rPr>
        <w:t>References</w:t>
      </w:r>
      <w:bookmarkEnd w:id="27"/>
    </w:p>
    <w:p w14:paraId="6FF94588" w14:textId="3B21B305" w:rsidR="00520419" w:rsidRDefault="00520419" w:rsidP="00520419">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[1] </w:t>
      </w:r>
      <w:r>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Wang J, Zhan Q, Lu X, et al., 2022, The Characteristics and Prognostic Significance of the SET-CAN/NUP214 Fusion Gene in Hematological Malignancies: A Systematic Review. Medicine, 101(30): e29294.</w:t>
      </w:r>
    </w:p>
    <w:p w14:paraId="6298D652" w14:textId="77777777" w:rsidR="00520419" w:rsidRDefault="00520419" w:rsidP="00520419">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[2] </w:t>
      </w:r>
      <w:r>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Chen S, Song W, Qin Y, et al., 2021, Analysis of the Clinical Characteristics of 24 Cases of Hematological Malignancies with SET-NUP214 Fusion Gene. Zhonghua Xue Ye Xue Za Zhi, 42(6): 459–465.</w:t>
      </w:r>
    </w:p>
    <w:p w14:paraId="1FD0F185" w14:textId="77777777" w:rsidR="00520419" w:rsidRDefault="00520419" w:rsidP="00520419">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[3] </w:t>
      </w:r>
      <w:r>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Yang Q, Qian H, Jin Z, et al., 2020, SET-CAN Fusion Gene as Poor Prognosis Predictor in Adult T-Cell Acute Lymphoblastic Leukemia. Leukemia &amp; Lymphoma, 61(1): 217–220.</w:t>
      </w:r>
    </w:p>
    <w:p w14:paraId="25F83479" w14:textId="77777777" w:rsidR="00520419" w:rsidRDefault="00520419" w:rsidP="00520419">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[4] </w:t>
      </w:r>
      <w:r>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Zhu H, Zhao X, Qin Y, et al., 2016, B-Cell Acute Lymphoblastic Leukemia Associated with SET-NUP214 Rearrangement: A Case Report and Review of the Literature. Oncology Letters, 11(4): 2644–2650.</w:t>
      </w:r>
    </w:p>
    <w:p w14:paraId="186D6BD8" w14:textId="77777777" w:rsidR="00520419" w:rsidRDefault="00520419" w:rsidP="00520419">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[5] </w:t>
      </w:r>
      <w:r>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Chen Y, Wang Q, Cen J, et al., 2023, Blast Phase of Chronic Myeloid Leukemia with Concurrent BCR::ABL1 and SET::NUP214: A Report of Two Cases. Molecular Carcinogenesis, 62(2): 117–121.</w:t>
      </w:r>
    </w:p>
    <w:p w14:paraId="60D78BED" w14:textId="77777777" w:rsidR="00520419" w:rsidRDefault="00520419" w:rsidP="00520419">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[6] </w:t>
      </w:r>
      <w:r>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Zhang H, Zhang L, Yan L, et al., 2020, SET-CAN Fusion Gene in Acute Leukemia and Myeloid Neoplasms: Report of Three Cases and a Literature Review. OncoTargets and Therapy, 13: 7665–7681.</w:t>
      </w:r>
    </w:p>
    <w:p w14:paraId="51B503AA" w14:textId="77777777" w:rsidR="00614300" w:rsidRDefault="00520419" w:rsidP="00614300">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[7] </w:t>
      </w:r>
      <w:r>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Gorello P, La Starza R, Di Giacomo D, et al., 2010, SQSTM1-NUP214: A New Gene Fusion in Adult T-Cell Acute Lymphoblastic Leukemia. Haematologica, 95(12): 2161–2163.</w:t>
      </w:r>
    </w:p>
    <w:p w14:paraId="6EBA08AF" w14:textId="77777777" w:rsidR="00614300" w:rsidRDefault="00520419" w:rsidP="00614300">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[8] </w:t>
      </w:r>
      <w:r w:rsidR="00614300">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Kau T, Way J, Silver P, 2004, Nuclear Transport and Cancer: From Mechanism to Intervention. Nature Reviews Cancer, 4(2): 106–117.</w:t>
      </w:r>
    </w:p>
    <w:p w14:paraId="270B20B7" w14:textId="77777777" w:rsidR="00614300" w:rsidRDefault="00520419" w:rsidP="00614300">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[9] </w:t>
      </w:r>
      <w:r w:rsidR="00614300">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Strambio-De-Castillia C, Niepel M, Rout M, 2010, The Nuclear Pore Complex: Bridging Nuclear Transport and Gene Regulation. Nature Reviews Molecular Cell Biology, 11(7): 490–501.</w:t>
      </w:r>
    </w:p>
    <w:p w14:paraId="1A5632D3" w14:textId="5FFA71F5" w:rsidR="00520419" w:rsidRPr="00520419" w:rsidRDefault="00520419" w:rsidP="00062633">
      <w:pPr>
        <w:snapToGrid w:val="0"/>
        <w:ind w:left="709" w:hanging="709"/>
        <w:rPr>
          <w:rFonts w:ascii="Times New Roman" w:eastAsia="DengXian" w:hAnsi="Times New Roman" w:cs="Times New Roman"/>
          <w:sz w:val="24"/>
          <w:szCs w:val="24"/>
          <w:lang w:val="en-MY"/>
        </w:rPr>
      </w:pPr>
      <w:r w:rsidRPr="00520419">
        <w:rPr>
          <w:rFonts w:ascii="Times New Roman" w:eastAsia="DengXian" w:hAnsi="Times New Roman" w:cs="Times New Roman"/>
          <w:sz w:val="24"/>
          <w:szCs w:val="24"/>
          <w:lang w:val="en-MY"/>
        </w:rPr>
        <w:t xml:space="preserve">[10] </w:t>
      </w:r>
      <w:r w:rsidR="00614300">
        <w:rPr>
          <w:rFonts w:ascii="Times New Roman" w:eastAsia="DengXian" w:hAnsi="Times New Roman" w:cs="Times New Roman"/>
          <w:sz w:val="24"/>
          <w:szCs w:val="24"/>
          <w:lang w:val="en-MY"/>
        </w:rPr>
        <w:tab/>
      </w:r>
      <w:r w:rsidRPr="00520419">
        <w:rPr>
          <w:rFonts w:ascii="Times New Roman" w:eastAsia="DengXian" w:hAnsi="Times New Roman" w:cs="Times New Roman"/>
          <w:sz w:val="24"/>
          <w:szCs w:val="24"/>
          <w:lang w:val="en-MY"/>
        </w:rPr>
        <w:t>Kim J, Lee S, Song J, et al., 2010, Molecular Characterization of Alternative SET-NUP214 Fusion Transcripts in a Case of Acute Undifferentiated Leukemia. Cancer Genetics and Cytogenetics, 201(2): 73–80.</w:t>
      </w:r>
    </w:p>
    <w:p w14:paraId="69072BA6" w14:textId="77777777" w:rsidR="00520419" w:rsidRDefault="00520419" w:rsidP="00520419">
      <w:pPr>
        <w:snapToGrid w:val="0"/>
        <w:rPr>
          <w:rFonts w:ascii="Times New Roman" w:eastAsia="DengXian" w:hAnsi="Times New Roman" w:cs="Times New Roman"/>
          <w:sz w:val="24"/>
          <w:szCs w:val="24"/>
        </w:rPr>
      </w:pPr>
    </w:p>
    <w:p w14:paraId="5DA277CF" w14:textId="77777777" w:rsidR="00520419" w:rsidRPr="00560674" w:rsidRDefault="00520419" w:rsidP="00520419">
      <w:pPr>
        <w:tabs>
          <w:tab w:val="left" w:pos="420"/>
        </w:tabs>
        <w:snapToGrid w:val="0"/>
        <w:rPr>
          <w:rFonts w:ascii="Times New Roman" w:hAnsi="Times New Roman" w:cs="Times New Roman"/>
          <w:b/>
          <w:bCs/>
          <w:sz w:val="20"/>
          <w:szCs w:val="20"/>
        </w:rPr>
      </w:pPr>
      <w:r w:rsidRPr="00560674">
        <w:rPr>
          <w:rFonts w:ascii="Times New Roman" w:hAnsi="Times New Roman" w:cs="Times New Roman"/>
          <w:b/>
          <w:bCs/>
          <w:sz w:val="20"/>
          <w:szCs w:val="20"/>
        </w:rPr>
        <w:t>Publisher</w:t>
      </w:r>
      <w:r>
        <w:rPr>
          <w:rFonts w:ascii="Times New Roman" w:hAnsi="Times New Roman" w:cs="Times New Roman"/>
          <w:b/>
          <w:bCs/>
          <w:sz w:val="20"/>
          <w:szCs w:val="20"/>
        </w:rPr>
        <w:t>’</w:t>
      </w:r>
      <w:r w:rsidRPr="00560674">
        <w:rPr>
          <w:rFonts w:ascii="Times New Roman" w:hAnsi="Times New Roman" w:cs="Times New Roman"/>
          <w:b/>
          <w:bCs/>
          <w:sz w:val="20"/>
          <w:szCs w:val="20"/>
        </w:rPr>
        <w:t>s note</w:t>
      </w:r>
    </w:p>
    <w:p w14:paraId="3CDB39A9" w14:textId="77777777" w:rsidR="00520419" w:rsidRPr="00560674" w:rsidRDefault="00520419" w:rsidP="00520419">
      <w:pPr>
        <w:tabs>
          <w:tab w:val="left" w:pos="420"/>
        </w:tabs>
        <w:snapToGrid w:val="0"/>
        <w:rPr>
          <w:rFonts w:ascii="Times New Roman" w:hAnsi="Times New Roman" w:cs="Times New Roman"/>
          <w:bCs/>
          <w:sz w:val="20"/>
          <w:szCs w:val="20"/>
        </w:rPr>
      </w:pPr>
      <w:r w:rsidRPr="00560674">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6D68910F" w14:textId="77777777" w:rsidR="00520419" w:rsidRDefault="00520419" w:rsidP="00062633">
      <w:pPr>
        <w:snapToGrid w:val="0"/>
        <w:rPr>
          <w:rFonts w:ascii="Times New Roman" w:hAnsi="Times New Roman" w:cs="Times New Roman"/>
          <w:sz w:val="24"/>
          <w:szCs w:val="24"/>
        </w:rPr>
      </w:pPr>
    </w:p>
    <w:sectPr w:rsidR="00520419" w:rsidSect="00062633">
      <w:headerReference w:type="default" r:id="rId6"/>
      <w:footerReference w:type="default" r:id="rId7"/>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15124" w14:textId="77777777" w:rsidR="00FE55D8" w:rsidRPr="00520419" w:rsidRDefault="00FE55D8">
      <w:r w:rsidRPr="00520419">
        <w:separator/>
      </w:r>
    </w:p>
  </w:endnote>
  <w:endnote w:type="continuationSeparator" w:id="0">
    <w:p w14:paraId="7D5520BE" w14:textId="77777777" w:rsidR="00FE55D8" w:rsidRPr="00520419" w:rsidRDefault="00FE55D8">
      <w:r w:rsidRPr="00520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F5E2D5D5-3B2A-43AE-8882-D3F49D32B49C}"/>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embedRegular r:id="rId2" w:fontKey="{E203585D-C33B-408F-8F8D-FA1CA1D490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181EB" w14:textId="77777777" w:rsidR="001E0D4B" w:rsidRPr="00520419" w:rsidRDefault="001E0D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32EAE" w14:textId="77777777" w:rsidR="00FE55D8" w:rsidRPr="00520419" w:rsidRDefault="00FE55D8">
      <w:r w:rsidRPr="00520419">
        <w:separator/>
      </w:r>
    </w:p>
  </w:footnote>
  <w:footnote w:type="continuationSeparator" w:id="0">
    <w:p w14:paraId="3F9F8F83" w14:textId="77777777" w:rsidR="00FE55D8" w:rsidRPr="00520419" w:rsidRDefault="00FE55D8">
      <w:r w:rsidRPr="005204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96FC6" w14:textId="77777777" w:rsidR="001E0D4B" w:rsidRPr="00520419" w:rsidRDefault="001E0D4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4B"/>
    <w:rsid w:val="00062633"/>
    <w:rsid w:val="001E0D4B"/>
    <w:rsid w:val="00520419"/>
    <w:rsid w:val="00614300"/>
    <w:rsid w:val="00A27E7B"/>
    <w:rsid w:val="00F85CA9"/>
    <w:rsid w:val="00FE55D8"/>
    <w:rsid w:val="36D538ED"/>
    <w:rsid w:val="4D82508C"/>
    <w:rsid w:val="5B941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4BC3"/>
  <w15:docId w15:val="{FC3883AE-C68F-44F2-B99D-62650DFDD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sz w:val="21"/>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520419"/>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2195</Words>
  <Characters>12514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3</cp:revision>
  <dcterms:created xsi:type="dcterms:W3CDTF">2026-07-24T04:10:00Z</dcterms:created>
  <dcterms:modified xsi:type="dcterms:W3CDTF">2026-07-24T04:10:00Z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{"Label":"1","ContentProducer":"001191110102MACQD9K64010000","ProduceID":"7659703304110312428","ReservedCode1":"","ContentPropagator":"","PropagateID":"","ReservedCode2":""}</vt:lpwstr>
  </property>
  <property fmtid="{D5CDD505-2E9C-101B-9397-08002B2CF9AE}" pid="3" name="KSOTemplateDocerSaveRecord">
    <vt:lpwstr>eyJoZGlkIjoiZTBiYjBjMzJlZDA2ZWE2YWNmMzQyN2E2MGVlZTcxZjkiLCJ1c2VySWQiOiI2MTA5NTIyOTYifQ==</vt:lpwstr>
  </property>
  <property fmtid="{D5CDD505-2E9C-101B-9397-08002B2CF9AE}" pid="4" name="KSOProductBuildVer">
    <vt:lpwstr>2052-12.1.0.26884</vt:lpwstr>
  </property>
  <property fmtid="{D5CDD505-2E9C-101B-9397-08002B2CF9AE}" pid="5" name="ICV">
    <vt:lpwstr>3C8AC0288F98434C8874C67C559AC70B_12</vt:lpwstr>
  </property>
  <property fmtid="{D5CDD505-2E9C-101B-9397-08002B2CF9AE}" pid="6" name="GrammarlyDocumentId">
    <vt:lpwstr>4658afb3-7c64-4470-8c85-a133add3cffb</vt:lpwstr>
  </property>
</Properties>
</file>