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F8C9E" w14:textId="77777777" w:rsidR="00605785" w:rsidRDefault="00000000">
      <w:pPr>
        <w:widowControl w:val="0"/>
        <w:snapToGrid w:val="0"/>
        <w:ind w:firstLineChars="0" w:firstLine="0"/>
        <w:jc w:val="left"/>
        <w:rPr>
          <w:b/>
          <w:bCs/>
          <w:snapToGrid w:val="0"/>
          <w:kern w:val="2"/>
          <w:sz w:val="44"/>
          <w:szCs w:val="44"/>
          <w:shd w:val="clear" w:color="auto" w:fill="FFFFFF"/>
        </w:rPr>
      </w:pPr>
      <w:r>
        <w:rPr>
          <w:b/>
          <w:bCs/>
          <w:snapToGrid w:val="0"/>
          <w:kern w:val="2"/>
          <w:sz w:val="44"/>
          <w:szCs w:val="44"/>
          <w:shd w:val="clear" w:color="auto" w:fill="FFFFFF"/>
        </w:rPr>
        <w:t>Construction and Application of Maintenance Intervention Program for Autologous Arteriovenous Fistula in Elderly Hemodialysis Patients Based on IFSMT Theory</w:t>
      </w:r>
    </w:p>
    <w:p w14:paraId="7B227F08" w14:textId="77777777" w:rsidR="00605785" w:rsidRDefault="00000000">
      <w:pPr>
        <w:widowControl w:val="0"/>
        <w:snapToGrid w:val="0"/>
        <w:ind w:firstLineChars="0" w:firstLine="0"/>
        <w:rPr>
          <w:b/>
          <w:bCs/>
          <w:snapToGrid w:val="0"/>
          <w:kern w:val="2"/>
          <w:shd w:val="clear" w:color="auto" w:fill="FFFFFF"/>
        </w:rPr>
      </w:pPr>
      <w:r>
        <w:rPr>
          <w:b/>
          <w:bCs/>
          <w:snapToGrid w:val="0"/>
          <w:kern w:val="2"/>
          <w:shd w:val="clear" w:color="auto" w:fill="FFFFFF"/>
        </w:rPr>
        <w:t>Ran</w:t>
      </w:r>
      <w:r>
        <w:rPr>
          <w:rFonts w:hint="eastAsia"/>
          <w:b/>
          <w:bCs/>
          <w:snapToGrid w:val="0"/>
          <w:kern w:val="2"/>
          <w:shd w:val="clear" w:color="auto" w:fill="FFFFFF"/>
        </w:rPr>
        <w:t xml:space="preserve"> </w:t>
      </w:r>
      <w:r>
        <w:rPr>
          <w:b/>
          <w:bCs/>
          <w:snapToGrid w:val="0"/>
          <w:kern w:val="2"/>
          <w:shd w:val="clear" w:color="auto" w:fill="FFFFFF"/>
        </w:rPr>
        <w:t>Hao</w:t>
      </w:r>
      <w:r>
        <w:rPr>
          <w:b/>
          <w:bCs/>
          <w:snapToGrid w:val="0"/>
          <w:kern w:val="2"/>
          <w:shd w:val="clear" w:color="auto" w:fill="FFFFFF"/>
          <w:vertAlign w:val="superscript"/>
        </w:rPr>
        <w:t>1</w:t>
      </w:r>
      <w:r>
        <w:rPr>
          <w:b/>
          <w:bCs/>
          <w:snapToGrid w:val="0"/>
          <w:kern w:val="2"/>
          <w:shd w:val="clear" w:color="auto" w:fill="FFFFFF"/>
        </w:rPr>
        <w:t>, Yufei</w:t>
      </w:r>
      <w:r>
        <w:rPr>
          <w:rFonts w:hint="eastAsia"/>
          <w:b/>
          <w:bCs/>
          <w:snapToGrid w:val="0"/>
          <w:kern w:val="2"/>
          <w:shd w:val="clear" w:color="auto" w:fill="FFFFFF"/>
        </w:rPr>
        <w:t xml:space="preserve"> </w:t>
      </w:r>
      <w:r>
        <w:rPr>
          <w:b/>
          <w:bCs/>
          <w:snapToGrid w:val="0"/>
          <w:kern w:val="2"/>
          <w:shd w:val="clear" w:color="auto" w:fill="FFFFFF"/>
        </w:rPr>
        <w:t>Zhao</w:t>
      </w:r>
      <w:r>
        <w:rPr>
          <w:b/>
          <w:bCs/>
          <w:snapToGrid w:val="0"/>
          <w:kern w:val="2"/>
          <w:shd w:val="clear" w:color="auto" w:fill="FFFFFF"/>
          <w:vertAlign w:val="superscript"/>
        </w:rPr>
        <w:t>1</w:t>
      </w:r>
      <w:r>
        <w:rPr>
          <w:b/>
          <w:bCs/>
          <w:snapToGrid w:val="0"/>
          <w:kern w:val="2"/>
          <w:shd w:val="clear" w:color="auto" w:fill="FFFFFF"/>
        </w:rPr>
        <w:t xml:space="preserve">, </w:t>
      </w:r>
      <w:proofErr w:type="spellStart"/>
      <w:r>
        <w:rPr>
          <w:b/>
          <w:bCs/>
          <w:snapToGrid w:val="0"/>
          <w:kern w:val="2"/>
          <w:shd w:val="clear" w:color="auto" w:fill="FFFFFF"/>
        </w:rPr>
        <w:t>Meimei</w:t>
      </w:r>
      <w:proofErr w:type="spellEnd"/>
      <w:r>
        <w:rPr>
          <w:rFonts w:hint="eastAsia"/>
          <w:b/>
          <w:bCs/>
          <w:snapToGrid w:val="0"/>
          <w:kern w:val="2"/>
          <w:shd w:val="clear" w:color="auto" w:fill="FFFFFF"/>
        </w:rPr>
        <w:t xml:space="preserve"> </w:t>
      </w:r>
      <w:r>
        <w:rPr>
          <w:b/>
          <w:bCs/>
          <w:snapToGrid w:val="0"/>
          <w:kern w:val="2"/>
          <w:shd w:val="clear" w:color="auto" w:fill="FFFFFF"/>
        </w:rPr>
        <w:t>Rong</w:t>
      </w:r>
      <w:r>
        <w:rPr>
          <w:b/>
          <w:bCs/>
          <w:snapToGrid w:val="0"/>
          <w:kern w:val="2"/>
          <w:shd w:val="clear" w:color="auto" w:fill="FFFFFF"/>
          <w:vertAlign w:val="superscript"/>
        </w:rPr>
        <w:t>1</w:t>
      </w:r>
      <w:r>
        <w:rPr>
          <w:b/>
          <w:bCs/>
          <w:snapToGrid w:val="0"/>
          <w:kern w:val="2"/>
          <w:shd w:val="clear" w:color="auto" w:fill="FFFFFF"/>
        </w:rPr>
        <w:t>, Wenxiu</w:t>
      </w:r>
      <w:r>
        <w:rPr>
          <w:rFonts w:hint="eastAsia"/>
          <w:b/>
          <w:bCs/>
          <w:snapToGrid w:val="0"/>
          <w:kern w:val="2"/>
          <w:shd w:val="clear" w:color="auto" w:fill="FFFFFF"/>
        </w:rPr>
        <w:t xml:space="preserve"> </w:t>
      </w:r>
      <w:r>
        <w:rPr>
          <w:b/>
          <w:bCs/>
          <w:snapToGrid w:val="0"/>
          <w:kern w:val="2"/>
          <w:shd w:val="clear" w:color="auto" w:fill="FFFFFF"/>
        </w:rPr>
        <w:t>Liu</w:t>
      </w:r>
      <w:r>
        <w:rPr>
          <w:b/>
          <w:bCs/>
          <w:snapToGrid w:val="0"/>
          <w:kern w:val="2"/>
          <w:shd w:val="clear" w:color="auto" w:fill="FFFFFF"/>
          <w:vertAlign w:val="superscript"/>
        </w:rPr>
        <w:t>2</w:t>
      </w:r>
      <w:r>
        <w:rPr>
          <w:b/>
          <w:bCs/>
          <w:snapToGrid w:val="0"/>
          <w:kern w:val="2"/>
          <w:shd w:val="clear" w:color="auto" w:fill="FFFFFF"/>
        </w:rPr>
        <w:t xml:space="preserve">, </w:t>
      </w:r>
      <w:proofErr w:type="spellStart"/>
      <w:r>
        <w:rPr>
          <w:b/>
          <w:bCs/>
          <w:snapToGrid w:val="0"/>
          <w:kern w:val="2"/>
          <w:shd w:val="clear" w:color="auto" w:fill="FFFFFF"/>
        </w:rPr>
        <w:t>Meijie</w:t>
      </w:r>
      <w:proofErr w:type="spellEnd"/>
      <w:r>
        <w:rPr>
          <w:rFonts w:hint="eastAsia"/>
          <w:b/>
          <w:bCs/>
          <w:snapToGrid w:val="0"/>
          <w:kern w:val="2"/>
          <w:shd w:val="clear" w:color="auto" w:fill="FFFFFF"/>
        </w:rPr>
        <w:t xml:space="preserve"> </w:t>
      </w:r>
      <w:r>
        <w:rPr>
          <w:b/>
          <w:bCs/>
          <w:snapToGrid w:val="0"/>
          <w:kern w:val="2"/>
          <w:shd w:val="clear" w:color="auto" w:fill="FFFFFF"/>
        </w:rPr>
        <w:t>Zheng</w:t>
      </w:r>
      <w:r>
        <w:rPr>
          <w:b/>
          <w:bCs/>
          <w:snapToGrid w:val="0"/>
          <w:kern w:val="2"/>
          <w:shd w:val="clear" w:color="auto" w:fill="FFFFFF"/>
          <w:vertAlign w:val="superscript"/>
        </w:rPr>
        <w:t>2</w:t>
      </w:r>
      <w:r>
        <w:rPr>
          <w:b/>
          <w:bCs/>
          <w:snapToGrid w:val="0"/>
          <w:kern w:val="2"/>
          <w:shd w:val="clear" w:color="auto" w:fill="FFFFFF"/>
        </w:rPr>
        <w:t>, Ziyu</w:t>
      </w:r>
      <w:r>
        <w:rPr>
          <w:rFonts w:hint="eastAsia"/>
          <w:b/>
          <w:bCs/>
          <w:snapToGrid w:val="0"/>
          <w:kern w:val="2"/>
          <w:shd w:val="clear" w:color="auto" w:fill="FFFFFF"/>
        </w:rPr>
        <w:t xml:space="preserve"> </w:t>
      </w:r>
      <w:r>
        <w:rPr>
          <w:b/>
          <w:bCs/>
          <w:snapToGrid w:val="0"/>
          <w:kern w:val="2"/>
          <w:shd w:val="clear" w:color="auto" w:fill="FFFFFF"/>
        </w:rPr>
        <w:t>Gui</w:t>
      </w:r>
      <w:r>
        <w:rPr>
          <w:b/>
          <w:bCs/>
          <w:snapToGrid w:val="0"/>
          <w:kern w:val="2"/>
          <w:shd w:val="clear" w:color="auto" w:fill="FFFFFF"/>
          <w:vertAlign w:val="superscript"/>
        </w:rPr>
        <w:t>1</w:t>
      </w:r>
      <w:r>
        <w:rPr>
          <w:b/>
          <w:bCs/>
          <w:snapToGrid w:val="0"/>
          <w:kern w:val="2"/>
          <w:shd w:val="clear" w:color="auto" w:fill="FFFFFF"/>
        </w:rPr>
        <w:t>, Zihan</w:t>
      </w:r>
      <w:r>
        <w:rPr>
          <w:rFonts w:hint="eastAsia"/>
          <w:b/>
          <w:bCs/>
          <w:snapToGrid w:val="0"/>
          <w:kern w:val="2"/>
          <w:shd w:val="clear" w:color="auto" w:fill="FFFFFF"/>
        </w:rPr>
        <w:t xml:space="preserve"> </w:t>
      </w:r>
      <w:r>
        <w:rPr>
          <w:b/>
          <w:bCs/>
          <w:snapToGrid w:val="0"/>
          <w:kern w:val="2"/>
          <w:shd w:val="clear" w:color="auto" w:fill="FFFFFF"/>
        </w:rPr>
        <w:t>Hao</w:t>
      </w:r>
      <w:r>
        <w:rPr>
          <w:b/>
          <w:bCs/>
          <w:snapToGrid w:val="0"/>
          <w:kern w:val="2"/>
          <w:shd w:val="clear" w:color="auto" w:fill="FFFFFF"/>
          <w:vertAlign w:val="superscript"/>
        </w:rPr>
        <w:t>1</w:t>
      </w:r>
      <w:r>
        <w:rPr>
          <w:b/>
          <w:bCs/>
          <w:snapToGrid w:val="0"/>
          <w:kern w:val="2"/>
          <w:shd w:val="clear" w:color="auto" w:fill="FFFFFF"/>
        </w:rPr>
        <w:t>, Xian</w:t>
      </w:r>
      <w:r>
        <w:rPr>
          <w:rFonts w:hint="eastAsia"/>
          <w:b/>
          <w:bCs/>
          <w:snapToGrid w:val="0"/>
          <w:kern w:val="2"/>
          <w:shd w:val="clear" w:color="auto" w:fill="FFFFFF"/>
        </w:rPr>
        <w:t xml:space="preserve"> </w:t>
      </w:r>
      <w:r>
        <w:rPr>
          <w:b/>
          <w:bCs/>
          <w:snapToGrid w:val="0"/>
          <w:kern w:val="2"/>
          <w:shd w:val="clear" w:color="auto" w:fill="FFFFFF"/>
        </w:rPr>
        <w:t>Li</w:t>
      </w:r>
      <w:r>
        <w:rPr>
          <w:b/>
          <w:bCs/>
          <w:snapToGrid w:val="0"/>
          <w:kern w:val="2"/>
          <w:shd w:val="clear" w:color="auto" w:fill="FFFFFF"/>
          <w:vertAlign w:val="superscript"/>
        </w:rPr>
        <w:t>3</w:t>
      </w:r>
      <w:r>
        <w:rPr>
          <w:b/>
          <w:bCs/>
          <w:snapToGrid w:val="0"/>
          <w:kern w:val="2"/>
          <w:shd w:val="clear" w:color="auto" w:fill="FFFFFF"/>
        </w:rPr>
        <w:t xml:space="preserve"> </w:t>
      </w:r>
    </w:p>
    <w:p w14:paraId="75705CD9" w14:textId="77777777" w:rsidR="00605785" w:rsidRDefault="00000000">
      <w:pPr>
        <w:widowControl w:val="0"/>
        <w:snapToGrid w:val="0"/>
        <w:ind w:firstLineChars="0" w:firstLine="0"/>
        <w:rPr>
          <w:snapToGrid w:val="0"/>
          <w:kern w:val="2"/>
          <w:shd w:val="clear" w:color="auto" w:fill="FFFFFF"/>
        </w:rPr>
      </w:pPr>
      <w:r>
        <w:rPr>
          <w:snapToGrid w:val="0"/>
          <w:kern w:val="2"/>
          <w:shd w:val="clear" w:color="auto" w:fill="FFFFFF"/>
          <w:vertAlign w:val="superscript"/>
        </w:rPr>
        <w:t>1</w:t>
      </w:r>
      <w:r>
        <w:rPr>
          <w:rFonts w:hint="eastAsia"/>
          <w:snapToGrid w:val="0"/>
          <w:kern w:val="2"/>
          <w:shd w:val="clear" w:color="auto" w:fill="FFFFFF"/>
        </w:rPr>
        <w:t>College</w:t>
      </w:r>
      <w:r>
        <w:rPr>
          <w:snapToGrid w:val="0"/>
          <w:kern w:val="2"/>
          <w:shd w:val="clear" w:color="auto" w:fill="FFFFFF"/>
        </w:rPr>
        <w:t xml:space="preserve"> of Nursing and Rehabilitation, North China University of Science and Technology, Tangshan</w:t>
      </w:r>
      <w:r>
        <w:rPr>
          <w:rFonts w:hint="eastAsia"/>
          <w:snapToGrid w:val="0"/>
          <w:kern w:val="2"/>
          <w:shd w:val="clear" w:color="auto" w:fill="FFFFFF"/>
        </w:rPr>
        <w:t xml:space="preserve"> </w:t>
      </w:r>
      <w:r>
        <w:rPr>
          <w:snapToGrid w:val="0"/>
          <w:kern w:val="2"/>
          <w:shd w:val="clear" w:color="auto" w:fill="FFFFFF"/>
        </w:rPr>
        <w:t xml:space="preserve">063210, Hebei, China </w:t>
      </w:r>
    </w:p>
    <w:p w14:paraId="72A6F647" w14:textId="0CABAC3D" w:rsidR="00605785" w:rsidRDefault="00000000">
      <w:pPr>
        <w:widowControl w:val="0"/>
        <w:snapToGrid w:val="0"/>
        <w:ind w:firstLineChars="0" w:firstLine="0"/>
        <w:rPr>
          <w:snapToGrid w:val="0"/>
          <w:kern w:val="2"/>
          <w:shd w:val="clear" w:color="auto" w:fill="FFFFFF"/>
        </w:rPr>
      </w:pPr>
      <w:r>
        <w:rPr>
          <w:snapToGrid w:val="0"/>
          <w:kern w:val="2"/>
          <w:shd w:val="clear" w:color="auto" w:fill="FFFFFF"/>
          <w:vertAlign w:val="superscript"/>
        </w:rPr>
        <w:t>2</w:t>
      </w:r>
      <w:r>
        <w:rPr>
          <w:snapToGrid w:val="0"/>
          <w:kern w:val="2"/>
          <w:shd w:val="clear" w:color="auto" w:fill="FFFFFF"/>
        </w:rPr>
        <w:t>Nursing Department, Hebei General Hospital, Shijiazhuang</w:t>
      </w:r>
      <w:r>
        <w:rPr>
          <w:rFonts w:hint="eastAsia"/>
          <w:snapToGrid w:val="0"/>
          <w:kern w:val="2"/>
          <w:shd w:val="clear" w:color="auto" w:fill="FFFFFF"/>
        </w:rPr>
        <w:t xml:space="preserve"> </w:t>
      </w:r>
      <w:r>
        <w:rPr>
          <w:snapToGrid w:val="0"/>
          <w:kern w:val="2"/>
          <w:shd w:val="clear" w:color="auto" w:fill="FFFFFF"/>
        </w:rPr>
        <w:t xml:space="preserve">050000, Hebei, China </w:t>
      </w:r>
    </w:p>
    <w:p w14:paraId="0A42EEF8" w14:textId="77777777" w:rsidR="00605785" w:rsidRDefault="00000000">
      <w:pPr>
        <w:widowControl w:val="0"/>
        <w:snapToGrid w:val="0"/>
        <w:ind w:firstLineChars="0" w:firstLine="0"/>
        <w:rPr>
          <w:snapToGrid w:val="0"/>
          <w:kern w:val="2"/>
          <w:shd w:val="clear" w:color="auto" w:fill="FFFFFF"/>
        </w:rPr>
      </w:pPr>
      <w:r>
        <w:rPr>
          <w:snapToGrid w:val="0"/>
          <w:kern w:val="2"/>
          <w:shd w:val="clear" w:color="auto" w:fill="FFFFFF"/>
          <w:vertAlign w:val="superscript"/>
        </w:rPr>
        <w:t>3</w:t>
      </w:r>
      <w:r>
        <w:rPr>
          <w:snapToGrid w:val="0"/>
          <w:kern w:val="2"/>
          <w:shd w:val="clear" w:color="auto" w:fill="FFFFFF"/>
        </w:rPr>
        <w:t>Department of Nursing and Medical Development, Hebei General Hospital, Shijiazhuang</w:t>
      </w:r>
      <w:r>
        <w:rPr>
          <w:rFonts w:hint="eastAsia"/>
          <w:snapToGrid w:val="0"/>
          <w:kern w:val="2"/>
          <w:shd w:val="clear" w:color="auto" w:fill="FFFFFF"/>
        </w:rPr>
        <w:t xml:space="preserve"> </w:t>
      </w:r>
      <w:r>
        <w:rPr>
          <w:snapToGrid w:val="0"/>
          <w:kern w:val="2"/>
          <w:shd w:val="clear" w:color="auto" w:fill="FFFFFF"/>
        </w:rPr>
        <w:t xml:space="preserve">050000, Hebei, China </w:t>
      </w:r>
    </w:p>
    <w:p w14:paraId="44D6463B" w14:textId="77777777" w:rsidR="00605785" w:rsidRDefault="00000000">
      <w:pPr>
        <w:widowControl w:val="0"/>
        <w:snapToGrid w:val="0"/>
        <w:ind w:firstLineChars="0" w:firstLine="0"/>
        <w:rPr>
          <w:snapToGrid w:val="0"/>
          <w:kern w:val="2"/>
          <w:shd w:val="clear" w:color="auto" w:fill="FFFFFF"/>
        </w:rPr>
      </w:pPr>
      <w:r>
        <w:rPr>
          <w:rFonts w:hint="eastAsia"/>
          <w:b/>
          <w:bCs/>
          <w:snapToGrid w:val="0"/>
          <w:kern w:val="2"/>
          <w:shd w:val="clear" w:color="auto" w:fill="FFFFFF"/>
        </w:rPr>
        <w:t>*</w:t>
      </w:r>
      <w:r>
        <w:rPr>
          <w:b/>
          <w:bCs/>
          <w:i/>
          <w:iCs/>
          <w:snapToGrid w:val="0"/>
          <w:kern w:val="2"/>
          <w:shd w:val="clear" w:color="auto" w:fill="FFFFFF"/>
        </w:rPr>
        <w:t>Corresponding author</w:t>
      </w:r>
      <w:r>
        <w:rPr>
          <w:snapToGrid w:val="0"/>
          <w:kern w:val="2"/>
          <w:shd w:val="clear" w:color="auto" w:fill="FFFFFF"/>
        </w:rPr>
        <w:t>: Xian</w:t>
      </w:r>
      <w:r>
        <w:rPr>
          <w:rFonts w:hint="eastAsia"/>
          <w:snapToGrid w:val="0"/>
          <w:kern w:val="2"/>
          <w:shd w:val="clear" w:color="auto" w:fill="FFFFFF"/>
        </w:rPr>
        <w:t xml:space="preserve"> </w:t>
      </w:r>
      <w:r>
        <w:rPr>
          <w:snapToGrid w:val="0"/>
          <w:kern w:val="2"/>
          <w:shd w:val="clear" w:color="auto" w:fill="FFFFFF"/>
        </w:rPr>
        <w:t>Li</w:t>
      </w:r>
      <w:r>
        <w:rPr>
          <w:rFonts w:hint="eastAsia"/>
          <w:snapToGrid w:val="0"/>
          <w:kern w:val="2"/>
          <w:shd w:val="clear" w:color="auto" w:fill="FFFFFF"/>
        </w:rPr>
        <w:t>,</w:t>
      </w:r>
      <w:r>
        <w:rPr>
          <w:snapToGrid w:val="0"/>
          <w:kern w:val="2"/>
          <w:shd w:val="clear" w:color="auto" w:fill="FFFFFF"/>
        </w:rPr>
        <w:t xml:space="preserve"> lixian1966@126.com</w:t>
      </w:r>
    </w:p>
    <w:p w14:paraId="6B5130BB" w14:textId="77777777" w:rsidR="00605785" w:rsidRDefault="00605785">
      <w:pPr>
        <w:widowControl w:val="0"/>
        <w:snapToGrid w:val="0"/>
        <w:ind w:firstLineChars="0" w:firstLine="0"/>
        <w:rPr>
          <w:b/>
          <w:bCs/>
          <w:snapToGrid w:val="0"/>
          <w:kern w:val="2"/>
          <w:shd w:val="clear" w:color="auto" w:fill="FFFFFF"/>
        </w:rPr>
      </w:pPr>
    </w:p>
    <w:p w14:paraId="1AE06520" w14:textId="77777777" w:rsidR="00A02ED1" w:rsidRPr="00A02ED1" w:rsidRDefault="00A02ED1" w:rsidP="00A02ED1">
      <w:pPr>
        <w:widowControl w:val="0"/>
        <w:snapToGrid w:val="0"/>
        <w:ind w:firstLineChars="0" w:firstLine="0"/>
        <w:rPr>
          <w:snapToGrid w:val="0"/>
          <w:kern w:val="2"/>
          <w:sz w:val="20"/>
          <w:szCs w:val="20"/>
          <w:shd w:val="clear" w:color="auto" w:fill="FFFFFF"/>
        </w:rPr>
      </w:pPr>
      <w:r w:rsidRPr="00A02ED1">
        <w:rPr>
          <w:b/>
          <w:bCs/>
          <w:snapToGrid w:val="0"/>
          <w:kern w:val="2"/>
          <w:sz w:val="20"/>
          <w:szCs w:val="20"/>
          <w:shd w:val="clear" w:color="auto" w:fill="FFFFFF"/>
        </w:rPr>
        <w:t xml:space="preserve">Copyright: </w:t>
      </w:r>
      <w:r w:rsidRPr="00A02ED1">
        <w:rPr>
          <w:snapToGrid w:val="0"/>
          <w:kern w:val="2"/>
          <w:sz w:val="20"/>
          <w:szCs w:val="20"/>
          <w:shd w:val="clear" w:color="auto" w:fill="FFFFFF"/>
        </w:rPr>
        <w:t>© 2026 Author(s). This is an open-access article distributed under the terms of the Creative Commons Attribution License (CC BY 4.0), permitting distribution and reproduction in any medium, provided the original work is cited.</w:t>
      </w:r>
    </w:p>
    <w:p w14:paraId="22918288" w14:textId="77777777" w:rsidR="00F6231A" w:rsidRDefault="00F6231A">
      <w:pPr>
        <w:widowControl w:val="0"/>
        <w:snapToGrid w:val="0"/>
        <w:ind w:firstLineChars="0" w:firstLine="0"/>
        <w:rPr>
          <w:b/>
          <w:bCs/>
          <w:snapToGrid w:val="0"/>
          <w:kern w:val="2"/>
          <w:shd w:val="clear" w:color="auto" w:fill="FFFFFF"/>
        </w:rPr>
      </w:pPr>
    </w:p>
    <w:p w14:paraId="24C753F8" w14:textId="6446E356" w:rsidR="00605785" w:rsidRDefault="00000000">
      <w:pPr>
        <w:widowControl w:val="0"/>
        <w:snapToGrid w:val="0"/>
        <w:ind w:firstLineChars="0" w:firstLine="0"/>
        <w:rPr>
          <w:snapToGrid w:val="0"/>
          <w:kern w:val="2"/>
          <w:shd w:val="clear" w:color="auto" w:fill="FFFFFF"/>
        </w:rPr>
      </w:pPr>
      <w:r>
        <w:rPr>
          <w:b/>
          <w:bCs/>
          <w:snapToGrid w:val="0"/>
          <w:kern w:val="2"/>
          <w:shd w:val="clear" w:color="auto" w:fill="FFFFFF"/>
        </w:rPr>
        <w:t xml:space="preserve">Abstract: </w:t>
      </w:r>
      <w:r>
        <w:rPr>
          <w:i/>
          <w:iCs/>
          <w:snapToGrid w:val="0"/>
          <w:kern w:val="2"/>
          <w:shd w:val="clear" w:color="auto" w:fill="FFFFFF"/>
        </w:rPr>
        <w:t xml:space="preserve">Objective: </w:t>
      </w:r>
      <w:r>
        <w:rPr>
          <w:snapToGrid w:val="0"/>
          <w:kern w:val="2"/>
          <w:shd w:val="clear" w:color="auto" w:fill="FFFFFF"/>
        </w:rPr>
        <w:t xml:space="preserve">To analyze contextual factors influencing self-management of arteriovenous fistulas (AVFs) among elderly patients on maintenance hemodialysis based on the Individual and Family Self-Management Theory (IFSMT), to develop an intervention model centered on patient-family-healthcare collaboration for AVF maintenance, and to evaluate its effectiveness. </w:t>
      </w:r>
      <w:r>
        <w:rPr>
          <w:i/>
          <w:iCs/>
          <w:snapToGrid w:val="0"/>
          <w:kern w:val="2"/>
          <w:shd w:val="clear" w:color="auto" w:fill="FFFFFF"/>
        </w:rPr>
        <w:t>Methods:</w:t>
      </w:r>
      <w:r>
        <w:rPr>
          <w:snapToGrid w:val="0"/>
          <w:kern w:val="2"/>
          <w:shd w:val="clear" w:color="auto" w:fill="FFFFFF"/>
        </w:rPr>
        <w:t xml:space="preserve"> This study consisted of two phases. The first phase was a cross-sectional survey involving 165 participants, with 157 valid questionnaires collected to identify contextual factors affecting AVF self-management in elderly maintenance hemodialysis (MHD) patients. The second phase was a randomized controlled trial designed to assess the effectiveness of the intervention model developed based on IFSMT. Elderly AVF patients admitted to the hemodialysis unit of a tertiary hospital in Hebei Province between September 2025 and March 2026 were randomly assigned to either a control group or an intervention group using a random number table, with 63 patients in each group; ultimately, 60 patients completed follow-up in each group. The control group received standard care, while the intervention group received the IFSMT-based intervention in addition to standard care over a three-month period. </w:t>
      </w:r>
      <w:r>
        <w:rPr>
          <w:i/>
          <w:iCs/>
          <w:snapToGrid w:val="0"/>
          <w:kern w:val="2"/>
          <w:shd w:val="clear" w:color="auto" w:fill="FFFFFF"/>
        </w:rPr>
        <w:t xml:space="preserve">Results: </w:t>
      </w:r>
      <w:r>
        <w:rPr>
          <w:snapToGrid w:val="0"/>
          <w:kern w:val="2"/>
          <w:shd w:val="clear" w:color="auto" w:fill="FFFFFF"/>
        </w:rPr>
        <w:t>The mean self-management score for elderly AVF patients was 45.662 ± 7.701, indicating a moderate overall level. Factors including dialysis duration, daily care, daily AVF exercise, daily AVF self-checking, history of AVF failure or complications, anxiety, depression, general self-efficacy, and family support were identified as significant contextual factors influencing AVF self-management. After the intervention, the incidence of AVF abnormalities and failure was significantly lower in the intervention group compared to the control group (</w:t>
      </w:r>
      <w:r w:rsidR="00F6231A" w:rsidRPr="00F6231A">
        <w:rPr>
          <w:i/>
          <w:iCs/>
          <w:snapToGrid w:val="0"/>
          <w:kern w:val="2"/>
          <w:shd w:val="clear" w:color="auto" w:fill="FFFFFF"/>
        </w:rPr>
        <w:t>p</w:t>
      </w:r>
      <w:r>
        <w:rPr>
          <w:snapToGrid w:val="0"/>
          <w:kern w:val="2"/>
          <w:shd w:val="clear" w:color="auto" w:fill="FFFFFF"/>
        </w:rPr>
        <w:t xml:space="preserve"> &lt; 0.05). The total scores and subscale scores of the AVF self-management scale were higher in the intervention group than in the control group (</w:t>
      </w:r>
      <w:r w:rsidR="00F6231A" w:rsidRPr="00F6231A">
        <w:rPr>
          <w:i/>
          <w:iCs/>
          <w:snapToGrid w:val="0"/>
          <w:kern w:val="2"/>
          <w:shd w:val="clear" w:color="auto" w:fill="FFFFFF"/>
        </w:rPr>
        <w:t>p</w:t>
      </w:r>
      <w:r>
        <w:rPr>
          <w:snapToGrid w:val="0"/>
          <w:kern w:val="2"/>
          <w:shd w:val="clear" w:color="auto" w:fill="FFFFFF"/>
        </w:rPr>
        <w:t xml:space="preserve"> &lt; 0.05). The self-efficacy scores and family support index scores were also significantly higher in the intervention group (</w:t>
      </w:r>
      <w:r w:rsidR="00F6231A">
        <w:rPr>
          <w:i/>
          <w:iCs/>
          <w:snapToGrid w:val="0"/>
          <w:kern w:val="2"/>
          <w:shd w:val="clear" w:color="auto" w:fill="FFFFFF"/>
        </w:rPr>
        <w:t>p</w:t>
      </w:r>
      <w:r>
        <w:rPr>
          <w:snapToGrid w:val="0"/>
          <w:kern w:val="2"/>
          <w:shd w:val="clear" w:color="auto" w:fill="FFFFFF"/>
        </w:rPr>
        <w:t xml:space="preserve"> &lt; 0.05). Additionally, quality-of-life scores were higher in the intervention group (</w:t>
      </w:r>
      <w:r w:rsidR="00F6231A">
        <w:rPr>
          <w:i/>
          <w:iCs/>
          <w:snapToGrid w:val="0"/>
          <w:kern w:val="2"/>
          <w:shd w:val="clear" w:color="auto" w:fill="FFFFFF"/>
        </w:rPr>
        <w:t>p</w:t>
      </w:r>
      <w:r>
        <w:rPr>
          <w:snapToGrid w:val="0"/>
          <w:kern w:val="2"/>
          <w:shd w:val="clear" w:color="auto" w:fill="FFFFFF"/>
        </w:rPr>
        <w:t xml:space="preserve"> &lt; 0.05). </w:t>
      </w:r>
      <w:r>
        <w:rPr>
          <w:i/>
          <w:iCs/>
          <w:snapToGrid w:val="0"/>
          <w:kern w:val="2"/>
          <w:shd w:val="clear" w:color="auto" w:fill="FFFFFF"/>
        </w:rPr>
        <w:t>Conclusion:</w:t>
      </w:r>
      <w:r>
        <w:rPr>
          <w:snapToGrid w:val="0"/>
          <w:kern w:val="2"/>
          <w:shd w:val="clear" w:color="auto" w:fill="FFFFFF"/>
        </w:rPr>
        <w:t xml:space="preserve"> The self-management program based on IFSMT can improve AVF maintenance outcomes, reduce the occurrence of AVF complications and failure rates, enhance patients’ self-management capacity and general self-efficacy, and improve family support and quality of life.</w:t>
      </w:r>
    </w:p>
    <w:p w14:paraId="0DED2970" w14:textId="0896B92C" w:rsidR="00605785" w:rsidRDefault="00000000">
      <w:pPr>
        <w:widowControl w:val="0"/>
        <w:snapToGrid w:val="0"/>
        <w:ind w:firstLineChars="0" w:firstLine="0"/>
        <w:rPr>
          <w:snapToGrid w:val="0"/>
          <w:kern w:val="2"/>
        </w:rPr>
      </w:pPr>
      <w:r>
        <w:rPr>
          <w:b/>
          <w:bCs/>
          <w:snapToGrid w:val="0"/>
          <w:kern w:val="2"/>
        </w:rPr>
        <w:t>Keywords:</w:t>
      </w:r>
      <w:r>
        <w:rPr>
          <w:snapToGrid w:val="0"/>
          <w:kern w:val="2"/>
        </w:rPr>
        <w:t xml:space="preserve"> Individual and </w:t>
      </w:r>
      <w:r w:rsidR="00F6231A">
        <w:rPr>
          <w:snapToGrid w:val="0"/>
          <w:kern w:val="2"/>
        </w:rPr>
        <w:t>family self-management theory</w:t>
      </w:r>
      <w:r>
        <w:rPr>
          <w:snapToGrid w:val="0"/>
          <w:kern w:val="2"/>
        </w:rPr>
        <w:t xml:space="preserve">; Elderly </w:t>
      </w:r>
      <w:r w:rsidR="00F6231A">
        <w:rPr>
          <w:snapToGrid w:val="0"/>
          <w:kern w:val="2"/>
        </w:rPr>
        <w:t>h</w:t>
      </w:r>
      <w:r>
        <w:rPr>
          <w:snapToGrid w:val="0"/>
          <w:kern w:val="2"/>
        </w:rPr>
        <w:t xml:space="preserve">emodialysis; Fistula </w:t>
      </w:r>
      <w:r w:rsidR="00F6231A">
        <w:rPr>
          <w:snapToGrid w:val="0"/>
          <w:kern w:val="2"/>
        </w:rPr>
        <w:t>m</w:t>
      </w:r>
      <w:r>
        <w:rPr>
          <w:snapToGrid w:val="0"/>
          <w:kern w:val="2"/>
        </w:rPr>
        <w:t>aintenance; Self-</w:t>
      </w:r>
      <w:r w:rsidR="00F6231A">
        <w:rPr>
          <w:snapToGrid w:val="0"/>
          <w:kern w:val="2"/>
        </w:rPr>
        <w:t>m</w:t>
      </w:r>
      <w:r>
        <w:rPr>
          <w:snapToGrid w:val="0"/>
          <w:kern w:val="2"/>
        </w:rPr>
        <w:t xml:space="preserve">anagement; Family </w:t>
      </w:r>
      <w:r w:rsidR="00F6231A">
        <w:rPr>
          <w:snapToGrid w:val="0"/>
          <w:kern w:val="2"/>
        </w:rPr>
        <w:t>care level</w:t>
      </w:r>
    </w:p>
    <w:p w14:paraId="5E5B6715" w14:textId="77777777" w:rsidR="00605785" w:rsidRDefault="00605785">
      <w:pPr>
        <w:widowControl w:val="0"/>
        <w:snapToGrid w:val="0"/>
        <w:ind w:firstLineChars="0" w:firstLine="0"/>
        <w:rPr>
          <w:snapToGrid w:val="0"/>
          <w:kern w:val="2"/>
        </w:rPr>
      </w:pPr>
    </w:p>
    <w:p w14:paraId="738E6FB6" w14:textId="39D95FA5" w:rsidR="00605785" w:rsidRPr="00F6231A" w:rsidRDefault="00F6231A">
      <w:pPr>
        <w:widowControl w:val="0"/>
        <w:snapToGrid w:val="0"/>
        <w:ind w:firstLineChars="0" w:firstLine="0"/>
        <w:rPr>
          <w:b/>
          <w:bCs/>
          <w:snapToGrid w:val="0"/>
          <w:kern w:val="2"/>
        </w:rPr>
      </w:pPr>
      <w:r w:rsidRPr="00F6231A">
        <w:rPr>
          <w:b/>
          <w:bCs/>
          <w:snapToGrid w:val="0"/>
          <w:kern w:val="2"/>
        </w:rPr>
        <w:t>Online publication:</w:t>
      </w:r>
    </w:p>
    <w:p w14:paraId="53ED62C4" w14:textId="77777777" w:rsidR="00F6231A" w:rsidRDefault="00F6231A">
      <w:pPr>
        <w:widowControl w:val="0"/>
        <w:snapToGrid w:val="0"/>
        <w:ind w:firstLineChars="0" w:firstLine="0"/>
        <w:rPr>
          <w:snapToGrid w:val="0"/>
          <w:kern w:val="2"/>
        </w:rPr>
      </w:pPr>
    </w:p>
    <w:p w14:paraId="3A608637" w14:textId="77777777" w:rsidR="00605785" w:rsidRDefault="00000000">
      <w:pPr>
        <w:widowControl w:val="0"/>
        <w:snapToGrid w:val="0"/>
        <w:ind w:firstLineChars="0" w:firstLine="0"/>
        <w:rPr>
          <w:b/>
          <w:bCs/>
          <w:snapToGrid w:val="0"/>
          <w:kern w:val="2"/>
        </w:rPr>
      </w:pPr>
      <w:r>
        <w:rPr>
          <w:b/>
          <w:bCs/>
          <w:snapToGrid w:val="0"/>
          <w:kern w:val="2"/>
        </w:rPr>
        <w:t xml:space="preserve">1. Introduction </w:t>
      </w:r>
    </w:p>
    <w:p w14:paraId="2409B171" w14:textId="7C574D71" w:rsidR="00605785" w:rsidRPr="00A02ED1" w:rsidRDefault="00000000">
      <w:pPr>
        <w:widowControl w:val="0"/>
        <w:snapToGrid w:val="0"/>
        <w:ind w:firstLineChars="0" w:firstLine="0"/>
        <w:rPr>
          <w:snapToGrid w:val="0"/>
          <w:kern w:val="2"/>
        </w:rPr>
      </w:pPr>
      <w:r>
        <w:rPr>
          <w:snapToGrid w:val="0"/>
          <w:kern w:val="2"/>
        </w:rPr>
        <w:lastRenderedPageBreak/>
        <w:t xml:space="preserve">In recent years, the incidence of end-stage renal disease (ESRD) in China has been on the rise. According to the China National Renal Data System (CNRDS) in 2024, the number of hemodialysis patients in China has reached over 910,000 </w:t>
      </w:r>
      <w:r>
        <w:rPr>
          <w:snapToGrid w:val="0"/>
          <w:kern w:val="2"/>
          <w:vertAlign w:val="superscript"/>
        </w:rPr>
        <w:t>[1]</w:t>
      </w:r>
      <w:r>
        <w:rPr>
          <w:snapToGrid w:val="0"/>
          <w:kern w:val="2"/>
        </w:rPr>
        <w:t>. Ninety percent of ESRD patients opt for hemodialysis as their primary treatment modality, among which autogenous arteriovenous fistula (AVF) is the preferred vascular access for maintenance hemodialysis (MHD) due to its lower infection risk and longer patency duration</w:t>
      </w:r>
      <w:r>
        <w:rPr>
          <w:snapToGrid w:val="0"/>
          <w:kern w:val="2"/>
          <w:vertAlign w:val="superscript"/>
        </w:rPr>
        <w:t xml:space="preserve"> [2]</w:t>
      </w:r>
      <w:r>
        <w:rPr>
          <w:snapToGrid w:val="0"/>
          <w:kern w:val="2"/>
        </w:rPr>
        <w:t xml:space="preserve">. However, stenosis, thrombosis, infection, bleeding, and hematoma can still lead to reduced or lost function of the access </w:t>
      </w:r>
      <w:r>
        <w:rPr>
          <w:snapToGrid w:val="0"/>
          <w:kern w:val="2"/>
          <w:vertAlign w:val="superscript"/>
        </w:rPr>
        <w:t>[3]</w:t>
      </w:r>
      <w:r>
        <w:rPr>
          <w:snapToGrid w:val="0"/>
          <w:kern w:val="2"/>
        </w:rPr>
        <w:t xml:space="preserve">. Elderly patients face higher risks due to multiple comorbidities, impaired sensory and cognitive functions, and inadequate caregiving resources </w:t>
      </w:r>
      <w:r>
        <w:rPr>
          <w:snapToGrid w:val="0"/>
          <w:kern w:val="2"/>
          <w:vertAlign w:val="superscript"/>
        </w:rPr>
        <w:t>[4]</w:t>
      </w:r>
      <w:r>
        <w:rPr>
          <w:snapToGrid w:val="0"/>
          <w:kern w:val="2"/>
        </w:rPr>
        <w:t>. Guidelines recommend incorporating patient self-monitoring and daily maintenance into vascular access management to facilitate early identification of abnormalities and prolong the lifespan of AVFs</w:t>
      </w:r>
      <w:r w:rsidR="00A02ED1">
        <w:rPr>
          <w:snapToGrid w:val="0"/>
          <w:kern w:val="2"/>
        </w:rPr>
        <w:t xml:space="preserve"> </w:t>
      </w:r>
      <w:r w:rsidR="00A02ED1">
        <w:rPr>
          <w:snapToGrid w:val="0"/>
          <w:kern w:val="2"/>
          <w:vertAlign w:val="superscript"/>
        </w:rPr>
        <w:t>[5,6]</w:t>
      </w:r>
      <w:r w:rsidR="00A02ED1">
        <w:rPr>
          <w:snapToGrid w:val="0"/>
          <w:kern w:val="2"/>
        </w:rPr>
        <w:t>.</w:t>
      </w:r>
    </w:p>
    <w:p w14:paraId="22E8FE24" w14:textId="4DE4D33E" w:rsidR="00605785" w:rsidRDefault="00000000">
      <w:pPr>
        <w:widowControl w:val="0"/>
        <w:snapToGrid w:val="0"/>
        <w:ind w:firstLine="480"/>
        <w:rPr>
          <w:snapToGrid w:val="0"/>
          <w:kern w:val="2"/>
        </w:rPr>
      </w:pPr>
      <w:r>
        <w:rPr>
          <w:snapToGrid w:val="0"/>
          <w:kern w:val="2"/>
        </w:rPr>
        <w:t xml:space="preserve">Previous interventions have primarily focused on knowledge dissemination or single-skill training, with insufficient integration of psychological beliefs, behavioral regulation, and family support. The Individual and Family Self-Management Theory (IFSMT) </w:t>
      </w:r>
      <w:proofErr w:type="gramStart"/>
      <w:r>
        <w:rPr>
          <w:snapToGrid w:val="0"/>
          <w:kern w:val="2"/>
        </w:rPr>
        <w:t>posits</w:t>
      </w:r>
      <w:proofErr w:type="gramEnd"/>
      <w:r>
        <w:rPr>
          <w:snapToGrid w:val="0"/>
          <w:kern w:val="2"/>
        </w:rPr>
        <w:t xml:space="preserve"> that individual and family contexts influence proximal behaviors and distal health outcomes through processes such as knowledge and beliefs, self-regulation, and social facilitation</w:t>
      </w:r>
      <w:r w:rsidR="00A02ED1">
        <w:rPr>
          <w:snapToGrid w:val="0"/>
          <w:kern w:val="2"/>
        </w:rPr>
        <w:t xml:space="preserve"> </w:t>
      </w:r>
      <w:r w:rsidR="00A02ED1">
        <w:rPr>
          <w:snapToGrid w:val="0"/>
          <w:kern w:val="2"/>
          <w:vertAlign w:val="superscript"/>
        </w:rPr>
        <w:t>[7]</w:t>
      </w:r>
      <w:r>
        <w:rPr>
          <w:snapToGrid w:val="0"/>
          <w:kern w:val="2"/>
        </w:rPr>
        <w:t xml:space="preserve">. This theory aligns well with the characteristics of long-term, highly family-involved disease management in elderly MHD patients. This study first identified contextual factors related to AVF self-management and constructed an IFSMT-based intervention program. Subsequently, a randomized controlled trial was conducted to evaluate its effects on AVF-related abnormalities, self-management abilities, family care levels, general self-efficacy, and quality of life. </w:t>
      </w:r>
    </w:p>
    <w:p w14:paraId="5F6A667F" w14:textId="77777777" w:rsidR="00605785" w:rsidRDefault="00605785">
      <w:pPr>
        <w:widowControl w:val="0"/>
        <w:snapToGrid w:val="0"/>
        <w:ind w:firstLine="480"/>
        <w:rPr>
          <w:snapToGrid w:val="0"/>
          <w:kern w:val="2"/>
        </w:rPr>
      </w:pPr>
    </w:p>
    <w:p w14:paraId="0FEAF18D" w14:textId="77777777" w:rsidR="00605785" w:rsidRDefault="00000000">
      <w:pPr>
        <w:widowControl w:val="0"/>
        <w:snapToGrid w:val="0"/>
        <w:ind w:firstLineChars="0" w:firstLine="0"/>
        <w:rPr>
          <w:b/>
          <w:bCs/>
          <w:snapToGrid w:val="0"/>
          <w:kern w:val="2"/>
        </w:rPr>
      </w:pPr>
      <w:r>
        <w:rPr>
          <w:b/>
          <w:bCs/>
          <w:snapToGrid w:val="0"/>
          <w:kern w:val="2"/>
        </w:rPr>
        <w:t xml:space="preserve">2. Methods </w:t>
      </w:r>
    </w:p>
    <w:p w14:paraId="434178C7" w14:textId="77777777" w:rsidR="00605785" w:rsidRDefault="00000000">
      <w:pPr>
        <w:widowControl w:val="0"/>
        <w:snapToGrid w:val="0"/>
        <w:ind w:firstLineChars="0" w:firstLine="0"/>
        <w:rPr>
          <w:b/>
          <w:bCs/>
          <w:snapToGrid w:val="0"/>
          <w:kern w:val="2"/>
        </w:rPr>
      </w:pPr>
      <w:r>
        <w:rPr>
          <w:b/>
          <w:bCs/>
          <w:snapToGrid w:val="0"/>
          <w:kern w:val="2"/>
        </w:rPr>
        <w:t xml:space="preserve">2.1. Study </w:t>
      </w:r>
      <w:r>
        <w:rPr>
          <w:rFonts w:hint="eastAsia"/>
          <w:b/>
          <w:bCs/>
          <w:snapToGrid w:val="0"/>
          <w:kern w:val="2"/>
        </w:rPr>
        <w:t>d</w:t>
      </w:r>
      <w:r>
        <w:rPr>
          <w:b/>
          <w:bCs/>
          <w:snapToGrid w:val="0"/>
          <w:kern w:val="2"/>
        </w:rPr>
        <w:t xml:space="preserve">esign </w:t>
      </w:r>
    </w:p>
    <w:p w14:paraId="41C339DE" w14:textId="77777777" w:rsidR="00605785" w:rsidRDefault="00000000">
      <w:pPr>
        <w:widowControl w:val="0"/>
        <w:snapToGrid w:val="0"/>
        <w:ind w:firstLineChars="0" w:firstLine="0"/>
        <w:rPr>
          <w:snapToGrid w:val="0"/>
          <w:kern w:val="2"/>
        </w:rPr>
      </w:pPr>
      <w:r>
        <w:rPr>
          <w:snapToGrid w:val="0"/>
          <w:kern w:val="2"/>
        </w:rPr>
        <w:t xml:space="preserve">This study employed a two-phase design. The first phase involved evidence retrieval, cross-sectional surveys, and Delphi expert consultations to formulate and revise the intervention program. The second phase was a single-center, randomized controlled trial to evaluate the effects of the 12-week intervention. The study was conducted in the hemodialysis unit of a tertiary Grade A hospital in Hebei Province. </w:t>
      </w:r>
    </w:p>
    <w:p w14:paraId="798FCFBD" w14:textId="77777777" w:rsidR="00605785" w:rsidRDefault="00605785">
      <w:pPr>
        <w:widowControl w:val="0"/>
        <w:snapToGrid w:val="0"/>
        <w:ind w:firstLineChars="0" w:firstLine="0"/>
        <w:rPr>
          <w:snapToGrid w:val="0"/>
          <w:kern w:val="2"/>
        </w:rPr>
      </w:pPr>
    </w:p>
    <w:p w14:paraId="1D217A8D" w14:textId="77777777" w:rsidR="00605785" w:rsidRDefault="00000000">
      <w:pPr>
        <w:widowControl w:val="0"/>
        <w:snapToGrid w:val="0"/>
        <w:ind w:firstLineChars="0" w:firstLine="0"/>
        <w:rPr>
          <w:b/>
          <w:bCs/>
          <w:snapToGrid w:val="0"/>
          <w:kern w:val="2"/>
        </w:rPr>
      </w:pPr>
      <w:r>
        <w:rPr>
          <w:b/>
          <w:bCs/>
          <w:snapToGrid w:val="0"/>
          <w:kern w:val="2"/>
        </w:rPr>
        <w:t xml:space="preserve">2.2. Phase 1: Construction of the </w:t>
      </w:r>
      <w:r>
        <w:rPr>
          <w:rFonts w:hint="eastAsia"/>
          <w:b/>
          <w:bCs/>
          <w:snapToGrid w:val="0"/>
          <w:kern w:val="2"/>
        </w:rPr>
        <w:t>i</w:t>
      </w:r>
      <w:r>
        <w:rPr>
          <w:b/>
          <w:bCs/>
          <w:snapToGrid w:val="0"/>
          <w:kern w:val="2"/>
        </w:rPr>
        <w:t xml:space="preserve">ntervention </w:t>
      </w:r>
      <w:r>
        <w:rPr>
          <w:rFonts w:hint="eastAsia"/>
          <w:b/>
          <w:bCs/>
          <w:snapToGrid w:val="0"/>
          <w:kern w:val="2"/>
        </w:rPr>
        <w:t>p</w:t>
      </w:r>
      <w:r>
        <w:rPr>
          <w:b/>
          <w:bCs/>
          <w:snapToGrid w:val="0"/>
          <w:kern w:val="2"/>
        </w:rPr>
        <w:t xml:space="preserve">rogram </w:t>
      </w:r>
    </w:p>
    <w:p w14:paraId="2867347D" w14:textId="77777777" w:rsidR="00605785" w:rsidRDefault="00000000">
      <w:pPr>
        <w:widowControl w:val="0"/>
        <w:snapToGrid w:val="0"/>
        <w:ind w:firstLineChars="0" w:firstLine="0"/>
        <w:rPr>
          <w:b/>
          <w:bCs/>
          <w:snapToGrid w:val="0"/>
          <w:kern w:val="2"/>
        </w:rPr>
      </w:pPr>
      <w:r>
        <w:rPr>
          <w:b/>
          <w:bCs/>
          <w:snapToGrid w:val="0"/>
          <w:kern w:val="2"/>
        </w:rPr>
        <w:t xml:space="preserve">2.2.1. Research </w:t>
      </w:r>
      <w:r>
        <w:rPr>
          <w:rFonts w:hint="eastAsia"/>
          <w:b/>
          <w:bCs/>
          <w:snapToGrid w:val="0"/>
          <w:kern w:val="2"/>
        </w:rPr>
        <w:t>t</w:t>
      </w:r>
      <w:r>
        <w:rPr>
          <w:b/>
          <w:bCs/>
          <w:snapToGrid w:val="0"/>
          <w:kern w:val="2"/>
        </w:rPr>
        <w:t xml:space="preserve">eam and </w:t>
      </w:r>
      <w:r>
        <w:rPr>
          <w:rFonts w:hint="eastAsia"/>
          <w:b/>
          <w:bCs/>
          <w:snapToGrid w:val="0"/>
          <w:kern w:val="2"/>
        </w:rPr>
        <w:t>l</w:t>
      </w:r>
      <w:r>
        <w:rPr>
          <w:b/>
          <w:bCs/>
          <w:snapToGrid w:val="0"/>
          <w:kern w:val="2"/>
        </w:rPr>
        <w:t xml:space="preserve">iterature </w:t>
      </w:r>
      <w:r>
        <w:rPr>
          <w:rFonts w:hint="eastAsia"/>
          <w:b/>
          <w:bCs/>
          <w:snapToGrid w:val="0"/>
          <w:kern w:val="2"/>
        </w:rPr>
        <w:t>s</w:t>
      </w:r>
      <w:r>
        <w:rPr>
          <w:b/>
          <w:bCs/>
          <w:snapToGrid w:val="0"/>
          <w:kern w:val="2"/>
        </w:rPr>
        <w:t xml:space="preserve">earch </w:t>
      </w:r>
    </w:p>
    <w:p w14:paraId="1A555AE8" w14:textId="77777777" w:rsidR="00605785" w:rsidRDefault="00000000">
      <w:pPr>
        <w:widowControl w:val="0"/>
        <w:snapToGrid w:val="0"/>
        <w:ind w:firstLineChars="0" w:firstLine="0"/>
        <w:rPr>
          <w:snapToGrid w:val="0"/>
          <w:kern w:val="2"/>
        </w:rPr>
      </w:pPr>
      <w:r>
        <w:rPr>
          <w:snapToGrid w:val="0"/>
          <w:kern w:val="2"/>
        </w:rPr>
        <w:t>The research team consisted of two hemodialysis physicians, one head nurse, three specialist nurses, one master's supervisor, and one nursing graduate student, responsible for evidence evaluation, program design, clinical implementation, and quality control. Databases including CNKI, China Biology Medicine disc (</w:t>
      </w:r>
      <w:proofErr w:type="spellStart"/>
      <w:r>
        <w:rPr>
          <w:snapToGrid w:val="0"/>
          <w:kern w:val="2"/>
        </w:rPr>
        <w:t>CBMdisc</w:t>
      </w:r>
      <w:proofErr w:type="spellEnd"/>
      <w:r>
        <w:rPr>
          <w:snapToGrid w:val="0"/>
          <w:kern w:val="2"/>
        </w:rPr>
        <w:t xml:space="preserve">), </w:t>
      </w:r>
      <w:proofErr w:type="spellStart"/>
      <w:r>
        <w:rPr>
          <w:snapToGrid w:val="0"/>
          <w:kern w:val="2"/>
        </w:rPr>
        <w:t>Wanfang</w:t>
      </w:r>
      <w:proofErr w:type="spellEnd"/>
      <w:r>
        <w:rPr>
          <w:snapToGrid w:val="0"/>
          <w:kern w:val="2"/>
        </w:rPr>
        <w:t xml:space="preserve">, VIP, PubMed, Web of Science, ScienceDirect, Embase, and Cochrane Library were searched for literature related to MHD, AVF, vascular access dysfunction, self-management, and self-care, with the search period spanning from the establishment of the databases to June 2025. A total of 662 articles were retrieved, and after deduplication, screening, and quality evaluation, 10 guidelines, expert consensus documents, systematic reviews, or intervention studies were included to extract intervention elements applicable to elderly AVF maintenance. </w:t>
      </w:r>
    </w:p>
    <w:p w14:paraId="578D324C" w14:textId="77777777" w:rsidR="00605785" w:rsidRDefault="00605785">
      <w:pPr>
        <w:widowControl w:val="0"/>
        <w:snapToGrid w:val="0"/>
        <w:ind w:firstLineChars="0" w:firstLine="0"/>
        <w:rPr>
          <w:snapToGrid w:val="0"/>
          <w:kern w:val="2"/>
        </w:rPr>
      </w:pPr>
    </w:p>
    <w:p w14:paraId="5ECF7A67" w14:textId="77777777" w:rsidR="00605785" w:rsidRDefault="00000000">
      <w:pPr>
        <w:widowControl w:val="0"/>
        <w:snapToGrid w:val="0"/>
        <w:ind w:firstLineChars="0" w:firstLine="0"/>
        <w:rPr>
          <w:b/>
          <w:bCs/>
          <w:snapToGrid w:val="0"/>
          <w:kern w:val="2"/>
        </w:rPr>
      </w:pPr>
      <w:r>
        <w:rPr>
          <w:b/>
          <w:bCs/>
          <w:snapToGrid w:val="0"/>
          <w:kern w:val="2"/>
        </w:rPr>
        <w:t xml:space="preserve">2.2.2. Contextual </w:t>
      </w:r>
      <w:r>
        <w:rPr>
          <w:rFonts w:hint="eastAsia"/>
          <w:b/>
          <w:bCs/>
          <w:snapToGrid w:val="0"/>
          <w:kern w:val="2"/>
        </w:rPr>
        <w:t>f</w:t>
      </w:r>
      <w:r>
        <w:rPr>
          <w:b/>
          <w:bCs/>
          <w:snapToGrid w:val="0"/>
          <w:kern w:val="2"/>
        </w:rPr>
        <w:t xml:space="preserve">actor </w:t>
      </w:r>
      <w:r>
        <w:rPr>
          <w:rFonts w:hint="eastAsia"/>
          <w:b/>
          <w:bCs/>
          <w:snapToGrid w:val="0"/>
          <w:kern w:val="2"/>
        </w:rPr>
        <w:t>s</w:t>
      </w:r>
      <w:r>
        <w:rPr>
          <w:b/>
          <w:bCs/>
          <w:snapToGrid w:val="0"/>
          <w:kern w:val="2"/>
        </w:rPr>
        <w:t xml:space="preserve">urvey </w:t>
      </w:r>
    </w:p>
    <w:p w14:paraId="5897B7BB" w14:textId="4E4674E7" w:rsidR="00605785" w:rsidRDefault="00000000">
      <w:pPr>
        <w:widowControl w:val="0"/>
        <w:snapToGrid w:val="0"/>
        <w:ind w:firstLineChars="0" w:firstLine="0"/>
        <w:rPr>
          <w:snapToGrid w:val="0"/>
          <w:kern w:val="2"/>
        </w:rPr>
      </w:pPr>
      <w:r>
        <w:rPr>
          <w:snapToGrid w:val="0"/>
          <w:kern w:val="2"/>
        </w:rPr>
        <w:t>Using convenience sampling, 165 elderly MHD patients with AVF receiving treatment in the hemodialysis unit of Hebei General Hospital from June 2025 to August 2025 were selected as the study subjects. Based on the description of contextual factors in the IFSMT, self-designed general contextual data questionnaires, the AVF Self-Management Scale, the General Self-Efficacy Scale (GSES), the Hospital Anxiety and Depression Scale (HADS), and the Family APGAR Index were used for analysis</w:t>
      </w:r>
      <w:r w:rsidR="00A02ED1">
        <w:rPr>
          <w:snapToGrid w:val="0"/>
          <w:kern w:val="2"/>
        </w:rPr>
        <w:t xml:space="preserve"> </w:t>
      </w:r>
      <w:r w:rsidR="00A02ED1">
        <w:rPr>
          <w:snapToGrid w:val="0"/>
          <w:kern w:val="2"/>
          <w:vertAlign w:val="superscript"/>
        </w:rPr>
        <w:t>[8–11]</w:t>
      </w:r>
      <w:r>
        <w:rPr>
          <w:snapToGrid w:val="0"/>
          <w:kern w:val="2"/>
        </w:rPr>
        <w:t xml:space="preserve">. A total of 157 valid questionnaires were obtained. With the total score of AVF self-management as the dependent variable, univariate analysis was first conducted, followed by multivariate linear regression incorporating statistically significant and theoretically important variables to screen for intervenable factors. </w:t>
      </w:r>
    </w:p>
    <w:p w14:paraId="4F705381" w14:textId="77777777" w:rsidR="00605785" w:rsidRDefault="00605785">
      <w:pPr>
        <w:widowControl w:val="0"/>
        <w:snapToGrid w:val="0"/>
        <w:ind w:firstLineChars="0" w:firstLine="0"/>
        <w:rPr>
          <w:snapToGrid w:val="0"/>
          <w:kern w:val="2"/>
        </w:rPr>
      </w:pPr>
    </w:p>
    <w:p w14:paraId="23405C26" w14:textId="77777777" w:rsidR="00605785" w:rsidRDefault="00000000">
      <w:pPr>
        <w:widowControl w:val="0"/>
        <w:snapToGrid w:val="0"/>
        <w:ind w:firstLineChars="0" w:firstLine="0"/>
        <w:rPr>
          <w:b/>
          <w:bCs/>
          <w:snapToGrid w:val="0"/>
          <w:kern w:val="2"/>
        </w:rPr>
      </w:pPr>
      <w:r>
        <w:rPr>
          <w:b/>
          <w:bCs/>
          <w:snapToGrid w:val="0"/>
          <w:kern w:val="2"/>
        </w:rPr>
        <w:t xml:space="preserve">2.2.3. Delphi </w:t>
      </w:r>
      <w:r>
        <w:rPr>
          <w:rFonts w:hint="eastAsia"/>
          <w:b/>
          <w:bCs/>
          <w:snapToGrid w:val="0"/>
          <w:kern w:val="2"/>
        </w:rPr>
        <w:t>e</w:t>
      </w:r>
      <w:r>
        <w:rPr>
          <w:b/>
          <w:bCs/>
          <w:snapToGrid w:val="0"/>
          <w:kern w:val="2"/>
        </w:rPr>
        <w:t xml:space="preserve">xpert </w:t>
      </w:r>
      <w:r>
        <w:rPr>
          <w:rFonts w:hint="eastAsia"/>
          <w:b/>
          <w:bCs/>
          <w:snapToGrid w:val="0"/>
          <w:kern w:val="2"/>
        </w:rPr>
        <w:t>c</w:t>
      </w:r>
      <w:r>
        <w:rPr>
          <w:b/>
          <w:bCs/>
          <w:snapToGrid w:val="0"/>
          <w:kern w:val="2"/>
        </w:rPr>
        <w:t xml:space="preserve">onsultation </w:t>
      </w:r>
    </w:p>
    <w:p w14:paraId="771BE0F0" w14:textId="54F2E134" w:rsidR="00605785" w:rsidRDefault="00000000">
      <w:pPr>
        <w:widowControl w:val="0"/>
        <w:snapToGrid w:val="0"/>
        <w:ind w:firstLineChars="0" w:firstLine="0"/>
        <w:rPr>
          <w:snapToGrid w:val="0"/>
          <w:kern w:val="2"/>
        </w:rPr>
      </w:pPr>
      <w:r>
        <w:rPr>
          <w:snapToGrid w:val="0"/>
          <w:kern w:val="2"/>
        </w:rPr>
        <w:t>A preliminary draft of the program was formulated based on literature retrieval and contextual factor surveys. Sixteen experts with ≥</w:t>
      </w:r>
      <w:r w:rsidR="00F6231A">
        <w:rPr>
          <w:snapToGrid w:val="0"/>
          <w:kern w:val="2"/>
        </w:rPr>
        <w:t xml:space="preserve"> </w:t>
      </w:r>
      <w:r>
        <w:rPr>
          <w:snapToGrid w:val="0"/>
          <w:kern w:val="2"/>
        </w:rPr>
        <w:t xml:space="preserve">10 years of experience in hemodialysis, vascular access, or nursing management were selected for two rounds of consultations. Experts provided opinions on the importance, feasibility, and wording of items; the research team revised the program based on the mean, variability, expert authority level, and program suggestions. </w:t>
      </w:r>
    </w:p>
    <w:p w14:paraId="03914DCE" w14:textId="77777777" w:rsidR="00605785" w:rsidRDefault="00605785">
      <w:pPr>
        <w:widowControl w:val="0"/>
        <w:snapToGrid w:val="0"/>
        <w:ind w:firstLineChars="0" w:firstLine="0"/>
        <w:rPr>
          <w:snapToGrid w:val="0"/>
          <w:kern w:val="2"/>
        </w:rPr>
      </w:pPr>
    </w:p>
    <w:p w14:paraId="786279A0" w14:textId="77777777" w:rsidR="00605785" w:rsidRDefault="00000000">
      <w:pPr>
        <w:widowControl w:val="0"/>
        <w:snapToGrid w:val="0"/>
        <w:ind w:firstLineChars="0" w:firstLine="0"/>
        <w:rPr>
          <w:b/>
          <w:bCs/>
          <w:snapToGrid w:val="0"/>
          <w:kern w:val="2"/>
        </w:rPr>
      </w:pPr>
      <w:r>
        <w:rPr>
          <w:b/>
          <w:bCs/>
          <w:snapToGrid w:val="0"/>
          <w:kern w:val="2"/>
        </w:rPr>
        <w:t xml:space="preserve">2.3. Phase 2: Randomized </w:t>
      </w:r>
      <w:r>
        <w:rPr>
          <w:rFonts w:hint="eastAsia"/>
          <w:b/>
          <w:bCs/>
          <w:snapToGrid w:val="0"/>
          <w:kern w:val="2"/>
        </w:rPr>
        <w:t>c</w:t>
      </w:r>
      <w:r>
        <w:rPr>
          <w:b/>
          <w:bCs/>
          <w:snapToGrid w:val="0"/>
          <w:kern w:val="2"/>
        </w:rPr>
        <w:t xml:space="preserve">ontrolled </w:t>
      </w:r>
      <w:r>
        <w:rPr>
          <w:rFonts w:hint="eastAsia"/>
          <w:b/>
          <w:bCs/>
          <w:snapToGrid w:val="0"/>
          <w:kern w:val="2"/>
        </w:rPr>
        <w:t>t</w:t>
      </w:r>
      <w:r>
        <w:rPr>
          <w:b/>
          <w:bCs/>
          <w:snapToGrid w:val="0"/>
          <w:kern w:val="2"/>
        </w:rPr>
        <w:t xml:space="preserve">rial </w:t>
      </w:r>
    </w:p>
    <w:p w14:paraId="74E0EC41" w14:textId="77777777" w:rsidR="00605785" w:rsidRDefault="00000000">
      <w:pPr>
        <w:widowControl w:val="0"/>
        <w:snapToGrid w:val="0"/>
        <w:ind w:firstLineChars="0" w:firstLine="0"/>
        <w:rPr>
          <w:b/>
          <w:bCs/>
          <w:snapToGrid w:val="0"/>
          <w:kern w:val="2"/>
        </w:rPr>
      </w:pPr>
      <w:r>
        <w:rPr>
          <w:b/>
          <w:bCs/>
          <w:snapToGrid w:val="0"/>
          <w:kern w:val="2"/>
        </w:rPr>
        <w:t xml:space="preserve">2.3.1. Study </w:t>
      </w:r>
      <w:r>
        <w:rPr>
          <w:rFonts w:hint="eastAsia"/>
          <w:b/>
          <w:bCs/>
          <w:snapToGrid w:val="0"/>
          <w:kern w:val="2"/>
        </w:rPr>
        <w:t>s</w:t>
      </w:r>
      <w:r>
        <w:rPr>
          <w:b/>
          <w:bCs/>
          <w:snapToGrid w:val="0"/>
          <w:kern w:val="2"/>
        </w:rPr>
        <w:t xml:space="preserve">ubjects, </w:t>
      </w:r>
      <w:r>
        <w:rPr>
          <w:rFonts w:hint="eastAsia"/>
          <w:b/>
          <w:bCs/>
          <w:snapToGrid w:val="0"/>
          <w:kern w:val="2"/>
        </w:rPr>
        <w:t>s</w:t>
      </w:r>
      <w:r>
        <w:rPr>
          <w:b/>
          <w:bCs/>
          <w:snapToGrid w:val="0"/>
          <w:kern w:val="2"/>
        </w:rPr>
        <w:t xml:space="preserve">ample </w:t>
      </w:r>
      <w:r>
        <w:rPr>
          <w:rFonts w:hint="eastAsia"/>
          <w:b/>
          <w:bCs/>
          <w:snapToGrid w:val="0"/>
          <w:kern w:val="2"/>
        </w:rPr>
        <w:t>s</w:t>
      </w:r>
      <w:r>
        <w:rPr>
          <w:b/>
          <w:bCs/>
          <w:snapToGrid w:val="0"/>
          <w:kern w:val="2"/>
        </w:rPr>
        <w:t xml:space="preserve">ize, and </w:t>
      </w:r>
      <w:r>
        <w:rPr>
          <w:rFonts w:hint="eastAsia"/>
          <w:b/>
          <w:bCs/>
          <w:snapToGrid w:val="0"/>
          <w:kern w:val="2"/>
        </w:rPr>
        <w:t>r</w:t>
      </w:r>
      <w:r>
        <w:rPr>
          <w:b/>
          <w:bCs/>
          <w:snapToGrid w:val="0"/>
          <w:kern w:val="2"/>
        </w:rPr>
        <w:t xml:space="preserve">andom </w:t>
      </w:r>
      <w:r>
        <w:rPr>
          <w:rFonts w:hint="eastAsia"/>
          <w:b/>
          <w:bCs/>
          <w:snapToGrid w:val="0"/>
          <w:kern w:val="2"/>
        </w:rPr>
        <w:t>g</w:t>
      </w:r>
      <w:r>
        <w:rPr>
          <w:b/>
          <w:bCs/>
          <w:snapToGrid w:val="0"/>
          <w:kern w:val="2"/>
        </w:rPr>
        <w:t xml:space="preserve">rouping </w:t>
      </w:r>
    </w:p>
    <w:p w14:paraId="73D460A3" w14:textId="27F55227" w:rsidR="00605785" w:rsidRDefault="00000000">
      <w:pPr>
        <w:widowControl w:val="0"/>
        <w:snapToGrid w:val="0"/>
        <w:ind w:firstLineChars="0" w:firstLine="0"/>
        <w:rPr>
          <w:snapToGrid w:val="0"/>
          <w:kern w:val="2"/>
        </w:rPr>
      </w:pPr>
      <w:r>
        <w:rPr>
          <w:snapToGrid w:val="0"/>
          <w:kern w:val="2"/>
        </w:rPr>
        <w:t>Eligible patients were continuously enrolled from September 2025 to March 2026. Inclusion criteria were: age ≥</w:t>
      </w:r>
      <w:r w:rsidR="00F6231A">
        <w:rPr>
          <w:snapToGrid w:val="0"/>
          <w:kern w:val="2"/>
        </w:rPr>
        <w:t xml:space="preserve"> </w:t>
      </w:r>
      <w:r>
        <w:rPr>
          <w:snapToGrid w:val="0"/>
          <w:kern w:val="2"/>
        </w:rPr>
        <w:t>60 years; meeting MHD and AVF-related diagnostic and treatment criteria</w:t>
      </w:r>
      <w:r>
        <w:rPr>
          <w:snapToGrid w:val="0"/>
          <w:kern w:val="2"/>
          <w:vertAlign w:val="superscript"/>
        </w:rPr>
        <w:t xml:space="preserve"> [12]</w:t>
      </w:r>
      <w:r>
        <w:rPr>
          <w:snapToGrid w:val="0"/>
          <w:kern w:val="2"/>
        </w:rPr>
        <w:t>; regular hemodialysis for ≥</w:t>
      </w:r>
      <w:r w:rsidR="00F6231A">
        <w:rPr>
          <w:snapToGrid w:val="0"/>
          <w:kern w:val="2"/>
        </w:rPr>
        <w:t xml:space="preserve"> </w:t>
      </w:r>
      <w:r>
        <w:rPr>
          <w:snapToGrid w:val="0"/>
          <w:kern w:val="2"/>
        </w:rPr>
        <w:t>3 months, three times a week; using AVF as the access; able to read or complete assessments with the assistance of researchers; and voluntarily participating and signing informed consent. Exclusion criteria were severe life-threatening heart, lung, or liver diseases, significant cognitive, psychiatric, or communication disorders, and concurrent participation in similar interventions. Patients who discontinued due to disease deterioration, death, voluntary withdrawal, or absence from ≥</w:t>
      </w:r>
      <w:r w:rsidR="00F6231A">
        <w:rPr>
          <w:snapToGrid w:val="0"/>
          <w:kern w:val="2"/>
        </w:rPr>
        <w:t xml:space="preserve"> </w:t>
      </w:r>
      <w:r>
        <w:rPr>
          <w:snapToGrid w:val="0"/>
          <w:kern w:val="2"/>
        </w:rPr>
        <w:t xml:space="preserve">2 interventions were excluded. </w:t>
      </w:r>
    </w:p>
    <w:p w14:paraId="358C4421" w14:textId="1E3F89DA" w:rsidR="00605785" w:rsidRDefault="00000000">
      <w:pPr>
        <w:widowControl w:val="0"/>
        <w:snapToGrid w:val="0"/>
        <w:ind w:firstLine="480"/>
        <w:rPr>
          <w:snapToGrid w:val="0"/>
          <w:kern w:val="2"/>
        </w:rPr>
      </w:pPr>
      <w:r>
        <w:rPr>
          <w:snapToGrid w:val="0"/>
          <w:kern w:val="2"/>
        </w:rPr>
        <w:t xml:space="preserve">Based on a two-sample rate comparison, using the formula </w:t>
      </w:r>
      <m:oMath>
        <m:r>
          <m:rPr>
            <m:nor/>
          </m:rPr>
          <w:rPr>
            <w:b/>
            <w:i/>
          </w:rPr>
          <m:t>n</m:t>
        </m:r>
        <m:r>
          <m:rPr>
            <m:nor/>
          </m:rPr>
          <w:rPr>
            <w:b/>
          </w:rPr>
          <m:t>=</m:t>
        </m:r>
        <m:f>
          <m:fPr>
            <m:ctrlPr>
              <w:rPr>
                <w:rFonts w:ascii="Cambria Math" w:hAnsi="Cambria Math"/>
                <w:b/>
                <w:bCs/>
                <w:i/>
                <w:iCs/>
              </w:rPr>
            </m:ctrlPr>
          </m:fPr>
          <m:num>
            <m:sSup>
              <m:sSupPr>
                <m:ctrlPr>
                  <w:rPr>
                    <w:rFonts w:ascii="Cambria Math" w:hAnsi="Cambria Math"/>
                    <w:b/>
                    <w:bCs/>
                    <w:i/>
                    <w:iCs/>
                  </w:rPr>
                </m:ctrlPr>
              </m:sSupPr>
              <m:e>
                <m:r>
                  <m:rPr>
                    <m:nor/>
                  </m:rPr>
                  <w:rPr>
                    <w:b/>
                  </w:rPr>
                  <m:t>2</m:t>
                </m:r>
                <m:acc>
                  <m:accPr>
                    <m:chr m:val="̅"/>
                    <m:ctrlPr>
                      <w:rPr>
                        <w:rFonts w:ascii="Cambria Math" w:hAnsi="Cambria Math"/>
                        <w:b/>
                        <w:bCs/>
                        <w:i/>
                        <w:iCs/>
                      </w:rPr>
                    </m:ctrlPr>
                  </m:accPr>
                  <m:e>
                    <m:r>
                      <m:rPr>
                        <m:nor/>
                      </m:rPr>
                      <w:rPr>
                        <w:b/>
                        <w:i/>
                      </w:rPr>
                      <m:t>p</m:t>
                    </m:r>
                  </m:e>
                </m:acc>
                <m:acc>
                  <m:accPr>
                    <m:chr m:val="̅"/>
                    <m:ctrlPr>
                      <w:rPr>
                        <w:rFonts w:ascii="Cambria Math" w:hAnsi="Cambria Math"/>
                        <w:b/>
                        <w:bCs/>
                        <w:i/>
                        <w:iCs/>
                      </w:rPr>
                    </m:ctrlPr>
                  </m:accPr>
                  <m:e>
                    <m:r>
                      <m:rPr>
                        <m:nor/>
                      </m:rPr>
                      <w:rPr>
                        <w:b/>
                        <w:i/>
                      </w:rPr>
                      <m:t>q</m:t>
                    </m:r>
                  </m:e>
                </m:acc>
                <m:d>
                  <m:dPr>
                    <m:ctrlPr>
                      <w:rPr>
                        <w:rFonts w:ascii="Cambria Math" w:hAnsi="Cambria Math"/>
                        <w:b/>
                        <w:bCs/>
                        <w:i/>
                        <w:iCs/>
                      </w:rPr>
                    </m:ctrlPr>
                  </m:dPr>
                  <m:e>
                    <m:sSub>
                      <m:sSubPr>
                        <m:ctrlPr>
                          <w:rPr>
                            <w:rFonts w:ascii="Cambria Math" w:hAnsi="Cambria Math"/>
                            <w:b/>
                            <w:bCs/>
                            <w:i/>
                            <w:iCs/>
                          </w:rPr>
                        </m:ctrlPr>
                      </m:sSubPr>
                      <m:e>
                        <m:r>
                          <m:rPr>
                            <m:nor/>
                          </m:rPr>
                          <w:rPr>
                            <w:b/>
                            <w:i/>
                          </w:rPr>
                          <m:t>z</m:t>
                        </m:r>
                      </m:e>
                      <m:sub>
                        <m:r>
                          <m:rPr>
                            <m:nor/>
                          </m:rPr>
                          <w:rPr>
                            <w:b/>
                            <w:i/>
                          </w:rPr>
                          <m:t>α</m:t>
                        </m:r>
                      </m:sub>
                    </m:sSub>
                    <m:r>
                      <m:rPr>
                        <m:nor/>
                      </m:rPr>
                      <w:rPr>
                        <w:b/>
                      </w:rPr>
                      <m:t>+</m:t>
                    </m:r>
                    <m:sSub>
                      <m:sSubPr>
                        <m:ctrlPr>
                          <w:rPr>
                            <w:rFonts w:ascii="Cambria Math" w:hAnsi="Cambria Math"/>
                            <w:b/>
                            <w:bCs/>
                            <w:i/>
                            <w:iCs/>
                          </w:rPr>
                        </m:ctrlPr>
                      </m:sSubPr>
                      <m:e>
                        <m:r>
                          <m:rPr>
                            <m:nor/>
                          </m:rPr>
                          <w:rPr>
                            <w:b/>
                            <w:i/>
                          </w:rPr>
                          <m:t>z</m:t>
                        </m:r>
                      </m:e>
                      <m:sub>
                        <m:r>
                          <m:rPr>
                            <m:nor/>
                          </m:rPr>
                          <w:rPr>
                            <w:b/>
                            <w:i/>
                          </w:rPr>
                          <m:t>β</m:t>
                        </m:r>
                      </m:sub>
                    </m:sSub>
                  </m:e>
                </m:d>
              </m:e>
              <m:sup>
                <m:r>
                  <m:rPr>
                    <m:nor/>
                  </m:rPr>
                  <w:rPr>
                    <w:b/>
                  </w:rPr>
                  <m:t>2</m:t>
                </m:r>
              </m:sup>
            </m:sSup>
          </m:num>
          <m:den>
            <m:sSup>
              <m:sSupPr>
                <m:ctrlPr>
                  <w:rPr>
                    <w:rFonts w:ascii="Cambria Math" w:hAnsi="Cambria Math"/>
                    <w:b/>
                    <w:bCs/>
                    <w:i/>
                    <w:iCs/>
                  </w:rPr>
                </m:ctrlPr>
              </m:sSupPr>
              <m:e>
                <m:d>
                  <m:dPr>
                    <m:ctrlPr>
                      <w:rPr>
                        <w:rFonts w:ascii="Cambria Math" w:hAnsi="Cambria Math"/>
                        <w:b/>
                        <w:bCs/>
                        <w:i/>
                        <w:iCs/>
                      </w:rPr>
                    </m:ctrlPr>
                  </m:dPr>
                  <m:e>
                    <m:sSub>
                      <m:sSubPr>
                        <m:ctrlPr>
                          <w:rPr>
                            <w:rFonts w:ascii="Cambria Math" w:hAnsi="Cambria Math"/>
                            <w:b/>
                            <w:bCs/>
                            <w:i/>
                            <w:iCs/>
                          </w:rPr>
                        </m:ctrlPr>
                      </m:sSubPr>
                      <m:e>
                        <m:r>
                          <m:rPr>
                            <m:nor/>
                          </m:rPr>
                          <w:rPr>
                            <w:b/>
                            <w:i/>
                          </w:rPr>
                          <m:t>p</m:t>
                        </m:r>
                      </m:e>
                      <m:sub>
                        <m:r>
                          <m:rPr>
                            <m:nor/>
                          </m:rPr>
                          <w:rPr>
                            <w:b/>
                          </w:rPr>
                          <m:t>1</m:t>
                        </m:r>
                      </m:sub>
                    </m:sSub>
                    <m:r>
                      <m:rPr>
                        <m:nor/>
                      </m:rPr>
                      <w:rPr>
                        <w:b/>
                      </w:rPr>
                      <m:t>-</m:t>
                    </m:r>
                    <m:sSub>
                      <m:sSubPr>
                        <m:ctrlPr>
                          <w:rPr>
                            <w:rFonts w:ascii="Cambria Math" w:hAnsi="Cambria Math"/>
                            <w:b/>
                            <w:bCs/>
                            <w:i/>
                            <w:iCs/>
                          </w:rPr>
                        </m:ctrlPr>
                      </m:sSubPr>
                      <m:e>
                        <m:r>
                          <m:rPr>
                            <m:nor/>
                          </m:rPr>
                          <w:rPr>
                            <w:b/>
                            <w:i/>
                          </w:rPr>
                          <m:t>p</m:t>
                        </m:r>
                      </m:e>
                      <m:sub>
                        <m:r>
                          <m:rPr>
                            <m:nor/>
                          </m:rPr>
                          <w:rPr>
                            <w:b/>
                          </w:rPr>
                          <m:t>2</m:t>
                        </m:r>
                      </m:sub>
                    </m:sSub>
                  </m:e>
                </m:d>
              </m:e>
              <m:sup>
                <m:r>
                  <m:rPr>
                    <m:nor/>
                  </m:rPr>
                  <w:rPr>
                    <w:b/>
                  </w:rPr>
                  <m:t>2</m:t>
                </m:r>
              </m:sup>
            </m:sSup>
          </m:den>
        </m:f>
      </m:oMath>
      <w:r>
        <w:rPr>
          <w:snapToGrid w:val="0"/>
          <w:kern w:val="2"/>
        </w:rPr>
        <w:t>, and referring to a similar study (</w:t>
      </w:r>
      <m:oMath>
        <m:sSub>
          <m:sSubPr>
            <m:ctrlPr>
              <w:rPr>
                <w:rFonts w:ascii="Cambria Math" w:hAnsi="Cambria Math"/>
              </w:rPr>
            </m:ctrlPr>
          </m:sSubPr>
          <m:e>
            <m:r>
              <m:rPr>
                <m:nor/>
              </m:rPr>
              <m:t>p</m:t>
            </m:r>
          </m:e>
          <m:sub>
            <m:r>
              <m:rPr>
                <m:nor/>
              </m:rPr>
              <m:t>1</m:t>
            </m:r>
          </m:sub>
        </m:sSub>
        <m:r>
          <w:rPr>
            <w:rFonts w:ascii="Cambria Math" w:hAnsi="Cambria Math"/>
          </w:rPr>
          <m:t xml:space="preserve"> </m:t>
        </m:r>
      </m:oMath>
      <w:r>
        <w:rPr>
          <w:snapToGrid w:val="0"/>
          <w:kern w:val="2"/>
        </w:rPr>
        <w:t>=</w:t>
      </w:r>
      <w:r w:rsidR="00F6231A">
        <w:rPr>
          <w:snapToGrid w:val="0"/>
          <w:kern w:val="2"/>
        </w:rPr>
        <w:t xml:space="preserve"> </w:t>
      </w:r>
      <w:r>
        <w:rPr>
          <w:snapToGrid w:val="0"/>
          <w:kern w:val="2"/>
        </w:rPr>
        <w:t xml:space="preserve">0.068, </w:t>
      </w:r>
      <m:oMath>
        <m:sSub>
          <m:sSubPr>
            <m:ctrlPr>
              <w:rPr>
                <w:rFonts w:ascii="Cambria Math" w:hAnsi="Cambria Math"/>
              </w:rPr>
            </m:ctrlPr>
          </m:sSubPr>
          <m:e>
            <m:r>
              <m:rPr>
                <m:nor/>
              </m:rPr>
              <m:t>p</m:t>
            </m:r>
          </m:e>
          <m:sub>
            <m:r>
              <m:rPr>
                <m:nor/>
              </m:rPr>
              <m:t>2</m:t>
            </m:r>
          </m:sub>
        </m:sSub>
        <m:r>
          <w:rPr>
            <w:rFonts w:ascii="Cambria Math" w:hAnsi="Cambria Math"/>
          </w:rPr>
          <m:t xml:space="preserve"> </m:t>
        </m:r>
      </m:oMath>
      <w:r>
        <w:rPr>
          <w:snapToGrid w:val="0"/>
          <w:kern w:val="2"/>
        </w:rPr>
        <w:t>=</w:t>
      </w:r>
      <w:r w:rsidR="00F6231A">
        <w:rPr>
          <w:snapToGrid w:val="0"/>
          <w:kern w:val="2"/>
        </w:rPr>
        <w:t xml:space="preserve"> </w:t>
      </w:r>
      <w:r>
        <w:rPr>
          <w:snapToGrid w:val="0"/>
          <w:kern w:val="2"/>
        </w:rPr>
        <w:t xml:space="preserve">0.3167), </w:t>
      </w:r>
      <m:oMath>
        <m:acc>
          <m:accPr>
            <m:chr m:val="̅"/>
            <m:ctrlPr>
              <w:rPr>
                <w:rFonts w:ascii="Cambria Math" w:hAnsi="Cambria Math"/>
              </w:rPr>
            </m:ctrlPr>
          </m:accPr>
          <m:e>
            <m:r>
              <m:rPr>
                <m:nor/>
              </m:rPr>
              <m:t>p</m:t>
            </m:r>
          </m:e>
        </m:acc>
      </m:oMath>
      <w:r w:rsidR="00F6231A">
        <w:t xml:space="preserve"> </w:t>
      </w:r>
      <w:r>
        <w:rPr>
          <w:snapToGrid w:val="0"/>
          <w:kern w:val="2"/>
        </w:rPr>
        <w:t>=</w:t>
      </w:r>
      <w:r w:rsidR="00F6231A">
        <w:rPr>
          <w:snapToGrid w:val="0"/>
          <w:kern w:val="2"/>
        </w:rPr>
        <w:t xml:space="preserve"> </w:t>
      </w:r>
      <w:r>
        <w:rPr>
          <w:snapToGrid w:val="0"/>
          <w:kern w:val="2"/>
        </w:rPr>
        <w:t xml:space="preserve">0.19235 and </w:t>
      </w:r>
      <m:oMath>
        <m:acc>
          <m:accPr>
            <m:chr m:val="̅"/>
            <m:ctrlPr>
              <w:rPr>
                <w:rFonts w:ascii="Cambria Math" w:hAnsi="Cambria Math"/>
              </w:rPr>
            </m:ctrlPr>
          </m:accPr>
          <m:e>
            <m:r>
              <m:rPr>
                <m:nor/>
              </m:rPr>
              <m:t>q</m:t>
            </m:r>
            <m:r>
              <m:rPr>
                <m:nor/>
              </m:rPr>
              <w:rPr>
                <w:rFonts w:ascii="Cambria Math"/>
              </w:rPr>
              <m:t xml:space="preserve"> </m:t>
            </m:r>
          </m:e>
        </m:acc>
      </m:oMath>
      <w:r>
        <w:rPr>
          <w:snapToGrid w:val="0"/>
          <w:kern w:val="2"/>
        </w:rPr>
        <w:t>=</w:t>
      </w:r>
      <w:r w:rsidR="00F6231A">
        <w:rPr>
          <w:snapToGrid w:val="0"/>
          <w:kern w:val="2"/>
        </w:rPr>
        <w:t xml:space="preserve"> </w:t>
      </w:r>
      <w:r>
        <w:rPr>
          <w:snapToGrid w:val="0"/>
          <w:kern w:val="2"/>
        </w:rPr>
        <w:t>0.80765 were calculated</w:t>
      </w:r>
      <w:r w:rsidR="00AB730B">
        <w:rPr>
          <w:snapToGrid w:val="0"/>
          <w:kern w:val="2"/>
        </w:rPr>
        <w:t xml:space="preserve"> </w:t>
      </w:r>
      <w:r w:rsidR="00AB730B">
        <w:rPr>
          <w:snapToGrid w:val="0"/>
          <w:kern w:val="2"/>
          <w:vertAlign w:val="superscript"/>
        </w:rPr>
        <w:t>[13]</w:t>
      </w:r>
      <w:r>
        <w:rPr>
          <w:snapToGrid w:val="0"/>
          <w:kern w:val="2"/>
        </w:rPr>
        <w:t>. Substituting these values into the formula yielded n1</w:t>
      </w:r>
      <w:r w:rsidR="00F6231A">
        <w:rPr>
          <w:snapToGrid w:val="0"/>
          <w:kern w:val="2"/>
        </w:rPr>
        <w:t xml:space="preserve"> </w:t>
      </w:r>
      <w:r>
        <w:rPr>
          <w:snapToGrid w:val="0"/>
          <w:kern w:val="2"/>
        </w:rPr>
        <w:t>=</w:t>
      </w:r>
      <w:r w:rsidR="00F6231A">
        <w:rPr>
          <w:snapToGrid w:val="0"/>
          <w:kern w:val="2"/>
        </w:rPr>
        <w:t xml:space="preserve"> </w:t>
      </w:r>
      <w:r>
        <w:rPr>
          <w:snapToGrid w:val="0"/>
          <w:kern w:val="2"/>
        </w:rPr>
        <w:t xml:space="preserve">n2=53. Considering an approximate 15% dropout rate, 126 cases were planned to be enrolled. Patients were randomly assigned to the intervention and control groups in a 1:1 ratio using a random number table, with 63 cases in each group. This study was approved by the hospital’s ethics committee [(2025) Scientific Research Ethics Review No. (520)]. </w:t>
      </w:r>
    </w:p>
    <w:p w14:paraId="611E63A7" w14:textId="77777777" w:rsidR="00605785" w:rsidRDefault="00605785">
      <w:pPr>
        <w:widowControl w:val="0"/>
        <w:snapToGrid w:val="0"/>
        <w:ind w:firstLine="480"/>
        <w:rPr>
          <w:snapToGrid w:val="0"/>
          <w:kern w:val="2"/>
        </w:rPr>
      </w:pPr>
    </w:p>
    <w:p w14:paraId="65E1EA50" w14:textId="77777777" w:rsidR="00605785" w:rsidRDefault="00000000">
      <w:pPr>
        <w:widowControl w:val="0"/>
        <w:snapToGrid w:val="0"/>
        <w:ind w:firstLineChars="0" w:firstLine="0"/>
        <w:rPr>
          <w:b/>
          <w:bCs/>
          <w:snapToGrid w:val="0"/>
          <w:kern w:val="2"/>
        </w:rPr>
      </w:pPr>
      <w:r>
        <w:rPr>
          <w:b/>
          <w:bCs/>
          <w:snapToGrid w:val="0"/>
          <w:kern w:val="2"/>
        </w:rPr>
        <w:t xml:space="preserve">2.3.2. Intervention </w:t>
      </w:r>
      <w:r>
        <w:rPr>
          <w:rFonts w:hint="eastAsia"/>
          <w:b/>
          <w:bCs/>
          <w:snapToGrid w:val="0"/>
          <w:kern w:val="2"/>
        </w:rPr>
        <w:t>m</w:t>
      </w:r>
      <w:r>
        <w:rPr>
          <w:b/>
          <w:bCs/>
          <w:snapToGrid w:val="0"/>
          <w:kern w:val="2"/>
        </w:rPr>
        <w:t xml:space="preserve">easures </w:t>
      </w:r>
    </w:p>
    <w:p w14:paraId="26E6E771" w14:textId="77777777" w:rsidR="00605785" w:rsidRDefault="00000000">
      <w:pPr>
        <w:widowControl w:val="0"/>
        <w:snapToGrid w:val="0"/>
        <w:ind w:firstLineChars="0" w:firstLine="0"/>
        <w:rPr>
          <w:snapToGrid w:val="0"/>
          <w:kern w:val="2"/>
        </w:rPr>
      </w:pPr>
      <w:r>
        <w:rPr>
          <w:snapToGrid w:val="0"/>
          <w:kern w:val="2"/>
        </w:rPr>
        <w:t xml:space="preserve">The control group received routine care, including disease and AVF maintenance education, pre-dialysis access assessment, complication prevention, exercise guidance, and necessary psychological support. The intervention group received the IFSMT program in addition to routine care. Researchers were uniformly trained before implementation; patients and their families received age-appropriate knowledge manuals, record books, and online support. The intervention focused on knowledge and beliefs, self-regulation, and social facilitation, integrating goal setting, AVF self-examination and skill training, family collaboration, peer demonstration, and continuous healthcare provider feedback. The main contents are shown in </w:t>
      </w:r>
      <w:r>
        <w:rPr>
          <w:b/>
          <w:bCs/>
          <w:snapToGrid w:val="0"/>
          <w:kern w:val="2"/>
        </w:rPr>
        <w:t>Table 1</w:t>
      </w:r>
      <w:r>
        <w:rPr>
          <w:snapToGrid w:val="0"/>
          <w:kern w:val="2"/>
        </w:rPr>
        <w:t xml:space="preserve">. The research team reviewed the implementation every two weeks and addressed individualized issues without altering the core intervention components. </w:t>
      </w:r>
    </w:p>
    <w:p w14:paraId="03498E81" w14:textId="77777777" w:rsidR="00605785" w:rsidRDefault="00605785">
      <w:pPr>
        <w:widowControl w:val="0"/>
        <w:snapToGrid w:val="0"/>
        <w:ind w:firstLineChars="0" w:firstLine="0"/>
        <w:rPr>
          <w:snapToGrid w:val="0"/>
          <w:kern w:val="2"/>
        </w:rPr>
      </w:pPr>
    </w:p>
    <w:p w14:paraId="37ECA409" w14:textId="77777777" w:rsidR="00605785" w:rsidRDefault="00000000">
      <w:pPr>
        <w:widowControl w:val="0"/>
        <w:snapToGrid w:val="0"/>
        <w:ind w:firstLineChars="0" w:firstLine="0"/>
        <w:rPr>
          <w:snapToGrid w:val="0"/>
          <w:kern w:val="2"/>
        </w:rPr>
      </w:pPr>
      <w:r>
        <w:rPr>
          <w:b/>
          <w:bCs/>
          <w:snapToGrid w:val="0"/>
          <w:kern w:val="2"/>
        </w:rPr>
        <w:t xml:space="preserve">Table 1. </w:t>
      </w:r>
      <w:r>
        <w:rPr>
          <w:snapToGrid w:val="0"/>
          <w:kern w:val="2"/>
        </w:rPr>
        <w:t xml:space="preserve">IFSMT-Based AVF </w:t>
      </w:r>
      <w:r>
        <w:rPr>
          <w:rFonts w:hint="eastAsia"/>
          <w:snapToGrid w:val="0"/>
          <w:kern w:val="2"/>
        </w:rPr>
        <w:t>m</w:t>
      </w:r>
      <w:r>
        <w:rPr>
          <w:snapToGrid w:val="0"/>
          <w:kern w:val="2"/>
        </w:rPr>
        <w:t xml:space="preserve">aintenance </w:t>
      </w:r>
      <w:r>
        <w:rPr>
          <w:rFonts w:hint="eastAsia"/>
          <w:snapToGrid w:val="0"/>
          <w:kern w:val="2"/>
        </w:rPr>
        <w:t>s</w:t>
      </w:r>
      <w:r>
        <w:rPr>
          <w:snapToGrid w:val="0"/>
          <w:kern w:val="2"/>
        </w:rPr>
        <w:t>elf-</w:t>
      </w:r>
      <w:r>
        <w:rPr>
          <w:rFonts w:hint="eastAsia"/>
          <w:snapToGrid w:val="0"/>
          <w:kern w:val="2"/>
        </w:rPr>
        <w:t>m</w:t>
      </w:r>
      <w:r>
        <w:rPr>
          <w:snapToGrid w:val="0"/>
          <w:kern w:val="2"/>
        </w:rPr>
        <w:t xml:space="preserve">anagement </w:t>
      </w:r>
      <w:r>
        <w:rPr>
          <w:rFonts w:hint="eastAsia"/>
          <w:snapToGrid w:val="0"/>
          <w:kern w:val="2"/>
        </w:rPr>
        <w:t>i</w:t>
      </w:r>
      <w:r>
        <w:rPr>
          <w:snapToGrid w:val="0"/>
          <w:kern w:val="2"/>
        </w:rPr>
        <w:t xml:space="preserve">ntervention </w:t>
      </w:r>
      <w:r>
        <w:rPr>
          <w:rFonts w:hint="eastAsia"/>
          <w:snapToGrid w:val="0"/>
          <w:kern w:val="2"/>
        </w:rPr>
        <w:t>p</w:t>
      </w:r>
      <w:r>
        <w:rPr>
          <w:snapToGrid w:val="0"/>
          <w:kern w:val="2"/>
        </w:rPr>
        <w:t>rogram</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1464"/>
        <w:gridCol w:w="1528"/>
        <w:gridCol w:w="1496"/>
        <w:gridCol w:w="1413"/>
        <w:gridCol w:w="1259"/>
        <w:gridCol w:w="1374"/>
      </w:tblGrid>
      <w:tr w:rsidR="00605785" w:rsidRPr="00F6231A" w14:paraId="1EAD9798" w14:textId="77777777" w:rsidTr="00F6231A">
        <w:trPr>
          <w:tblHeader/>
          <w:jc w:val="center"/>
        </w:trPr>
        <w:tc>
          <w:tcPr>
            <w:tcW w:w="678"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0C5DB774" w14:textId="3861EA9B" w:rsidR="00605785" w:rsidRPr="00F6231A" w:rsidRDefault="00000000" w:rsidP="00F6231A">
            <w:pPr>
              <w:keepNext/>
              <w:widowControl/>
              <w:tabs>
                <w:tab w:val="left" w:pos="588"/>
              </w:tabs>
              <w:snapToGrid w:val="0"/>
              <w:ind w:firstLineChars="0" w:firstLine="0"/>
              <w:jc w:val="left"/>
              <w:rPr>
                <w:b/>
                <w:color w:val="000000"/>
                <w:kern w:val="2"/>
              </w:rPr>
            </w:pPr>
            <w:r w:rsidRPr="00F6231A">
              <w:rPr>
                <w:b/>
                <w:snapToGrid w:val="0"/>
                <w:color w:val="000000"/>
                <w:kern w:val="2"/>
              </w:rPr>
              <w:lastRenderedPageBreak/>
              <w:t xml:space="preserve">Process </w:t>
            </w:r>
            <w:r w:rsidR="00F6231A">
              <w:rPr>
                <w:b/>
                <w:snapToGrid w:val="0"/>
                <w:color w:val="000000"/>
                <w:kern w:val="2"/>
              </w:rPr>
              <w:t>d</w:t>
            </w:r>
            <w:r w:rsidRPr="00F6231A">
              <w:rPr>
                <w:b/>
                <w:snapToGrid w:val="0"/>
                <w:color w:val="000000"/>
                <w:kern w:val="2"/>
              </w:rPr>
              <w:t>imension</w:t>
            </w:r>
          </w:p>
        </w:tc>
        <w:tc>
          <w:tcPr>
            <w:tcW w:w="716"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0253A0E1" w14:textId="741F4020"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p</w:t>
            </w:r>
            <w:r w:rsidRPr="00F6231A">
              <w:rPr>
                <w:b/>
                <w:snapToGrid w:val="0"/>
                <w:color w:val="000000"/>
                <w:kern w:val="2"/>
              </w:rPr>
              <w:t>rogram</w:t>
            </w:r>
          </w:p>
        </w:tc>
        <w:tc>
          <w:tcPr>
            <w:tcW w:w="897"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5D4F9301" w14:textId="10611A4A"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c</w:t>
            </w:r>
            <w:r w:rsidRPr="00F6231A">
              <w:rPr>
                <w:b/>
                <w:snapToGrid w:val="0"/>
                <w:color w:val="000000"/>
                <w:kern w:val="2"/>
              </w:rPr>
              <w:t>ontent</w:t>
            </w:r>
          </w:p>
        </w:tc>
        <w:tc>
          <w:tcPr>
            <w:tcW w:w="731"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50C78134" w14:textId="6F694D3A"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m</w:t>
            </w:r>
            <w:r w:rsidRPr="00F6231A">
              <w:rPr>
                <w:b/>
                <w:snapToGrid w:val="0"/>
                <w:color w:val="000000"/>
                <w:kern w:val="2"/>
              </w:rPr>
              <w:t>ethod</w:t>
            </w:r>
          </w:p>
        </w:tc>
        <w:tc>
          <w:tcPr>
            <w:tcW w:w="691"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10B491B1" w14:textId="51F0B1C4"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t</w:t>
            </w:r>
            <w:r w:rsidRPr="00F6231A">
              <w:rPr>
                <w:b/>
                <w:snapToGrid w:val="0"/>
                <w:color w:val="000000"/>
                <w:kern w:val="2"/>
              </w:rPr>
              <w:t>ime</w:t>
            </w:r>
          </w:p>
        </w:tc>
        <w:tc>
          <w:tcPr>
            <w:tcW w:w="616"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7A45F90E" w14:textId="56E4B5C3"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p</w:t>
            </w:r>
            <w:r w:rsidRPr="00F6231A">
              <w:rPr>
                <w:b/>
                <w:snapToGrid w:val="0"/>
                <w:color w:val="000000"/>
                <w:kern w:val="2"/>
              </w:rPr>
              <w:t>ersonnel</w:t>
            </w:r>
          </w:p>
        </w:tc>
        <w:tc>
          <w:tcPr>
            <w:tcW w:w="672" w:type="pct"/>
            <w:tcBorders>
              <w:top w:val="single" w:sz="4" w:space="0" w:color="auto"/>
              <w:bottom w:val="single" w:sz="4" w:space="0" w:color="auto"/>
            </w:tcBorders>
            <w:shd w:val="clear" w:color="auto" w:fill="FFFFFF"/>
            <w:tcMar>
              <w:top w:w="-1" w:type="dxa"/>
              <w:left w:w="-1" w:type="dxa"/>
              <w:bottom w:w="-1" w:type="dxa"/>
              <w:right w:w="-1" w:type="dxa"/>
            </w:tcMar>
            <w:vAlign w:val="center"/>
          </w:tcPr>
          <w:p w14:paraId="69709268" w14:textId="5503FAC1" w:rsidR="00605785" w:rsidRPr="00F6231A" w:rsidRDefault="00000000">
            <w:pPr>
              <w:keepNext/>
              <w:widowControl/>
              <w:tabs>
                <w:tab w:val="left" w:pos="588"/>
              </w:tabs>
              <w:snapToGrid w:val="0"/>
              <w:ind w:firstLineChars="0" w:firstLine="0"/>
              <w:jc w:val="center"/>
              <w:rPr>
                <w:b/>
                <w:color w:val="000000"/>
                <w:kern w:val="2"/>
              </w:rPr>
            </w:pPr>
            <w:r w:rsidRPr="00F6231A">
              <w:rPr>
                <w:b/>
                <w:snapToGrid w:val="0"/>
                <w:color w:val="000000"/>
                <w:kern w:val="2"/>
              </w:rPr>
              <w:t xml:space="preserve">Intervention </w:t>
            </w:r>
            <w:r w:rsidR="00F6231A">
              <w:rPr>
                <w:b/>
                <w:snapToGrid w:val="0"/>
                <w:color w:val="000000"/>
                <w:kern w:val="2"/>
              </w:rPr>
              <w:t>l</w:t>
            </w:r>
            <w:r w:rsidRPr="00F6231A">
              <w:rPr>
                <w:b/>
                <w:snapToGrid w:val="0"/>
                <w:color w:val="000000"/>
                <w:kern w:val="2"/>
              </w:rPr>
              <w:t>ocation</w:t>
            </w:r>
          </w:p>
        </w:tc>
      </w:tr>
      <w:tr w:rsidR="00605785" w:rsidRPr="00F6231A" w14:paraId="088D9D8E" w14:textId="77777777" w:rsidTr="00F6231A">
        <w:trPr>
          <w:jc w:val="center"/>
        </w:trPr>
        <w:tc>
          <w:tcPr>
            <w:tcW w:w="678" w:type="pct"/>
            <w:vMerge w:val="restart"/>
            <w:tcBorders>
              <w:top w:val="single" w:sz="4" w:space="0" w:color="auto"/>
            </w:tcBorders>
            <w:shd w:val="clear" w:color="auto" w:fill="FFFFFF"/>
            <w:tcMar>
              <w:top w:w="-1" w:type="dxa"/>
              <w:left w:w="-1" w:type="dxa"/>
              <w:bottom w:w="-1" w:type="dxa"/>
              <w:right w:w="-1" w:type="dxa"/>
            </w:tcMar>
            <w:vAlign w:val="center"/>
          </w:tcPr>
          <w:p w14:paraId="049D66B5" w14:textId="77777777" w:rsidR="00605785" w:rsidRPr="00F6231A" w:rsidRDefault="00000000" w:rsidP="00F6231A">
            <w:pPr>
              <w:keepNext/>
              <w:widowControl/>
              <w:tabs>
                <w:tab w:val="left" w:pos="588"/>
              </w:tabs>
              <w:snapToGrid w:val="0"/>
              <w:ind w:firstLineChars="0" w:firstLine="0"/>
              <w:jc w:val="left"/>
              <w:rPr>
                <w:color w:val="000000"/>
                <w:kern w:val="2"/>
              </w:rPr>
            </w:pPr>
            <w:r w:rsidRPr="00F6231A">
              <w:rPr>
                <w:color w:val="000000"/>
                <w:kern w:val="2"/>
              </w:rPr>
              <w:t>1. Knowledge Information and Self-Efficacy</w:t>
            </w:r>
          </w:p>
        </w:tc>
        <w:tc>
          <w:tcPr>
            <w:tcW w:w="716" w:type="pct"/>
            <w:tcBorders>
              <w:top w:val="single" w:sz="4" w:space="0" w:color="auto"/>
            </w:tcBorders>
            <w:shd w:val="clear" w:color="auto" w:fill="FFFFFF"/>
            <w:tcMar>
              <w:top w:w="-1" w:type="dxa"/>
              <w:left w:w="-1" w:type="dxa"/>
              <w:bottom w:w="-1" w:type="dxa"/>
              <w:right w:w="-1" w:type="dxa"/>
            </w:tcMar>
            <w:vAlign w:val="center"/>
          </w:tcPr>
          <w:p w14:paraId="2579E1FB"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1.1</w:t>
            </w:r>
            <w:r w:rsidRPr="00F6231A">
              <w:rPr>
                <w:rFonts w:hint="eastAsia"/>
                <w:color w:val="000000"/>
                <w:kern w:val="2"/>
              </w:rPr>
              <w:t>.</w:t>
            </w:r>
            <w:r w:rsidRPr="00F6231A">
              <w:rPr>
                <w:color w:val="000000"/>
                <w:kern w:val="2"/>
              </w:rPr>
              <w:t xml:space="preserve"> Goal Alignment</w:t>
            </w:r>
          </w:p>
        </w:tc>
        <w:tc>
          <w:tcPr>
            <w:tcW w:w="897" w:type="pct"/>
            <w:tcBorders>
              <w:top w:val="single" w:sz="4" w:space="0" w:color="auto"/>
            </w:tcBorders>
            <w:shd w:val="clear" w:color="auto" w:fill="FFFFFF"/>
            <w:tcMar>
              <w:top w:w="-1" w:type="dxa"/>
              <w:left w:w="-1" w:type="dxa"/>
              <w:bottom w:w="-1" w:type="dxa"/>
              <w:right w:w="-1" w:type="dxa"/>
            </w:tcMar>
            <w:vAlign w:val="center"/>
          </w:tcPr>
          <w:p w14:paraId="4FDF24D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1.1.1</w:t>
            </w:r>
            <w:r w:rsidRPr="00F6231A">
              <w:rPr>
                <w:rFonts w:hint="eastAsia"/>
                <w:color w:val="000000"/>
                <w:kern w:val="2"/>
              </w:rPr>
              <w:t>.</w:t>
            </w:r>
            <w:r w:rsidRPr="00F6231A">
              <w:rPr>
                <w:color w:val="000000"/>
                <w:kern w:val="2"/>
              </w:rPr>
              <w:t xml:space="preserve"> Introduce to the patient the content, purpose, and significance of the intervention, and establish appropriate goals based on the patient’s individual circumstances.</w:t>
            </w:r>
          </w:p>
          <w:p w14:paraId="3E94161B"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1.1.2</w:t>
            </w:r>
            <w:r w:rsidRPr="00F6231A">
              <w:rPr>
                <w:rFonts w:hint="eastAsia"/>
                <w:color w:val="000000"/>
                <w:kern w:val="2"/>
              </w:rPr>
              <w:t>.</w:t>
            </w:r>
            <w:r w:rsidRPr="00F6231A">
              <w:rPr>
                <w:color w:val="000000"/>
                <w:kern w:val="2"/>
              </w:rPr>
              <w:t xml:space="preserve"> Conduct motivational interviews to assess the patient’s relevant nursing knowledge and self-efficacy levels, facilitating the development of tailored training content in the later stages.</w:t>
            </w:r>
          </w:p>
        </w:tc>
        <w:tc>
          <w:tcPr>
            <w:tcW w:w="731" w:type="pct"/>
            <w:tcBorders>
              <w:top w:val="single" w:sz="4" w:space="0" w:color="auto"/>
            </w:tcBorders>
            <w:shd w:val="clear" w:color="auto" w:fill="FFFFFF"/>
            <w:tcMar>
              <w:top w:w="-1" w:type="dxa"/>
              <w:left w:w="-1" w:type="dxa"/>
              <w:bottom w:w="-1" w:type="dxa"/>
              <w:right w:w="-1" w:type="dxa"/>
            </w:tcMar>
            <w:vAlign w:val="center"/>
          </w:tcPr>
          <w:p w14:paraId="5220DBC8"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t>One-on-one communication</w:t>
            </w:r>
          </w:p>
        </w:tc>
        <w:tc>
          <w:tcPr>
            <w:tcW w:w="691" w:type="pct"/>
            <w:tcBorders>
              <w:top w:val="single" w:sz="4" w:space="0" w:color="auto"/>
            </w:tcBorders>
            <w:shd w:val="clear" w:color="auto" w:fill="FFFFFF"/>
            <w:tcMar>
              <w:top w:w="-1" w:type="dxa"/>
              <w:left w:w="-1" w:type="dxa"/>
              <w:bottom w:w="-1" w:type="dxa"/>
              <w:right w:w="-1" w:type="dxa"/>
            </w:tcMar>
            <w:vAlign w:val="center"/>
          </w:tcPr>
          <w:p w14:paraId="519C568E"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t>2 hours after enrollment</w:t>
            </w:r>
          </w:p>
        </w:tc>
        <w:tc>
          <w:tcPr>
            <w:tcW w:w="616" w:type="pct"/>
            <w:tcBorders>
              <w:top w:val="single" w:sz="4" w:space="0" w:color="auto"/>
            </w:tcBorders>
            <w:shd w:val="clear" w:color="auto" w:fill="FFFFFF"/>
            <w:tcMar>
              <w:top w:w="-1" w:type="dxa"/>
              <w:left w:w="-1" w:type="dxa"/>
              <w:bottom w:w="-1" w:type="dxa"/>
              <w:right w:w="-1" w:type="dxa"/>
            </w:tcMar>
            <w:vAlign w:val="center"/>
          </w:tcPr>
          <w:p w14:paraId="75B169B0"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t>Researcher</w:t>
            </w:r>
          </w:p>
        </w:tc>
        <w:tc>
          <w:tcPr>
            <w:tcW w:w="672" w:type="pct"/>
            <w:tcBorders>
              <w:top w:val="single" w:sz="4" w:space="0" w:color="auto"/>
            </w:tcBorders>
            <w:shd w:val="clear" w:color="auto" w:fill="FFFFFF"/>
            <w:tcMar>
              <w:top w:w="-1" w:type="dxa"/>
              <w:left w:w="-1" w:type="dxa"/>
              <w:bottom w:w="-1" w:type="dxa"/>
              <w:right w:w="-1" w:type="dxa"/>
            </w:tcMar>
            <w:vAlign w:val="center"/>
          </w:tcPr>
          <w:p w14:paraId="3230788E"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t>Hemodialysis Room</w:t>
            </w:r>
          </w:p>
        </w:tc>
      </w:tr>
      <w:tr w:rsidR="00605785" w:rsidRPr="00F6231A" w14:paraId="72E17942" w14:textId="77777777" w:rsidTr="00F6231A">
        <w:trPr>
          <w:jc w:val="center"/>
        </w:trPr>
        <w:tc>
          <w:tcPr>
            <w:tcW w:w="678" w:type="pct"/>
            <w:vMerge/>
            <w:shd w:val="clear" w:color="auto" w:fill="FFFFFF"/>
            <w:tcMar>
              <w:top w:w="-1" w:type="dxa"/>
              <w:left w:w="-1" w:type="dxa"/>
              <w:bottom w:w="-1" w:type="dxa"/>
              <w:right w:w="-1" w:type="dxa"/>
            </w:tcMar>
            <w:vAlign w:val="center"/>
          </w:tcPr>
          <w:p w14:paraId="3BE20C61" w14:textId="77777777" w:rsidR="00605785" w:rsidRPr="00F6231A" w:rsidRDefault="00605785" w:rsidP="00F6231A">
            <w:pPr>
              <w:keepNext/>
              <w:widowControl/>
              <w:tabs>
                <w:tab w:val="left" w:pos="588"/>
              </w:tabs>
              <w:snapToGrid w:val="0"/>
              <w:ind w:firstLineChars="0" w:firstLine="0"/>
              <w:jc w:val="left"/>
              <w:rPr>
                <w:color w:val="000000"/>
                <w:kern w:val="2"/>
              </w:rPr>
            </w:pPr>
          </w:p>
        </w:tc>
        <w:tc>
          <w:tcPr>
            <w:tcW w:w="716" w:type="pct"/>
            <w:shd w:val="clear" w:color="auto" w:fill="FFFFFF"/>
            <w:tcMar>
              <w:top w:w="-1" w:type="dxa"/>
              <w:left w:w="-1" w:type="dxa"/>
              <w:bottom w:w="-1" w:type="dxa"/>
              <w:right w:w="-1" w:type="dxa"/>
            </w:tcMar>
            <w:vAlign w:val="center"/>
          </w:tcPr>
          <w:p w14:paraId="6A01BD2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1.2. Patient-related disease and nursing knowledge information</w:t>
            </w:r>
          </w:p>
        </w:tc>
        <w:tc>
          <w:tcPr>
            <w:tcW w:w="897" w:type="pct"/>
            <w:shd w:val="clear" w:color="auto" w:fill="FFFFFF"/>
            <w:tcMar>
              <w:top w:w="-1" w:type="dxa"/>
              <w:left w:w="-1" w:type="dxa"/>
              <w:bottom w:w="-1" w:type="dxa"/>
              <w:right w:w="-1" w:type="dxa"/>
            </w:tcMar>
            <w:vAlign w:val="center"/>
          </w:tcPr>
          <w:p w14:paraId="5FC1774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1.2.1</w:t>
            </w:r>
            <w:r w:rsidRPr="00F6231A">
              <w:rPr>
                <w:rFonts w:hint="eastAsia"/>
                <w:color w:val="000000"/>
                <w:kern w:val="2"/>
              </w:rPr>
              <w:t>.</w:t>
            </w:r>
            <w:r w:rsidRPr="00F6231A">
              <w:rPr>
                <w:color w:val="000000"/>
                <w:kern w:val="2"/>
              </w:rPr>
              <w:t xml:space="preserve"> Utilize large-print, visually engaging knowledge booklets combined with mind maps, integrating both online and offline methods, to explain to </w:t>
            </w:r>
            <w:proofErr w:type="gramStart"/>
            <w:r w:rsidRPr="00F6231A">
              <w:rPr>
                <w:color w:val="000000"/>
                <w:kern w:val="2"/>
              </w:rPr>
              <w:t>patients</w:t>
            </w:r>
            <w:proofErr w:type="gramEnd"/>
            <w:r w:rsidRPr="00F6231A">
              <w:rPr>
                <w:color w:val="000000"/>
                <w:kern w:val="2"/>
              </w:rPr>
              <w:t xml:space="preserve"> knowledge about dialysis principles, arteriovenous fistula (AVF) function, influencing factors, abnormal conditions, related complications, and more.</w:t>
            </w:r>
          </w:p>
          <w:p w14:paraId="1C0A966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1.2.2</w:t>
            </w:r>
            <w:r w:rsidRPr="00F6231A">
              <w:rPr>
                <w:rFonts w:hint="eastAsia"/>
                <w:color w:val="000000"/>
                <w:kern w:val="2"/>
              </w:rPr>
              <w:t>.</w:t>
            </w:r>
            <w:r w:rsidRPr="00F6231A">
              <w:rPr>
                <w:color w:val="000000"/>
                <w:kern w:val="2"/>
              </w:rPr>
              <w:t xml:space="preserve"> Emphasize the importance of AVF self-care and provide specific instructions, such as avoiding prolonged weight-bearing on the arm with the puncture site, refraining from taking blood pressure or drawing blood from that arm, and wearing loose and comfortable clothing.</w:t>
            </w:r>
          </w:p>
          <w:p w14:paraId="5D3971B8"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1.2.3</w:t>
            </w:r>
            <w:r w:rsidRPr="00F6231A">
              <w:rPr>
                <w:rFonts w:hint="eastAsia"/>
                <w:color w:val="000000"/>
                <w:kern w:val="2"/>
              </w:rPr>
              <w:t>.</w:t>
            </w:r>
            <w:r w:rsidRPr="00F6231A">
              <w:rPr>
                <w:color w:val="000000"/>
                <w:kern w:val="2"/>
              </w:rPr>
              <w:t xml:space="preserve"> Focus on explaining and </w:t>
            </w:r>
            <w:r w:rsidRPr="00F6231A">
              <w:rPr>
                <w:color w:val="000000"/>
                <w:kern w:val="2"/>
              </w:rPr>
              <w:lastRenderedPageBreak/>
              <w:t>providing guidance on items with low self-management scores.</w:t>
            </w:r>
          </w:p>
        </w:tc>
        <w:tc>
          <w:tcPr>
            <w:tcW w:w="731" w:type="pct"/>
            <w:shd w:val="clear" w:color="auto" w:fill="FFFFFF"/>
            <w:tcMar>
              <w:top w:w="-1" w:type="dxa"/>
              <w:left w:w="-1" w:type="dxa"/>
              <w:bottom w:w="-1" w:type="dxa"/>
              <w:right w:w="-1" w:type="dxa"/>
            </w:tcMar>
            <w:vAlign w:val="center"/>
          </w:tcPr>
          <w:p w14:paraId="7FCC7A6E"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lastRenderedPageBreak/>
              <w:t>In-person instruction; remote teaching</w:t>
            </w:r>
          </w:p>
        </w:tc>
        <w:tc>
          <w:tcPr>
            <w:tcW w:w="691" w:type="pct"/>
            <w:shd w:val="clear" w:color="auto" w:fill="FFFFFF"/>
            <w:tcMar>
              <w:top w:w="-1" w:type="dxa"/>
              <w:left w:w="-1" w:type="dxa"/>
              <w:bottom w:w="-1" w:type="dxa"/>
              <w:right w:w="-1" w:type="dxa"/>
            </w:tcMar>
            <w:vAlign w:val="center"/>
          </w:tcPr>
          <w:p w14:paraId="6281BEF3"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Once a day for 30 minutes each session in the first week.</w:t>
            </w:r>
          </w:p>
        </w:tc>
        <w:tc>
          <w:tcPr>
            <w:tcW w:w="616" w:type="pct"/>
            <w:shd w:val="clear" w:color="auto" w:fill="FFFFFF"/>
            <w:tcMar>
              <w:top w:w="-1" w:type="dxa"/>
              <w:left w:w="-1" w:type="dxa"/>
              <w:bottom w:w="-1" w:type="dxa"/>
              <w:right w:w="-1" w:type="dxa"/>
            </w:tcMar>
            <w:vAlign w:val="center"/>
          </w:tcPr>
          <w:p w14:paraId="26876D2F"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Researchers and specialist nurses</w:t>
            </w:r>
          </w:p>
        </w:tc>
        <w:tc>
          <w:tcPr>
            <w:tcW w:w="672" w:type="pct"/>
            <w:shd w:val="clear" w:color="auto" w:fill="FFFFFF"/>
            <w:tcMar>
              <w:top w:w="-1" w:type="dxa"/>
              <w:left w:w="-1" w:type="dxa"/>
              <w:bottom w:w="-1" w:type="dxa"/>
              <w:right w:w="-1" w:type="dxa"/>
            </w:tcMar>
            <w:vAlign w:val="center"/>
          </w:tcPr>
          <w:p w14:paraId="3474760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Hemodialysis Demonstration Classroom; Remote Medical Conference Room</w:t>
            </w:r>
          </w:p>
        </w:tc>
      </w:tr>
      <w:tr w:rsidR="00605785" w:rsidRPr="00F6231A" w14:paraId="68D08C2B" w14:textId="77777777" w:rsidTr="00F6231A">
        <w:trPr>
          <w:jc w:val="center"/>
        </w:trPr>
        <w:tc>
          <w:tcPr>
            <w:tcW w:w="678" w:type="pct"/>
            <w:vMerge/>
            <w:shd w:val="clear" w:color="auto" w:fill="FFFFFF"/>
            <w:tcMar>
              <w:top w:w="-1" w:type="dxa"/>
              <w:left w:w="-1" w:type="dxa"/>
              <w:bottom w:w="-1" w:type="dxa"/>
              <w:right w:w="-1" w:type="dxa"/>
            </w:tcMar>
            <w:vAlign w:val="center"/>
          </w:tcPr>
          <w:p w14:paraId="4EF5BD15" w14:textId="77777777" w:rsidR="00605785" w:rsidRPr="00F6231A" w:rsidRDefault="00605785" w:rsidP="00F6231A">
            <w:pPr>
              <w:keepNext/>
              <w:widowControl/>
              <w:tabs>
                <w:tab w:val="left" w:pos="588"/>
              </w:tabs>
              <w:snapToGrid w:val="0"/>
              <w:ind w:firstLineChars="0" w:firstLine="0"/>
              <w:jc w:val="left"/>
              <w:rPr>
                <w:color w:val="000000"/>
                <w:kern w:val="2"/>
              </w:rPr>
            </w:pPr>
          </w:p>
        </w:tc>
        <w:tc>
          <w:tcPr>
            <w:tcW w:w="716" w:type="pct"/>
            <w:shd w:val="clear" w:color="auto" w:fill="FFFFFF"/>
            <w:tcMar>
              <w:top w:w="-1" w:type="dxa"/>
              <w:left w:w="-1" w:type="dxa"/>
              <w:bottom w:w="-1" w:type="dxa"/>
              <w:right w:w="-1" w:type="dxa"/>
            </w:tcMar>
            <w:vAlign w:val="center"/>
          </w:tcPr>
          <w:p w14:paraId="44639BE1"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1.3. Self-efficacy</w:t>
            </w:r>
          </w:p>
        </w:tc>
        <w:tc>
          <w:tcPr>
            <w:tcW w:w="897" w:type="pct"/>
            <w:shd w:val="clear" w:color="auto" w:fill="FFFFFF"/>
            <w:tcMar>
              <w:top w:w="-1" w:type="dxa"/>
              <w:left w:w="-1" w:type="dxa"/>
              <w:bottom w:w="-1" w:type="dxa"/>
              <w:right w:w="-1" w:type="dxa"/>
            </w:tcMar>
            <w:vAlign w:val="center"/>
          </w:tcPr>
          <w:p w14:paraId="3C5FEAF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1.3.1</w:t>
            </w:r>
            <w:r w:rsidRPr="00F6231A">
              <w:rPr>
                <w:rFonts w:hint="eastAsia"/>
                <w:color w:val="000000"/>
                <w:kern w:val="2"/>
              </w:rPr>
              <w:t>.</w:t>
            </w:r>
            <w:r w:rsidRPr="00F6231A">
              <w:rPr>
                <w:color w:val="000000"/>
                <w:kern w:val="2"/>
              </w:rPr>
              <w:t xml:space="preserve"> Explain the definition and significance of self-efficacy, introduce positive case studies through kidney patient support groups, invite exemplary patients to share their experiences, and play video case studies to inspire patients to enhance their self-efficacy.</w:t>
            </w:r>
          </w:p>
          <w:p w14:paraId="46C6ED76"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1.3.2</w:t>
            </w:r>
            <w:r w:rsidRPr="00F6231A">
              <w:rPr>
                <w:rFonts w:hint="eastAsia"/>
                <w:color w:val="000000"/>
                <w:kern w:val="2"/>
              </w:rPr>
              <w:t>.</w:t>
            </w:r>
            <w:r w:rsidRPr="00F6231A">
              <w:rPr>
                <w:color w:val="000000"/>
                <w:kern w:val="2"/>
              </w:rPr>
              <w:t xml:space="preserve"> Provide non-monetary positive feedback or health-promoting small gifts as rewards to outstanding patients who share their experiences.</w:t>
            </w:r>
          </w:p>
        </w:tc>
        <w:tc>
          <w:tcPr>
            <w:tcW w:w="731" w:type="pct"/>
            <w:shd w:val="clear" w:color="auto" w:fill="FFFFFF"/>
            <w:tcMar>
              <w:top w:w="-1" w:type="dxa"/>
              <w:left w:w="-1" w:type="dxa"/>
              <w:bottom w:w="-1" w:type="dxa"/>
              <w:right w:w="-1" w:type="dxa"/>
            </w:tcMar>
            <w:vAlign w:val="center"/>
          </w:tcPr>
          <w:p w14:paraId="5890A3E1"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Introduce cases; facilitate communication.</w:t>
            </w:r>
          </w:p>
        </w:tc>
        <w:tc>
          <w:tcPr>
            <w:tcW w:w="691" w:type="pct"/>
            <w:shd w:val="clear" w:color="auto" w:fill="FFFFFF"/>
            <w:tcMar>
              <w:top w:w="-1" w:type="dxa"/>
              <w:left w:w="-1" w:type="dxa"/>
              <w:bottom w:w="-1" w:type="dxa"/>
              <w:right w:w="-1" w:type="dxa"/>
            </w:tcMar>
            <w:vAlign w:val="center"/>
          </w:tcPr>
          <w:p w14:paraId="3FEBCAAD"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Once a week for 1 hour per session at weeks 2, 4, 6, and 8.</w:t>
            </w:r>
          </w:p>
        </w:tc>
        <w:tc>
          <w:tcPr>
            <w:tcW w:w="616" w:type="pct"/>
            <w:shd w:val="clear" w:color="auto" w:fill="FFFFFF"/>
            <w:tcMar>
              <w:top w:w="-1" w:type="dxa"/>
              <w:left w:w="-1" w:type="dxa"/>
              <w:bottom w:w="-1" w:type="dxa"/>
              <w:right w:w="-1" w:type="dxa"/>
            </w:tcMar>
            <w:vAlign w:val="center"/>
          </w:tcPr>
          <w:p w14:paraId="53CB23D1"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Researchers and specialist nurses.</w:t>
            </w:r>
          </w:p>
        </w:tc>
        <w:tc>
          <w:tcPr>
            <w:tcW w:w="672" w:type="pct"/>
            <w:shd w:val="clear" w:color="auto" w:fill="FFFFFF"/>
            <w:tcMar>
              <w:top w:w="-1" w:type="dxa"/>
              <w:left w:w="-1" w:type="dxa"/>
              <w:bottom w:w="-1" w:type="dxa"/>
              <w:right w:w="-1" w:type="dxa"/>
            </w:tcMar>
            <w:vAlign w:val="center"/>
          </w:tcPr>
          <w:p w14:paraId="3329E20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Hemodialysis demonstration classroom; online conference.</w:t>
            </w:r>
          </w:p>
        </w:tc>
      </w:tr>
      <w:tr w:rsidR="00605785" w:rsidRPr="00F6231A" w14:paraId="170C71A1" w14:textId="77777777" w:rsidTr="00F6231A">
        <w:trPr>
          <w:jc w:val="center"/>
        </w:trPr>
        <w:tc>
          <w:tcPr>
            <w:tcW w:w="678" w:type="pct"/>
            <w:vMerge w:val="restart"/>
            <w:shd w:val="clear" w:color="auto" w:fill="FFFFFF"/>
            <w:tcMar>
              <w:top w:w="-1" w:type="dxa"/>
              <w:left w:w="-1" w:type="dxa"/>
              <w:bottom w:w="-1" w:type="dxa"/>
              <w:right w:w="-1" w:type="dxa"/>
            </w:tcMar>
            <w:vAlign w:val="center"/>
          </w:tcPr>
          <w:p w14:paraId="239E29DC" w14:textId="77777777" w:rsidR="00605785" w:rsidRPr="00F6231A" w:rsidRDefault="00000000" w:rsidP="00F6231A">
            <w:pPr>
              <w:keepNext/>
              <w:widowControl/>
              <w:tabs>
                <w:tab w:val="left" w:pos="588"/>
              </w:tabs>
              <w:snapToGrid w:val="0"/>
              <w:ind w:firstLineChars="0" w:firstLine="0"/>
              <w:jc w:val="left"/>
              <w:rPr>
                <w:color w:val="000000"/>
                <w:kern w:val="2"/>
              </w:rPr>
            </w:pPr>
            <w:r w:rsidRPr="00F6231A">
              <w:rPr>
                <w:color w:val="000000"/>
                <w:kern w:val="2"/>
              </w:rPr>
              <w:lastRenderedPageBreak/>
              <w:t>2</w:t>
            </w:r>
            <w:r w:rsidRPr="00F6231A">
              <w:rPr>
                <w:rFonts w:hint="eastAsia"/>
                <w:color w:val="000000"/>
                <w:kern w:val="2"/>
              </w:rPr>
              <w:t>.</w:t>
            </w:r>
            <w:r w:rsidRPr="00F6231A">
              <w:rPr>
                <w:color w:val="000000"/>
                <w:kern w:val="2"/>
              </w:rPr>
              <w:t xml:space="preserve"> Self-regulation skills and abilities</w:t>
            </w:r>
          </w:p>
        </w:tc>
        <w:tc>
          <w:tcPr>
            <w:tcW w:w="716" w:type="pct"/>
            <w:shd w:val="clear" w:color="auto" w:fill="FFFFFF"/>
            <w:tcMar>
              <w:top w:w="-1" w:type="dxa"/>
              <w:left w:w="-1" w:type="dxa"/>
              <w:bottom w:w="-1" w:type="dxa"/>
              <w:right w:w="-1" w:type="dxa"/>
            </w:tcMar>
            <w:vAlign w:val="center"/>
          </w:tcPr>
          <w:p w14:paraId="05B8A768"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2.1</w:t>
            </w:r>
            <w:r w:rsidRPr="00F6231A">
              <w:rPr>
                <w:rFonts w:hint="eastAsia"/>
                <w:color w:val="000000"/>
                <w:kern w:val="2"/>
              </w:rPr>
              <w:t>.</w:t>
            </w:r>
            <w:r w:rsidRPr="00F6231A">
              <w:rPr>
                <w:color w:val="000000"/>
                <w:kern w:val="2"/>
              </w:rPr>
              <w:t xml:space="preserve"> Goal setting</w:t>
            </w:r>
          </w:p>
        </w:tc>
        <w:tc>
          <w:tcPr>
            <w:tcW w:w="897" w:type="pct"/>
            <w:shd w:val="clear" w:color="auto" w:fill="FFFFFF"/>
            <w:tcMar>
              <w:top w:w="-1" w:type="dxa"/>
              <w:left w:w="-1" w:type="dxa"/>
              <w:bottom w:w="-1" w:type="dxa"/>
              <w:right w:w="-1" w:type="dxa"/>
            </w:tcMar>
            <w:vAlign w:val="center"/>
          </w:tcPr>
          <w:p w14:paraId="17FAE307"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2.1.1</w:t>
            </w:r>
            <w:r w:rsidRPr="00F6231A">
              <w:rPr>
                <w:rFonts w:hint="eastAsia"/>
                <w:color w:val="000000"/>
                <w:kern w:val="2"/>
              </w:rPr>
              <w:t>.</w:t>
            </w:r>
            <w:r w:rsidRPr="00F6231A">
              <w:rPr>
                <w:color w:val="000000"/>
                <w:kern w:val="2"/>
              </w:rPr>
              <w:t xml:space="preserve"> Motivational interviewing is employed to understand the patient's level of self-care ability, self-needs, and expectations, and to collaborate with family members in formulating an action plan that clearly outlines goals and methods for each stage. Monthly progress reports are presented during discussion sessions.</w:t>
            </w:r>
          </w:p>
        </w:tc>
        <w:tc>
          <w:tcPr>
            <w:tcW w:w="731" w:type="pct"/>
            <w:shd w:val="clear" w:color="auto" w:fill="FFFFFF"/>
            <w:tcMar>
              <w:top w:w="-1" w:type="dxa"/>
              <w:left w:w="-1" w:type="dxa"/>
              <w:bottom w:w="-1" w:type="dxa"/>
              <w:right w:w="-1" w:type="dxa"/>
            </w:tcMar>
            <w:vAlign w:val="center"/>
          </w:tcPr>
          <w:p w14:paraId="0EE43766"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One-on-one communication</w:t>
            </w:r>
          </w:p>
        </w:tc>
        <w:tc>
          <w:tcPr>
            <w:tcW w:w="691" w:type="pct"/>
            <w:shd w:val="clear" w:color="auto" w:fill="FFFFFF"/>
            <w:tcMar>
              <w:top w:w="-1" w:type="dxa"/>
              <w:left w:w="-1" w:type="dxa"/>
              <w:bottom w:w="-1" w:type="dxa"/>
              <w:right w:w="-1" w:type="dxa"/>
            </w:tcMar>
            <w:vAlign w:val="center"/>
          </w:tcPr>
          <w:p w14:paraId="642DEBD7"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 hours after enrollment</w:t>
            </w:r>
          </w:p>
        </w:tc>
        <w:tc>
          <w:tcPr>
            <w:tcW w:w="616" w:type="pct"/>
            <w:shd w:val="clear" w:color="auto" w:fill="FFFFFF"/>
            <w:tcMar>
              <w:top w:w="-1" w:type="dxa"/>
              <w:left w:w="-1" w:type="dxa"/>
              <w:bottom w:w="-1" w:type="dxa"/>
              <w:right w:w="-1" w:type="dxa"/>
            </w:tcMar>
            <w:vAlign w:val="center"/>
          </w:tcPr>
          <w:p w14:paraId="50BD8241" w14:textId="77777777" w:rsidR="00605785" w:rsidRPr="00F6231A" w:rsidRDefault="00000000">
            <w:pPr>
              <w:keepNext/>
              <w:widowControl/>
              <w:tabs>
                <w:tab w:val="left" w:pos="588"/>
              </w:tabs>
              <w:snapToGrid w:val="0"/>
              <w:ind w:firstLineChars="0" w:firstLine="0"/>
              <w:jc w:val="center"/>
              <w:rPr>
                <w:color w:val="000000"/>
                <w:kern w:val="2"/>
              </w:rPr>
            </w:pPr>
            <w:r w:rsidRPr="00F6231A">
              <w:rPr>
                <w:snapToGrid w:val="0"/>
                <w:color w:val="000000"/>
                <w:kern w:val="2"/>
              </w:rPr>
              <w:t>Researcher</w:t>
            </w:r>
          </w:p>
        </w:tc>
        <w:tc>
          <w:tcPr>
            <w:tcW w:w="672" w:type="pct"/>
            <w:shd w:val="clear" w:color="auto" w:fill="FFFFFF"/>
            <w:tcMar>
              <w:top w:w="-1" w:type="dxa"/>
              <w:left w:w="-1" w:type="dxa"/>
              <w:bottom w:w="-1" w:type="dxa"/>
              <w:right w:w="-1" w:type="dxa"/>
            </w:tcMar>
            <w:vAlign w:val="center"/>
          </w:tcPr>
          <w:p w14:paraId="113AC7B7"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ward</w:t>
            </w:r>
          </w:p>
        </w:tc>
      </w:tr>
      <w:tr w:rsidR="00605785" w:rsidRPr="00F6231A" w14:paraId="12B6AFCA" w14:textId="77777777" w:rsidTr="00F6231A">
        <w:trPr>
          <w:jc w:val="center"/>
        </w:trPr>
        <w:tc>
          <w:tcPr>
            <w:tcW w:w="678" w:type="pct"/>
            <w:vMerge/>
            <w:shd w:val="clear" w:color="auto" w:fill="FFFFFF"/>
            <w:tcMar>
              <w:top w:w="-1" w:type="dxa"/>
              <w:left w:w="-1" w:type="dxa"/>
              <w:bottom w:w="-1" w:type="dxa"/>
              <w:right w:w="-1" w:type="dxa"/>
            </w:tcMar>
            <w:vAlign w:val="center"/>
          </w:tcPr>
          <w:p w14:paraId="536FDF2A" w14:textId="77777777" w:rsidR="00605785" w:rsidRPr="00F6231A" w:rsidRDefault="00605785" w:rsidP="00F6231A">
            <w:pPr>
              <w:keepNext/>
              <w:widowControl/>
              <w:tabs>
                <w:tab w:val="left" w:pos="588"/>
              </w:tabs>
              <w:snapToGrid w:val="0"/>
              <w:ind w:firstLineChars="0" w:firstLine="0"/>
              <w:jc w:val="left"/>
              <w:rPr>
                <w:color w:val="000000"/>
                <w:kern w:val="2"/>
              </w:rPr>
            </w:pPr>
          </w:p>
        </w:tc>
        <w:tc>
          <w:tcPr>
            <w:tcW w:w="716" w:type="pct"/>
            <w:shd w:val="clear" w:color="auto" w:fill="FFFFFF"/>
            <w:tcMar>
              <w:top w:w="-1" w:type="dxa"/>
              <w:left w:w="-1" w:type="dxa"/>
              <w:bottom w:w="-1" w:type="dxa"/>
              <w:right w:w="-1" w:type="dxa"/>
            </w:tcMar>
            <w:vAlign w:val="center"/>
          </w:tcPr>
          <w:p w14:paraId="05D13883"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w:t>
            </w:r>
            <w:r w:rsidRPr="00F6231A">
              <w:rPr>
                <w:rFonts w:hint="eastAsia"/>
                <w:color w:val="000000"/>
                <w:kern w:val="2"/>
              </w:rPr>
              <w:t>.</w:t>
            </w:r>
            <w:r w:rsidRPr="00F6231A">
              <w:rPr>
                <w:color w:val="000000"/>
                <w:kern w:val="2"/>
              </w:rPr>
              <w:t xml:space="preserve"> Internal fistula maintenance skills</w:t>
            </w:r>
          </w:p>
        </w:tc>
        <w:tc>
          <w:tcPr>
            <w:tcW w:w="897" w:type="pct"/>
            <w:shd w:val="clear" w:color="auto" w:fill="FFFFFF"/>
            <w:tcMar>
              <w:top w:w="-1" w:type="dxa"/>
              <w:left w:w="-1" w:type="dxa"/>
              <w:bottom w:w="-1" w:type="dxa"/>
              <w:right w:w="-1" w:type="dxa"/>
            </w:tcMar>
            <w:vAlign w:val="center"/>
          </w:tcPr>
          <w:p w14:paraId="46719C6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2.2.1</w:t>
            </w:r>
            <w:r w:rsidRPr="00F6231A">
              <w:rPr>
                <w:rFonts w:hint="eastAsia"/>
                <w:color w:val="000000"/>
                <w:kern w:val="2"/>
              </w:rPr>
              <w:t>.</w:t>
            </w:r>
            <w:r w:rsidRPr="00F6231A">
              <w:rPr>
                <w:color w:val="000000"/>
                <w:kern w:val="2"/>
              </w:rPr>
              <w:t xml:space="preserve"> Employ relaxation training and palpation exercises to reduce anxiety responses during internal fistula manipulation.</w:t>
            </w:r>
          </w:p>
          <w:p w14:paraId="0F8B139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2.2.2</w:t>
            </w:r>
            <w:r w:rsidRPr="00F6231A">
              <w:rPr>
                <w:rFonts w:hint="eastAsia"/>
                <w:color w:val="000000"/>
                <w:kern w:val="2"/>
              </w:rPr>
              <w:t>.</w:t>
            </w:r>
            <w:r w:rsidRPr="00F6231A">
              <w:rPr>
                <w:color w:val="000000"/>
                <w:kern w:val="2"/>
              </w:rPr>
              <w:t xml:space="preserve"> Self-monitoring: Instruct patients on the methods and key points of “looking, touching, listening, and raising”</w:t>
            </w:r>
            <w:r w:rsidRPr="00F6231A">
              <w:rPr>
                <w:rFonts w:hint="eastAsia"/>
                <w:color w:val="000000"/>
                <w:kern w:val="2"/>
              </w:rPr>
              <w:t xml:space="preserve"> </w:t>
            </w:r>
            <w:r w:rsidRPr="00F6231A">
              <w:rPr>
                <w:color w:val="000000"/>
                <w:kern w:val="2"/>
              </w:rPr>
              <w:t>to identify issues through alternating operation and make corrections.</w:t>
            </w:r>
          </w:p>
          <w:p w14:paraId="657A287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2.2.3</w:t>
            </w:r>
            <w:r w:rsidRPr="00F6231A">
              <w:rPr>
                <w:rFonts w:hint="eastAsia"/>
                <w:color w:val="000000"/>
                <w:kern w:val="2"/>
              </w:rPr>
              <w:t>.</w:t>
            </w:r>
            <w:r w:rsidRPr="00F6231A">
              <w:rPr>
                <w:color w:val="000000"/>
                <w:kern w:val="2"/>
              </w:rPr>
              <w:t xml:space="preserve"> Observation and identification methods for complications: Check for vascular thrill, redness on the skin surface, changes in vascular murmurs, etc., to determine the presence of abnormalities such as stenosis, thrombosis, infection, swelling, or bleeding.</w:t>
            </w:r>
          </w:p>
          <w:p w14:paraId="1A7057E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2.2.4</w:t>
            </w:r>
            <w:r w:rsidRPr="00F6231A">
              <w:rPr>
                <w:rFonts w:hint="eastAsia"/>
                <w:color w:val="000000"/>
                <w:kern w:val="2"/>
              </w:rPr>
              <w:t>.</w:t>
            </w:r>
            <w:r w:rsidRPr="00F6231A">
              <w:rPr>
                <w:color w:val="000000"/>
                <w:kern w:val="2"/>
              </w:rPr>
              <w:t xml:space="preserve"> Exercise training: Teach patients to use tolerable </w:t>
            </w:r>
            <w:r w:rsidRPr="00F6231A">
              <w:rPr>
                <w:color w:val="000000"/>
                <w:kern w:val="2"/>
              </w:rPr>
              <w:lastRenderedPageBreak/>
              <w:t>exercise methods, such as internal fistula exercises and grip balls, to enhance internal fistula function, and develop personalized exercise plans.</w:t>
            </w:r>
          </w:p>
          <w:p w14:paraId="62E9ACA8"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2.2.5</w:t>
            </w:r>
            <w:r w:rsidRPr="00F6231A">
              <w:rPr>
                <w:rFonts w:hint="eastAsia"/>
                <w:color w:val="000000"/>
                <w:kern w:val="2"/>
              </w:rPr>
              <w:t>.</w:t>
            </w:r>
            <w:r w:rsidRPr="00F6231A">
              <w:rPr>
                <w:color w:val="000000"/>
                <w:kern w:val="2"/>
              </w:rPr>
              <w:t xml:space="preserve"> Nutritional guidance: Enable patients to clearly understand their nutritional needs, identify the nutrient content of various foods, and calculate dietary intake requirements.</w:t>
            </w:r>
          </w:p>
          <w:p w14:paraId="3991A48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2.2.6</w:t>
            </w:r>
            <w:r w:rsidRPr="00F6231A">
              <w:rPr>
                <w:rFonts w:hint="eastAsia"/>
                <w:color w:val="000000"/>
                <w:kern w:val="2"/>
              </w:rPr>
              <w:t>.</w:t>
            </w:r>
            <w:r w:rsidRPr="00F6231A">
              <w:rPr>
                <w:color w:val="000000"/>
                <w:kern w:val="2"/>
              </w:rPr>
              <w:t xml:space="preserve"> Fluid management: Instruct and demonstrate the correct methods and timing for monitoring blood pressure and measuring body weight.</w:t>
            </w:r>
          </w:p>
        </w:tc>
        <w:tc>
          <w:tcPr>
            <w:tcW w:w="731" w:type="pct"/>
            <w:shd w:val="clear" w:color="auto" w:fill="FFFFFF"/>
            <w:tcMar>
              <w:top w:w="-1" w:type="dxa"/>
              <w:left w:w="-1" w:type="dxa"/>
              <w:bottom w:w="-1" w:type="dxa"/>
              <w:right w:w="-1" w:type="dxa"/>
            </w:tcMar>
            <w:vAlign w:val="center"/>
          </w:tcPr>
          <w:p w14:paraId="23611C9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lastRenderedPageBreak/>
              <w:t>On-site demonstration, one-on-one guidance, group discussion, and video playback.</w:t>
            </w:r>
          </w:p>
        </w:tc>
        <w:tc>
          <w:tcPr>
            <w:tcW w:w="691" w:type="pct"/>
            <w:shd w:val="clear" w:color="auto" w:fill="FFFFFF"/>
            <w:tcMar>
              <w:top w:w="-1" w:type="dxa"/>
              <w:left w:w="-1" w:type="dxa"/>
              <w:bottom w:w="-1" w:type="dxa"/>
              <w:right w:w="-1" w:type="dxa"/>
            </w:tcMar>
            <w:vAlign w:val="center"/>
          </w:tcPr>
          <w:p w14:paraId="5F93A9DF"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Weeks 1, 3, 5, and 7</w:t>
            </w:r>
          </w:p>
          <w:p w14:paraId="3EE8AD0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Twice a week, 1 hour per session</w:t>
            </w:r>
          </w:p>
        </w:tc>
        <w:tc>
          <w:tcPr>
            <w:tcW w:w="616" w:type="pct"/>
            <w:shd w:val="clear" w:color="auto" w:fill="FFFFFF"/>
            <w:tcMar>
              <w:top w:w="-1" w:type="dxa"/>
              <w:left w:w="-1" w:type="dxa"/>
              <w:bottom w:w="-1" w:type="dxa"/>
              <w:right w:w="-1" w:type="dxa"/>
            </w:tcMar>
            <w:vAlign w:val="center"/>
          </w:tcPr>
          <w:p w14:paraId="7F419C6F"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Researcher</w:t>
            </w:r>
          </w:p>
          <w:p w14:paraId="131B3A73"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Specialist Nurse/Doctor</w:t>
            </w:r>
          </w:p>
          <w:p w14:paraId="169E057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Dietitian</w:t>
            </w:r>
          </w:p>
        </w:tc>
        <w:tc>
          <w:tcPr>
            <w:tcW w:w="672" w:type="pct"/>
            <w:shd w:val="clear" w:color="auto" w:fill="FFFFFF"/>
            <w:tcMar>
              <w:top w:w="-1" w:type="dxa"/>
              <w:left w:w="-1" w:type="dxa"/>
              <w:bottom w:w="-1" w:type="dxa"/>
              <w:right w:w="-1" w:type="dxa"/>
            </w:tcMar>
            <w:vAlign w:val="center"/>
          </w:tcPr>
          <w:p w14:paraId="4743E50B"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Hemodialysis room, hemodialysis demonstration classroom</w:t>
            </w:r>
          </w:p>
        </w:tc>
      </w:tr>
      <w:tr w:rsidR="00605785" w:rsidRPr="00F6231A" w14:paraId="3A781FAF" w14:textId="77777777" w:rsidTr="00F6231A">
        <w:trPr>
          <w:jc w:val="center"/>
        </w:trPr>
        <w:tc>
          <w:tcPr>
            <w:tcW w:w="678" w:type="pct"/>
            <w:shd w:val="clear" w:color="auto" w:fill="FFFFFF"/>
            <w:tcMar>
              <w:top w:w="-1" w:type="dxa"/>
              <w:left w:w="-1" w:type="dxa"/>
              <w:bottom w:w="-1" w:type="dxa"/>
              <w:right w:w="-1" w:type="dxa"/>
            </w:tcMar>
            <w:vAlign w:val="center"/>
          </w:tcPr>
          <w:p w14:paraId="0582953A" w14:textId="77777777" w:rsidR="00605785" w:rsidRPr="00F6231A" w:rsidRDefault="00605785" w:rsidP="00F6231A">
            <w:pPr>
              <w:keepNext/>
              <w:widowControl/>
              <w:tabs>
                <w:tab w:val="left" w:pos="588"/>
              </w:tabs>
              <w:snapToGrid w:val="0"/>
              <w:ind w:firstLineChars="0" w:firstLine="0"/>
              <w:jc w:val="left"/>
              <w:rPr>
                <w:color w:val="000000"/>
                <w:kern w:val="2"/>
              </w:rPr>
            </w:pPr>
          </w:p>
        </w:tc>
        <w:tc>
          <w:tcPr>
            <w:tcW w:w="716" w:type="pct"/>
            <w:shd w:val="clear" w:color="auto" w:fill="FFFFFF"/>
            <w:tcMar>
              <w:top w:w="-1" w:type="dxa"/>
              <w:left w:w="-1" w:type="dxa"/>
              <w:bottom w:w="-1" w:type="dxa"/>
              <w:right w:w="-1" w:type="dxa"/>
            </w:tcMar>
            <w:vAlign w:val="center"/>
          </w:tcPr>
          <w:p w14:paraId="7DA3986D"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w:t>
            </w:r>
            <w:r w:rsidRPr="00F6231A">
              <w:rPr>
                <w:rFonts w:hint="eastAsia"/>
                <w:color w:val="000000"/>
                <w:kern w:val="2"/>
              </w:rPr>
              <w:t>.</w:t>
            </w:r>
            <w:r w:rsidRPr="00F6231A">
              <w:rPr>
                <w:color w:val="000000"/>
                <w:kern w:val="2"/>
              </w:rPr>
              <w:t xml:space="preserve"> Planning and Implementation</w:t>
            </w:r>
          </w:p>
        </w:tc>
        <w:tc>
          <w:tcPr>
            <w:tcW w:w="897" w:type="pct"/>
            <w:shd w:val="clear" w:color="auto" w:fill="FFFFFF"/>
            <w:tcMar>
              <w:top w:w="-1" w:type="dxa"/>
              <w:left w:w="-1" w:type="dxa"/>
              <w:bottom w:w="-1" w:type="dxa"/>
              <w:right w:w="-1" w:type="dxa"/>
            </w:tcMar>
            <w:vAlign w:val="center"/>
          </w:tcPr>
          <w:p w14:paraId="081B7CF2"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2.3.1</w:t>
            </w:r>
            <w:r w:rsidRPr="00F6231A">
              <w:rPr>
                <w:rFonts w:hint="eastAsia"/>
                <w:color w:val="000000"/>
                <w:kern w:val="2"/>
              </w:rPr>
              <w:t>.</w:t>
            </w:r>
            <w:r w:rsidRPr="00F6231A">
              <w:rPr>
                <w:color w:val="000000"/>
                <w:kern w:val="2"/>
              </w:rPr>
              <w:t xml:space="preserve"> Family members participate in joint goal-setting, with the patient, family member, and nurse collaboratively breaking down internal fistula maintenance into monthly sub-goals.</w:t>
            </w:r>
          </w:p>
          <w:p w14:paraId="21950065"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2.3.2</w:t>
            </w:r>
            <w:r w:rsidRPr="00F6231A">
              <w:rPr>
                <w:rFonts w:hint="eastAsia"/>
                <w:color w:val="000000"/>
                <w:kern w:val="2"/>
              </w:rPr>
              <w:t>.</w:t>
            </w:r>
            <w:r w:rsidRPr="00F6231A">
              <w:rPr>
                <w:color w:val="000000"/>
                <w:kern w:val="2"/>
              </w:rPr>
              <w:t xml:space="preserve"> Patients conduct daily self-examinations through “visual inspection, palpation, auscultation, and elevation”; family members are responsible for recording and reminding, with data uploaded to a WeChat group check-in mini-program; nurses conduct weekly online reviews and provide timely feedback.</w:t>
            </w:r>
          </w:p>
          <w:p w14:paraId="6C3CEA2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2.3.3</w:t>
            </w:r>
            <w:r w:rsidRPr="00F6231A">
              <w:rPr>
                <w:rFonts w:hint="eastAsia"/>
                <w:color w:val="000000"/>
                <w:kern w:val="2"/>
              </w:rPr>
              <w:t>.</w:t>
            </w:r>
            <w:r w:rsidRPr="00F6231A">
              <w:rPr>
                <w:color w:val="000000"/>
                <w:kern w:val="2"/>
              </w:rPr>
              <w:t xml:space="preserve"> Patients weigh themselves daily upon waking to monitor weight changes; on dialysis days, they measure blood pressure in the morning and take antihypertensive medication as </w:t>
            </w:r>
            <w:r w:rsidRPr="00F6231A">
              <w:rPr>
                <w:color w:val="000000"/>
                <w:kern w:val="2"/>
              </w:rPr>
              <w:lastRenderedPageBreak/>
              <w:t>prescribed by medical staff or according to a pre-established medication guide, avoiding self-discontinuation or dosage adjustments.</w:t>
            </w:r>
          </w:p>
          <w:p w14:paraId="77F07EC3"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2.3.4</w:t>
            </w:r>
            <w:r w:rsidRPr="00F6231A">
              <w:rPr>
                <w:rFonts w:hint="eastAsia"/>
                <w:color w:val="000000"/>
                <w:kern w:val="2"/>
              </w:rPr>
              <w:t>.</w:t>
            </w:r>
            <w:r w:rsidRPr="00F6231A">
              <w:rPr>
                <w:color w:val="000000"/>
                <w:kern w:val="2"/>
              </w:rPr>
              <w:t xml:space="preserve"> Exercise plan: Perform internal fistula exercises 30 minutes before dialysis and engage in 20 minutes of aerobic exercise on non-dialysis days, accompanied by family members who verbally count repetitions; an exercise log is posted in the living room, and patients can redeem prizes monthly upon completion of the plan using the log.</w:t>
            </w:r>
          </w:p>
          <w:p w14:paraId="603BE48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2.3.5</w:t>
            </w:r>
            <w:r w:rsidRPr="00F6231A">
              <w:rPr>
                <w:rFonts w:hint="eastAsia"/>
                <w:color w:val="000000"/>
                <w:kern w:val="2"/>
              </w:rPr>
              <w:t>.</w:t>
            </w:r>
            <w:r w:rsidRPr="00F6231A">
              <w:rPr>
                <w:color w:val="000000"/>
                <w:kern w:val="2"/>
              </w:rPr>
              <w:t xml:space="preserve"> Monthly positive feedback is provided based on goal achievement, with unmet goals jointly revised for the next cycle’s plan.</w:t>
            </w:r>
          </w:p>
        </w:tc>
        <w:tc>
          <w:tcPr>
            <w:tcW w:w="731" w:type="pct"/>
            <w:shd w:val="clear" w:color="auto" w:fill="FFFFFF"/>
            <w:tcMar>
              <w:top w:w="-1" w:type="dxa"/>
              <w:left w:w="-1" w:type="dxa"/>
              <w:bottom w:w="-1" w:type="dxa"/>
              <w:right w:w="-1" w:type="dxa"/>
            </w:tcMar>
            <w:vAlign w:val="center"/>
          </w:tcPr>
          <w:p w14:paraId="74BA8885"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lastRenderedPageBreak/>
              <w:t>Monthly exchange meetings, visual tools, and online guidance.</w:t>
            </w:r>
          </w:p>
        </w:tc>
        <w:tc>
          <w:tcPr>
            <w:tcW w:w="691" w:type="pct"/>
            <w:shd w:val="clear" w:color="auto" w:fill="FFFFFF"/>
            <w:tcMar>
              <w:top w:w="-1" w:type="dxa"/>
              <w:left w:w="-1" w:type="dxa"/>
              <w:bottom w:w="-1" w:type="dxa"/>
              <w:right w:w="-1" w:type="dxa"/>
            </w:tcMar>
            <w:vAlign w:val="center"/>
          </w:tcPr>
          <w:p w14:paraId="33145E16"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At the end of weeks 1, 4, 8, and 12</w:t>
            </w:r>
          </w:p>
          <w:p w14:paraId="2F6A50ED"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Once a week</w:t>
            </w:r>
          </w:p>
          <w:p w14:paraId="1CAF7342"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30 minutes per session</w:t>
            </w:r>
          </w:p>
        </w:tc>
        <w:tc>
          <w:tcPr>
            <w:tcW w:w="616" w:type="pct"/>
            <w:shd w:val="clear" w:color="auto" w:fill="FFFFFF"/>
            <w:tcMar>
              <w:top w:w="-1" w:type="dxa"/>
              <w:left w:w="-1" w:type="dxa"/>
              <w:bottom w:w="-1" w:type="dxa"/>
              <w:right w:w="-1" w:type="dxa"/>
            </w:tcMar>
            <w:vAlign w:val="center"/>
          </w:tcPr>
          <w:p w14:paraId="11E578A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Researcher, specialist nurse, and doctor.</w:t>
            </w:r>
          </w:p>
        </w:tc>
        <w:tc>
          <w:tcPr>
            <w:tcW w:w="672" w:type="pct"/>
            <w:shd w:val="clear" w:color="auto" w:fill="FFFFFF"/>
            <w:tcMar>
              <w:top w:w="-1" w:type="dxa"/>
              <w:left w:w="-1" w:type="dxa"/>
              <w:bottom w:w="-1" w:type="dxa"/>
              <w:right w:w="-1" w:type="dxa"/>
            </w:tcMar>
            <w:vAlign w:val="center"/>
          </w:tcPr>
          <w:p w14:paraId="2B536C8D"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Hemodialysis Demonstration Classroom</w:t>
            </w:r>
          </w:p>
        </w:tc>
      </w:tr>
      <w:tr w:rsidR="00605785" w:rsidRPr="00F6231A" w14:paraId="15D5B16A" w14:textId="77777777" w:rsidTr="00F6231A">
        <w:trPr>
          <w:jc w:val="center"/>
        </w:trPr>
        <w:tc>
          <w:tcPr>
            <w:tcW w:w="678" w:type="pct"/>
            <w:shd w:val="clear" w:color="auto" w:fill="FFFFFF"/>
            <w:tcMar>
              <w:top w:w="-1" w:type="dxa"/>
              <w:left w:w="-1" w:type="dxa"/>
              <w:bottom w:w="-1" w:type="dxa"/>
              <w:right w:w="-1" w:type="dxa"/>
            </w:tcMar>
            <w:vAlign w:val="center"/>
          </w:tcPr>
          <w:p w14:paraId="2D645AD6" w14:textId="77777777" w:rsidR="00605785" w:rsidRPr="00F6231A" w:rsidRDefault="00000000" w:rsidP="00F6231A">
            <w:pPr>
              <w:keepNext/>
              <w:widowControl/>
              <w:tabs>
                <w:tab w:val="left" w:pos="588"/>
              </w:tabs>
              <w:snapToGrid w:val="0"/>
              <w:ind w:firstLineChars="0" w:firstLine="0"/>
              <w:jc w:val="left"/>
              <w:rPr>
                <w:color w:val="000000"/>
                <w:kern w:val="2"/>
              </w:rPr>
            </w:pPr>
            <w:r w:rsidRPr="00F6231A">
              <w:rPr>
                <w:color w:val="000000"/>
                <w:kern w:val="2"/>
              </w:rPr>
              <w:lastRenderedPageBreak/>
              <w:t>3</w:t>
            </w:r>
            <w:r w:rsidRPr="00F6231A">
              <w:rPr>
                <w:rFonts w:hint="eastAsia"/>
                <w:color w:val="000000"/>
                <w:kern w:val="2"/>
              </w:rPr>
              <w:t>.</w:t>
            </w:r>
            <w:r w:rsidRPr="00F6231A">
              <w:rPr>
                <w:color w:val="000000"/>
                <w:kern w:val="2"/>
              </w:rPr>
              <w:t xml:space="preserve"> Social Support</w:t>
            </w:r>
          </w:p>
        </w:tc>
        <w:tc>
          <w:tcPr>
            <w:tcW w:w="716" w:type="pct"/>
            <w:shd w:val="clear" w:color="auto" w:fill="FFFFFF"/>
            <w:tcMar>
              <w:top w:w="-1" w:type="dxa"/>
              <w:left w:w="-1" w:type="dxa"/>
              <w:bottom w:w="-1" w:type="dxa"/>
              <w:right w:w="-1" w:type="dxa"/>
            </w:tcMar>
            <w:vAlign w:val="center"/>
          </w:tcPr>
          <w:p w14:paraId="7DFD8A8C"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3.1</w:t>
            </w:r>
            <w:r w:rsidRPr="00F6231A">
              <w:rPr>
                <w:rFonts w:hint="eastAsia"/>
                <w:color w:val="000000"/>
                <w:kern w:val="2"/>
              </w:rPr>
              <w:t>.</w:t>
            </w:r>
            <w:r w:rsidRPr="00F6231A">
              <w:rPr>
                <w:color w:val="000000"/>
                <w:kern w:val="2"/>
              </w:rPr>
              <w:t xml:space="preserve"> Professional Medical Guidance</w:t>
            </w:r>
          </w:p>
        </w:tc>
        <w:tc>
          <w:tcPr>
            <w:tcW w:w="897" w:type="pct"/>
            <w:shd w:val="clear" w:color="auto" w:fill="FFFFFF"/>
            <w:tcMar>
              <w:top w:w="-1" w:type="dxa"/>
              <w:left w:w="-1" w:type="dxa"/>
              <w:bottom w:w="-1" w:type="dxa"/>
              <w:right w:w="-1" w:type="dxa"/>
            </w:tcMar>
            <w:vAlign w:val="center"/>
          </w:tcPr>
          <w:p w14:paraId="02B90FA7"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3.1.1</w:t>
            </w:r>
            <w:r w:rsidRPr="00F6231A">
              <w:rPr>
                <w:rFonts w:hint="eastAsia"/>
                <w:color w:val="000000"/>
                <w:kern w:val="2"/>
              </w:rPr>
              <w:t>.</w:t>
            </w:r>
            <w:r w:rsidRPr="00F6231A">
              <w:rPr>
                <w:color w:val="000000"/>
                <w:kern w:val="2"/>
              </w:rPr>
              <w:t xml:space="preserve"> Healthcare professionals provide positive encouragement and feedback on the patient’s behaviors.</w:t>
            </w:r>
          </w:p>
          <w:p w14:paraId="109A37A3"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3.1.2</w:t>
            </w:r>
            <w:r w:rsidRPr="00F6231A">
              <w:rPr>
                <w:rFonts w:hint="eastAsia"/>
                <w:color w:val="000000"/>
                <w:kern w:val="2"/>
              </w:rPr>
              <w:t>.</w:t>
            </w:r>
            <w:r w:rsidRPr="00F6231A">
              <w:rPr>
                <w:color w:val="000000"/>
                <w:kern w:val="2"/>
              </w:rPr>
              <w:t xml:space="preserve"> Before dialysis puncture, healthcare professionals communicate with the patient about the specific condition of their internal fistula, such as the exact puncture site, enabling effective dialogue between the patient and the nurse responsible for the next puncture, while offering professional guidance on any abnormal conditions or issues.</w:t>
            </w:r>
          </w:p>
        </w:tc>
        <w:tc>
          <w:tcPr>
            <w:tcW w:w="731" w:type="pct"/>
            <w:shd w:val="clear" w:color="auto" w:fill="FFFFFF"/>
            <w:tcMar>
              <w:top w:w="-1" w:type="dxa"/>
              <w:left w:w="-1" w:type="dxa"/>
              <w:bottom w:w="-1" w:type="dxa"/>
              <w:right w:w="-1" w:type="dxa"/>
            </w:tcMar>
            <w:vAlign w:val="center"/>
          </w:tcPr>
          <w:p w14:paraId="0755240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One-on-one communication.</w:t>
            </w:r>
          </w:p>
        </w:tc>
        <w:tc>
          <w:tcPr>
            <w:tcW w:w="691" w:type="pct"/>
            <w:shd w:val="clear" w:color="auto" w:fill="FFFFFF"/>
            <w:tcMar>
              <w:top w:w="-1" w:type="dxa"/>
              <w:left w:w="-1" w:type="dxa"/>
              <w:bottom w:w="-1" w:type="dxa"/>
              <w:right w:w="-1" w:type="dxa"/>
            </w:tcMar>
            <w:vAlign w:val="center"/>
          </w:tcPr>
          <w:p w14:paraId="68534F9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During each dialysis session.</w:t>
            </w:r>
          </w:p>
        </w:tc>
        <w:tc>
          <w:tcPr>
            <w:tcW w:w="616" w:type="pct"/>
            <w:shd w:val="clear" w:color="auto" w:fill="FFFFFF"/>
            <w:tcMar>
              <w:top w:w="-1" w:type="dxa"/>
              <w:left w:w="-1" w:type="dxa"/>
              <w:bottom w:w="-1" w:type="dxa"/>
              <w:right w:w="-1" w:type="dxa"/>
            </w:tcMar>
            <w:vAlign w:val="center"/>
          </w:tcPr>
          <w:p w14:paraId="5F225A01"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Specialist nurses and doctors.</w:t>
            </w:r>
          </w:p>
        </w:tc>
        <w:tc>
          <w:tcPr>
            <w:tcW w:w="672" w:type="pct"/>
            <w:shd w:val="clear" w:color="auto" w:fill="FFFFFF"/>
            <w:tcMar>
              <w:top w:w="-1" w:type="dxa"/>
              <w:left w:w="-1" w:type="dxa"/>
              <w:bottom w:w="-1" w:type="dxa"/>
              <w:right w:w="-1" w:type="dxa"/>
            </w:tcMar>
            <w:vAlign w:val="center"/>
          </w:tcPr>
          <w:p w14:paraId="43E3D0FF"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Hemodialysis room.</w:t>
            </w:r>
          </w:p>
        </w:tc>
      </w:tr>
      <w:tr w:rsidR="00605785" w:rsidRPr="00F6231A" w14:paraId="5B4E73ED" w14:textId="77777777" w:rsidTr="00F6231A">
        <w:trPr>
          <w:jc w:val="center"/>
        </w:trPr>
        <w:tc>
          <w:tcPr>
            <w:tcW w:w="678" w:type="pct"/>
            <w:tcBorders>
              <w:bottom w:val="single" w:sz="4" w:space="0" w:color="auto"/>
            </w:tcBorders>
            <w:shd w:val="clear" w:color="auto" w:fill="FFFFFF"/>
            <w:tcMar>
              <w:top w:w="-1" w:type="dxa"/>
              <w:left w:w="-1" w:type="dxa"/>
              <w:bottom w:w="-1" w:type="dxa"/>
              <w:right w:w="-1" w:type="dxa"/>
            </w:tcMar>
            <w:vAlign w:val="center"/>
          </w:tcPr>
          <w:p w14:paraId="4203DCC4" w14:textId="77777777" w:rsidR="00605785" w:rsidRPr="00F6231A" w:rsidRDefault="00605785" w:rsidP="00F6231A">
            <w:pPr>
              <w:keepNext/>
              <w:widowControl/>
              <w:snapToGrid w:val="0"/>
              <w:ind w:firstLineChars="0" w:firstLine="0"/>
              <w:jc w:val="left"/>
              <w:rPr>
                <w:color w:val="000000"/>
                <w:kern w:val="2"/>
              </w:rPr>
            </w:pPr>
          </w:p>
        </w:tc>
        <w:tc>
          <w:tcPr>
            <w:tcW w:w="716" w:type="pct"/>
            <w:tcBorders>
              <w:bottom w:val="single" w:sz="4" w:space="0" w:color="auto"/>
            </w:tcBorders>
            <w:shd w:val="clear" w:color="auto" w:fill="FFFFFF"/>
            <w:tcMar>
              <w:top w:w="-1" w:type="dxa"/>
              <w:left w:w="-1" w:type="dxa"/>
              <w:bottom w:w="-1" w:type="dxa"/>
              <w:right w:w="-1" w:type="dxa"/>
            </w:tcMar>
            <w:vAlign w:val="center"/>
          </w:tcPr>
          <w:p w14:paraId="293919F4" w14:textId="77777777" w:rsidR="00605785" w:rsidRPr="00F6231A" w:rsidRDefault="00000000">
            <w:pPr>
              <w:keepNext/>
              <w:widowControl/>
              <w:snapToGrid w:val="0"/>
              <w:ind w:firstLineChars="0" w:firstLine="0"/>
              <w:jc w:val="center"/>
              <w:rPr>
                <w:color w:val="000000"/>
                <w:kern w:val="2"/>
              </w:rPr>
            </w:pPr>
            <w:r w:rsidRPr="00F6231A">
              <w:rPr>
                <w:color w:val="000000"/>
                <w:kern w:val="2"/>
              </w:rPr>
              <w:t>3.2</w:t>
            </w:r>
            <w:r w:rsidRPr="00F6231A">
              <w:rPr>
                <w:rFonts w:hint="eastAsia"/>
                <w:color w:val="000000"/>
                <w:kern w:val="2"/>
              </w:rPr>
              <w:t>.</w:t>
            </w:r>
            <w:r w:rsidRPr="00F6231A">
              <w:rPr>
                <w:color w:val="000000"/>
                <w:kern w:val="2"/>
              </w:rPr>
              <w:t xml:space="preserve"> Family Collaboration</w:t>
            </w:r>
          </w:p>
        </w:tc>
        <w:tc>
          <w:tcPr>
            <w:tcW w:w="897" w:type="pct"/>
            <w:tcBorders>
              <w:bottom w:val="single" w:sz="4" w:space="0" w:color="auto"/>
            </w:tcBorders>
            <w:shd w:val="clear" w:color="auto" w:fill="FFFFFF"/>
            <w:tcMar>
              <w:top w:w="-1" w:type="dxa"/>
              <w:left w:w="-1" w:type="dxa"/>
              <w:bottom w:w="-1" w:type="dxa"/>
              <w:right w:w="-1" w:type="dxa"/>
            </w:tcMar>
            <w:vAlign w:val="center"/>
          </w:tcPr>
          <w:p w14:paraId="0EA57BD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3.2.1</w:t>
            </w:r>
            <w:r w:rsidRPr="00F6231A">
              <w:rPr>
                <w:rFonts w:hint="eastAsia"/>
                <w:color w:val="000000"/>
                <w:kern w:val="2"/>
              </w:rPr>
              <w:t>.</w:t>
            </w:r>
            <w:r w:rsidRPr="00F6231A">
              <w:rPr>
                <w:color w:val="000000"/>
                <w:kern w:val="2"/>
              </w:rPr>
              <w:t xml:space="preserve"> Provide family members with theoretical and practical training to equip them with the foundational knowledge, observational skills, and emergency response capabilities necessary for daily care of the internal fistula, enabling them to assist patients in self-management.</w:t>
            </w:r>
          </w:p>
          <w:p w14:paraId="7D8B89B0"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3.2.2</w:t>
            </w:r>
            <w:r w:rsidRPr="00F6231A">
              <w:rPr>
                <w:rFonts w:hint="eastAsia"/>
                <w:color w:val="000000"/>
                <w:kern w:val="2"/>
              </w:rPr>
              <w:t>.</w:t>
            </w:r>
            <w:r w:rsidRPr="00F6231A">
              <w:rPr>
                <w:color w:val="000000"/>
                <w:kern w:val="2"/>
              </w:rPr>
              <w:t xml:space="preserve"> Guide family members to express support through verbal affirmation and non-verbal means, avoid accusatory language, learn to recognize and appropriately respond to the patient’s emotional changes, and enhance the patient’s sense of self-efficacy.</w:t>
            </w:r>
          </w:p>
          <w:p w14:paraId="6D2E2ECE"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3.2.3</w:t>
            </w:r>
            <w:r w:rsidRPr="00F6231A">
              <w:rPr>
                <w:rFonts w:hint="eastAsia"/>
                <w:color w:val="000000"/>
                <w:kern w:val="2"/>
              </w:rPr>
              <w:t>.</w:t>
            </w:r>
            <w:r w:rsidRPr="00F6231A">
              <w:rPr>
                <w:color w:val="000000"/>
                <w:kern w:val="2"/>
              </w:rPr>
              <w:t xml:space="preserve"> Family collaboration and participation: Family members remind patients daily to perform self-</w:t>
            </w:r>
            <w:r w:rsidRPr="00F6231A">
              <w:rPr>
                <w:color w:val="000000"/>
                <w:kern w:val="2"/>
              </w:rPr>
              <w:lastRenderedPageBreak/>
              <w:t>checks of the internal fistula, monitor blood pressure, measure weight, engage in exercise, and take medications on time, accompany them during medical examinations, and promptly contact healthcare professionals to report any abnormalities.</w:t>
            </w:r>
          </w:p>
          <w:p w14:paraId="1FC67712"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3.2.4</w:t>
            </w:r>
            <w:r w:rsidRPr="00F6231A">
              <w:rPr>
                <w:rFonts w:hint="eastAsia"/>
                <w:color w:val="000000"/>
                <w:kern w:val="2"/>
              </w:rPr>
              <w:t>.</w:t>
            </w:r>
            <w:r w:rsidRPr="00F6231A">
              <w:rPr>
                <w:color w:val="000000"/>
                <w:kern w:val="2"/>
              </w:rPr>
              <w:t xml:space="preserve"> Building a family support network: Researchers establish a family mutual aid group chat where family members regularly share caregiving experiences and provide emotional support to one another.</w:t>
            </w:r>
          </w:p>
        </w:tc>
        <w:tc>
          <w:tcPr>
            <w:tcW w:w="731" w:type="pct"/>
            <w:tcBorders>
              <w:bottom w:val="single" w:sz="4" w:space="0" w:color="auto"/>
            </w:tcBorders>
            <w:shd w:val="clear" w:color="auto" w:fill="FFFFFF"/>
            <w:tcMar>
              <w:top w:w="-1" w:type="dxa"/>
              <w:left w:w="-1" w:type="dxa"/>
              <w:bottom w:w="-1" w:type="dxa"/>
              <w:right w:w="-1" w:type="dxa"/>
            </w:tcMar>
            <w:vAlign w:val="center"/>
          </w:tcPr>
          <w:p w14:paraId="1BD2A61D"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lastRenderedPageBreak/>
              <w:t>On-site instruction, online communication, and video playback</w:t>
            </w:r>
          </w:p>
        </w:tc>
        <w:tc>
          <w:tcPr>
            <w:tcW w:w="691" w:type="pct"/>
            <w:tcBorders>
              <w:bottom w:val="single" w:sz="4" w:space="0" w:color="auto"/>
            </w:tcBorders>
            <w:shd w:val="clear" w:color="auto" w:fill="FFFFFF"/>
            <w:tcMar>
              <w:top w:w="-1" w:type="dxa"/>
              <w:left w:w="-1" w:type="dxa"/>
              <w:bottom w:w="-1" w:type="dxa"/>
              <w:right w:w="-1" w:type="dxa"/>
            </w:tcMar>
            <w:vAlign w:val="center"/>
          </w:tcPr>
          <w:p w14:paraId="7B3B5F54"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Accompanying time for family members during dialysis at weeks 2, 4, 6, and 8: 2 times per week, 30 minutes per session.</w:t>
            </w:r>
          </w:p>
        </w:tc>
        <w:tc>
          <w:tcPr>
            <w:tcW w:w="616" w:type="pct"/>
            <w:tcBorders>
              <w:bottom w:val="single" w:sz="4" w:space="0" w:color="auto"/>
            </w:tcBorders>
            <w:shd w:val="clear" w:color="auto" w:fill="FFFFFF"/>
            <w:tcMar>
              <w:top w:w="-1" w:type="dxa"/>
              <w:left w:w="-1" w:type="dxa"/>
              <w:bottom w:w="-1" w:type="dxa"/>
              <w:right w:w="-1" w:type="dxa"/>
            </w:tcMar>
            <w:vAlign w:val="center"/>
          </w:tcPr>
          <w:p w14:paraId="2FC50D95"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Researchers, specialist nurses, and doctors.</w:t>
            </w:r>
          </w:p>
        </w:tc>
        <w:tc>
          <w:tcPr>
            <w:tcW w:w="672" w:type="pct"/>
            <w:tcBorders>
              <w:bottom w:val="single" w:sz="4" w:space="0" w:color="auto"/>
            </w:tcBorders>
            <w:shd w:val="clear" w:color="auto" w:fill="FFFFFF"/>
            <w:tcMar>
              <w:top w:w="-1" w:type="dxa"/>
              <w:left w:w="-1" w:type="dxa"/>
              <w:bottom w:w="-1" w:type="dxa"/>
              <w:right w:w="-1" w:type="dxa"/>
            </w:tcMar>
            <w:vAlign w:val="center"/>
          </w:tcPr>
          <w:p w14:paraId="35A6CE8B" w14:textId="77777777" w:rsidR="00605785" w:rsidRPr="00F6231A" w:rsidRDefault="00000000">
            <w:pPr>
              <w:keepNext/>
              <w:widowControl/>
              <w:tabs>
                <w:tab w:val="left" w:pos="588"/>
              </w:tabs>
              <w:snapToGrid w:val="0"/>
              <w:ind w:firstLineChars="0" w:firstLine="0"/>
              <w:jc w:val="center"/>
              <w:rPr>
                <w:color w:val="000000"/>
                <w:kern w:val="2"/>
              </w:rPr>
            </w:pPr>
            <w:r w:rsidRPr="00F6231A">
              <w:rPr>
                <w:color w:val="000000"/>
                <w:kern w:val="2"/>
              </w:rPr>
              <w:t>Waiting area for family members in the hemodialysis room.</w:t>
            </w:r>
          </w:p>
        </w:tc>
      </w:tr>
    </w:tbl>
    <w:p w14:paraId="6BC2253C" w14:textId="77777777" w:rsidR="00605785" w:rsidRDefault="00605785">
      <w:pPr>
        <w:widowControl w:val="0"/>
        <w:snapToGrid w:val="0"/>
        <w:ind w:firstLineChars="0" w:firstLine="0"/>
        <w:rPr>
          <w:snapToGrid w:val="0"/>
          <w:kern w:val="2"/>
        </w:rPr>
      </w:pPr>
    </w:p>
    <w:p w14:paraId="121B5C58" w14:textId="77777777" w:rsidR="00605785" w:rsidRDefault="00000000">
      <w:pPr>
        <w:widowControl w:val="0"/>
        <w:snapToGrid w:val="0"/>
        <w:ind w:firstLineChars="0" w:firstLine="0"/>
        <w:rPr>
          <w:b/>
          <w:bCs/>
          <w:snapToGrid w:val="0"/>
          <w:kern w:val="2"/>
        </w:rPr>
      </w:pPr>
      <w:r>
        <w:rPr>
          <w:b/>
          <w:bCs/>
          <w:snapToGrid w:val="0"/>
          <w:kern w:val="2"/>
        </w:rPr>
        <w:t xml:space="preserve">2.3.3. Outcome </w:t>
      </w:r>
      <w:r>
        <w:rPr>
          <w:rFonts w:hint="eastAsia"/>
          <w:b/>
          <w:bCs/>
          <w:snapToGrid w:val="0"/>
          <w:kern w:val="2"/>
        </w:rPr>
        <w:t>m</w:t>
      </w:r>
      <w:r>
        <w:rPr>
          <w:b/>
          <w:bCs/>
          <w:snapToGrid w:val="0"/>
          <w:kern w:val="2"/>
        </w:rPr>
        <w:t xml:space="preserve">easures </w:t>
      </w:r>
    </w:p>
    <w:p w14:paraId="4B073062" w14:textId="77777777" w:rsidR="00F6231A" w:rsidRDefault="00000000">
      <w:pPr>
        <w:widowControl w:val="0"/>
        <w:snapToGrid w:val="0"/>
        <w:ind w:firstLineChars="0" w:firstLine="0"/>
        <w:rPr>
          <w:snapToGrid w:val="0"/>
          <w:kern w:val="2"/>
        </w:rPr>
      </w:pPr>
      <w:r>
        <w:rPr>
          <w:snapToGrid w:val="0"/>
          <w:kern w:val="2"/>
        </w:rPr>
        <w:t xml:space="preserve">The following outcomes were evaluated at baseline and at 4, 8, and 12 weeks of intervention. </w:t>
      </w:r>
    </w:p>
    <w:p w14:paraId="701800A2" w14:textId="77777777" w:rsidR="00F6231A" w:rsidRDefault="00F6231A" w:rsidP="00F6231A">
      <w:pPr>
        <w:widowControl w:val="0"/>
        <w:snapToGrid w:val="0"/>
        <w:ind w:left="709" w:firstLineChars="0" w:hanging="709"/>
        <w:rPr>
          <w:snapToGrid w:val="0"/>
          <w:kern w:val="2"/>
        </w:rPr>
      </w:pPr>
      <w:r>
        <w:rPr>
          <w:snapToGrid w:val="0"/>
          <w:kern w:val="2"/>
        </w:rPr>
        <w:t>(1)</w:t>
      </w:r>
      <w:r>
        <w:rPr>
          <w:snapToGrid w:val="0"/>
          <w:kern w:val="2"/>
        </w:rPr>
        <w:tab/>
      </w:r>
      <w:r w:rsidR="00000000">
        <w:rPr>
          <w:snapToGrid w:val="0"/>
          <w:kern w:val="2"/>
        </w:rPr>
        <w:t>AVF-related abnormal complications</w:t>
      </w:r>
    </w:p>
    <w:p w14:paraId="2CBC5CA0" w14:textId="77777777" w:rsidR="00F6231A" w:rsidRDefault="00F6231A" w:rsidP="00F6231A">
      <w:pPr>
        <w:widowControl w:val="0"/>
        <w:snapToGrid w:val="0"/>
        <w:ind w:left="709" w:firstLineChars="0" w:hanging="709"/>
        <w:rPr>
          <w:snapToGrid w:val="0"/>
          <w:kern w:val="2"/>
        </w:rPr>
      </w:pPr>
      <w:r>
        <w:rPr>
          <w:snapToGrid w:val="0"/>
          <w:kern w:val="2"/>
        </w:rPr>
        <w:tab/>
      </w:r>
      <w:r w:rsidR="00000000">
        <w:rPr>
          <w:snapToGrid w:val="0"/>
          <w:kern w:val="2"/>
        </w:rPr>
        <w:t>Researchers recorded in real-time abnormal conditions and complications such as dysfunction, bleeding, hematoma, stenosis, thrombosis, and infection. AVF dysfunction was determined based on a significant reduction or disappearance of thrill or bruit, dialysis blood flow &lt;</w:t>
      </w:r>
      <w:r>
        <w:rPr>
          <w:snapToGrid w:val="0"/>
          <w:kern w:val="2"/>
        </w:rPr>
        <w:t xml:space="preserve"> </w:t>
      </w:r>
      <w:r w:rsidR="00000000">
        <w:rPr>
          <w:snapToGrid w:val="0"/>
          <w:kern w:val="2"/>
        </w:rPr>
        <w:t xml:space="preserve">200 mL/min not meeting dialysis needs, or ultrasound confirmation of thrombosis or intimal hyperplasia stenosis </w:t>
      </w:r>
      <w:r w:rsidR="00000000">
        <w:rPr>
          <w:snapToGrid w:val="0"/>
          <w:kern w:val="2"/>
          <w:vertAlign w:val="superscript"/>
        </w:rPr>
        <w:t>[14]</w:t>
      </w:r>
      <w:r w:rsidR="00000000">
        <w:rPr>
          <w:snapToGrid w:val="0"/>
          <w:kern w:val="2"/>
        </w:rPr>
        <w:t xml:space="preserve">. </w:t>
      </w:r>
    </w:p>
    <w:p w14:paraId="1A567127" w14:textId="77777777" w:rsidR="00F6231A" w:rsidRDefault="00F6231A" w:rsidP="00F6231A">
      <w:pPr>
        <w:widowControl w:val="0"/>
        <w:snapToGrid w:val="0"/>
        <w:ind w:left="709" w:firstLineChars="0" w:hanging="709"/>
        <w:rPr>
          <w:snapToGrid w:val="0"/>
          <w:kern w:val="2"/>
        </w:rPr>
      </w:pPr>
      <w:r>
        <w:rPr>
          <w:snapToGrid w:val="0"/>
          <w:kern w:val="2"/>
        </w:rPr>
        <w:t>(2)</w:t>
      </w:r>
      <w:r>
        <w:rPr>
          <w:snapToGrid w:val="0"/>
          <w:kern w:val="2"/>
        </w:rPr>
        <w:tab/>
      </w:r>
      <w:r w:rsidR="00000000">
        <w:rPr>
          <w:snapToGrid w:val="0"/>
          <w:kern w:val="2"/>
        </w:rPr>
        <w:t xml:space="preserve">AVF </w:t>
      </w:r>
      <w:r>
        <w:rPr>
          <w:snapToGrid w:val="0"/>
          <w:kern w:val="2"/>
        </w:rPr>
        <w:t>self-management scale</w:t>
      </w:r>
    </w:p>
    <w:p w14:paraId="0DA28E3A" w14:textId="77777777" w:rsidR="00F6231A" w:rsidRDefault="00F6231A" w:rsidP="00F6231A">
      <w:pPr>
        <w:widowControl w:val="0"/>
        <w:snapToGrid w:val="0"/>
        <w:ind w:left="709" w:firstLineChars="0" w:hanging="709"/>
        <w:rPr>
          <w:snapToGrid w:val="0"/>
          <w:kern w:val="2"/>
        </w:rPr>
      </w:pPr>
      <w:r>
        <w:rPr>
          <w:snapToGrid w:val="0"/>
          <w:kern w:val="2"/>
        </w:rPr>
        <w:tab/>
      </w:r>
      <w:r w:rsidR="00000000">
        <w:rPr>
          <w:snapToGrid w:val="0"/>
          <w:kern w:val="2"/>
        </w:rPr>
        <w:t>Comprising 16 items covering complication identification, management, and prevention, with a total score ranging from 16 to 80. Higher scores indicate better self-management, with Cronbach’s α</w:t>
      </w:r>
      <w:r>
        <w:rPr>
          <w:snapToGrid w:val="0"/>
          <w:kern w:val="2"/>
        </w:rPr>
        <w:t xml:space="preserve"> </w:t>
      </w:r>
      <w:r w:rsidR="00000000">
        <w:rPr>
          <w:snapToGrid w:val="0"/>
          <w:kern w:val="2"/>
        </w:rPr>
        <w:t>=</w:t>
      </w:r>
      <w:r>
        <w:rPr>
          <w:snapToGrid w:val="0"/>
          <w:kern w:val="2"/>
        </w:rPr>
        <w:t xml:space="preserve"> </w:t>
      </w:r>
      <w:r w:rsidR="00000000">
        <w:rPr>
          <w:snapToGrid w:val="0"/>
          <w:kern w:val="2"/>
        </w:rPr>
        <w:t xml:space="preserve">0.905 </w:t>
      </w:r>
      <w:r w:rsidR="00000000">
        <w:rPr>
          <w:snapToGrid w:val="0"/>
          <w:kern w:val="2"/>
          <w:vertAlign w:val="superscript"/>
        </w:rPr>
        <w:t>[8]</w:t>
      </w:r>
      <w:r w:rsidR="00000000">
        <w:rPr>
          <w:snapToGrid w:val="0"/>
          <w:kern w:val="2"/>
        </w:rPr>
        <w:t xml:space="preserve">. </w:t>
      </w:r>
    </w:p>
    <w:p w14:paraId="3687D924" w14:textId="77777777" w:rsidR="00F6231A" w:rsidRDefault="00F6231A" w:rsidP="00F6231A">
      <w:pPr>
        <w:widowControl w:val="0"/>
        <w:snapToGrid w:val="0"/>
        <w:ind w:left="709" w:firstLineChars="0" w:hanging="709"/>
        <w:rPr>
          <w:snapToGrid w:val="0"/>
          <w:kern w:val="2"/>
        </w:rPr>
      </w:pPr>
      <w:r>
        <w:rPr>
          <w:snapToGrid w:val="0"/>
          <w:kern w:val="2"/>
        </w:rPr>
        <w:lastRenderedPageBreak/>
        <w:t>(3)</w:t>
      </w:r>
      <w:r>
        <w:rPr>
          <w:snapToGrid w:val="0"/>
          <w:kern w:val="2"/>
        </w:rPr>
        <w:tab/>
      </w:r>
      <w:r w:rsidR="00000000">
        <w:rPr>
          <w:snapToGrid w:val="0"/>
          <w:kern w:val="2"/>
        </w:rPr>
        <w:t xml:space="preserve">Family APGAR </w:t>
      </w:r>
      <w:r>
        <w:rPr>
          <w:snapToGrid w:val="0"/>
          <w:kern w:val="2"/>
        </w:rPr>
        <w:t>index questionnai</w:t>
      </w:r>
      <w:r w:rsidR="00000000">
        <w:rPr>
          <w:snapToGrid w:val="0"/>
          <w:kern w:val="2"/>
        </w:rPr>
        <w:t>re</w:t>
      </w:r>
    </w:p>
    <w:p w14:paraId="6D747035" w14:textId="77777777" w:rsidR="00F6231A" w:rsidRDefault="00F6231A" w:rsidP="00F6231A">
      <w:pPr>
        <w:widowControl w:val="0"/>
        <w:snapToGrid w:val="0"/>
        <w:ind w:left="709" w:firstLineChars="0" w:hanging="709"/>
        <w:rPr>
          <w:snapToGrid w:val="0"/>
          <w:kern w:val="2"/>
        </w:rPr>
      </w:pPr>
      <w:r>
        <w:rPr>
          <w:snapToGrid w:val="0"/>
          <w:kern w:val="2"/>
        </w:rPr>
        <w:tab/>
      </w:r>
      <w:r w:rsidR="00000000">
        <w:rPr>
          <w:snapToGrid w:val="0"/>
          <w:kern w:val="2"/>
        </w:rPr>
        <w:t>Consisting of 5 items, with a total score ranging from 0 to 10. Higher scores indicate better family functioning and support, with Cronbach's α</w:t>
      </w:r>
      <w:r>
        <w:rPr>
          <w:snapToGrid w:val="0"/>
          <w:kern w:val="2"/>
        </w:rPr>
        <w:t xml:space="preserve"> </w:t>
      </w:r>
      <w:r w:rsidR="00000000">
        <w:rPr>
          <w:snapToGrid w:val="0"/>
          <w:kern w:val="2"/>
        </w:rPr>
        <w:t>=</w:t>
      </w:r>
      <w:r>
        <w:rPr>
          <w:snapToGrid w:val="0"/>
          <w:kern w:val="2"/>
        </w:rPr>
        <w:t xml:space="preserve"> </w:t>
      </w:r>
      <w:r w:rsidR="00000000">
        <w:rPr>
          <w:snapToGrid w:val="0"/>
          <w:kern w:val="2"/>
        </w:rPr>
        <w:t xml:space="preserve">0.855 </w:t>
      </w:r>
      <w:r w:rsidR="00000000">
        <w:rPr>
          <w:snapToGrid w:val="0"/>
          <w:kern w:val="2"/>
          <w:vertAlign w:val="superscript"/>
        </w:rPr>
        <w:t>[11]</w:t>
      </w:r>
      <w:r w:rsidR="00000000">
        <w:rPr>
          <w:snapToGrid w:val="0"/>
          <w:kern w:val="2"/>
        </w:rPr>
        <w:t xml:space="preserve">. </w:t>
      </w:r>
    </w:p>
    <w:p w14:paraId="7FF47804" w14:textId="77777777" w:rsidR="00F6231A" w:rsidRDefault="00F6231A" w:rsidP="00F6231A">
      <w:pPr>
        <w:widowControl w:val="0"/>
        <w:snapToGrid w:val="0"/>
        <w:ind w:left="709" w:firstLineChars="0" w:hanging="709"/>
        <w:rPr>
          <w:snapToGrid w:val="0"/>
          <w:kern w:val="2"/>
        </w:rPr>
      </w:pPr>
      <w:r>
        <w:rPr>
          <w:snapToGrid w:val="0"/>
          <w:kern w:val="2"/>
        </w:rPr>
        <w:t>(4)</w:t>
      </w:r>
      <w:r>
        <w:rPr>
          <w:snapToGrid w:val="0"/>
          <w:kern w:val="2"/>
        </w:rPr>
        <w:tab/>
      </w:r>
      <w:r w:rsidR="00000000">
        <w:rPr>
          <w:snapToGrid w:val="0"/>
          <w:kern w:val="2"/>
        </w:rPr>
        <w:t xml:space="preserve">General </w:t>
      </w:r>
      <w:r>
        <w:rPr>
          <w:snapToGrid w:val="0"/>
          <w:kern w:val="2"/>
        </w:rPr>
        <w:t>self-efficacy scale</w:t>
      </w:r>
    </w:p>
    <w:p w14:paraId="35CD2BCB" w14:textId="77777777" w:rsidR="00F6231A" w:rsidRDefault="00F6231A" w:rsidP="00F6231A">
      <w:pPr>
        <w:widowControl w:val="0"/>
        <w:snapToGrid w:val="0"/>
        <w:ind w:left="709" w:firstLineChars="0" w:hanging="709"/>
        <w:rPr>
          <w:snapToGrid w:val="0"/>
          <w:kern w:val="2"/>
        </w:rPr>
      </w:pPr>
      <w:r>
        <w:rPr>
          <w:snapToGrid w:val="0"/>
          <w:kern w:val="2"/>
        </w:rPr>
        <w:tab/>
      </w:r>
      <w:r w:rsidR="00000000">
        <w:rPr>
          <w:snapToGrid w:val="0"/>
          <w:kern w:val="2"/>
        </w:rPr>
        <w:t>Comprising 10 items, with a total score ranging from 10 to 40. Higher scores indicate higher self-efficacy, with Cronbach’s α</w:t>
      </w:r>
      <w:r>
        <w:rPr>
          <w:snapToGrid w:val="0"/>
          <w:kern w:val="2"/>
        </w:rPr>
        <w:t xml:space="preserve"> </w:t>
      </w:r>
      <w:r w:rsidR="00000000">
        <w:rPr>
          <w:snapToGrid w:val="0"/>
          <w:kern w:val="2"/>
        </w:rPr>
        <w:t>=</w:t>
      </w:r>
      <w:r>
        <w:rPr>
          <w:snapToGrid w:val="0"/>
          <w:kern w:val="2"/>
        </w:rPr>
        <w:t xml:space="preserve"> </w:t>
      </w:r>
      <w:r w:rsidR="00000000">
        <w:rPr>
          <w:snapToGrid w:val="0"/>
          <w:kern w:val="2"/>
        </w:rPr>
        <w:t xml:space="preserve">0.91 </w:t>
      </w:r>
      <w:r w:rsidR="00000000">
        <w:rPr>
          <w:snapToGrid w:val="0"/>
          <w:kern w:val="2"/>
          <w:vertAlign w:val="superscript"/>
        </w:rPr>
        <w:t>[9]</w:t>
      </w:r>
      <w:r w:rsidR="00000000">
        <w:rPr>
          <w:snapToGrid w:val="0"/>
          <w:kern w:val="2"/>
        </w:rPr>
        <w:t xml:space="preserve">. </w:t>
      </w:r>
    </w:p>
    <w:p w14:paraId="3CAB3D2C" w14:textId="77777777" w:rsidR="00F6231A" w:rsidRDefault="00F6231A" w:rsidP="00F6231A">
      <w:pPr>
        <w:widowControl w:val="0"/>
        <w:snapToGrid w:val="0"/>
        <w:ind w:left="709" w:firstLineChars="0" w:hanging="709"/>
        <w:rPr>
          <w:snapToGrid w:val="0"/>
          <w:kern w:val="2"/>
        </w:rPr>
      </w:pPr>
      <w:r>
        <w:rPr>
          <w:snapToGrid w:val="0"/>
          <w:kern w:val="2"/>
        </w:rPr>
        <w:t>(5)</w:t>
      </w:r>
      <w:r>
        <w:rPr>
          <w:snapToGrid w:val="0"/>
          <w:kern w:val="2"/>
        </w:rPr>
        <w:tab/>
      </w:r>
      <w:r w:rsidR="00000000">
        <w:rPr>
          <w:snapToGrid w:val="0"/>
          <w:kern w:val="2"/>
        </w:rPr>
        <w:t xml:space="preserve">Kidney </w:t>
      </w:r>
      <w:r>
        <w:rPr>
          <w:snapToGrid w:val="0"/>
          <w:kern w:val="2"/>
        </w:rPr>
        <w:t xml:space="preserve">disease quality of life </w:t>
      </w:r>
      <w:r w:rsidR="00000000">
        <w:rPr>
          <w:snapToGrid w:val="0"/>
          <w:kern w:val="2"/>
        </w:rPr>
        <w:t xml:space="preserve">(KDQ) </w:t>
      </w:r>
      <w:r>
        <w:rPr>
          <w:snapToGrid w:val="0"/>
          <w:kern w:val="2"/>
        </w:rPr>
        <w:t>s</w:t>
      </w:r>
      <w:r w:rsidR="00000000">
        <w:rPr>
          <w:snapToGrid w:val="0"/>
          <w:kern w:val="2"/>
        </w:rPr>
        <w:t xml:space="preserve">cale </w:t>
      </w:r>
      <w:r w:rsidR="00000000">
        <w:rPr>
          <w:snapToGrid w:val="0"/>
          <w:kern w:val="2"/>
          <w:vertAlign w:val="superscript"/>
        </w:rPr>
        <w:t>[15]</w:t>
      </w:r>
    </w:p>
    <w:p w14:paraId="3EB26506" w14:textId="1056A2B2" w:rsidR="00605785" w:rsidRDefault="00F6231A" w:rsidP="00F6231A">
      <w:pPr>
        <w:widowControl w:val="0"/>
        <w:snapToGrid w:val="0"/>
        <w:ind w:left="709" w:firstLineChars="0" w:hanging="709"/>
        <w:rPr>
          <w:snapToGrid w:val="0"/>
          <w:kern w:val="2"/>
        </w:rPr>
      </w:pPr>
      <w:r>
        <w:rPr>
          <w:snapToGrid w:val="0"/>
          <w:kern w:val="2"/>
        </w:rPr>
        <w:tab/>
      </w:r>
      <w:r w:rsidR="00000000">
        <w:rPr>
          <w:snapToGrid w:val="0"/>
          <w:kern w:val="2"/>
        </w:rPr>
        <w:t xml:space="preserve">Comprising 26 items covering physical symptoms, fatigue, depression, relationships with others, and frustration, with a total score ranging from 26 to 182. Higher scores indicate better quality of life. The Hospital Anxiety and Depression Scale was used only for investigating situational factors in the first phase. </w:t>
      </w:r>
    </w:p>
    <w:p w14:paraId="5CDA74D7" w14:textId="77777777" w:rsidR="00605785" w:rsidRDefault="00605785">
      <w:pPr>
        <w:widowControl w:val="0"/>
        <w:snapToGrid w:val="0"/>
        <w:ind w:firstLineChars="0" w:firstLine="0"/>
        <w:rPr>
          <w:snapToGrid w:val="0"/>
          <w:kern w:val="2"/>
        </w:rPr>
      </w:pPr>
    </w:p>
    <w:p w14:paraId="43C137E5" w14:textId="77777777" w:rsidR="00605785" w:rsidRDefault="00000000">
      <w:pPr>
        <w:widowControl w:val="0"/>
        <w:snapToGrid w:val="0"/>
        <w:ind w:firstLineChars="0" w:firstLine="0"/>
        <w:rPr>
          <w:b/>
          <w:bCs/>
          <w:snapToGrid w:val="0"/>
          <w:kern w:val="2"/>
        </w:rPr>
      </w:pPr>
      <w:r>
        <w:rPr>
          <w:b/>
          <w:bCs/>
          <w:snapToGrid w:val="0"/>
          <w:kern w:val="2"/>
        </w:rPr>
        <w:t xml:space="preserve">2.3.4. Data </w:t>
      </w:r>
      <w:r>
        <w:rPr>
          <w:rFonts w:hint="eastAsia"/>
          <w:b/>
          <w:bCs/>
          <w:snapToGrid w:val="0"/>
          <w:kern w:val="2"/>
        </w:rPr>
        <w:t>c</w:t>
      </w:r>
      <w:r>
        <w:rPr>
          <w:b/>
          <w:bCs/>
          <w:snapToGrid w:val="0"/>
          <w:kern w:val="2"/>
        </w:rPr>
        <w:t xml:space="preserve">ollection and </w:t>
      </w:r>
      <w:r>
        <w:rPr>
          <w:rFonts w:hint="eastAsia"/>
          <w:b/>
          <w:bCs/>
          <w:snapToGrid w:val="0"/>
          <w:kern w:val="2"/>
        </w:rPr>
        <w:t>q</w:t>
      </w:r>
      <w:r>
        <w:rPr>
          <w:b/>
          <w:bCs/>
          <w:snapToGrid w:val="0"/>
          <w:kern w:val="2"/>
        </w:rPr>
        <w:t xml:space="preserve">uality </w:t>
      </w:r>
      <w:r>
        <w:rPr>
          <w:rFonts w:hint="eastAsia"/>
          <w:b/>
          <w:bCs/>
          <w:snapToGrid w:val="0"/>
          <w:kern w:val="2"/>
        </w:rPr>
        <w:t>c</w:t>
      </w:r>
      <w:r>
        <w:rPr>
          <w:b/>
          <w:bCs/>
          <w:snapToGrid w:val="0"/>
          <w:kern w:val="2"/>
        </w:rPr>
        <w:t xml:space="preserve">ontrol </w:t>
      </w:r>
    </w:p>
    <w:p w14:paraId="668A1339" w14:textId="77777777" w:rsidR="00605785" w:rsidRDefault="00000000">
      <w:pPr>
        <w:widowControl w:val="0"/>
        <w:snapToGrid w:val="0"/>
        <w:ind w:firstLineChars="0" w:firstLine="0"/>
        <w:rPr>
          <w:snapToGrid w:val="0"/>
          <w:kern w:val="2"/>
        </w:rPr>
      </w:pPr>
      <w:r>
        <w:rPr>
          <w:snapToGrid w:val="0"/>
          <w:kern w:val="2"/>
        </w:rPr>
        <w:t xml:space="preserve">Researchers and uniformly trained specialist nurses conducted on-site evaluations using standardized instructions. After questionnaire collection, two members verified completeness and independently entered or reviewed the data. The research team regularly reviewed intervention records, online feedback, and adverse events to ensure implementation consistency and data quality. </w:t>
      </w:r>
    </w:p>
    <w:p w14:paraId="5A10530A" w14:textId="77777777" w:rsidR="00605785" w:rsidRDefault="00605785">
      <w:pPr>
        <w:widowControl w:val="0"/>
        <w:snapToGrid w:val="0"/>
        <w:ind w:firstLineChars="0" w:firstLine="0"/>
        <w:rPr>
          <w:snapToGrid w:val="0"/>
          <w:kern w:val="2"/>
        </w:rPr>
      </w:pPr>
    </w:p>
    <w:p w14:paraId="3F4E7E99" w14:textId="77777777" w:rsidR="00605785" w:rsidRDefault="00000000">
      <w:pPr>
        <w:widowControl w:val="0"/>
        <w:snapToGrid w:val="0"/>
        <w:ind w:firstLineChars="0" w:firstLine="0"/>
        <w:rPr>
          <w:b/>
          <w:bCs/>
          <w:snapToGrid w:val="0"/>
          <w:kern w:val="2"/>
        </w:rPr>
      </w:pPr>
      <w:r>
        <w:rPr>
          <w:b/>
          <w:bCs/>
          <w:snapToGrid w:val="0"/>
          <w:kern w:val="2"/>
        </w:rPr>
        <w:t xml:space="preserve">2.3.5. Statistical </w:t>
      </w:r>
      <w:r>
        <w:rPr>
          <w:rFonts w:hint="eastAsia"/>
          <w:b/>
          <w:bCs/>
          <w:snapToGrid w:val="0"/>
          <w:kern w:val="2"/>
        </w:rPr>
        <w:t>a</w:t>
      </w:r>
      <w:r>
        <w:rPr>
          <w:b/>
          <w:bCs/>
          <w:snapToGrid w:val="0"/>
          <w:kern w:val="2"/>
        </w:rPr>
        <w:t xml:space="preserve">nalysis </w:t>
      </w:r>
    </w:p>
    <w:p w14:paraId="415B96DD" w14:textId="346E756F" w:rsidR="00605785" w:rsidRDefault="00000000">
      <w:pPr>
        <w:widowControl w:val="0"/>
        <w:snapToGrid w:val="0"/>
        <w:ind w:firstLineChars="0" w:firstLine="0"/>
        <w:rPr>
          <w:snapToGrid w:val="0"/>
          <w:kern w:val="2"/>
        </w:rPr>
      </w:pPr>
      <w:r>
        <w:rPr>
          <w:snapToGrid w:val="0"/>
          <w:kern w:val="2"/>
        </w:rPr>
        <w:t xml:space="preserve">Data were analyzed using SPSS 27.0. Categorical variables were presented as counts and percentages, with comparisons between groups using the chi-square test or Fisher’s exact test. Normally distributed continuous variables were presented as mean ± standard deviation, with comparisons between baseline groups using independent samples </w:t>
      </w:r>
      <w:r>
        <w:rPr>
          <w:i/>
          <w:iCs/>
          <w:snapToGrid w:val="0"/>
          <w:kern w:val="2"/>
        </w:rPr>
        <w:t>t</w:t>
      </w:r>
      <w:r>
        <w:rPr>
          <w:snapToGrid w:val="0"/>
          <w:kern w:val="2"/>
        </w:rPr>
        <w:t xml:space="preserve">-tests. Non-normally distributed variables were presented as M (P25, P75) and compared using the Wilcoxon rank-sum test. Longitudinal continuous outcomes were analyzed using repeated measures analysis of variance to test for group effects, time effects, and interaction effects; comparisons between groups at each time point were conducted using independent samples </w:t>
      </w:r>
      <w:r w:rsidRPr="00D83FF6">
        <w:rPr>
          <w:i/>
          <w:iCs/>
          <w:snapToGrid w:val="0"/>
          <w:kern w:val="2"/>
        </w:rPr>
        <w:t>t</w:t>
      </w:r>
      <w:r>
        <w:rPr>
          <w:snapToGrid w:val="0"/>
          <w:kern w:val="2"/>
        </w:rPr>
        <w:t xml:space="preserve">-tests. A two-sided </w:t>
      </w:r>
      <w:r w:rsidR="00D83FF6">
        <w:rPr>
          <w:i/>
          <w:iCs/>
          <w:snapToGrid w:val="0"/>
          <w:kern w:val="2"/>
        </w:rPr>
        <w:t>p</w:t>
      </w:r>
      <w:r>
        <w:rPr>
          <w:snapToGrid w:val="0"/>
          <w:kern w:val="2"/>
        </w:rPr>
        <w:t>-value &lt;</w:t>
      </w:r>
      <w:r w:rsidR="00D83FF6">
        <w:rPr>
          <w:snapToGrid w:val="0"/>
          <w:kern w:val="2"/>
        </w:rPr>
        <w:t xml:space="preserve"> </w:t>
      </w:r>
      <w:r>
        <w:rPr>
          <w:snapToGrid w:val="0"/>
          <w:kern w:val="2"/>
        </w:rPr>
        <w:t xml:space="preserve">0.05 was considered statistically significant. </w:t>
      </w:r>
    </w:p>
    <w:p w14:paraId="71B7699C" w14:textId="77777777" w:rsidR="00605785" w:rsidRDefault="00605785">
      <w:pPr>
        <w:widowControl w:val="0"/>
        <w:snapToGrid w:val="0"/>
        <w:ind w:firstLineChars="0" w:firstLine="0"/>
        <w:rPr>
          <w:snapToGrid w:val="0"/>
          <w:kern w:val="2"/>
        </w:rPr>
      </w:pPr>
    </w:p>
    <w:p w14:paraId="245B70E5" w14:textId="77777777" w:rsidR="00605785" w:rsidRDefault="00000000">
      <w:pPr>
        <w:widowControl w:val="0"/>
        <w:snapToGrid w:val="0"/>
        <w:ind w:firstLineChars="0" w:firstLine="0"/>
        <w:rPr>
          <w:b/>
          <w:bCs/>
          <w:snapToGrid w:val="0"/>
          <w:kern w:val="2"/>
        </w:rPr>
      </w:pPr>
      <w:r>
        <w:rPr>
          <w:b/>
          <w:bCs/>
          <w:snapToGrid w:val="0"/>
          <w:kern w:val="2"/>
        </w:rPr>
        <w:t xml:space="preserve">3. Results </w:t>
      </w:r>
    </w:p>
    <w:p w14:paraId="6306D855" w14:textId="77777777" w:rsidR="00605785" w:rsidRDefault="00000000">
      <w:pPr>
        <w:widowControl w:val="0"/>
        <w:snapToGrid w:val="0"/>
        <w:ind w:firstLineChars="0" w:firstLine="0"/>
        <w:rPr>
          <w:snapToGrid w:val="0"/>
          <w:kern w:val="2"/>
        </w:rPr>
      </w:pPr>
      <w:r>
        <w:rPr>
          <w:b/>
          <w:bCs/>
          <w:snapToGrid w:val="0"/>
          <w:kern w:val="2"/>
        </w:rPr>
        <w:t>3.1</w:t>
      </w:r>
      <w:r>
        <w:rPr>
          <w:rFonts w:hint="eastAsia"/>
          <w:b/>
          <w:bCs/>
          <w:snapToGrid w:val="0"/>
          <w:kern w:val="2"/>
        </w:rPr>
        <w:t>.</w:t>
      </w:r>
      <w:r>
        <w:rPr>
          <w:b/>
          <w:bCs/>
          <w:snapToGrid w:val="0"/>
          <w:kern w:val="2"/>
        </w:rPr>
        <w:t xml:space="preserve"> Results of </w:t>
      </w:r>
      <w:r>
        <w:rPr>
          <w:rFonts w:hint="eastAsia"/>
          <w:b/>
          <w:bCs/>
          <w:snapToGrid w:val="0"/>
          <w:kern w:val="2"/>
        </w:rPr>
        <w:t>i</w:t>
      </w:r>
      <w:r>
        <w:rPr>
          <w:b/>
          <w:bCs/>
          <w:snapToGrid w:val="0"/>
          <w:kern w:val="2"/>
        </w:rPr>
        <w:t xml:space="preserve">ntervention </w:t>
      </w:r>
      <w:r>
        <w:rPr>
          <w:rFonts w:hint="eastAsia"/>
          <w:b/>
          <w:bCs/>
          <w:snapToGrid w:val="0"/>
          <w:kern w:val="2"/>
        </w:rPr>
        <w:t>p</w:t>
      </w:r>
      <w:r>
        <w:rPr>
          <w:b/>
          <w:bCs/>
          <w:snapToGrid w:val="0"/>
          <w:kern w:val="2"/>
        </w:rPr>
        <w:t xml:space="preserve">rogram </w:t>
      </w:r>
      <w:r>
        <w:rPr>
          <w:rFonts w:hint="eastAsia"/>
          <w:b/>
          <w:bCs/>
          <w:snapToGrid w:val="0"/>
          <w:kern w:val="2"/>
        </w:rPr>
        <w:t>c</w:t>
      </w:r>
      <w:r>
        <w:rPr>
          <w:b/>
          <w:bCs/>
          <w:snapToGrid w:val="0"/>
          <w:kern w:val="2"/>
        </w:rPr>
        <w:t>onstruction</w:t>
      </w:r>
      <w:r>
        <w:rPr>
          <w:snapToGrid w:val="0"/>
          <w:kern w:val="2"/>
        </w:rPr>
        <w:t xml:space="preserve"> </w:t>
      </w:r>
    </w:p>
    <w:p w14:paraId="18A6183D" w14:textId="77777777" w:rsidR="00605785" w:rsidRDefault="00000000">
      <w:pPr>
        <w:widowControl w:val="0"/>
        <w:snapToGrid w:val="0"/>
        <w:ind w:firstLineChars="0" w:firstLine="0"/>
        <w:rPr>
          <w:snapToGrid w:val="0"/>
          <w:kern w:val="2"/>
        </w:rPr>
      </w:pPr>
      <w:r>
        <w:rPr>
          <w:snapToGrid w:val="0"/>
          <w:kern w:val="2"/>
        </w:rPr>
        <w:t xml:space="preserve">In the cross-sectional survey, the total AVF self-management score for 157 patients was 45.66 ± 7.70, indicating a moderately low level. Behaviors with lower scores mainly involved daily observation, palpation or auscultation of the AVF, identification of skin and peripheral circulation changes, and proper handling of bleeding, hematoma, and skin injuries. Multiple regression analysis showed that dialysis vintage, daily care, daily fistula exercise, daily self-examination, previous fistula dysfunction or complications, anxiety, depression, general self-efficacy, and family care were associated with self-management, explaining 68.4% of the variance. Based on these findings, the research team focused on strengthening modifiable factors, including monitoring and motor skills, coping with negative emotions, self-efficacy, and family collaboration. </w:t>
      </w:r>
    </w:p>
    <w:p w14:paraId="36FC8A18" w14:textId="77777777" w:rsidR="00605785" w:rsidRDefault="00000000">
      <w:pPr>
        <w:widowControl w:val="0"/>
        <w:snapToGrid w:val="0"/>
        <w:ind w:firstLine="480"/>
        <w:rPr>
          <w:snapToGrid w:val="0"/>
          <w:kern w:val="2"/>
        </w:rPr>
      </w:pPr>
      <w:r>
        <w:rPr>
          <w:snapToGrid w:val="0"/>
          <w:kern w:val="2"/>
        </w:rPr>
        <w:t xml:space="preserve">Two rounds of Delphi consultations yielded 16 valid questionnaires each, with a response rate of 100%. The expert authority coefficients were 0.81 and 0.88, respectively, and Kendall’s W coefficients of concordance were 0.153 and 0.265, respectively. Based on expert opinions, redundant knowledge items were merged, operations that might cause improper compression were removed, and emergency responses for hematoma, bleeding, and disappearance of thrill were added, along with family shared goals and coordination of puncture information. The final program included 3 process dimensions, 8 intervention items, and 25 intervention contents. </w:t>
      </w:r>
    </w:p>
    <w:p w14:paraId="114A7B76" w14:textId="77777777" w:rsidR="00605785" w:rsidRDefault="00605785">
      <w:pPr>
        <w:widowControl w:val="0"/>
        <w:snapToGrid w:val="0"/>
        <w:ind w:firstLineChars="0" w:firstLine="0"/>
        <w:rPr>
          <w:snapToGrid w:val="0"/>
          <w:kern w:val="2"/>
        </w:rPr>
      </w:pPr>
    </w:p>
    <w:p w14:paraId="716F0EF1" w14:textId="77777777" w:rsidR="00605785" w:rsidRDefault="00000000">
      <w:pPr>
        <w:widowControl w:val="0"/>
        <w:snapToGrid w:val="0"/>
        <w:ind w:firstLineChars="0" w:firstLine="0"/>
        <w:rPr>
          <w:b/>
          <w:bCs/>
          <w:snapToGrid w:val="0"/>
          <w:kern w:val="2"/>
        </w:rPr>
      </w:pPr>
      <w:r>
        <w:rPr>
          <w:b/>
          <w:bCs/>
          <w:snapToGrid w:val="0"/>
          <w:kern w:val="2"/>
        </w:rPr>
        <w:t xml:space="preserve">3.2. Comparison of </w:t>
      </w:r>
      <w:r>
        <w:rPr>
          <w:rFonts w:hint="eastAsia"/>
          <w:b/>
          <w:bCs/>
          <w:snapToGrid w:val="0"/>
          <w:kern w:val="2"/>
        </w:rPr>
        <w:t>g</w:t>
      </w:r>
      <w:r>
        <w:rPr>
          <w:b/>
          <w:bCs/>
          <w:snapToGrid w:val="0"/>
          <w:kern w:val="2"/>
        </w:rPr>
        <w:t xml:space="preserve">eneral </w:t>
      </w:r>
      <w:r>
        <w:rPr>
          <w:rFonts w:hint="eastAsia"/>
          <w:b/>
          <w:bCs/>
          <w:snapToGrid w:val="0"/>
          <w:kern w:val="2"/>
        </w:rPr>
        <w:t>i</w:t>
      </w:r>
      <w:r>
        <w:rPr>
          <w:b/>
          <w:bCs/>
          <w:snapToGrid w:val="0"/>
          <w:kern w:val="2"/>
        </w:rPr>
        <w:t xml:space="preserve">nformation </w:t>
      </w:r>
      <w:r>
        <w:rPr>
          <w:rFonts w:hint="eastAsia"/>
          <w:b/>
          <w:bCs/>
          <w:snapToGrid w:val="0"/>
          <w:kern w:val="2"/>
        </w:rPr>
        <w:t>b</w:t>
      </w:r>
      <w:r>
        <w:rPr>
          <w:b/>
          <w:bCs/>
          <w:snapToGrid w:val="0"/>
          <w:kern w:val="2"/>
        </w:rPr>
        <w:t xml:space="preserve">etween </w:t>
      </w:r>
      <w:r>
        <w:rPr>
          <w:rFonts w:hint="eastAsia"/>
          <w:b/>
          <w:bCs/>
          <w:snapToGrid w:val="0"/>
          <w:kern w:val="2"/>
        </w:rPr>
        <w:t>t</w:t>
      </w:r>
      <w:r>
        <w:rPr>
          <w:b/>
          <w:bCs/>
          <w:snapToGrid w:val="0"/>
          <w:kern w:val="2"/>
        </w:rPr>
        <w:t xml:space="preserve">wo </w:t>
      </w:r>
      <w:r>
        <w:rPr>
          <w:rFonts w:hint="eastAsia"/>
          <w:b/>
          <w:bCs/>
          <w:snapToGrid w:val="0"/>
          <w:kern w:val="2"/>
        </w:rPr>
        <w:t>g</w:t>
      </w:r>
      <w:r>
        <w:rPr>
          <w:b/>
          <w:bCs/>
          <w:snapToGrid w:val="0"/>
          <w:kern w:val="2"/>
        </w:rPr>
        <w:t xml:space="preserve">roups of </w:t>
      </w:r>
      <w:r>
        <w:rPr>
          <w:rFonts w:hint="eastAsia"/>
          <w:b/>
          <w:bCs/>
          <w:snapToGrid w:val="0"/>
          <w:kern w:val="2"/>
        </w:rPr>
        <w:t>p</w:t>
      </w:r>
      <w:r>
        <w:rPr>
          <w:b/>
          <w:bCs/>
          <w:snapToGrid w:val="0"/>
          <w:kern w:val="2"/>
        </w:rPr>
        <w:t xml:space="preserve">atients </w:t>
      </w:r>
    </w:p>
    <w:p w14:paraId="4C9D32C7" w14:textId="56FE696C" w:rsidR="00605785" w:rsidRDefault="00000000">
      <w:pPr>
        <w:widowControl w:val="0"/>
        <w:snapToGrid w:val="0"/>
        <w:ind w:firstLineChars="0" w:firstLine="0"/>
        <w:rPr>
          <w:snapToGrid w:val="0"/>
          <w:kern w:val="2"/>
        </w:rPr>
      </w:pPr>
      <w:r>
        <w:rPr>
          <w:snapToGrid w:val="0"/>
          <w:kern w:val="2"/>
        </w:rPr>
        <w:t xml:space="preserve">A total of 126 patients were randomly assigned; 3 patients in the intervention group and 3 in the control group did not complete the study, resulting in 60 patients in each group included in the final analysis. There were no statistically significant differences between the two groups in terms of age, gender, marital status, education level, daily care situation, per capita income, medical expenses, daily </w:t>
      </w:r>
      <w:r>
        <w:rPr>
          <w:snapToGrid w:val="0"/>
          <w:kern w:val="2"/>
        </w:rPr>
        <w:lastRenderedPageBreak/>
        <w:t xml:space="preserve">AVF behavior, primary disease, comorbidities, dialysis vintage, and previous AVF dysfunction or complications (all </w:t>
      </w:r>
      <w:r w:rsidR="00D83FF6">
        <w:rPr>
          <w:i/>
          <w:iCs/>
          <w:snapToGrid w:val="0"/>
          <w:kern w:val="2"/>
        </w:rPr>
        <w:t>p</w:t>
      </w:r>
      <w:r>
        <w:rPr>
          <w:rFonts w:hint="eastAsia"/>
          <w:i/>
          <w:iCs/>
          <w:snapToGrid w:val="0"/>
          <w:kern w:val="2"/>
        </w:rPr>
        <w:t xml:space="preserve"> </w:t>
      </w:r>
      <w:r>
        <w:rPr>
          <w:snapToGrid w:val="0"/>
          <w:kern w:val="2"/>
        </w:rPr>
        <w:t>&gt;</w:t>
      </w:r>
      <w:r>
        <w:rPr>
          <w:rFonts w:hint="eastAsia"/>
          <w:snapToGrid w:val="0"/>
          <w:kern w:val="2"/>
        </w:rPr>
        <w:t xml:space="preserve"> </w:t>
      </w:r>
      <w:r>
        <w:rPr>
          <w:snapToGrid w:val="0"/>
          <w:kern w:val="2"/>
        </w:rPr>
        <w:t xml:space="preserve">0.05; see </w:t>
      </w:r>
      <w:r>
        <w:rPr>
          <w:b/>
          <w:bCs/>
          <w:snapToGrid w:val="0"/>
          <w:kern w:val="2"/>
        </w:rPr>
        <w:t>Table 2</w:t>
      </w:r>
      <w:r>
        <w:rPr>
          <w:snapToGrid w:val="0"/>
          <w:kern w:val="2"/>
        </w:rPr>
        <w:t xml:space="preserve">). </w:t>
      </w:r>
    </w:p>
    <w:p w14:paraId="45B1E69E" w14:textId="77777777" w:rsidR="00605785" w:rsidRDefault="00605785">
      <w:pPr>
        <w:widowControl w:val="0"/>
        <w:snapToGrid w:val="0"/>
        <w:ind w:firstLineChars="0" w:firstLine="0"/>
        <w:rPr>
          <w:snapToGrid w:val="0"/>
          <w:kern w:val="2"/>
        </w:rPr>
      </w:pPr>
    </w:p>
    <w:p w14:paraId="54E90B92" w14:textId="77777777" w:rsidR="00605785" w:rsidRDefault="00000000">
      <w:pPr>
        <w:widowControl w:val="0"/>
        <w:snapToGrid w:val="0"/>
        <w:ind w:firstLineChars="0" w:firstLine="0"/>
        <w:rPr>
          <w:snapToGrid w:val="0"/>
          <w:kern w:val="2"/>
        </w:rPr>
      </w:pPr>
      <w:r>
        <w:rPr>
          <w:b/>
          <w:bCs/>
          <w:snapToGrid w:val="0"/>
          <w:kern w:val="2"/>
        </w:rPr>
        <w:t xml:space="preserve">Table 2. </w:t>
      </w:r>
      <w:r>
        <w:rPr>
          <w:snapToGrid w:val="0"/>
          <w:kern w:val="2"/>
        </w:rPr>
        <w:t xml:space="preserve">Comparison of </w:t>
      </w:r>
      <w:r>
        <w:rPr>
          <w:rFonts w:hint="eastAsia"/>
          <w:snapToGrid w:val="0"/>
          <w:kern w:val="2"/>
        </w:rPr>
        <w:t>g</w:t>
      </w:r>
      <w:r>
        <w:rPr>
          <w:snapToGrid w:val="0"/>
          <w:kern w:val="2"/>
        </w:rPr>
        <w:t xml:space="preserve">eneral </w:t>
      </w:r>
      <w:r>
        <w:rPr>
          <w:rFonts w:hint="eastAsia"/>
          <w:snapToGrid w:val="0"/>
          <w:kern w:val="2"/>
        </w:rPr>
        <w:t>i</w:t>
      </w:r>
      <w:r>
        <w:rPr>
          <w:snapToGrid w:val="0"/>
          <w:kern w:val="2"/>
        </w:rPr>
        <w:t xml:space="preserve">nformation </w:t>
      </w:r>
      <w:r>
        <w:rPr>
          <w:rFonts w:hint="eastAsia"/>
          <w:snapToGrid w:val="0"/>
          <w:kern w:val="2"/>
        </w:rPr>
        <w:t>b</w:t>
      </w:r>
      <w:r>
        <w:rPr>
          <w:snapToGrid w:val="0"/>
          <w:kern w:val="2"/>
        </w:rPr>
        <w:t xml:space="preserve">etween </w:t>
      </w:r>
      <w:r>
        <w:rPr>
          <w:rFonts w:hint="eastAsia"/>
          <w:snapToGrid w:val="0"/>
          <w:kern w:val="2"/>
        </w:rPr>
        <w:t>t</w:t>
      </w:r>
      <w:r>
        <w:rPr>
          <w:snapToGrid w:val="0"/>
          <w:kern w:val="2"/>
        </w:rPr>
        <w:t xml:space="preserve">wo </w:t>
      </w:r>
      <w:r>
        <w:rPr>
          <w:rFonts w:hint="eastAsia"/>
          <w:snapToGrid w:val="0"/>
          <w:kern w:val="2"/>
        </w:rPr>
        <w:t>g</w:t>
      </w:r>
      <w:r>
        <w:rPr>
          <w:snapToGrid w:val="0"/>
          <w:kern w:val="2"/>
        </w:rPr>
        <w:t xml:space="preserve">roups of </w:t>
      </w:r>
      <w:r>
        <w:rPr>
          <w:rFonts w:hint="eastAsia"/>
          <w:snapToGrid w:val="0"/>
          <w:kern w:val="2"/>
        </w:rPr>
        <w:t>p</w:t>
      </w:r>
      <w:r>
        <w:rPr>
          <w:snapToGrid w:val="0"/>
          <w:kern w:val="2"/>
        </w:rPr>
        <w:t>atients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589"/>
        <w:gridCol w:w="1771"/>
        <w:gridCol w:w="1398"/>
        <w:gridCol w:w="892"/>
        <w:gridCol w:w="729"/>
      </w:tblGrid>
      <w:tr w:rsidR="00605785" w14:paraId="4F369B54" w14:textId="77777777" w:rsidTr="00D83FF6">
        <w:trPr>
          <w:tblHeader/>
          <w:jc w:val="center"/>
        </w:trPr>
        <w:tc>
          <w:tcPr>
            <w:tcW w:w="1172" w:type="pct"/>
            <w:tcBorders>
              <w:top w:val="single" w:sz="4" w:space="0" w:color="auto"/>
              <w:bottom w:val="single" w:sz="4" w:space="0" w:color="auto"/>
            </w:tcBorders>
            <w:tcMar>
              <w:top w:w="-1" w:type="dxa"/>
              <w:left w:w="-1" w:type="dxa"/>
              <w:bottom w:w="-1" w:type="dxa"/>
              <w:right w:w="-1" w:type="dxa"/>
            </w:tcMar>
            <w:vAlign w:val="center"/>
          </w:tcPr>
          <w:p w14:paraId="0B6DC785" w14:textId="77777777" w:rsidR="00605785" w:rsidRDefault="00000000" w:rsidP="00D83FF6">
            <w:pPr>
              <w:pStyle w:val="NormalWeb"/>
              <w:keepNext/>
              <w:widowControl/>
              <w:shd w:val="clear" w:color="auto" w:fill="FFFFFF"/>
              <w:snapToGrid w:val="0"/>
              <w:ind w:firstLineChars="0" w:firstLine="0"/>
              <w:jc w:val="left"/>
              <w:rPr>
                <w:rFonts w:eastAsia="Segoe UI"/>
                <w:b/>
              </w:rPr>
            </w:pPr>
            <w:r>
              <w:rPr>
                <w:rFonts w:eastAsia="Segoe UI"/>
                <w:b/>
                <w:color w:val="0F1115"/>
                <w:shd w:val="clear" w:color="auto" w:fill="FFFFFF"/>
              </w:rPr>
              <w:lastRenderedPageBreak/>
              <w:t xml:space="preserve">Variable </w:t>
            </w:r>
          </w:p>
        </w:tc>
        <w:tc>
          <w:tcPr>
            <w:tcW w:w="1343" w:type="pct"/>
            <w:tcBorders>
              <w:top w:val="single" w:sz="4" w:space="0" w:color="auto"/>
              <w:bottom w:val="single" w:sz="4" w:space="0" w:color="auto"/>
            </w:tcBorders>
            <w:tcMar>
              <w:top w:w="-1" w:type="dxa"/>
              <w:left w:w="-1" w:type="dxa"/>
              <w:bottom w:w="-1" w:type="dxa"/>
              <w:right w:w="-1" w:type="dxa"/>
            </w:tcMar>
            <w:vAlign w:val="center"/>
          </w:tcPr>
          <w:p w14:paraId="0D8BE6E0" w14:textId="77777777" w:rsidR="00605785" w:rsidRDefault="00000000">
            <w:pPr>
              <w:pStyle w:val="NormalWeb"/>
              <w:keepNext/>
              <w:widowControl/>
              <w:shd w:val="clear" w:color="auto" w:fill="FFFFFF"/>
              <w:snapToGrid w:val="0"/>
              <w:ind w:firstLineChars="0" w:firstLine="0"/>
              <w:jc w:val="center"/>
              <w:rPr>
                <w:rFonts w:eastAsia="Segoe UI"/>
                <w:b/>
              </w:rPr>
            </w:pPr>
            <w:r>
              <w:rPr>
                <w:rFonts w:eastAsia="Segoe UI"/>
                <w:b/>
                <w:color w:val="0F1115"/>
                <w:shd w:val="clear" w:color="auto" w:fill="FFFFFF"/>
              </w:rPr>
              <w:t xml:space="preserve">Category </w:t>
            </w:r>
          </w:p>
        </w:tc>
        <w:tc>
          <w:tcPr>
            <w:tcW w:w="919" w:type="pct"/>
            <w:tcBorders>
              <w:top w:val="single" w:sz="4" w:space="0" w:color="auto"/>
              <w:bottom w:val="single" w:sz="4" w:space="0" w:color="auto"/>
            </w:tcBorders>
            <w:tcMar>
              <w:top w:w="-1" w:type="dxa"/>
              <w:left w:w="-1" w:type="dxa"/>
              <w:bottom w:w="-1" w:type="dxa"/>
              <w:right w:w="-1" w:type="dxa"/>
            </w:tcMar>
            <w:vAlign w:val="center"/>
          </w:tcPr>
          <w:p w14:paraId="4B24E3A2" w14:textId="77777777" w:rsidR="00605785" w:rsidRDefault="00000000">
            <w:pPr>
              <w:pStyle w:val="NormalWeb"/>
              <w:keepNext/>
              <w:widowControl/>
              <w:shd w:val="clear" w:color="auto" w:fill="FFFFFF"/>
              <w:snapToGrid w:val="0"/>
              <w:ind w:firstLineChars="0" w:firstLine="0"/>
              <w:jc w:val="center"/>
              <w:rPr>
                <w:rFonts w:eastAsia="Segoe UI"/>
                <w:b/>
              </w:rPr>
            </w:pPr>
            <w:r>
              <w:rPr>
                <w:rFonts w:eastAsia="Segoe UI"/>
                <w:b/>
                <w:color w:val="0F1115"/>
                <w:shd w:val="clear" w:color="auto" w:fill="FFFFFF"/>
              </w:rPr>
              <w:t xml:space="preserve">Intervention group (n = 60) </w:t>
            </w:r>
          </w:p>
        </w:tc>
        <w:tc>
          <w:tcPr>
            <w:tcW w:w="725" w:type="pct"/>
            <w:tcBorders>
              <w:top w:val="single" w:sz="4" w:space="0" w:color="auto"/>
              <w:bottom w:val="single" w:sz="4" w:space="0" w:color="auto"/>
            </w:tcBorders>
            <w:tcMar>
              <w:top w:w="-1" w:type="dxa"/>
              <w:left w:w="-1" w:type="dxa"/>
              <w:bottom w:w="-1" w:type="dxa"/>
              <w:right w:w="-1" w:type="dxa"/>
            </w:tcMar>
            <w:vAlign w:val="center"/>
          </w:tcPr>
          <w:p w14:paraId="613DA9E5" w14:textId="77777777" w:rsidR="00605785" w:rsidRDefault="00000000">
            <w:pPr>
              <w:pStyle w:val="NormalWeb"/>
              <w:keepNext/>
              <w:widowControl/>
              <w:shd w:val="clear" w:color="auto" w:fill="FFFFFF"/>
              <w:snapToGrid w:val="0"/>
              <w:ind w:firstLineChars="0" w:firstLine="0"/>
              <w:jc w:val="center"/>
              <w:rPr>
                <w:rFonts w:eastAsia="Segoe UI"/>
                <w:b/>
              </w:rPr>
            </w:pPr>
            <w:r>
              <w:rPr>
                <w:rFonts w:eastAsia="Segoe UI"/>
                <w:b/>
                <w:color w:val="0F1115"/>
                <w:shd w:val="clear" w:color="auto" w:fill="FFFFFF"/>
              </w:rPr>
              <w:t xml:space="preserve">Control group (n= 60) </w:t>
            </w:r>
          </w:p>
        </w:tc>
        <w:tc>
          <w:tcPr>
            <w:tcW w:w="463" w:type="pct"/>
            <w:tcBorders>
              <w:top w:val="single" w:sz="4" w:space="0" w:color="auto"/>
              <w:bottom w:val="single" w:sz="4" w:space="0" w:color="auto"/>
            </w:tcBorders>
            <w:tcMar>
              <w:top w:w="-1" w:type="dxa"/>
              <w:left w:w="-1" w:type="dxa"/>
              <w:bottom w:w="-1" w:type="dxa"/>
              <w:right w:w="-1" w:type="dxa"/>
            </w:tcMar>
            <w:vAlign w:val="center"/>
          </w:tcPr>
          <w:p w14:paraId="15ABB38D" w14:textId="77777777" w:rsidR="00605785" w:rsidRDefault="00000000">
            <w:pPr>
              <w:pStyle w:val="NormalWeb"/>
              <w:keepNext/>
              <w:widowControl/>
              <w:shd w:val="clear" w:color="auto" w:fill="FFFFFF"/>
              <w:snapToGrid w:val="0"/>
              <w:ind w:firstLineChars="0" w:firstLine="0"/>
              <w:jc w:val="center"/>
              <w:rPr>
                <w:rFonts w:eastAsia="Segoe UI"/>
                <w:b/>
              </w:rPr>
            </w:pPr>
            <w:r>
              <w:rPr>
                <w:rFonts w:eastAsia="Segoe UI"/>
                <w:b/>
                <w:color w:val="0F1115"/>
                <w:shd w:val="clear" w:color="auto" w:fill="FFFFFF"/>
              </w:rPr>
              <w:t>χ²/</w:t>
            </w:r>
            <w:r w:rsidRPr="00D83FF6">
              <w:rPr>
                <w:rFonts w:eastAsia="Segoe UI"/>
                <w:b/>
                <w:i/>
                <w:iCs/>
                <w:color w:val="0F1115"/>
                <w:shd w:val="clear" w:color="auto" w:fill="FFFFFF"/>
              </w:rPr>
              <w:t>Z</w:t>
            </w:r>
            <w:r>
              <w:rPr>
                <w:rFonts w:eastAsia="Segoe UI"/>
                <w:b/>
                <w:color w:val="0F1115"/>
                <w:shd w:val="clear" w:color="auto" w:fill="FFFFFF"/>
              </w:rPr>
              <w:t xml:space="preserve"> </w:t>
            </w:r>
          </w:p>
        </w:tc>
        <w:tc>
          <w:tcPr>
            <w:tcW w:w="378" w:type="pct"/>
            <w:tcBorders>
              <w:top w:val="single" w:sz="4" w:space="0" w:color="auto"/>
              <w:bottom w:val="single" w:sz="4" w:space="0" w:color="auto"/>
            </w:tcBorders>
            <w:tcMar>
              <w:top w:w="-1" w:type="dxa"/>
              <w:left w:w="-1" w:type="dxa"/>
              <w:bottom w:w="-1" w:type="dxa"/>
              <w:right w:w="-1" w:type="dxa"/>
            </w:tcMar>
            <w:vAlign w:val="center"/>
          </w:tcPr>
          <w:p w14:paraId="7713D746" w14:textId="77777777" w:rsidR="00605785" w:rsidRDefault="00000000">
            <w:pPr>
              <w:pStyle w:val="NormalWeb"/>
              <w:keepNext/>
              <w:widowControl/>
              <w:shd w:val="clear" w:color="auto" w:fill="FFFFFF"/>
              <w:snapToGrid w:val="0"/>
              <w:ind w:firstLineChars="0" w:firstLine="0"/>
              <w:jc w:val="center"/>
              <w:rPr>
                <w:rFonts w:eastAsia="Segoe UI"/>
                <w:b/>
              </w:rPr>
            </w:pPr>
            <w:r>
              <w:rPr>
                <w:rFonts w:eastAsia="Segoe UI"/>
                <w:b/>
                <w:i/>
                <w:iCs/>
                <w:color w:val="0F1115"/>
                <w:shd w:val="clear" w:color="auto" w:fill="FFFFFF"/>
              </w:rPr>
              <w:t>p</w:t>
            </w:r>
          </w:p>
        </w:tc>
      </w:tr>
      <w:tr w:rsidR="00D83FF6" w14:paraId="0C0F70D3" w14:textId="77777777" w:rsidTr="00D83FF6">
        <w:trPr>
          <w:jc w:val="center"/>
        </w:trPr>
        <w:tc>
          <w:tcPr>
            <w:tcW w:w="1172" w:type="pct"/>
            <w:vMerge w:val="restart"/>
            <w:tcBorders>
              <w:top w:val="single" w:sz="4" w:space="0" w:color="auto"/>
            </w:tcBorders>
            <w:tcMar>
              <w:top w:w="-1" w:type="dxa"/>
              <w:left w:w="-1" w:type="dxa"/>
              <w:bottom w:w="-1" w:type="dxa"/>
              <w:right w:w="-1" w:type="dxa"/>
            </w:tcMar>
            <w:vAlign w:val="center"/>
          </w:tcPr>
          <w:p w14:paraId="7CF1CBF0"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Age </w:t>
            </w:r>
          </w:p>
        </w:tc>
        <w:tc>
          <w:tcPr>
            <w:tcW w:w="1343" w:type="pct"/>
            <w:tcBorders>
              <w:top w:val="single" w:sz="4" w:space="0" w:color="auto"/>
            </w:tcBorders>
            <w:tcMar>
              <w:top w:w="-1" w:type="dxa"/>
              <w:left w:w="-1" w:type="dxa"/>
              <w:bottom w:w="-1" w:type="dxa"/>
              <w:right w:w="-1" w:type="dxa"/>
            </w:tcMar>
            <w:vAlign w:val="center"/>
          </w:tcPr>
          <w:p w14:paraId="6329C20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60–69 years </w:t>
            </w:r>
          </w:p>
        </w:tc>
        <w:tc>
          <w:tcPr>
            <w:tcW w:w="919" w:type="pct"/>
            <w:tcBorders>
              <w:top w:val="single" w:sz="4" w:space="0" w:color="auto"/>
            </w:tcBorders>
            <w:tcMar>
              <w:top w:w="-1" w:type="dxa"/>
              <w:left w:w="-1" w:type="dxa"/>
              <w:bottom w:w="-1" w:type="dxa"/>
              <w:right w:w="-1" w:type="dxa"/>
            </w:tcMar>
            <w:vAlign w:val="center"/>
          </w:tcPr>
          <w:p w14:paraId="5404781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33(55.00) </w:t>
            </w:r>
          </w:p>
        </w:tc>
        <w:tc>
          <w:tcPr>
            <w:tcW w:w="725" w:type="pct"/>
            <w:tcBorders>
              <w:top w:val="single" w:sz="4" w:space="0" w:color="auto"/>
            </w:tcBorders>
            <w:tcMar>
              <w:top w:w="-1" w:type="dxa"/>
              <w:left w:w="-1" w:type="dxa"/>
              <w:bottom w:w="-1" w:type="dxa"/>
              <w:right w:w="-1" w:type="dxa"/>
            </w:tcMar>
            <w:vAlign w:val="center"/>
          </w:tcPr>
          <w:p w14:paraId="4A80722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31(51.67) </w:t>
            </w:r>
          </w:p>
        </w:tc>
        <w:tc>
          <w:tcPr>
            <w:tcW w:w="463" w:type="pct"/>
            <w:vMerge w:val="restart"/>
            <w:tcBorders>
              <w:top w:val="single" w:sz="4" w:space="0" w:color="auto"/>
            </w:tcBorders>
            <w:tcMar>
              <w:top w:w="-1" w:type="dxa"/>
              <w:left w:w="-1" w:type="dxa"/>
              <w:bottom w:w="-1" w:type="dxa"/>
              <w:right w:w="-1" w:type="dxa"/>
            </w:tcMar>
            <w:vAlign w:val="center"/>
          </w:tcPr>
          <w:p w14:paraId="3CA94EC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1.233</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Borders>
              <w:top w:val="single" w:sz="4" w:space="0" w:color="auto"/>
            </w:tcBorders>
            <w:tcMar>
              <w:top w:w="-1" w:type="dxa"/>
              <w:left w:w="-1" w:type="dxa"/>
              <w:bottom w:w="-1" w:type="dxa"/>
              <w:right w:w="-1" w:type="dxa"/>
            </w:tcMar>
            <w:vAlign w:val="center"/>
          </w:tcPr>
          <w:p w14:paraId="463F78F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0.540</w:t>
            </w:r>
          </w:p>
        </w:tc>
      </w:tr>
      <w:tr w:rsidR="00D83FF6" w14:paraId="397B340F" w14:textId="77777777" w:rsidTr="00D83FF6">
        <w:trPr>
          <w:jc w:val="center"/>
        </w:trPr>
        <w:tc>
          <w:tcPr>
            <w:tcW w:w="1172" w:type="pct"/>
            <w:vMerge/>
            <w:tcMar>
              <w:top w:w="-1" w:type="dxa"/>
              <w:left w:w="-1" w:type="dxa"/>
              <w:bottom w:w="-1" w:type="dxa"/>
              <w:right w:w="-1" w:type="dxa"/>
            </w:tcMar>
            <w:vAlign w:val="center"/>
          </w:tcPr>
          <w:p w14:paraId="4767F5C4"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A4C32F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70–79 years </w:t>
            </w:r>
          </w:p>
        </w:tc>
        <w:tc>
          <w:tcPr>
            <w:tcW w:w="919" w:type="pct"/>
            <w:tcMar>
              <w:top w:w="-1" w:type="dxa"/>
              <w:left w:w="-1" w:type="dxa"/>
              <w:bottom w:w="-1" w:type="dxa"/>
              <w:right w:w="-1" w:type="dxa"/>
            </w:tcMar>
            <w:vAlign w:val="center"/>
          </w:tcPr>
          <w:p w14:paraId="584D55D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17(28.33) </w:t>
            </w:r>
          </w:p>
        </w:tc>
        <w:tc>
          <w:tcPr>
            <w:tcW w:w="725" w:type="pct"/>
            <w:tcMar>
              <w:top w:w="-1" w:type="dxa"/>
              <w:left w:w="-1" w:type="dxa"/>
              <w:bottom w:w="-1" w:type="dxa"/>
              <w:right w:w="-1" w:type="dxa"/>
            </w:tcMar>
            <w:vAlign w:val="center"/>
          </w:tcPr>
          <w:p w14:paraId="29E25CC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463" w:type="pct"/>
            <w:vMerge/>
            <w:tcMar>
              <w:top w:w="-1" w:type="dxa"/>
              <w:left w:w="-1" w:type="dxa"/>
              <w:bottom w:w="-1" w:type="dxa"/>
              <w:right w:w="-1" w:type="dxa"/>
            </w:tcMar>
            <w:vAlign w:val="center"/>
          </w:tcPr>
          <w:p w14:paraId="6C0E82C1"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03BB09FF"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221F92B6" w14:textId="77777777" w:rsidTr="00D83FF6">
        <w:trPr>
          <w:jc w:val="center"/>
        </w:trPr>
        <w:tc>
          <w:tcPr>
            <w:tcW w:w="1172" w:type="pct"/>
            <w:vMerge/>
            <w:tcMar>
              <w:top w:w="-1" w:type="dxa"/>
              <w:left w:w="-1" w:type="dxa"/>
              <w:bottom w:w="-1" w:type="dxa"/>
              <w:right w:w="-1" w:type="dxa"/>
            </w:tcMar>
            <w:vAlign w:val="center"/>
          </w:tcPr>
          <w:p w14:paraId="4688F4A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0F1F406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 80 years </w:t>
            </w:r>
          </w:p>
        </w:tc>
        <w:tc>
          <w:tcPr>
            <w:tcW w:w="919" w:type="pct"/>
            <w:tcMar>
              <w:top w:w="-1" w:type="dxa"/>
              <w:left w:w="-1" w:type="dxa"/>
              <w:bottom w:w="-1" w:type="dxa"/>
              <w:right w:w="-1" w:type="dxa"/>
            </w:tcMar>
            <w:vAlign w:val="center"/>
          </w:tcPr>
          <w:p w14:paraId="3CF77C8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10(16.67) </w:t>
            </w:r>
          </w:p>
        </w:tc>
        <w:tc>
          <w:tcPr>
            <w:tcW w:w="725" w:type="pct"/>
            <w:tcMar>
              <w:top w:w="-1" w:type="dxa"/>
              <w:left w:w="-1" w:type="dxa"/>
              <w:bottom w:w="-1" w:type="dxa"/>
              <w:right w:w="-1" w:type="dxa"/>
            </w:tcMar>
            <w:vAlign w:val="center"/>
          </w:tcPr>
          <w:p w14:paraId="7D71F6B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463" w:type="pct"/>
            <w:vMerge/>
            <w:tcMar>
              <w:top w:w="-1" w:type="dxa"/>
              <w:left w:w="-1" w:type="dxa"/>
              <w:bottom w:w="-1" w:type="dxa"/>
              <w:right w:w="-1" w:type="dxa"/>
            </w:tcMar>
            <w:vAlign w:val="center"/>
          </w:tcPr>
          <w:p w14:paraId="18131EA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308CBC46"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502EF0C4" w14:textId="77777777" w:rsidTr="00D83FF6">
        <w:trPr>
          <w:jc w:val="center"/>
        </w:trPr>
        <w:tc>
          <w:tcPr>
            <w:tcW w:w="1172" w:type="pct"/>
            <w:vMerge w:val="restart"/>
            <w:tcMar>
              <w:top w:w="-1" w:type="dxa"/>
              <w:left w:w="-1" w:type="dxa"/>
              <w:bottom w:w="-1" w:type="dxa"/>
              <w:right w:w="-1" w:type="dxa"/>
            </w:tcMar>
            <w:vAlign w:val="center"/>
          </w:tcPr>
          <w:p w14:paraId="304C1C52"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Gender </w:t>
            </w:r>
          </w:p>
        </w:tc>
        <w:tc>
          <w:tcPr>
            <w:tcW w:w="1343" w:type="pct"/>
            <w:tcMar>
              <w:top w:w="-1" w:type="dxa"/>
              <w:left w:w="-1" w:type="dxa"/>
              <w:bottom w:w="-1" w:type="dxa"/>
              <w:right w:w="-1" w:type="dxa"/>
            </w:tcMar>
            <w:vAlign w:val="center"/>
          </w:tcPr>
          <w:p w14:paraId="72E7453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Male </w:t>
            </w:r>
          </w:p>
        </w:tc>
        <w:tc>
          <w:tcPr>
            <w:tcW w:w="919" w:type="pct"/>
            <w:tcMar>
              <w:top w:w="-1" w:type="dxa"/>
              <w:left w:w="-1" w:type="dxa"/>
              <w:bottom w:w="-1" w:type="dxa"/>
              <w:right w:w="-1" w:type="dxa"/>
            </w:tcMar>
            <w:vAlign w:val="center"/>
          </w:tcPr>
          <w:p w14:paraId="2D57172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31(51.67) </w:t>
            </w:r>
          </w:p>
        </w:tc>
        <w:tc>
          <w:tcPr>
            <w:tcW w:w="725" w:type="pct"/>
            <w:tcMar>
              <w:top w:w="-1" w:type="dxa"/>
              <w:left w:w="-1" w:type="dxa"/>
              <w:bottom w:w="-1" w:type="dxa"/>
              <w:right w:w="-1" w:type="dxa"/>
            </w:tcMar>
            <w:vAlign w:val="center"/>
          </w:tcPr>
          <w:p w14:paraId="011F709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25(41.67) </w:t>
            </w:r>
          </w:p>
        </w:tc>
        <w:tc>
          <w:tcPr>
            <w:tcW w:w="463" w:type="pct"/>
            <w:vMerge w:val="restart"/>
            <w:tcMar>
              <w:top w:w="-1" w:type="dxa"/>
              <w:left w:w="-1" w:type="dxa"/>
              <w:bottom w:w="-1" w:type="dxa"/>
              <w:right w:w="-1" w:type="dxa"/>
            </w:tcMar>
            <w:vAlign w:val="center"/>
          </w:tcPr>
          <w:p w14:paraId="2E2DE56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1.205</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31C791B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0.272</w:t>
            </w:r>
          </w:p>
        </w:tc>
      </w:tr>
      <w:tr w:rsidR="00D83FF6" w14:paraId="119CE2FC" w14:textId="77777777" w:rsidTr="00D83FF6">
        <w:trPr>
          <w:jc w:val="center"/>
        </w:trPr>
        <w:tc>
          <w:tcPr>
            <w:tcW w:w="1172" w:type="pct"/>
            <w:vMerge/>
            <w:tcMar>
              <w:top w:w="-1" w:type="dxa"/>
              <w:left w:w="-1" w:type="dxa"/>
              <w:bottom w:w="-1" w:type="dxa"/>
              <w:right w:w="-1" w:type="dxa"/>
            </w:tcMar>
            <w:vAlign w:val="center"/>
          </w:tcPr>
          <w:p w14:paraId="33D75D04"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6818417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Female </w:t>
            </w:r>
          </w:p>
        </w:tc>
        <w:tc>
          <w:tcPr>
            <w:tcW w:w="919" w:type="pct"/>
            <w:tcMar>
              <w:top w:w="-1" w:type="dxa"/>
              <w:left w:w="-1" w:type="dxa"/>
              <w:bottom w:w="-1" w:type="dxa"/>
              <w:right w:w="-1" w:type="dxa"/>
            </w:tcMar>
            <w:vAlign w:val="center"/>
          </w:tcPr>
          <w:p w14:paraId="0594320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29(48.33) </w:t>
            </w:r>
          </w:p>
        </w:tc>
        <w:tc>
          <w:tcPr>
            <w:tcW w:w="725" w:type="pct"/>
            <w:tcMar>
              <w:top w:w="-1" w:type="dxa"/>
              <w:left w:w="-1" w:type="dxa"/>
              <w:bottom w:w="-1" w:type="dxa"/>
              <w:right w:w="-1" w:type="dxa"/>
            </w:tcMar>
            <w:vAlign w:val="center"/>
          </w:tcPr>
          <w:p w14:paraId="214ECD38"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35(58.33) </w:t>
            </w:r>
          </w:p>
        </w:tc>
        <w:tc>
          <w:tcPr>
            <w:tcW w:w="463" w:type="pct"/>
            <w:vMerge/>
            <w:tcMar>
              <w:top w:w="-1" w:type="dxa"/>
              <w:left w:w="-1" w:type="dxa"/>
              <w:bottom w:w="-1" w:type="dxa"/>
              <w:right w:w="-1" w:type="dxa"/>
            </w:tcMar>
            <w:vAlign w:val="center"/>
          </w:tcPr>
          <w:p w14:paraId="67239F0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5C99C163"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C66E76F" w14:textId="77777777" w:rsidTr="00D83FF6">
        <w:trPr>
          <w:jc w:val="center"/>
        </w:trPr>
        <w:tc>
          <w:tcPr>
            <w:tcW w:w="1172" w:type="pct"/>
            <w:vMerge w:val="restart"/>
            <w:tcMar>
              <w:top w:w="-1" w:type="dxa"/>
              <w:left w:w="-1" w:type="dxa"/>
              <w:bottom w:w="-1" w:type="dxa"/>
              <w:right w:w="-1" w:type="dxa"/>
            </w:tcMar>
            <w:vAlign w:val="center"/>
          </w:tcPr>
          <w:p w14:paraId="4ABCA63A"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Marital status </w:t>
            </w:r>
          </w:p>
        </w:tc>
        <w:tc>
          <w:tcPr>
            <w:tcW w:w="1343" w:type="pct"/>
            <w:tcMar>
              <w:top w:w="-1" w:type="dxa"/>
              <w:left w:w="-1" w:type="dxa"/>
              <w:bottom w:w="-1" w:type="dxa"/>
              <w:right w:w="-1" w:type="dxa"/>
            </w:tcMar>
            <w:vAlign w:val="center"/>
          </w:tcPr>
          <w:p w14:paraId="4241E04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Married </w:t>
            </w:r>
          </w:p>
        </w:tc>
        <w:tc>
          <w:tcPr>
            <w:tcW w:w="919" w:type="pct"/>
            <w:tcMar>
              <w:top w:w="-1" w:type="dxa"/>
              <w:left w:w="-1" w:type="dxa"/>
              <w:bottom w:w="-1" w:type="dxa"/>
              <w:right w:w="-1" w:type="dxa"/>
            </w:tcMar>
            <w:vAlign w:val="center"/>
          </w:tcPr>
          <w:p w14:paraId="7444E7A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48(80.00) </w:t>
            </w:r>
          </w:p>
        </w:tc>
        <w:tc>
          <w:tcPr>
            <w:tcW w:w="725" w:type="pct"/>
            <w:tcMar>
              <w:top w:w="-1" w:type="dxa"/>
              <w:left w:w="-1" w:type="dxa"/>
              <w:bottom w:w="-1" w:type="dxa"/>
              <w:right w:w="-1" w:type="dxa"/>
            </w:tcMar>
            <w:vAlign w:val="center"/>
          </w:tcPr>
          <w:p w14:paraId="12776A1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41(68.33) </w:t>
            </w:r>
          </w:p>
        </w:tc>
        <w:tc>
          <w:tcPr>
            <w:tcW w:w="463" w:type="pct"/>
            <w:vMerge w:val="restart"/>
            <w:tcMar>
              <w:top w:w="-1" w:type="dxa"/>
              <w:left w:w="-1" w:type="dxa"/>
              <w:bottom w:w="-1" w:type="dxa"/>
              <w:right w:w="-1" w:type="dxa"/>
            </w:tcMar>
            <w:vAlign w:val="center"/>
          </w:tcPr>
          <w:p w14:paraId="0A2E341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4.278</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299175F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0.233</w:t>
            </w:r>
          </w:p>
        </w:tc>
      </w:tr>
      <w:tr w:rsidR="00D83FF6" w14:paraId="7C3DF9A5" w14:textId="77777777" w:rsidTr="00D83FF6">
        <w:trPr>
          <w:jc w:val="center"/>
        </w:trPr>
        <w:tc>
          <w:tcPr>
            <w:tcW w:w="1172" w:type="pct"/>
            <w:vMerge/>
            <w:tcMar>
              <w:top w:w="-1" w:type="dxa"/>
              <w:left w:w="-1" w:type="dxa"/>
              <w:bottom w:w="-1" w:type="dxa"/>
              <w:right w:w="-1" w:type="dxa"/>
            </w:tcMar>
            <w:vAlign w:val="center"/>
          </w:tcPr>
          <w:p w14:paraId="22C96657"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2367E95B"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Unmarried </w:t>
            </w:r>
          </w:p>
        </w:tc>
        <w:tc>
          <w:tcPr>
            <w:tcW w:w="919" w:type="pct"/>
            <w:tcMar>
              <w:top w:w="-1" w:type="dxa"/>
              <w:left w:w="-1" w:type="dxa"/>
              <w:bottom w:w="-1" w:type="dxa"/>
              <w:right w:w="-1" w:type="dxa"/>
            </w:tcMar>
            <w:vAlign w:val="center"/>
          </w:tcPr>
          <w:p w14:paraId="6470020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0(0.00) </w:t>
            </w:r>
          </w:p>
        </w:tc>
        <w:tc>
          <w:tcPr>
            <w:tcW w:w="725" w:type="pct"/>
            <w:tcMar>
              <w:top w:w="-1" w:type="dxa"/>
              <w:left w:w="-1" w:type="dxa"/>
              <w:bottom w:w="-1" w:type="dxa"/>
              <w:right w:w="-1" w:type="dxa"/>
            </w:tcMar>
            <w:vAlign w:val="center"/>
          </w:tcPr>
          <w:p w14:paraId="380B9D3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3(5.00) </w:t>
            </w:r>
          </w:p>
        </w:tc>
        <w:tc>
          <w:tcPr>
            <w:tcW w:w="463" w:type="pct"/>
            <w:vMerge/>
            <w:tcMar>
              <w:top w:w="-1" w:type="dxa"/>
              <w:left w:w="-1" w:type="dxa"/>
              <w:bottom w:w="-1" w:type="dxa"/>
              <w:right w:w="-1" w:type="dxa"/>
            </w:tcMar>
            <w:vAlign w:val="center"/>
          </w:tcPr>
          <w:p w14:paraId="309A2CE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25BA6EEB"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2D324608" w14:textId="77777777" w:rsidTr="00D83FF6">
        <w:trPr>
          <w:jc w:val="center"/>
        </w:trPr>
        <w:tc>
          <w:tcPr>
            <w:tcW w:w="1172" w:type="pct"/>
            <w:vMerge/>
            <w:tcMar>
              <w:top w:w="-1" w:type="dxa"/>
              <w:left w:w="-1" w:type="dxa"/>
              <w:bottom w:w="-1" w:type="dxa"/>
              <w:right w:w="-1" w:type="dxa"/>
            </w:tcMar>
            <w:vAlign w:val="center"/>
          </w:tcPr>
          <w:p w14:paraId="709F2BB2"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255C362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Widowed </w:t>
            </w:r>
          </w:p>
        </w:tc>
        <w:tc>
          <w:tcPr>
            <w:tcW w:w="919" w:type="pct"/>
            <w:tcMar>
              <w:top w:w="-1" w:type="dxa"/>
              <w:left w:w="-1" w:type="dxa"/>
              <w:bottom w:w="-1" w:type="dxa"/>
              <w:right w:w="-1" w:type="dxa"/>
            </w:tcMar>
            <w:vAlign w:val="center"/>
          </w:tcPr>
          <w:p w14:paraId="5D95BAE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9(15.00) </w:t>
            </w:r>
          </w:p>
        </w:tc>
        <w:tc>
          <w:tcPr>
            <w:tcW w:w="725" w:type="pct"/>
            <w:tcMar>
              <w:top w:w="-1" w:type="dxa"/>
              <w:left w:w="-1" w:type="dxa"/>
              <w:bottom w:w="-1" w:type="dxa"/>
              <w:right w:w="-1" w:type="dxa"/>
            </w:tcMar>
            <w:vAlign w:val="center"/>
          </w:tcPr>
          <w:p w14:paraId="542FEFC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13(21.67) </w:t>
            </w:r>
          </w:p>
        </w:tc>
        <w:tc>
          <w:tcPr>
            <w:tcW w:w="463" w:type="pct"/>
            <w:vMerge/>
            <w:tcMar>
              <w:top w:w="-1" w:type="dxa"/>
              <w:left w:w="-1" w:type="dxa"/>
              <w:bottom w:w="-1" w:type="dxa"/>
              <w:right w:w="-1" w:type="dxa"/>
            </w:tcMar>
            <w:vAlign w:val="center"/>
          </w:tcPr>
          <w:p w14:paraId="4E0DB606"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7F0CE821"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F458C6E" w14:textId="77777777" w:rsidTr="00D83FF6">
        <w:trPr>
          <w:jc w:val="center"/>
        </w:trPr>
        <w:tc>
          <w:tcPr>
            <w:tcW w:w="1172" w:type="pct"/>
            <w:vMerge/>
            <w:tcMar>
              <w:top w:w="-1" w:type="dxa"/>
              <w:left w:w="-1" w:type="dxa"/>
              <w:bottom w:w="-1" w:type="dxa"/>
              <w:right w:w="-1" w:type="dxa"/>
            </w:tcMar>
            <w:vAlign w:val="center"/>
          </w:tcPr>
          <w:p w14:paraId="7CB5671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5641A4F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Divorced </w:t>
            </w:r>
          </w:p>
        </w:tc>
        <w:tc>
          <w:tcPr>
            <w:tcW w:w="919" w:type="pct"/>
            <w:tcMar>
              <w:top w:w="-1" w:type="dxa"/>
              <w:left w:w="-1" w:type="dxa"/>
              <w:bottom w:w="-1" w:type="dxa"/>
              <w:right w:w="-1" w:type="dxa"/>
            </w:tcMar>
            <w:vAlign w:val="center"/>
          </w:tcPr>
          <w:p w14:paraId="2F61907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3(5.00) </w:t>
            </w:r>
          </w:p>
        </w:tc>
        <w:tc>
          <w:tcPr>
            <w:tcW w:w="725" w:type="pct"/>
            <w:tcMar>
              <w:top w:w="-1" w:type="dxa"/>
              <w:left w:w="-1" w:type="dxa"/>
              <w:bottom w:w="-1" w:type="dxa"/>
              <w:right w:w="-1" w:type="dxa"/>
            </w:tcMar>
            <w:vAlign w:val="center"/>
          </w:tcPr>
          <w:p w14:paraId="4CF0C43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3(5.00) </w:t>
            </w:r>
          </w:p>
        </w:tc>
        <w:tc>
          <w:tcPr>
            <w:tcW w:w="463" w:type="pct"/>
            <w:vMerge/>
            <w:tcMar>
              <w:top w:w="-1" w:type="dxa"/>
              <w:left w:w="-1" w:type="dxa"/>
              <w:bottom w:w="-1" w:type="dxa"/>
              <w:right w:w="-1" w:type="dxa"/>
            </w:tcMar>
            <w:vAlign w:val="center"/>
          </w:tcPr>
          <w:p w14:paraId="4BA3F2F4"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6BAC6257"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66AD7E88" w14:textId="77777777" w:rsidTr="00D83FF6">
        <w:trPr>
          <w:jc w:val="center"/>
        </w:trPr>
        <w:tc>
          <w:tcPr>
            <w:tcW w:w="1172" w:type="pct"/>
            <w:vMerge w:val="restart"/>
            <w:tcMar>
              <w:top w:w="-1" w:type="dxa"/>
              <w:left w:w="-1" w:type="dxa"/>
              <w:bottom w:w="-1" w:type="dxa"/>
              <w:right w:w="-1" w:type="dxa"/>
            </w:tcMar>
            <w:vAlign w:val="center"/>
          </w:tcPr>
          <w:p w14:paraId="3A29364C"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Education level </w:t>
            </w:r>
          </w:p>
        </w:tc>
        <w:tc>
          <w:tcPr>
            <w:tcW w:w="1343" w:type="pct"/>
            <w:tcMar>
              <w:top w:w="-1" w:type="dxa"/>
              <w:left w:w="-1" w:type="dxa"/>
              <w:bottom w:w="-1" w:type="dxa"/>
              <w:right w:w="-1" w:type="dxa"/>
            </w:tcMar>
            <w:vAlign w:val="center"/>
          </w:tcPr>
          <w:p w14:paraId="5A14CF6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Primary school or below </w:t>
            </w:r>
          </w:p>
        </w:tc>
        <w:tc>
          <w:tcPr>
            <w:tcW w:w="919" w:type="pct"/>
            <w:tcMar>
              <w:top w:w="-1" w:type="dxa"/>
              <w:left w:w="-1" w:type="dxa"/>
              <w:bottom w:w="-1" w:type="dxa"/>
              <w:right w:w="-1" w:type="dxa"/>
            </w:tcMar>
            <w:vAlign w:val="center"/>
          </w:tcPr>
          <w:p w14:paraId="6B64D14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725" w:type="pct"/>
            <w:tcMar>
              <w:top w:w="-1" w:type="dxa"/>
              <w:left w:w="-1" w:type="dxa"/>
              <w:bottom w:w="-1" w:type="dxa"/>
              <w:right w:w="-1" w:type="dxa"/>
            </w:tcMar>
            <w:vAlign w:val="center"/>
          </w:tcPr>
          <w:p w14:paraId="15BD28C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463" w:type="pct"/>
            <w:vMerge w:val="restart"/>
            <w:tcMar>
              <w:top w:w="-1" w:type="dxa"/>
              <w:left w:w="-1" w:type="dxa"/>
              <w:bottom w:w="-1" w:type="dxa"/>
              <w:right w:w="-1" w:type="dxa"/>
            </w:tcMar>
            <w:vAlign w:val="center"/>
          </w:tcPr>
          <w:p w14:paraId="14D1EC3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-0.301</w:t>
            </w:r>
            <w:r>
              <w:rPr>
                <w:rFonts w:eastAsia="Segoe UI"/>
                <w:color w:val="0F1115"/>
                <w:shd w:val="clear" w:color="auto" w:fill="FFFFFF"/>
                <w:vertAlign w:val="superscript"/>
              </w:rPr>
              <w:t>b</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545F4A2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0.763</w:t>
            </w:r>
          </w:p>
        </w:tc>
      </w:tr>
      <w:tr w:rsidR="00D83FF6" w14:paraId="186D30F6" w14:textId="77777777" w:rsidTr="00D83FF6">
        <w:trPr>
          <w:jc w:val="center"/>
        </w:trPr>
        <w:tc>
          <w:tcPr>
            <w:tcW w:w="1172" w:type="pct"/>
            <w:vMerge/>
            <w:tcMar>
              <w:top w:w="-1" w:type="dxa"/>
              <w:left w:w="-1" w:type="dxa"/>
              <w:bottom w:w="-1" w:type="dxa"/>
              <w:right w:w="-1" w:type="dxa"/>
            </w:tcMar>
            <w:vAlign w:val="center"/>
          </w:tcPr>
          <w:p w14:paraId="28DC0D9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1D02EA3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Junior high school </w:t>
            </w:r>
          </w:p>
        </w:tc>
        <w:tc>
          <w:tcPr>
            <w:tcW w:w="919" w:type="pct"/>
            <w:tcMar>
              <w:top w:w="-1" w:type="dxa"/>
              <w:left w:w="-1" w:type="dxa"/>
              <w:bottom w:w="-1" w:type="dxa"/>
              <w:right w:w="-1" w:type="dxa"/>
            </w:tcMar>
            <w:vAlign w:val="center"/>
          </w:tcPr>
          <w:p w14:paraId="13E04A4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23(38.33) </w:t>
            </w:r>
          </w:p>
        </w:tc>
        <w:tc>
          <w:tcPr>
            <w:tcW w:w="725" w:type="pct"/>
            <w:tcMar>
              <w:top w:w="-1" w:type="dxa"/>
              <w:left w:w="-1" w:type="dxa"/>
              <w:bottom w:w="-1" w:type="dxa"/>
              <w:right w:w="-1" w:type="dxa"/>
            </w:tcMar>
            <w:vAlign w:val="center"/>
          </w:tcPr>
          <w:p w14:paraId="1E8F2B4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30(50.00) </w:t>
            </w:r>
          </w:p>
        </w:tc>
        <w:tc>
          <w:tcPr>
            <w:tcW w:w="463" w:type="pct"/>
            <w:vMerge/>
            <w:tcMar>
              <w:top w:w="-1" w:type="dxa"/>
              <w:left w:w="-1" w:type="dxa"/>
              <w:bottom w:w="-1" w:type="dxa"/>
              <w:right w:w="-1" w:type="dxa"/>
            </w:tcMar>
            <w:vAlign w:val="center"/>
          </w:tcPr>
          <w:p w14:paraId="757C7C03"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43AE7FE4"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1E39F5E6" w14:textId="77777777" w:rsidTr="00D83FF6">
        <w:trPr>
          <w:jc w:val="center"/>
        </w:trPr>
        <w:tc>
          <w:tcPr>
            <w:tcW w:w="1172" w:type="pct"/>
            <w:vMerge/>
            <w:tcMar>
              <w:top w:w="-1" w:type="dxa"/>
              <w:left w:w="-1" w:type="dxa"/>
              <w:bottom w:w="-1" w:type="dxa"/>
              <w:right w:w="-1" w:type="dxa"/>
            </w:tcMar>
            <w:vAlign w:val="center"/>
          </w:tcPr>
          <w:p w14:paraId="2FFC0CC2"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3823B9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High school/technical secondary school </w:t>
            </w:r>
          </w:p>
        </w:tc>
        <w:tc>
          <w:tcPr>
            <w:tcW w:w="919" w:type="pct"/>
            <w:tcMar>
              <w:top w:w="-1" w:type="dxa"/>
              <w:left w:w="-1" w:type="dxa"/>
              <w:bottom w:w="-1" w:type="dxa"/>
              <w:right w:w="-1" w:type="dxa"/>
            </w:tcMar>
            <w:vAlign w:val="center"/>
          </w:tcPr>
          <w:p w14:paraId="6634731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725" w:type="pct"/>
            <w:tcMar>
              <w:top w:w="-1" w:type="dxa"/>
              <w:left w:w="-1" w:type="dxa"/>
              <w:bottom w:w="-1" w:type="dxa"/>
              <w:right w:w="-1" w:type="dxa"/>
            </w:tcMar>
            <w:vAlign w:val="center"/>
          </w:tcPr>
          <w:p w14:paraId="052FD01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5(8.33) </w:t>
            </w:r>
          </w:p>
        </w:tc>
        <w:tc>
          <w:tcPr>
            <w:tcW w:w="463" w:type="pct"/>
            <w:vMerge/>
            <w:tcMar>
              <w:top w:w="-1" w:type="dxa"/>
              <w:left w:w="-1" w:type="dxa"/>
              <w:bottom w:w="-1" w:type="dxa"/>
              <w:right w:w="-1" w:type="dxa"/>
            </w:tcMar>
            <w:vAlign w:val="center"/>
          </w:tcPr>
          <w:p w14:paraId="164DAAB7"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3C9AEB19"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0F8C264F" w14:textId="77777777" w:rsidTr="00D83FF6">
        <w:trPr>
          <w:jc w:val="center"/>
        </w:trPr>
        <w:tc>
          <w:tcPr>
            <w:tcW w:w="1172" w:type="pct"/>
            <w:vMerge/>
            <w:tcMar>
              <w:top w:w="-1" w:type="dxa"/>
              <w:left w:w="-1" w:type="dxa"/>
              <w:bottom w:w="-1" w:type="dxa"/>
              <w:right w:w="-1" w:type="dxa"/>
            </w:tcMar>
            <w:vAlign w:val="center"/>
          </w:tcPr>
          <w:p w14:paraId="309B4DE6"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5108461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College </w:t>
            </w:r>
          </w:p>
        </w:tc>
        <w:tc>
          <w:tcPr>
            <w:tcW w:w="919" w:type="pct"/>
            <w:tcMar>
              <w:top w:w="-1" w:type="dxa"/>
              <w:left w:w="-1" w:type="dxa"/>
              <w:bottom w:w="-1" w:type="dxa"/>
              <w:right w:w="-1" w:type="dxa"/>
            </w:tcMar>
            <w:vAlign w:val="center"/>
          </w:tcPr>
          <w:p w14:paraId="4576FDB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6(10.00) </w:t>
            </w:r>
          </w:p>
        </w:tc>
        <w:tc>
          <w:tcPr>
            <w:tcW w:w="725" w:type="pct"/>
            <w:tcMar>
              <w:top w:w="-1" w:type="dxa"/>
              <w:left w:w="-1" w:type="dxa"/>
              <w:bottom w:w="-1" w:type="dxa"/>
              <w:right w:w="-1" w:type="dxa"/>
            </w:tcMar>
            <w:vAlign w:val="center"/>
          </w:tcPr>
          <w:p w14:paraId="00F0F36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4(6.67) </w:t>
            </w:r>
          </w:p>
        </w:tc>
        <w:tc>
          <w:tcPr>
            <w:tcW w:w="463" w:type="pct"/>
            <w:vMerge/>
            <w:tcMar>
              <w:top w:w="-1" w:type="dxa"/>
              <w:left w:w="-1" w:type="dxa"/>
              <w:bottom w:w="-1" w:type="dxa"/>
              <w:right w:w="-1" w:type="dxa"/>
            </w:tcMar>
            <w:vAlign w:val="center"/>
          </w:tcPr>
          <w:p w14:paraId="36B6BC04"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1B57BA20"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0B08C3C8" w14:textId="77777777" w:rsidTr="00D83FF6">
        <w:trPr>
          <w:jc w:val="center"/>
        </w:trPr>
        <w:tc>
          <w:tcPr>
            <w:tcW w:w="1172" w:type="pct"/>
            <w:vMerge/>
            <w:tcMar>
              <w:top w:w="-1" w:type="dxa"/>
              <w:left w:w="-1" w:type="dxa"/>
              <w:bottom w:w="-1" w:type="dxa"/>
              <w:right w:w="-1" w:type="dxa"/>
            </w:tcMar>
            <w:vAlign w:val="center"/>
          </w:tcPr>
          <w:p w14:paraId="0EA65F85"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1FAB3B5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Bachelor or above </w:t>
            </w:r>
          </w:p>
        </w:tc>
        <w:tc>
          <w:tcPr>
            <w:tcW w:w="919" w:type="pct"/>
            <w:tcMar>
              <w:top w:w="-1" w:type="dxa"/>
              <w:left w:w="-1" w:type="dxa"/>
              <w:bottom w:w="-1" w:type="dxa"/>
              <w:right w:w="-1" w:type="dxa"/>
            </w:tcMar>
            <w:vAlign w:val="center"/>
          </w:tcPr>
          <w:p w14:paraId="07108A7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2(3.33) </w:t>
            </w:r>
          </w:p>
        </w:tc>
        <w:tc>
          <w:tcPr>
            <w:tcW w:w="725" w:type="pct"/>
            <w:tcMar>
              <w:top w:w="-1" w:type="dxa"/>
              <w:left w:w="-1" w:type="dxa"/>
              <w:bottom w:w="-1" w:type="dxa"/>
              <w:right w:w="-1" w:type="dxa"/>
            </w:tcMar>
            <w:vAlign w:val="center"/>
          </w:tcPr>
          <w:p w14:paraId="209DD05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1(1.67) </w:t>
            </w:r>
          </w:p>
        </w:tc>
        <w:tc>
          <w:tcPr>
            <w:tcW w:w="463" w:type="pct"/>
            <w:vMerge/>
            <w:tcMar>
              <w:top w:w="-1" w:type="dxa"/>
              <w:left w:w="-1" w:type="dxa"/>
              <w:bottom w:w="-1" w:type="dxa"/>
              <w:right w:w="-1" w:type="dxa"/>
            </w:tcMar>
            <w:vAlign w:val="center"/>
          </w:tcPr>
          <w:p w14:paraId="614ED899"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28D83F7F"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C76AD25" w14:textId="77777777" w:rsidTr="00D83FF6">
        <w:trPr>
          <w:jc w:val="center"/>
        </w:trPr>
        <w:tc>
          <w:tcPr>
            <w:tcW w:w="1172" w:type="pct"/>
            <w:vMerge w:val="restart"/>
            <w:tcMar>
              <w:top w:w="-1" w:type="dxa"/>
              <w:left w:w="-1" w:type="dxa"/>
              <w:bottom w:w="-1" w:type="dxa"/>
              <w:right w:w="-1" w:type="dxa"/>
            </w:tcMar>
            <w:vAlign w:val="center"/>
          </w:tcPr>
          <w:p w14:paraId="6A4B7E8F"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Daily care situation </w:t>
            </w:r>
          </w:p>
        </w:tc>
        <w:tc>
          <w:tcPr>
            <w:tcW w:w="1343" w:type="pct"/>
            <w:tcMar>
              <w:top w:w="-1" w:type="dxa"/>
              <w:left w:w="-1" w:type="dxa"/>
              <w:bottom w:w="-1" w:type="dxa"/>
              <w:right w:w="-1" w:type="dxa"/>
            </w:tcMar>
            <w:vAlign w:val="center"/>
          </w:tcPr>
          <w:p w14:paraId="6D4328E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Spouse </w:t>
            </w:r>
          </w:p>
        </w:tc>
        <w:tc>
          <w:tcPr>
            <w:tcW w:w="919" w:type="pct"/>
            <w:tcMar>
              <w:top w:w="-1" w:type="dxa"/>
              <w:left w:w="-1" w:type="dxa"/>
              <w:bottom w:w="-1" w:type="dxa"/>
              <w:right w:w="-1" w:type="dxa"/>
            </w:tcMar>
            <w:vAlign w:val="center"/>
          </w:tcPr>
          <w:p w14:paraId="4485613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32(53.33) </w:t>
            </w:r>
          </w:p>
        </w:tc>
        <w:tc>
          <w:tcPr>
            <w:tcW w:w="725" w:type="pct"/>
            <w:tcMar>
              <w:top w:w="-1" w:type="dxa"/>
              <w:left w:w="-1" w:type="dxa"/>
              <w:bottom w:w="-1" w:type="dxa"/>
              <w:right w:w="-1" w:type="dxa"/>
            </w:tcMar>
            <w:vAlign w:val="center"/>
          </w:tcPr>
          <w:p w14:paraId="4BF03EE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32(53.33) </w:t>
            </w:r>
          </w:p>
        </w:tc>
        <w:tc>
          <w:tcPr>
            <w:tcW w:w="463" w:type="pct"/>
            <w:vMerge w:val="restart"/>
            <w:tcMar>
              <w:top w:w="-1" w:type="dxa"/>
              <w:left w:w="-1" w:type="dxa"/>
              <w:bottom w:w="-1" w:type="dxa"/>
              <w:right w:w="-1" w:type="dxa"/>
            </w:tcMar>
            <w:vAlign w:val="center"/>
          </w:tcPr>
          <w:p w14:paraId="5AA9B9F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6.910</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3C4F623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0.141</w:t>
            </w:r>
          </w:p>
        </w:tc>
      </w:tr>
      <w:tr w:rsidR="00D83FF6" w14:paraId="726BF48B" w14:textId="77777777" w:rsidTr="00D83FF6">
        <w:trPr>
          <w:jc w:val="center"/>
        </w:trPr>
        <w:tc>
          <w:tcPr>
            <w:tcW w:w="1172" w:type="pct"/>
            <w:vMerge/>
            <w:tcMar>
              <w:top w:w="-1" w:type="dxa"/>
              <w:left w:w="-1" w:type="dxa"/>
              <w:bottom w:w="-1" w:type="dxa"/>
              <w:right w:w="-1" w:type="dxa"/>
            </w:tcMar>
            <w:vAlign w:val="center"/>
          </w:tcPr>
          <w:p w14:paraId="7FDD38E2"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64DC2B2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Children </w:t>
            </w:r>
          </w:p>
        </w:tc>
        <w:tc>
          <w:tcPr>
            <w:tcW w:w="919" w:type="pct"/>
            <w:tcMar>
              <w:top w:w="-1" w:type="dxa"/>
              <w:left w:w="-1" w:type="dxa"/>
              <w:bottom w:w="-1" w:type="dxa"/>
              <w:right w:w="-1" w:type="dxa"/>
            </w:tcMar>
            <w:vAlign w:val="center"/>
          </w:tcPr>
          <w:p w14:paraId="6D6FD36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17(28.33) </w:t>
            </w:r>
          </w:p>
        </w:tc>
        <w:tc>
          <w:tcPr>
            <w:tcW w:w="725" w:type="pct"/>
            <w:tcMar>
              <w:top w:w="-1" w:type="dxa"/>
              <w:left w:w="-1" w:type="dxa"/>
              <w:bottom w:w="-1" w:type="dxa"/>
              <w:right w:w="-1" w:type="dxa"/>
            </w:tcMar>
            <w:vAlign w:val="center"/>
          </w:tcPr>
          <w:p w14:paraId="760EE42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13(21.67) </w:t>
            </w:r>
          </w:p>
        </w:tc>
        <w:tc>
          <w:tcPr>
            <w:tcW w:w="463" w:type="pct"/>
            <w:vMerge/>
            <w:tcMar>
              <w:top w:w="-1" w:type="dxa"/>
              <w:left w:w="-1" w:type="dxa"/>
              <w:bottom w:w="-1" w:type="dxa"/>
              <w:right w:w="-1" w:type="dxa"/>
            </w:tcMar>
            <w:vAlign w:val="center"/>
          </w:tcPr>
          <w:p w14:paraId="345360D8"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7DB70C9E"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651E70DC" w14:textId="77777777" w:rsidTr="00D83FF6">
        <w:trPr>
          <w:jc w:val="center"/>
        </w:trPr>
        <w:tc>
          <w:tcPr>
            <w:tcW w:w="1172" w:type="pct"/>
            <w:vMerge/>
            <w:tcMar>
              <w:top w:w="-1" w:type="dxa"/>
              <w:left w:w="-1" w:type="dxa"/>
              <w:bottom w:w="-1" w:type="dxa"/>
              <w:right w:w="-1" w:type="dxa"/>
            </w:tcMar>
            <w:vAlign w:val="center"/>
          </w:tcPr>
          <w:p w14:paraId="32916F1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10604D5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Siblings </w:t>
            </w:r>
          </w:p>
        </w:tc>
        <w:tc>
          <w:tcPr>
            <w:tcW w:w="919" w:type="pct"/>
            <w:tcMar>
              <w:top w:w="-1" w:type="dxa"/>
              <w:left w:w="-1" w:type="dxa"/>
              <w:bottom w:w="-1" w:type="dxa"/>
              <w:right w:w="-1" w:type="dxa"/>
            </w:tcMar>
            <w:vAlign w:val="center"/>
          </w:tcPr>
          <w:p w14:paraId="59836648"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4(6.67) </w:t>
            </w:r>
          </w:p>
        </w:tc>
        <w:tc>
          <w:tcPr>
            <w:tcW w:w="725" w:type="pct"/>
            <w:tcMar>
              <w:top w:w="-1" w:type="dxa"/>
              <w:left w:w="-1" w:type="dxa"/>
              <w:bottom w:w="-1" w:type="dxa"/>
              <w:right w:w="-1" w:type="dxa"/>
            </w:tcMar>
            <w:vAlign w:val="center"/>
          </w:tcPr>
          <w:p w14:paraId="20F7BF0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1(1.67) </w:t>
            </w:r>
          </w:p>
        </w:tc>
        <w:tc>
          <w:tcPr>
            <w:tcW w:w="463" w:type="pct"/>
            <w:vMerge/>
            <w:tcMar>
              <w:top w:w="-1" w:type="dxa"/>
              <w:left w:w="-1" w:type="dxa"/>
              <w:bottom w:w="-1" w:type="dxa"/>
              <w:right w:w="-1" w:type="dxa"/>
            </w:tcMar>
            <w:vAlign w:val="center"/>
          </w:tcPr>
          <w:p w14:paraId="5B687EC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52D58A10"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7A0BAC6C" w14:textId="77777777" w:rsidTr="00D83FF6">
        <w:trPr>
          <w:jc w:val="center"/>
        </w:trPr>
        <w:tc>
          <w:tcPr>
            <w:tcW w:w="1172" w:type="pct"/>
            <w:vMerge/>
            <w:tcMar>
              <w:top w:w="-1" w:type="dxa"/>
              <w:left w:w="-1" w:type="dxa"/>
              <w:bottom w:w="-1" w:type="dxa"/>
              <w:right w:w="-1" w:type="dxa"/>
            </w:tcMar>
            <w:vAlign w:val="center"/>
          </w:tcPr>
          <w:p w14:paraId="5BDC9B16"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39367BC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No care/accompaniment </w:t>
            </w:r>
          </w:p>
        </w:tc>
        <w:tc>
          <w:tcPr>
            <w:tcW w:w="919" w:type="pct"/>
            <w:tcMar>
              <w:top w:w="-1" w:type="dxa"/>
              <w:left w:w="-1" w:type="dxa"/>
              <w:bottom w:w="-1" w:type="dxa"/>
              <w:right w:w="-1" w:type="dxa"/>
            </w:tcMar>
            <w:vAlign w:val="center"/>
          </w:tcPr>
          <w:p w14:paraId="7A38350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6(10.00) </w:t>
            </w:r>
          </w:p>
        </w:tc>
        <w:tc>
          <w:tcPr>
            <w:tcW w:w="725" w:type="pct"/>
            <w:tcMar>
              <w:top w:w="-1" w:type="dxa"/>
              <w:left w:w="-1" w:type="dxa"/>
              <w:bottom w:w="-1" w:type="dxa"/>
              <w:right w:w="-1" w:type="dxa"/>
            </w:tcMar>
            <w:vAlign w:val="center"/>
          </w:tcPr>
          <w:p w14:paraId="595700F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463" w:type="pct"/>
            <w:vMerge/>
            <w:tcMar>
              <w:top w:w="-1" w:type="dxa"/>
              <w:left w:w="-1" w:type="dxa"/>
              <w:bottom w:w="-1" w:type="dxa"/>
              <w:right w:w="-1" w:type="dxa"/>
            </w:tcMar>
            <w:vAlign w:val="center"/>
          </w:tcPr>
          <w:p w14:paraId="79CC0EC4"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245F60A7"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0CB2947F" w14:textId="77777777" w:rsidTr="00D83FF6">
        <w:trPr>
          <w:jc w:val="center"/>
        </w:trPr>
        <w:tc>
          <w:tcPr>
            <w:tcW w:w="1172" w:type="pct"/>
            <w:vMerge/>
            <w:tcMar>
              <w:top w:w="-1" w:type="dxa"/>
              <w:left w:w="-1" w:type="dxa"/>
              <w:bottom w:w="-1" w:type="dxa"/>
              <w:right w:w="-1" w:type="dxa"/>
            </w:tcMar>
            <w:vAlign w:val="center"/>
          </w:tcPr>
          <w:p w14:paraId="2CE2AF8F"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0F75D26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Other </w:t>
            </w:r>
          </w:p>
        </w:tc>
        <w:tc>
          <w:tcPr>
            <w:tcW w:w="919" w:type="pct"/>
            <w:tcMar>
              <w:top w:w="-1" w:type="dxa"/>
              <w:left w:w="-1" w:type="dxa"/>
              <w:bottom w:w="-1" w:type="dxa"/>
              <w:right w:w="-1" w:type="dxa"/>
            </w:tcMar>
            <w:vAlign w:val="center"/>
          </w:tcPr>
          <w:p w14:paraId="3615578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1(1.67) </w:t>
            </w:r>
          </w:p>
        </w:tc>
        <w:tc>
          <w:tcPr>
            <w:tcW w:w="725" w:type="pct"/>
            <w:tcMar>
              <w:top w:w="-1" w:type="dxa"/>
              <w:left w:w="-1" w:type="dxa"/>
              <w:bottom w:w="-1" w:type="dxa"/>
              <w:right w:w="-1" w:type="dxa"/>
            </w:tcMar>
            <w:vAlign w:val="center"/>
          </w:tcPr>
          <w:p w14:paraId="6BCC23B8"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463" w:type="pct"/>
            <w:vMerge/>
            <w:tcMar>
              <w:top w:w="-1" w:type="dxa"/>
              <w:left w:w="-1" w:type="dxa"/>
              <w:bottom w:w="-1" w:type="dxa"/>
              <w:right w:w="-1" w:type="dxa"/>
            </w:tcMar>
            <w:vAlign w:val="center"/>
          </w:tcPr>
          <w:p w14:paraId="11833AD7"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7274FA48"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19930F57" w14:textId="77777777" w:rsidTr="00D83FF6">
        <w:trPr>
          <w:jc w:val="center"/>
        </w:trPr>
        <w:tc>
          <w:tcPr>
            <w:tcW w:w="1172" w:type="pct"/>
            <w:vMerge w:val="restart"/>
            <w:tcMar>
              <w:top w:w="-1" w:type="dxa"/>
              <w:left w:w="-1" w:type="dxa"/>
              <w:bottom w:w="-1" w:type="dxa"/>
              <w:right w:w="-1" w:type="dxa"/>
            </w:tcMar>
            <w:vAlign w:val="center"/>
          </w:tcPr>
          <w:p w14:paraId="39F774D3"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Per capita monthly household income </w:t>
            </w:r>
          </w:p>
        </w:tc>
        <w:tc>
          <w:tcPr>
            <w:tcW w:w="1343" w:type="pct"/>
            <w:tcMar>
              <w:top w:w="-1" w:type="dxa"/>
              <w:left w:w="-1" w:type="dxa"/>
              <w:bottom w:w="-1" w:type="dxa"/>
              <w:right w:w="-1" w:type="dxa"/>
            </w:tcMar>
            <w:vAlign w:val="center"/>
          </w:tcPr>
          <w:p w14:paraId="65498E5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&lt; 3000 yuan </w:t>
            </w:r>
          </w:p>
        </w:tc>
        <w:tc>
          <w:tcPr>
            <w:tcW w:w="919" w:type="pct"/>
            <w:tcMar>
              <w:top w:w="-1" w:type="dxa"/>
              <w:left w:w="-1" w:type="dxa"/>
              <w:bottom w:w="-1" w:type="dxa"/>
              <w:right w:w="-1" w:type="dxa"/>
            </w:tcMar>
            <w:vAlign w:val="center"/>
          </w:tcPr>
          <w:p w14:paraId="51E617E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25(41.67) </w:t>
            </w:r>
          </w:p>
        </w:tc>
        <w:tc>
          <w:tcPr>
            <w:tcW w:w="725" w:type="pct"/>
            <w:tcMar>
              <w:top w:w="-1" w:type="dxa"/>
              <w:left w:w="-1" w:type="dxa"/>
              <w:bottom w:w="-1" w:type="dxa"/>
              <w:right w:w="-1" w:type="dxa"/>
            </w:tcMar>
            <w:vAlign w:val="center"/>
          </w:tcPr>
          <w:p w14:paraId="032F447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463" w:type="pct"/>
            <w:vMerge w:val="restart"/>
            <w:tcMar>
              <w:top w:w="-1" w:type="dxa"/>
              <w:left w:w="-1" w:type="dxa"/>
              <w:bottom w:w="-1" w:type="dxa"/>
              <w:right w:w="-1" w:type="dxa"/>
            </w:tcMar>
            <w:vAlign w:val="center"/>
          </w:tcPr>
          <w:p w14:paraId="476283B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-0.308</w:t>
            </w:r>
            <w:r>
              <w:rPr>
                <w:rFonts w:eastAsia="Segoe UI"/>
                <w:color w:val="0F1115"/>
                <w:shd w:val="clear" w:color="auto" w:fill="FFFFFF"/>
                <w:vertAlign w:val="superscript"/>
              </w:rPr>
              <w:t>b</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2964C2D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0.758</w:t>
            </w:r>
          </w:p>
        </w:tc>
      </w:tr>
      <w:tr w:rsidR="00D83FF6" w14:paraId="1B68E303" w14:textId="77777777" w:rsidTr="00D83FF6">
        <w:trPr>
          <w:jc w:val="center"/>
        </w:trPr>
        <w:tc>
          <w:tcPr>
            <w:tcW w:w="1172" w:type="pct"/>
            <w:vMerge/>
            <w:tcMar>
              <w:top w:w="-1" w:type="dxa"/>
              <w:left w:w="-1" w:type="dxa"/>
              <w:bottom w:w="-1" w:type="dxa"/>
              <w:right w:w="-1" w:type="dxa"/>
            </w:tcMar>
            <w:vAlign w:val="center"/>
          </w:tcPr>
          <w:p w14:paraId="39C04BA8"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212337B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3000–5000 yuan </w:t>
            </w:r>
          </w:p>
        </w:tc>
        <w:tc>
          <w:tcPr>
            <w:tcW w:w="919" w:type="pct"/>
            <w:tcMar>
              <w:top w:w="-1" w:type="dxa"/>
              <w:left w:w="-1" w:type="dxa"/>
              <w:bottom w:w="-1" w:type="dxa"/>
              <w:right w:w="-1" w:type="dxa"/>
            </w:tcMar>
            <w:vAlign w:val="center"/>
          </w:tcPr>
          <w:p w14:paraId="5F1D062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18(30.00) </w:t>
            </w:r>
          </w:p>
        </w:tc>
        <w:tc>
          <w:tcPr>
            <w:tcW w:w="725" w:type="pct"/>
            <w:tcMar>
              <w:top w:w="-1" w:type="dxa"/>
              <w:left w:w="-1" w:type="dxa"/>
              <w:bottom w:w="-1" w:type="dxa"/>
              <w:right w:w="-1" w:type="dxa"/>
            </w:tcMar>
            <w:vAlign w:val="center"/>
          </w:tcPr>
          <w:p w14:paraId="7780DEA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26(43.33) </w:t>
            </w:r>
          </w:p>
        </w:tc>
        <w:tc>
          <w:tcPr>
            <w:tcW w:w="463" w:type="pct"/>
            <w:vMerge/>
            <w:tcMar>
              <w:top w:w="-1" w:type="dxa"/>
              <w:left w:w="-1" w:type="dxa"/>
              <w:bottom w:w="-1" w:type="dxa"/>
              <w:right w:w="-1" w:type="dxa"/>
            </w:tcMar>
            <w:vAlign w:val="center"/>
          </w:tcPr>
          <w:p w14:paraId="25E99AA2"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0DDE1218"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321BAF5C" w14:textId="77777777" w:rsidTr="00D83FF6">
        <w:trPr>
          <w:jc w:val="center"/>
        </w:trPr>
        <w:tc>
          <w:tcPr>
            <w:tcW w:w="1172" w:type="pct"/>
            <w:vMerge/>
            <w:tcMar>
              <w:top w:w="-1" w:type="dxa"/>
              <w:left w:w="-1" w:type="dxa"/>
              <w:bottom w:w="-1" w:type="dxa"/>
              <w:right w:w="-1" w:type="dxa"/>
            </w:tcMar>
            <w:vAlign w:val="center"/>
          </w:tcPr>
          <w:p w14:paraId="21D997B9"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339E5F7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&gt; 5000 yuan </w:t>
            </w:r>
          </w:p>
        </w:tc>
        <w:tc>
          <w:tcPr>
            <w:tcW w:w="919" w:type="pct"/>
            <w:tcMar>
              <w:top w:w="-1" w:type="dxa"/>
              <w:left w:w="-1" w:type="dxa"/>
              <w:bottom w:w="-1" w:type="dxa"/>
              <w:right w:w="-1" w:type="dxa"/>
            </w:tcMar>
            <w:vAlign w:val="center"/>
          </w:tcPr>
          <w:p w14:paraId="5DC00D4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17(28.33) </w:t>
            </w:r>
          </w:p>
        </w:tc>
        <w:tc>
          <w:tcPr>
            <w:tcW w:w="725" w:type="pct"/>
            <w:tcMar>
              <w:top w:w="-1" w:type="dxa"/>
              <w:left w:w="-1" w:type="dxa"/>
              <w:bottom w:w="-1" w:type="dxa"/>
              <w:right w:w="-1" w:type="dxa"/>
            </w:tcMar>
            <w:vAlign w:val="center"/>
          </w:tcPr>
          <w:p w14:paraId="2BC9279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14(23.33) </w:t>
            </w:r>
          </w:p>
        </w:tc>
        <w:tc>
          <w:tcPr>
            <w:tcW w:w="463" w:type="pct"/>
            <w:vMerge/>
            <w:tcMar>
              <w:top w:w="-1" w:type="dxa"/>
              <w:left w:w="-1" w:type="dxa"/>
              <w:bottom w:w="-1" w:type="dxa"/>
              <w:right w:w="-1" w:type="dxa"/>
            </w:tcMar>
            <w:vAlign w:val="center"/>
          </w:tcPr>
          <w:p w14:paraId="5F01AA4B"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5DEEED8A"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2CC3C170" w14:textId="77777777" w:rsidTr="00D83FF6">
        <w:trPr>
          <w:jc w:val="center"/>
        </w:trPr>
        <w:tc>
          <w:tcPr>
            <w:tcW w:w="1172" w:type="pct"/>
            <w:vMerge w:val="restart"/>
            <w:tcMar>
              <w:top w:w="-1" w:type="dxa"/>
              <w:left w:w="-1" w:type="dxa"/>
              <w:bottom w:w="-1" w:type="dxa"/>
              <w:right w:w="-1" w:type="dxa"/>
            </w:tcMar>
            <w:vAlign w:val="center"/>
          </w:tcPr>
          <w:p w14:paraId="6B23294C"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Medical expenses </w:t>
            </w:r>
          </w:p>
        </w:tc>
        <w:tc>
          <w:tcPr>
            <w:tcW w:w="1343" w:type="pct"/>
            <w:tcMar>
              <w:top w:w="-1" w:type="dxa"/>
              <w:left w:w="-1" w:type="dxa"/>
              <w:bottom w:w="-1" w:type="dxa"/>
              <w:right w:w="-1" w:type="dxa"/>
            </w:tcMar>
            <w:vAlign w:val="center"/>
          </w:tcPr>
          <w:p w14:paraId="3EF4306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Urban and rural resident medical insurance </w:t>
            </w:r>
          </w:p>
        </w:tc>
        <w:tc>
          <w:tcPr>
            <w:tcW w:w="919" w:type="pct"/>
            <w:tcMar>
              <w:top w:w="-1" w:type="dxa"/>
              <w:left w:w="-1" w:type="dxa"/>
              <w:bottom w:w="-1" w:type="dxa"/>
              <w:right w:w="-1" w:type="dxa"/>
            </w:tcMar>
            <w:vAlign w:val="center"/>
          </w:tcPr>
          <w:p w14:paraId="38F10F78"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28(46.67) </w:t>
            </w:r>
          </w:p>
        </w:tc>
        <w:tc>
          <w:tcPr>
            <w:tcW w:w="725" w:type="pct"/>
            <w:tcMar>
              <w:top w:w="-1" w:type="dxa"/>
              <w:left w:w="-1" w:type="dxa"/>
              <w:bottom w:w="-1" w:type="dxa"/>
              <w:right w:w="-1" w:type="dxa"/>
            </w:tcMar>
            <w:vAlign w:val="center"/>
          </w:tcPr>
          <w:p w14:paraId="12EB4FB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23(38.33) </w:t>
            </w:r>
          </w:p>
        </w:tc>
        <w:tc>
          <w:tcPr>
            <w:tcW w:w="463" w:type="pct"/>
            <w:vMerge w:val="restart"/>
            <w:tcMar>
              <w:top w:w="-1" w:type="dxa"/>
              <w:left w:w="-1" w:type="dxa"/>
              <w:bottom w:w="-1" w:type="dxa"/>
              <w:right w:w="-1" w:type="dxa"/>
            </w:tcMar>
            <w:vAlign w:val="center"/>
          </w:tcPr>
          <w:p w14:paraId="685D6F7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1.262</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63897E6B"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0.738</w:t>
            </w:r>
          </w:p>
        </w:tc>
      </w:tr>
      <w:tr w:rsidR="00D83FF6" w14:paraId="30E5CE33" w14:textId="77777777" w:rsidTr="00D83FF6">
        <w:trPr>
          <w:jc w:val="center"/>
        </w:trPr>
        <w:tc>
          <w:tcPr>
            <w:tcW w:w="1172" w:type="pct"/>
            <w:vMerge/>
            <w:tcMar>
              <w:top w:w="-1" w:type="dxa"/>
              <w:left w:w="-1" w:type="dxa"/>
              <w:bottom w:w="-1" w:type="dxa"/>
              <w:right w:w="-1" w:type="dxa"/>
            </w:tcMar>
            <w:vAlign w:val="center"/>
          </w:tcPr>
          <w:p w14:paraId="6CE0B51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0390E1B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Employee medical insurance </w:t>
            </w:r>
          </w:p>
        </w:tc>
        <w:tc>
          <w:tcPr>
            <w:tcW w:w="919" w:type="pct"/>
            <w:tcMar>
              <w:top w:w="-1" w:type="dxa"/>
              <w:left w:w="-1" w:type="dxa"/>
              <w:bottom w:w="-1" w:type="dxa"/>
              <w:right w:w="-1" w:type="dxa"/>
            </w:tcMar>
            <w:vAlign w:val="center"/>
          </w:tcPr>
          <w:p w14:paraId="682F1A2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725" w:type="pct"/>
            <w:tcMar>
              <w:top w:w="-1" w:type="dxa"/>
              <w:left w:w="-1" w:type="dxa"/>
              <w:bottom w:w="-1" w:type="dxa"/>
              <w:right w:w="-1" w:type="dxa"/>
            </w:tcMar>
            <w:vAlign w:val="center"/>
          </w:tcPr>
          <w:p w14:paraId="720AC4E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23(38.33) </w:t>
            </w:r>
          </w:p>
        </w:tc>
        <w:tc>
          <w:tcPr>
            <w:tcW w:w="463" w:type="pct"/>
            <w:vMerge/>
            <w:tcMar>
              <w:top w:w="-1" w:type="dxa"/>
              <w:left w:w="-1" w:type="dxa"/>
              <w:bottom w:w="-1" w:type="dxa"/>
              <w:right w:w="-1" w:type="dxa"/>
            </w:tcMar>
            <w:vAlign w:val="center"/>
          </w:tcPr>
          <w:p w14:paraId="22317684"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5E9C6544"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59A95566" w14:textId="77777777" w:rsidTr="00D83FF6">
        <w:trPr>
          <w:jc w:val="center"/>
        </w:trPr>
        <w:tc>
          <w:tcPr>
            <w:tcW w:w="1172" w:type="pct"/>
            <w:vMerge/>
            <w:tcMar>
              <w:top w:w="-1" w:type="dxa"/>
              <w:left w:w="-1" w:type="dxa"/>
              <w:bottom w:w="-1" w:type="dxa"/>
              <w:right w:w="-1" w:type="dxa"/>
            </w:tcMar>
            <w:vAlign w:val="center"/>
          </w:tcPr>
          <w:p w14:paraId="7B2454F6"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3BDC6AC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Commercial insurance </w:t>
            </w:r>
          </w:p>
        </w:tc>
        <w:tc>
          <w:tcPr>
            <w:tcW w:w="919" w:type="pct"/>
            <w:tcMar>
              <w:top w:w="-1" w:type="dxa"/>
              <w:left w:w="-1" w:type="dxa"/>
              <w:bottom w:w="-1" w:type="dxa"/>
              <w:right w:w="-1" w:type="dxa"/>
            </w:tcMar>
            <w:vAlign w:val="center"/>
          </w:tcPr>
          <w:p w14:paraId="11F97FF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725" w:type="pct"/>
            <w:tcMar>
              <w:top w:w="-1" w:type="dxa"/>
              <w:left w:w="-1" w:type="dxa"/>
              <w:bottom w:w="-1" w:type="dxa"/>
              <w:right w:w="-1" w:type="dxa"/>
            </w:tcMar>
            <w:vAlign w:val="center"/>
          </w:tcPr>
          <w:p w14:paraId="2BAE92C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9(15.00) </w:t>
            </w:r>
          </w:p>
        </w:tc>
        <w:tc>
          <w:tcPr>
            <w:tcW w:w="463" w:type="pct"/>
            <w:vMerge/>
            <w:tcMar>
              <w:top w:w="-1" w:type="dxa"/>
              <w:left w:w="-1" w:type="dxa"/>
              <w:bottom w:w="-1" w:type="dxa"/>
              <w:right w:w="-1" w:type="dxa"/>
            </w:tcMar>
            <w:vAlign w:val="center"/>
          </w:tcPr>
          <w:p w14:paraId="6342902C"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0BA1CFB0"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4CCC2B9" w14:textId="77777777" w:rsidTr="00D83FF6">
        <w:trPr>
          <w:jc w:val="center"/>
        </w:trPr>
        <w:tc>
          <w:tcPr>
            <w:tcW w:w="1172" w:type="pct"/>
            <w:vMerge/>
            <w:tcMar>
              <w:top w:w="-1" w:type="dxa"/>
              <w:left w:w="-1" w:type="dxa"/>
              <w:bottom w:w="-1" w:type="dxa"/>
              <w:right w:w="-1" w:type="dxa"/>
            </w:tcMar>
            <w:vAlign w:val="center"/>
          </w:tcPr>
          <w:p w14:paraId="503E0850"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6D1D23B"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Self</w:t>
            </w:r>
            <w:r>
              <w:rPr>
                <w:rFonts w:eastAsia="Segoe UI"/>
                <w:color w:val="0F1115"/>
                <w:shd w:val="clear" w:color="auto" w:fill="FFFFFF"/>
              </w:rPr>
              <w:noBreakHyphen/>
              <w:t xml:space="preserve">paid </w:t>
            </w:r>
          </w:p>
        </w:tc>
        <w:tc>
          <w:tcPr>
            <w:tcW w:w="919" w:type="pct"/>
            <w:tcMar>
              <w:top w:w="-1" w:type="dxa"/>
              <w:left w:w="-1" w:type="dxa"/>
              <w:bottom w:w="-1" w:type="dxa"/>
              <w:right w:w="-1" w:type="dxa"/>
            </w:tcMar>
            <w:vAlign w:val="center"/>
          </w:tcPr>
          <w:p w14:paraId="6A7B143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3(5.00) </w:t>
            </w:r>
          </w:p>
        </w:tc>
        <w:tc>
          <w:tcPr>
            <w:tcW w:w="725" w:type="pct"/>
            <w:tcMar>
              <w:top w:w="-1" w:type="dxa"/>
              <w:left w:w="-1" w:type="dxa"/>
              <w:bottom w:w="-1" w:type="dxa"/>
              <w:right w:w="-1" w:type="dxa"/>
            </w:tcMar>
            <w:vAlign w:val="center"/>
          </w:tcPr>
          <w:p w14:paraId="0EC3B30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5(8.33) </w:t>
            </w:r>
          </w:p>
        </w:tc>
        <w:tc>
          <w:tcPr>
            <w:tcW w:w="463" w:type="pct"/>
            <w:vMerge/>
            <w:tcMar>
              <w:top w:w="-1" w:type="dxa"/>
              <w:left w:w="-1" w:type="dxa"/>
              <w:bottom w:w="-1" w:type="dxa"/>
              <w:right w:w="-1" w:type="dxa"/>
            </w:tcMar>
            <w:vAlign w:val="center"/>
          </w:tcPr>
          <w:p w14:paraId="04B8426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2BD9277D"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BA2FC0F" w14:textId="77777777" w:rsidTr="00D83FF6">
        <w:trPr>
          <w:jc w:val="center"/>
        </w:trPr>
        <w:tc>
          <w:tcPr>
            <w:tcW w:w="1172" w:type="pct"/>
            <w:vMerge w:val="restart"/>
            <w:tcMar>
              <w:top w:w="-1" w:type="dxa"/>
              <w:left w:w="-1" w:type="dxa"/>
              <w:bottom w:w="-1" w:type="dxa"/>
              <w:right w:w="-1" w:type="dxa"/>
            </w:tcMar>
            <w:vAlign w:val="center"/>
          </w:tcPr>
          <w:p w14:paraId="7E5704A7"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Daily AVF exercise </w:t>
            </w:r>
          </w:p>
        </w:tc>
        <w:tc>
          <w:tcPr>
            <w:tcW w:w="1343" w:type="pct"/>
            <w:tcMar>
              <w:top w:w="-1" w:type="dxa"/>
              <w:left w:w="-1" w:type="dxa"/>
              <w:bottom w:w="-1" w:type="dxa"/>
              <w:right w:w="-1" w:type="dxa"/>
            </w:tcMar>
            <w:vAlign w:val="center"/>
          </w:tcPr>
          <w:p w14:paraId="6B5A658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Yes </w:t>
            </w:r>
          </w:p>
        </w:tc>
        <w:tc>
          <w:tcPr>
            <w:tcW w:w="919" w:type="pct"/>
            <w:tcMar>
              <w:top w:w="-1" w:type="dxa"/>
              <w:left w:w="-1" w:type="dxa"/>
              <w:bottom w:w="-1" w:type="dxa"/>
              <w:right w:w="-1" w:type="dxa"/>
            </w:tcMar>
            <w:vAlign w:val="center"/>
          </w:tcPr>
          <w:p w14:paraId="05F553B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725" w:type="pct"/>
            <w:tcMar>
              <w:top w:w="-1" w:type="dxa"/>
              <w:left w:w="-1" w:type="dxa"/>
              <w:bottom w:w="-1" w:type="dxa"/>
              <w:right w:w="-1" w:type="dxa"/>
            </w:tcMar>
            <w:vAlign w:val="center"/>
          </w:tcPr>
          <w:p w14:paraId="2F9885F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463" w:type="pct"/>
            <w:vMerge w:val="restart"/>
            <w:tcMar>
              <w:top w:w="-1" w:type="dxa"/>
              <w:left w:w="-1" w:type="dxa"/>
              <w:bottom w:w="-1" w:type="dxa"/>
              <w:right w:w="-1" w:type="dxa"/>
            </w:tcMar>
            <w:vAlign w:val="center"/>
          </w:tcPr>
          <w:p w14:paraId="095743D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0.147</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73D19DE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0.702</w:t>
            </w:r>
          </w:p>
        </w:tc>
      </w:tr>
      <w:tr w:rsidR="00D83FF6" w14:paraId="30A73460" w14:textId="77777777" w:rsidTr="00D83FF6">
        <w:trPr>
          <w:jc w:val="center"/>
        </w:trPr>
        <w:tc>
          <w:tcPr>
            <w:tcW w:w="1172" w:type="pct"/>
            <w:vMerge/>
            <w:tcMar>
              <w:top w:w="-1" w:type="dxa"/>
              <w:left w:w="-1" w:type="dxa"/>
              <w:bottom w:w="-1" w:type="dxa"/>
              <w:right w:w="-1" w:type="dxa"/>
            </w:tcMar>
            <w:vAlign w:val="center"/>
          </w:tcPr>
          <w:p w14:paraId="46ACA92F"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68E352D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No </w:t>
            </w:r>
          </w:p>
        </w:tc>
        <w:tc>
          <w:tcPr>
            <w:tcW w:w="919" w:type="pct"/>
            <w:tcMar>
              <w:top w:w="-1" w:type="dxa"/>
              <w:left w:w="-1" w:type="dxa"/>
              <w:bottom w:w="-1" w:type="dxa"/>
              <w:right w:w="-1" w:type="dxa"/>
            </w:tcMar>
            <w:vAlign w:val="center"/>
          </w:tcPr>
          <w:p w14:paraId="73ED7849"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38(63.33) </w:t>
            </w:r>
          </w:p>
        </w:tc>
        <w:tc>
          <w:tcPr>
            <w:tcW w:w="725" w:type="pct"/>
            <w:tcMar>
              <w:top w:w="-1" w:type="dxa"/>
              <w:left w:w="-1" w:type="dxa"/>
              <w:bottom w:w="-1" w:type="dxa"/>
              <w:right w:w="-1" w:type="dxa"/>
            </w:tcMar>
            <w:vAlign w:val="center"/>
          </w:tcPr>
          <w:p w14:paraId="782C909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40(66.67) </w:t>
            </w:r>
          </w:p>
        </w:tc>
        <w:tc>
          <w:tcPr>
            <w:tcW w:w="463" w:type="pct"/>
            <w:vMerge/>
            <w:tcMar>
              <w:top w:w="-1" w:type="dxa"/>
              <w:left w:w="-1" w:type="dxa"/>
              <w:bottom w:w="-1" w:type="dxa"/>
              <w:right w:w="-1" w:type="dxa"/>
            </w:tcMar>
            <w:vAlign w:val="center"/>
          </w:tcPr>
          <w:p w14:paraId="60B3C54C"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6BA4E9B8"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7F6931AB" w14:textId="77777777" w:rsidTr="00D83FF6">
        <w:trPr>
          <w:jc w:val="center"/>
        </w:trPr>
        <w:tc>
          <w:tcPr>
            <w:tcW w:w="1172" w:type="pct"/>
            <w:vMerge w:val="restart"/>
            <w:tcMar>
              <w:top w:w="-1" w:type="dxa"/>
              <w:left w:w="-1" w:type="dxa"/>
              <w:bottom w:w="-1" w:type="dxa"/>
              <w:right w:w="-1" w:type="dxa"/>
            </w:tcMar>
            <w:vAlign w:val="center"/>
          </w:tcPr>
          <w:p w14:paraId="19911C85"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Daily self</w:t>
            </w:r>
            <w:r>
              <w:rPr>
                <w:rFonts w:eastAsia="Segoe UI"/>
                <w:color w:val="0F1115"/>
                <w:shd w:val="clear" w:color="auto" w:fill="FFFFFF"/>
              </w:rPr>
              <w:noBreakHyphen/>
              <w:t xml:space="preserve">examination of AVF </w:t>
            </w:r>
          </w:p>
        </w:tc>
        <w:tc>
          <w:tcPr>
            <w:tcW w:w="1343" w:type="pct"/>
            <w:tcMar>
              <w:top w:w="-1" w:type="dxa"/>
              <w:left w:w="-1" w:type="dxa"/>
              <w:bottom w:w="-1" w:type="dxa"/>
              <w:right w:w="-1" w:type="dxa"/>
            </w:tcMar>
            <w:vAlign w:val="center"/>
          </w:tcPr>
          <w:p w14:paraId="6EFFE56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Yes </w:t>
            </w:r>
          </w:p>
        </w:tc>
        <w:tc>
          <w:tcPr>
            <w:tcW w:w="919" w:type="pct"/>
            <w:tcMar>
              <w:top w:w="-1" w:type="dxa"/>
              <w:left w:w="-1" w:type="dxa"/>
              <w:bottom w:w="-1" w:type="dxa"/>
              <w:right w:w="-1" w:type="dxa"/>
            </w:tcMar>
            <w:vAlign w:val="center"/>
          </w:tcPr>
          <w:p w14:paraId="6A102DA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725" w:type="pct"/>
            <w:tcMar>
              <w:top w:w="-1" w:type="dxa"/>
              <w:left w:w="-1" w:type="dxa"/>
              <w:bottom w:w="-1" w:type="dxa"/>
              <w:right w:w="-1" w:type="dxa"/>
            </w:tcMar>
            <w:vAlign w:val="center"/>
          </w:tcPr>
          <w:p w14:paraId="09B54BE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14(23.33) </w:t>
            </w:r>
          </w:p>
        </w:tc>
        <w:tc>
          <w:tcPr>
            <w:tcW w:w="463" w:type="pct"/>
            <w:vMerge w:val="restart"/>
            <w:tcMar>
              <w:top w:w="-1" w:type="dxa"/>
              <w:left w:w="-1" w:type="dxa"/>
              <w:bottom w:w="-1" w:type="dxa"/>
              <w:right w:w="-1" w:type="dxa"/>
            </w:tcMar>
            <w:vAlign w:val="center"/>
          </w:tcPr>
          <w:p w14:paraId="0B2D685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1.477</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6807698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0.224</w:t>
            </w:r>
          </w:p>
        </w:tc>
      </w:tr>
      <w:tr w:rsidR="00D83FF6" w14:paraId="0226FDC9" w14:textId="77777777" w:rsidTr="00D83FF6">
        <w:trPr>
          <w:jc w:val="center"/>
        </w:trPr>
        <w:tc>
          <w:tcPr>
            <w:tcW w:w="1172" w:type="pct"/>
            <w:vMerge/>
            <w:tcMar>
              <w:top w:w="-1" w:type="dxa"/>
              <w:left w:w="-1" w:type="dxa"/>
              <w:bottom w:w="-1" w:type="dxa"/>
              <w:right w:w="-1" w:type="dxa"/>
            </w:tcMar>
            <w:vAlign w:val="center"/>
          </w:tcPr>
          <w:p w14:paraId="01A35919"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29DBDD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No </w:t>
            </w:r>
          </w:p>
        </w:tc>
        <w:tc>
          <w:tcPr>
            <w:tcW w:w="919" w:type="pct"/>
            <w:tcMar>
              <w:top w:w="-1" w:type="dxa"/>
              <w:left w:w="-1" w:type="dxa"/>
              <w:bottom w:w="-1" w:type="dxa"/>
              <w:right w:w="-1" w:type="dxa"/>
            </w:tcMar>
            <w:vAlign w:val="center"/>
          </w:tcPr>
          <w:p w14:paraId="2887DB7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40(66.67) </w:t>
            </w:r>
          </w:p>
        </w:tc>
        <w:tc>
          <w:tcPr>
            <w:tcW w:w="725" w:type="pct"/>
            <w:tcMar>
              <w:top w:w="-1" w:type="dxa"/>
              <w:left w:w="-1" w:type="dxa"/>
              <w:bottom w:w="-1" w:type="dxa"/>
              <w:right w:w="-1" w:type="dxa"/>
            </w:tcMar>
            <w:vAlign w:val="center"/>
          </w:tcPr>
          <w:p w14:paraId="7EFA14E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46(76.67) </w:t>
            </w:r>
          </w:p>
        </w:tc>
        <w:tc>
          <w:tcPr>
            <w:tcW w:w="463" w:type="pct"/>
            <w:vMerge/>
            <w:tcMar>
              <w:top w:w="-1" w:type="dxa"/>
              <w:left w:w="-1" w:type="dxa"/>
              <w:bottom w:w="-1" w:type="dxa"/>
              <w:right w:w="-1" w:type="dxa"/>
            </w:tcMar>
            <w:vAlign w:val="center"/>
          </w:tcPr>
          <w:p w14:paraId="5B00CB1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487D18A3"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D68025B" w14:textId="77777777" w:rsidTr="00D83FF6">
        <w:trPr>
          <w:jc w:val="center"/>
        </w:trPr>
        <w:tc>
          <w:tcPr>
            <w:tcW w:w="1172" w:type="pct"/>
            <w:vMerge w:val="restart"/>
            <w:tcMar>
              <w:top w:w="-1" w:type="dxa"/>
              <w:left w:w="-1" w:type="dxa"/>
              <w:bottom w:w="-1" w:type="dxa"/>
              <w:right w:w="-1" w:type="dxa"/>
            </w:tcMar>
            <w:vAlign w:val="center"/>
          </w:tcPr>
          <w:p w14:paraId="2CE2AFF5"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Daily blood pressure monitoring </w:t>
            </w:r>
          </w:p>
        </w:tc>
        <w:tc>
          <w:tcPr>
            <w:tcW w:w="1343" w:type="pct"/>
            <w:tcMar>
              <w:top w:w="-1" w:type="dxa"/>
              <w:left w:w="-1" w:type="dxa"/>
              <w:bottom w:w="-1" w:type="dxa"/>
              <w:right w:w="-1" w:type="dxa"/>
            </w:tcMar>
            <w:vAlign w:val="center"/>
          </w:tcPr>
          <w:p w14:paraId="0F851CBB"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Yes </w:t>
            </w:r>
          </w:p>
        </w:tc>
        <w:tc>
          <w:tcPr>
            <w:tcW w:w="919" w:type="pct"/>
            <w:tcMar>
              <w:top w:w="-1" w:type="dxa"/>
              <w:left w:w="-1" w:type="dxa"/>
              <w:bottom w:w="-1" w:type="dxa"/>
              <w:right w:w="-1" w:type="dxa"/>
            </w:tcMar>
            <w:vAlign w:val="center"/>
          </w:tcPr>
          <w:p w14:paraId="00ABEA6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725" w:type="pct"/>
            <w:tcMar>
              <w:top w:w="-1" w:type="dxa"/>
              <w:left w:w="-1" w:type="dxa"/>
              <w:bottom w:w="-1" w:type="dxa"/>
              <w:right w:w="-1" w:type="dxa"/>
            </w:tcMar>
            <w:vAlign w:val="center"/>
          </w:tcPr>
          <w:p w14:paraId="5E4D562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24(40.00) </w:t>
            </w:r>
          </w:p>
        </w:tc>
        <w:tc>
          <w:tcPr>
            <w:tcW w:w="463" w:type="pct"/>
            <w:vMerge w:val="restart"/>
            <w:tcMar>
              <w:top w:w="-1" w:type="dxa"/>
              <w:left w:w="-1" w:type="dxa"/>
              <w:bottom w:w="-1" w:type="dxa"/>
              <w:right w:w="-1" w:type="dxa"/>
            </w:tcMar>
            <w:vAlign w:val="center"/>
          </w:tcPr>
          <w:p w14:paraId="57EEE7F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0.574</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0346C7B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0.449</w:t>
            </w:r>
          </w:p>
        </w:tc>
      </w:tr>
      <w:tr w:rsidR="00D83FF6" w14:paraId="28762255" w14:textId="77777777" w:rsidTr="00D83FF6">
        <w:trPr>
          <w:jc w:val="center"/>
        </w:trPr>
        <w:tc>
          <w:tcPr>
            <w:tcW w:w="1172" w:type="pct"/>
            <w:vMerge/>
            <w:tcMar>
              <w:top w:w="-1" w:type="dxa"/>
              <w:left w:w="-1" w:type="dxa"/>
              <w:bottom w:w="-1" w:type="dxa"/>
              <w:right w:w="-1" w:type="dxa"/>
            </w:tcMar>
            <w:vAlign w:val="center"/>
          </w:tcPr>
          <w:p w14:paraId="2A2F3F38"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1990FD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No </w:t>
            </w:r>
          </w:p>
        </w:tc>
        <w:tc>
          <w:tcPr>
            <w:tcW w:w="919" w:type="pct"/>
            <w:tcMar>
              <w:top w:w="-1" w:type="dxa"/>
              <w:left w:w="-1" w:type="dxa"/>
              <w:bottom w:w="-1" w:type="dxa"/>
              <w:right w:w="-1" w:type="dxa"/>
            </w:tcMar>
            <w:vAlign w:val="center"/>
          </w:tcPr>
          <w:p w14:paraId="1802D7A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40(66.67) </w:t>
            </w:r>
          </w:p>
        </w:tc>
        <w:tc>
          <w:tcPr>
            <w:tcW w:w="725" w:type="pct"/>
            <w:tcMar>
              <w:top w:w="-1" w:type="dxa"/>
              <w:left w:w="-1" w:type="dxa"/>
              <w:bottom w:w="-1" w:type="dxa"/>
              <w:right w:w="-1" w:type="dxa"/>
            </w:tcMar>
            <w:vAlign w:val="center"/>
          </w:tcPr>
          <w:p w14:paraId="4016C11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36(60.00) </w:t>
            </w:r>
          </w:p>
        </w:tc>
        <w:tc>
          <w:tcPr>
            <w:tcW w:w="463" w:type="pct"/>
            <w:vMerge/>
            <w:tcMar>
              <w:top w:w="-1" w:type="dxa"/>
              <w:left w:w="-1" w:type="dxa"/>
              <w:bottom w:w="-1" w:type="dxa"/>
              <w:right w:w="-1" w:type="dxa"/>
            </w:tcMar>
            <w:vAlign w:val="center"/>
          </w:tcPr>
          <w:p w14:paraId="43FB1A8D"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133662BA"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27C6FB63" w14:textId="77777777" w:rsidTr="00D83FF6">
        <w:trPr>
          <w:jc w:val="center"/>
        </w:trPr>
        <w:tc>
          <w:tcPr>
            <w:tcW w:w="1172" w:type="pct"/>
            <w:vMerge w:val="restart"/>
            <w:tcMar>
              <w:top w:w="-1" w:type="dxa"/>
              <w:left w:w="-1" w:type="dxa"/>
              <w:bottom w:w="-1" w:type="dxa"/>
              <w:right w:w="-1" w:type="dxa"/>
            </w:tcMar>
            <w:vAlign w:val="center"/>
          </w:tcPr>
          <w:p w14:paraId="570FE986"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Primary disease </w:t>
            </w:r>
          </w:p>
        </w:tc>
        <w:tc>
          <w:tcPr>
            <w:tcW w:w="1343" w:type="pct"/>
            <w:tcMar>
              <w:top w:w="-1" w:type="dxa"/>
              <w:left w:w="-1" w:type="dxa"/>
              <w:bottom w:w="-1" w:type="dxa"/>
              <w:right w:w="-1" w:type="dxa"/>
            </w:tcMar>
            <w:vAlign w:val="center"/>
          </w:tcPr>
          <w:p w14:paraId="187EA0E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Diabetic nephropathy </w:t>
            </w:r>
          </w:p>
        </w:tc>
        <w:tc>
          <w:tcPr>
            <w:tcW w:w="919" w:type="pct"/>
            <w:tcMar>
              <w:top w:w="-1" w:type="dxa"/>
              <w:left w:w="-1" w:type="dxa"/>
              <w:bottom w:w="-1" w:type="dxa"/>
              <w:right w:w="-1" w:type="dxa"/>
            </w:tcMar>
            <w:vAlign w:val="center"/>
          </w:tcPr>
          <w:p w14:paraId="4CF0AFD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9(15.00) </w:t>
            </w:r>
          </w:p>
        </w:tc>
        <w:tc>
          <w:tcPr>
            <w:tcW w:w="725" w:type="pct"/>
            <w:tcMar>
              <w:top w:w="-1" w:type="dxa"/>
              <w:left w:w="-1" w:type="dxa"/>
              <w:bottom w:w="-1" w:type="dxa"/>
              <w:right w:w="-1" w:type="dxa"/>
            </w:tcMar>
            <w:vAlign w:val="center"/>
          </w:tcPr>
          <w:p w14:paraId="48969BBA"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16(26.67) </w:t>
            </w:r>
          </w:p>
        </w:tc>
        <w:tc>
          <w:tcPr>
            <w:tcW w:w="463" w:type="pct"/>
            <w:vMerge w:val="restart"/>
            <w:tcMar>
              <w:top w:w="-1" w:type="dxa"/>
              <w:left w:w="-1" w:type="dxa"/>
              <w:bottom w:w="-1" w:type="dxa"/>
              <w:right w:w="-1" w:type="dxa"/>
            </w:tcMar>
            <w:vAlign w:val="center"/>
          </w:tcPr>
          <w:p w14:paraId="54E1197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2.480</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5A9BD85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0.648</w:t>
            </w:r>
          </w:p>
        </w:tc>
      </w:tr>
      <w:tr w:rsidR="00D83FF6" w14:paraId="3FA1447C" w14:textId="77777777" w:rsidTr="00D83FF6">
        <w:trPr>
          <w:jc w:val="center"/>
        </w:trPr>
        <w:tc>
          <w:tcPr>
            <w:tcW w:w="1172" w:type="pct"/>
            <w:vMerge/>
            <w:tcMar>
              <w:top w:w="-1" w:type="dxa"/>
              <w:left w:w="-1" w:type="dxa"/>
              <w:bottom w:w="-1" w:type="dxa"/>
              <w:right w:w="-1" w:type="dxa"/>
            </w:tcMar>
            <w:vAlign w:val="center"/>
          </w:tcPr>
          <w:p w14:paraId="17A6DBE2"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74E3B8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Hypertensive nephropathy </w:t>
            </w:r>
          </w:p>
        </w:tc>
        <w:tc>
          <w:tcPr>
            <w:tcW w:w="919" w:type="pct"/>
            <w:tcMar>
              <w:top w:w="-1" w:type="dxa"/>
              <w:left w:w="-1" w:type="dxa"/>
              <w:bottom w:w="-1" w:type="dxa"/>
              <w:right w:w="-1" w:type="dxa"/>
            </w:tcMar>
            <w:vAlign w:val="center"/>
          </w:tcPr>
          <w:p w14:paraId="0F4F70E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725" w:type="pct"/>
            <w:tcMar>
              <w:top w:w="-1" w:type="dxa"/>
              <w:left w:w="-1" w:type="dxa"/>
              <w:bottom w:w="-1" w:type="dxa"/>
              <w:right w:w="-1" w:type="dxa"/>
            </w:tcMar>
            <w:vAlign w:val="center"/>
          </w:tcPr>
          <w:p w14:paraId="75AA4DD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17(28.33) </w:t>
            </w:r>
          </w:p>
        </w:tc>
        <w:tc>
          <w:tcPr>
            <w:tcW w:w="463" w:type="pct"/>
            <w:vMerge/>
            <w:tcMar>
              <w:top w:w="-1" w:type="dxa"/>
              <w:left w:w="-1" w:type="dxa"/>
              <w:bottom w:w="-1" w:type="dxa"/>
              <w:right w:w="-1" w:type="dxa"/>
            </w:tcMar>
            <w:vAlign w:val="center"/>
          </w:tcPr>
          <w:p w14:paraId="217A073B"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6174244B"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5367D24" w14:textId="77777777" w:rsidTr="00D83FF6">
        <w:trPr>
          <w:jc w:val="center"/>
        </w:trPr>
        <w:tc>
          <w:tcPr>
            <w:tcW w:w="1172" w:type="pct"/>
            <w:vMerge/>
            <w:tcMar>
              <w:top w:w="-1" w:type="dxa"/>
              <w:left w:w="-1" w:type="dxa"/>
              <w:bottom w:w="-1" w:type="dxa"/>
              <w:right w:w="-1" w:type="dxa"/>
            </w:tcMar>
            <w:vAlign w:val="center"/>
          </w:tcPr>
          <w:p w14:paraId="28CD30D3"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62D6D81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Chronic nephritis </w:t>
            </w:r>
          </w:p>
        </w:tc>
        <w:tc>
          <w:tcPr>
            <w:tcW w:w="919" w:type="pct"/>
            <w:tcMar>
              <w:top w:w="-1" w:type="dxa"/>
              <w:left w:w="-1" w:type="dxa"/>
              <w:bottom w:w="-1" w:type="dxa"/>
              <w:right w:w="-1" w:type="dxa"/>
            </w:tcMar>
            <w:vAlign w:val="center"/>
          </w:tcPr>
          <w:p w14:paraId="672C77C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16(26.67) </w:t>
            </w:r>
          </w:p>
        </w:tc>
        <w:tc>
          <w:tcPr>
            <w:tcW w:w="725" w:type="pct"/>
            <w:tcMar>
              <w:top w:w="-1" w:type="dxa"/>
              <w:left w:w="-1" w:type="dxa"/>
              <w:bottom w:w="-1" w:type="dxa"/>
              <w:right w:w="-1" w:type="dxa"/>
            </w:tcMar>
            <w:vAlign w:val="center"/>
          </w:tcPr>
          <w:p w14:paraId="2FFB87C0"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14(23.33) </w:t>
            </w:r>
          </w:p>
        </w:tc>
        <w:tc>
          <w:tcPr>
            <w:tcW w:w="463" w:type="pct"/>
            <w:vMerge/>
            <w:tcMar>
              <w:top w:w="-1" w:type="dxa"/>
              <w:left w:w="-1" w:type="dxa"/>
              <w:bottom w:w="-1" w:type="dxa"/>
              <w:right w:w="-1" w:type="dxa"/>
            </w:tcMar>
            <w:vAlign w:val="center"/>
          </w:tcPr>
          <w:p w14:paraId="5F9399A7"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3C7A91C1"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4334C50A" w14:textId="77777777" w:rsidTr="00D83FF6">
        <w:trPr>
          <w:jc w:val="center"/>
        </w:trPr>
        <w:tc>
          <w:tcPr>
            <w:tcW w:w="1172" w:type="pct"/>
            <w:vMerge/>
            <w:tcMar>
              <w:top w:w="-1" w:type="dxa"/>
              <w:left w:w="-1" w:type="dxa"/>
              <w:bottom w:w="-1" w:type="dxa"/>
              <w:right w:w="-1" w:type="dxa"/>
            </w:tcMar>
            <w:vAlign w:val="center"/>
          </w:tcPr>
          <w:p w14:paraId="566BBAB9"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DE7339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Polycystic kidney disease </w:t>
            </w:r>
          </w:p>
        </w:tc>
        <w:tc>
          <w:tcPr>
            <w:tcW w:w="919" w:type="pct"/>
            <w:tcMar>
              <w:top w:w="-1" w:type="dxa"/>
              <w:left w:w="-1" w:type="dxa"/>
              <w:bottom w:w="-1" w:type="dxa"/>
              <w:right w:w="-1" w:type="dxa"/>
            </w:tcMar>
            <w:vAlign w:val="center"/>
          </w:tcPr>
          <w:p w14:paraId="29B2B5F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725" w:type="pct"/>
            <w:tcMar>
              <w:top w:w="-1" w:type="dxa"/>
              <w:left w:w="-1" w:type="dxa"/>
              <w:bottom w:w="-1" w:type="dxa"/>
              <w:right w:w="-1" w:type="dxa"/>
            </w:tcMar>
            <w:vAlign w:val="center"/>
          </w:tcPr>
          <w:p w14:paraId="47FABE1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6(10.00) </w:t>
            </w:r>
          </w:p>
        </w:tc>
        <w:tc>
          <w:tcPr>
            <w:tcW w:w="463" w:type="pct"/>
            <w:vMerge/>
            <w:tcMar>
              <w:top w:w="-1" w:type="dxa"/>
              <w:left w:w="-1" w:type="dxa"/>
              <w:bottom w:w="-1" w:type="dxa"/>
              <w:right w:w="-1" w:type="dxa"/>
            </w:tcMar>
            <w:vAlign w:val="center"/>
          </w:tcPr>
          <w:p w14:paraId="795B1C2B"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37549715"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33745B22" w14:textId="77777777" w:rsidTr="00D83FF6">
        <w:trPr>
          <w:jc w:val="center"/>
        </w:trPr>
        <w:tc>
          <w:tcPr>
            <w:tcW w:w="1172" w:type="pct"/>
            <w:vMerge/>
            <w:tcMar>
              <w:top w:w="-1" w:type="dxa"/>
              <w:left w:w="-1" w:type="dxa"/>
              <w:bottom w:w="-1" w:type="dxa"/>
              <w:right w:w="-1" w:type="dxa"/>
            </w:tcMar>
            <w:vAlign w:val="center"/>
          </w:tcPr>
          <w:p w14:paraId="5A77E440"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447C605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Other </w:t>
            </w:r>
          </w:p>
        </w:tc>
        <w:tc>
          <w:tcPr>
            <w:tcW w:w="919" w:type="pct"/>
            <w:tcMar>
              <w:top w:w="-1" w:type="dxa"/>
              <w:left w:w="-1" w:type="dxa"/>
              <w:bottom w:w="-1" w:type="dxa"/>
              <w:right w:w="-1" w:type="dxa"/>
            </w:tcMar>
            <w:vAlign w:val="center"/>
          </w:tcPr>
          <w:p w14:paraId="7289A5F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8(13.33) </w:t>
            </w:r>
          </w:p>
        </w:tc>
        <w:tc>
          <w:tcPr>
            <w:tcW w:w="725" w:type="pct"/>
            <w:tcMar>
              <w:top w:w="-1" w:type="dxa"/>
              <w:left w:w="-1" w:type="dxa"/>
              <w:bottom w:w="-1" w:type="dxa"/>
              <w:right w:w="-1" w:type="dxa"/>
            </w:tcMar>
            <w:vAlign w:val="center"/>
          </w:tcPr>
          <w:p w14:paraId="25B0572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7(11.67) </w:t>
            </w:r>
          </w:p>
        </w:tc>
        <w:tc>
          <w:tcPr>
            <w:tcW w:w="463" w:type="pct"/>
            <w:vMerge/>
            <w:tcMar>
              <w:top w:w="-1" w:type="dxa"/>
              <w:left w:w="-1" w:type="dxa"/>
              <w:bottom w:w="-1" w:type="dxa"/>
              <w:right w:w="-1" w:type="dxa"/>
            </w:tcMar>
            <w:vAlign w:val="center"/>
          </w:tcPr>
          <w:p w14:paraId="790B96EE"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4CAA11A9"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39103368" w14:textId="77777777" w:rsidTr="00D83FF6">
        <w:trPr>
          <w:jc w:val="center"/>
        </w:trPr>
        <w:tc>
          <w:tcPr>
            <w:tcW w:w="1172" w:type="pct"/>
            <w:vMerge w:val="restart"/>
            <w:tcMar>
              <w:top w:w="-1" w:type="dxa"/>
              <w:left w:w="-1" w:type="dxa"/>
              <w:bottom w:w="-1" w:type="dxa"/>
              <w:right w:w="-1" w:type="dxa"/>
            </w:tcMar>
            <w:vAlign w:val="center"/>
          </w:tcPr>
          <w:p w14:paraId="11D8FFEC"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Number of comorbidities </w:t>
            </w:r>
          </w:p>
        </w:tc>
        <w:tc>
          <w:tcPr>
            <w:tcW w:w="1343" w:type="pct"/>
            <w:tcMar>
              <w:top w:w="-1" w:type="dxa"/>
              <w:left w:w="-1" w:type="dxa"/>
              <w:bottom w:w="-1" w:type="dxa"/>
              <w:right w:w="-1" w:type="dxa"/>
            </w:tcMar>
            <w:vAlign w:val="center"/>
          </w:tcPr>
          <w:p w14:paraId="4CDEA8AC" w14:textId="6C6C37FE"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 3 </w:t>
            </w:r>
          </w:p>
        </w:tc>
        <w:tc>
          <w:tcPr>
            <w:tcW w:w="919" w:type="pct"/>
            <w:tcMar>
              <w:top w:w="-1" w:type="dxa"/>
              <w:left w:w="-1" w:type="dxa"/>
              <w:bottom w:w="-1" w:type="dxa"/>
              <w:right w:w="-1" w:type="dxa"/>
            </w:tcMar>
            <w:vAlign w:val="center"/>
          </w:tcPr>
          <w:p w14:paraId="14F9A13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24(40.00) </w:t>
            </w:r>
          </w:p>
        </w:tc>
        <w:tc>
          <w:tcPr>
            <w:tcW w:w="725" w:type="pct"/>
            <w:tcMar>
              <w:top w:w="-1" w:type="dxa"/>
              <w:left w:w="-1" w:type="dxa"/>
              <w:bottom w:w="-1" w:type="dxa"/>
              <w:right w:w="-1" w:type="dxa"/>
            </w:tcMar>
            <w:vAlign w:val="center"/>
          </w:tcPr>
          <w:p w14:paraId="47AA361C"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28(46.67) </w:t>
            </w:r>
          </w:p>
        </w:tc>
        <w:tc>
          <w:tcPr>
            <w:tcW w:w="463" w:type="pct"/>
            <w:vMerge w:val="restart"/>
            <w:tcMar>
              <w:top w:w="-1" w:type="dxa"/>
              <w:left w:w="-1" w:type="dxa"/>
              <w:bottom w:w="-1" w:type="dxa"/>
              <w:right w:w="-1" w:type="dxa"/>
            </w:tcMar>
            <w:vAlign w:val="center"/>
          </w:tcPr>
          <w:p w14:paraId="67EAB16D"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0.543</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31A599F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0.461</w:t>
            </w:r>
          </w:p>
        </w:tc>
      </w:tr>
      <w:tr w:rsidR="00D83FF6" w14:paraId="1D528369" w14:textId="77777777" w:rsidTr="00D83FF6">
        <w:trPr>
          <w:jc w:val="center"/>
        </w:trPr>
        <w:tc>
          <w:tcPr>
            <w:tcW w:w="1172" w:type="pct"/>
            <w:vMerge/>
            <w:tcMar>
              <w:top w:w="-1" w:type="dxa"/>
              <w:left w:w="-1" w:type="dxa"/>
              <w:bottom w:w="-1" w:type="dxa"/>
              <w:right w:w="-1" w:type="dxa"/>
            </w:tcMar>
            <w:vAlign w:val="center"/>
          </w:tcPr>
          <w:p w14:paraId="3D90E9BC"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7B6399AD" w14:textId="0EAD00FD"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 4 </w:t>
            </w:r>
          </w:p>
        </w:tc>
        <w:tc>
          <w:tcPr>
            <w:tcW w:w="919" w:type="pct"/>
            <w:tcMar>
              <w:top w:w="-1" w:type="dxa"/>
              <w:left w:w="-1" w:type="dxa"/>
              <w:bottom w:w="-1" w:type="dxa"/>
              <w:right w:w="-1" w:type="dxa"/>
            </w:tcMar>
            <w:vAlign w:val="center"/>
          </w:tcPr>
          <w:p w14:paraId="370B6D85"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36(60.00) </w:t>
            </w:r>
          </w:p>
        </w:tc>
        <w:tc>
          <w:tcPr>
            <w:tcW w:w="725" w:type="pct"/>
            <w:tcMar>
              <w:top w:w="-1" w:type="dxa"/>
              <w:left w:w="-1" w:type="dxa"/>
              <w:bottom w:w="-1" w:type="dxa"/>
              <w:right w:w="-1" w:type="dxa"/>
            </w:tcMar>
            <w:vAlign w:val="center"/>
          </w:tcPr>
          <w:p w14:paraId="4C7561E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32(53.33) </w:t>
            </w:r>
          </w:p>
        </w:tc>
        <w:tc>
          <w:tcPr>
            <w:tcW w:w="463" w:type="pct"/>
            <w:vMerge/>
            <w:tcMar>
              <w:top w:w="-1" w:type="dxa"/>
              <w:left w:w="-1" w:type="dxa"/>
              <w:bottom w:w="-1" w:type="dxa"/>
              <w:right w:w="-1" w:type="dxa"/>
            </w:tcMar>
            <w:vAlign w:val="center"/>
          </w:tcPr>
          <w:p w14:paraId="4E39CBE9"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1A508030"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6C5E8553" w14:textId="77777777" w:rsidTr="00D83FF6">
        <w:trPr>
          <w:jc w:val="center"/>
        </w:trPr>
        <w:tc>
          <w:tcPr>
            <w:tcW w:w="1172" w:type="pct"/>
            <w:vMerge w:val="restart"/>
            <w:tcMar>
              <w:top w:w="-1" w:type="dxa"/>
              <w:left w:w="-1" w:type="dxa"/>
              <w:bottom w:w="-1" w:type="dxa"/>
              <w:right w:w="-1" w:type="dxa"/>
            </w:tcMar>
            <w:vAlign w:val="center"/>
          </w:tcPr>
          <w:p w14:paraId="0188220C"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Dialysis vintage </w:t>
            </w:r>
          </w:p>
        </w:tc>
        <w:tc>
          <w:tcPr>
            <w:tcW w:w="1343" w:type="pct"/>
            <w:tcMar>
              <w:top w:w="-1" w:type="dxa"/>
              <w:left w:w="-1" w:type="dxa"/>
              <w:bottom w:w="-1" w:type="dxa"/>
              <w:right w:w="-1" w:type="dxa"/>
            </w:tcMar>
            <w:vAlign w:val="center"/>
          </w:tcPr>
          <w:p w14:paraId="5E8EE419" w14:textId="1E0BAB2D"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&lt; 3 years </w:t>
            </w:r>
          </w:p>
        </w:tc>
        <w:tc>
          <w:tcPr>
            <w:tcW w:w="919" w:type="pct"/>
            <w:tcMar>
              <w:top w:w="-1" w:type="dxa"/>
              <w:left w:w="-1" w:type="dxa"/>
              <w:bottom w:w="-1" w:type="dxa"/>
              <w:right w:w="-1" w:type="dxa"/>
            </w:tcMar>
            <w:vAlign w:val="center"/>
          </w:tcPr>
          <w:p w14:paraId="2AD186B3"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725" w:type="pct"/>
            <w:tcMar>
              <w:top w:w="-1" w:type="dxa"/>
              <w:left w:w="-1" w:type="dxa"/>
              <w:bottom w:w="-1" w:type="dxa"/>
              <w:right w:w="-1" w:type="dxa"/>
            </w:tcMar>
            <w:vAlign w:val="center"/>
          </w:tcPr>
          <w:p w14:paraId="43294A6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19(31.67) </w:t>
            </w:r>
          </w:p>
        </w:tc>
        <w:tc>
          <w:tcPr>
            <w:tcW w:w="463" w:type="pct"/>
            <w:vMerge w:val="restart"/>
            <w:tcMar>
              <w:top w:w="-1" w:type="dxa"/>
              <w:left w:w="-1" w:type="dxa"/>
              <w:bottom w:w="-1" w:type="dxa"/>
              <w:right w:w="-1" w:type="dxa"/>
            </w:tcMar>
            <w:vAlign w:val="center"/>
          </w:tcPr>
          <w:p w14:paraId="221764C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-1.242</w:t>
            </w:r>
            <w:r>
              <w:rPr>
                <w:rFonts w:eastAsia="Segoe UI"/>
                <w:color w:val="0F1115"/>
                <w:shd w:val="clear" w:color="auto" w:fill="FFFFFF"/>
                <w:vertAlign w:val="superscript"/>
              </w:rPr>
              <w:t>b</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7681CB3B"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0.214</w:t>
            </w:r>
          </w:p>
        </w:tc>
      </w:tr>
      <w:tr w:rsidR="00D83FF6" w14:paraId="608BFE78" w14:textId="77777777" w:rsidTr="00D83FF6">
        <w:trPr>
          <w:jc w:val="center"/>
        </w:trPr>
        <w:tc>
          <w:tcPr>
            <w:tcW w:w="1172" w:type="pct"/>
            <w:vMerge/>
            <w:tcMar>
              <w:top w:w="-1" w:type="dxa"/>
              <w:left w:w="-1" w:type="dxa"/>
              <w:bottom w:w="-1" w:type="dxa"/>
              <w:right w:w="-1" w:type="dxa"/>
            </w:tcMar>
            <w:vAlign w:val="center"/>
          </w:tcPr>
          <w:p w14:paraId="012DBAC4"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52629D2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 years </w:t>
            </w:r>
          </w:p>
        </w:tc>
        <w:tc>
          <w:tcPr>
            <w:tcW w:w="919" w:type="pct"/>
            <w:tcMar>
              <w:top w:w="-1" w:type="dxa"/>
              <w:left w:w="-1" w:type="dxa"/>
              <w:bottom w:w="-1" w:type="dxa"/>
              <w:right w:w="-1" w:type="dxa"/>
            </w:tcMar>
            <w:vAlign w:val="center"/>
          </w:tcPr>
          <w:p w14:paraId="2C3505D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25(41.67) </w:t>
            </w:r>
          </w:p>
        </w:tc>
        <w:tc>
          <w:tcPr>
            <w:tcW w:w="725" w:type="pct"/>
            <w:tcMar>
              <w:top w:w="-1" w:type="dxa"/>
              <w:left w:w="-1" w:type="dxa"/>
              <w:bottom w:w="-1" w:type="dxa"/>
              <w:right w:w="-1" w:type="dxa"/>
            </w:tcMar>
            <w:vAlign w:val="center"/>
          </w:tcPr>
          <w:p w14:paraId="092CFDE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20(33.33) </w:t>
            </w:r>
          </w:p>
        </w:tc>
        <w:tc>
          <w:tcPr>
            <w:tcW w:w="463" w:type="pct"/>
            <w:vMerge/>
            <w:tcMar>
              <w:top w:w="-1" w:type="dxa"/>
              <w:left w:w="-1" w:type="dxa"/>
              <w:bottom w:w="-1" w:type="dxa"/>
              <w:right w:w="-1" w:type="dxa"/>
            </w:tcMar>
            <w:vAlign w:val="center"/>
          </w:tcPr>
          <w:p w14:paraId="1E14DAF0"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211FEB20"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570811B0" w14:textId="77777777" w:rsidTr="00D83FF6">
        <w:trPr>
          <w:jc w:val="center"/>
        </w:trPr>
        <w:tc>
          <w:tcPr>
            <w:tcW w:w="1172" w:type="pct"/>
            <w:vMerge/>
            <w:tcMar>
              <w:top w:w="-1" w:type="dxa"/>
              <w:left w:w="-1" w:type="dxa"/>
              <w:bottom w:w="-1" w:type="dxa"/>
              <w:right w:w="-1" w:type="dxa"/>
            </w:tcMar>
            <w:vAlign w:val="center"/>
          </w:tcPr>
          <w:p w14:paraId="75AE253F"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Mar>
              <w:top w:w="-1" w:type="dxa"/>
              <w:left w:w="-1" w:type="dxa"/>
              <w:bottom w:w="-1" w:type="dxa"/>
              <w:right w:w="-1" w:type="dxa"/>
            </w:tcMar>
            <w:vAlign w:val="center"/>
          </w:tcPr>
          <w:p w14:paraId="34D7D20E" w14:textId="40B298D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&gt; 5 years </w:t>
            </w:r>
          </w:p>
        </w:tc>
        <w:tc>
          <w:tcPr>
            <w:tcW w:w="919" w:type="pct"/>
            <w:tcMar>
              <w:top w:w="-1" w:type="dxa"/>
              <w:left w:w="-1" w:type="dxa"/>
              <w:bottom w:w="-1" w:type="dxa"/>
              <w:right w:w="-1" w:type="dxa"/>
            </w:tcMar>
            <w:vAlign w:val="center"/>
          </w:tcPr>
          <w:p w14:paraId="56A239C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13(21.67) </w:t>
            </w:r>
          </w:p>
        </w:tc>
        <w:tc>
          <w:tcPr>
            <w:tcW w:w="725" w:type="pct"/>
            <w:tcMar>
              <w:top w:w="-1" w:type="dxa"/>
              <w:left w:w="-1" w:type="dxa"/>
              <w:bottom w:w="-1" w:type="dxa"/>
              <w:right w:w="-1" w:type="dxa"/>
            </w:tcMar>
            <w:vAlign w:val="center"/>
          </w:tcPr>
          <w:p w14:paraId="288F6734"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21(35.00) </w:t>
            </w:r>
          </w:p>
        </w:tc>
        <w:tc>
          <w:tcPr>
            <w:tcW w:w="463" w:type="pct"/>
            <w:vMerge/>
            <w:tcMar>
              <w:top w:w="-1" w:type="dxa"/>
              <w:left w:w="-1" w:type="dxa"/>
              <w:bottom w:w="-1" w:type="dxa"/>
              <w:right w:w="-1" w:type="dxa"/>
            </w:tcMar>
            <w:vAlign w:val="center"/>
          </w:tcPr>
          <w:p w14:paraId="2076FC8D"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Mar>
              <w:top w:w="-1" w:type="dxa"/>
              <w:left w:w="-1" w:type="dxa"/>
              <w:bottom w:w="-1" w:type="dxa"/>
              <w:right w:w="-1" w:type="dxa"/>
            </w:tcMar>
            <w:vAlign w:val="center"/>
          </w:tcPr>
          <w:p w14:paraId="0FC36BB7" w14:textId="77777777" w:rsidR="00D83FF6" w:rsidRDefault="00D83FF6">
            <w:pPr>
              <w:pStyle w:val="NormalWeb"/>
              <w:keepNext/>
              <w:widowControl/>
              <w:shd w:val="clear" w:color="auto" w:fill="FFFFFF"/>
              <w:snapToGrid w:val="0"/>
              <w:ind w:firstLineChars="0" w:firstLine="0"/>
              <w:jc w:val="center"/>
              <w:rPr>
                <w:rFonts w:eastAsia="Segoe UI"/>
              </w:rPr>
            </w:pPr>
          </w:p>
        </w:tc>
      </w:tr>
      <w:tr w:rsidR="00D83FF6" w14:paraId="00B568A7" w14:textId="77777777" w:rsidTr="00D83FF6">
        <w:trPr>
          <w:jc w:val="center"/>
        </w:trPr>
        <w:tc>
          <w:tcPr>
            <w:tcW w:w="1172" w:type="pct"/>
            <w:vMerge w:val="restart"/>
            <w:tcMar>
              <w:top w:w="-1" w:type="dxa"/>
              <w:left w:w="-1" w:type="dxa"/>
              <w:bottom w:w="-1" w:type="dxa"/>
              <w:right w:w="-1" w:type="dxa"/>
            </w:tcMar>
            <w:vAlign w:val="center"/>
          </w:tcPr>
          <w:p w14:paraId="6B9B6E58" w14:textId="77777777" w:rsidR="00D83FF6" w:rsidRDefault="00D83FF6" w:rsidP="00D83FF6">
            <w:pPr>
              <w:pStyle w:val="NormalWeb"/>
              <w:keepNext/>
              <w:widowControl/>
              <w:shd w:val="clear" w:color="auto" w:fill="FFFFFF"/>
              <w:snapToGrid w:val="0"/>
              <w:ind w:firstLineChars="0" w:firstLine="0"/>
              <w:jc w:val="left"/>
              <w:rPr>
                <w:rFonts w:eastAsia="Segoe UI"/>
              </w:rPr>
            </w:pPr>
            <w:r>
              <w:rPr>
                <w:rFonts w:eastAsia="Segoe UI"/>
                <w:color w:val="0F1115"/>
                <w:shd w:val="clear" w:color="auto" w:fill="FFFFFF"/>
              </w:rPr>
              <w:t xml:space="preserve">Previous AVF failure or complications </w:t>
            </w:r>
          </w:p>
        </w:tc>
        <w:tc>
          <w:tcPr>
            <w:tcW w:w="1343" w:type="pct"/>
            <w:tcMar>
              <w:top w:w="-1" w:type="dxa"/>
              <w:left w:w="-1" w:type="dxa"/>
              <w:bottom w:w="-1" w:type="dxa"/>
              <w:right w:w="-1" w:type="dxa"/>
            </w:tcMar>
            <w:vAlign w:val="center"/>
          </w:tcPr>
          <w:p w14:paraId="44E504E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Yes </w:t>
            </w:r>
          </w:p>
        </w:tc>
        <w:tc>
          <w:tcPr>
            <w:tcW w:w="919" w:type="pct"/>
            <w:tcMar>
              <w:top w:w="-1" w:type="dxa"/>
              <w:left w:w="-1" w:type="dxa"/>
              <w:bottom w:w="-1" w:type="dxa"/>
              <w:right w:w="-1" w:type="dxa"/>
            </w:tcMar>
            <w:vAlign w:val="center"/>
          </w:tcPr>
          <w:p w14:paraId="20F9F12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25(41.67) </w:t>
            </w:r>
          </w:p>
        </w:tc>
        <w:tc>
          <w:tcPr>
            <w:tcW w:w="725" w:type="pct"/>
            <w:tcMar>
              <w:top w:w="-1" w:type="dxa"/>
              <w:left w:w="-1" w:type="dxa"/>
              <w:bottom w:w="-1" w:type="dxa"/>
              <w:right w:w="-1" w:type="dxa"/>
            </w:tcMar>
            <w:vAlign w:val="center"/>
          </w:tcPr>
          <w:p w14:paraId="2FA539D7"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22(36.67) </w:t>
            </w:r>
          </w:p>
        </w:tc>
        <w:tc>
          <w:tcPr>
            <w:tcW w:w="463" w:type="pct"/>
            <w:vMerge w:val="restart"/>
            <w:tcMar>
              <w:top w:w="-1" w:type="dxa"/>
              <w:left w:w="-1" w:type="dxa"/>
              <w:bottom w:w="-1" w:type="dxa"/>
              <w:right w:w="-1" w:type="dxa"/>
            </w:tcMar>
            <w:vAlign w:val="center"/>
          </w:tcPr>
          <w:p w14:paraId="70A8AA52"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0.315</w:t>
            </w:r>
            <w:r>
              <w:rPr>
                <w:rFonts w:eastAsia="Segoe UI"/>
                <w:color w:val="0F1115"/>
                <w:shd w:val="clear" w:color="auto" w:fill="FFFFFF"/>
                <w:vertAlign w:val="superscript"/>
              </w:rPr>
              <w:t>a</w:t>
            </w:r>
            <w:r>
              <w:rPr>
                <w:rFonts w:eastAsia="Segoe UI"/>
                <w:color w:val="0F1115"/>
                <w:shd w:val="clear" w:color="auto" w:fill="FFFFFF"/>
              </w:rPr>
              <w:t xml:space="preserve"> </w:t>
            </w:r>
          </w:p>
        </w:tc>
        <w:tc>
          <w:tcPr>
            <w:tcW w:w="378" w:type="pct"/>
            <w:vMerge w:val="restart"/>
            <w:tcMar>
              <w:top w:w="-1" w:type="dxa"/>
              <w:left w:w="-1" w:type="dxa"/>
              <w:bottom w:w="-1" w:type="dxa"/>
              <w:right w:w="-1" w:type="dxa"/>
            </w:tcMar>
            <w:vAlign w:val="center"/>
          </w:tcPr>
          <w:p w14:paraId="119AF4FE"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0.575</w:t>
            </w:r>
          </w:p>
        </w:tc>
      </w:tr>
      <w:tr w:rsidR="00D83FF6" w14:paraId="7EB2C2B0" w14:textId="77777777" w:rsidTr="00D83FF6">
        <w:trPr>
          <w:jc w:val="center"/>
        </w:trPr>
        <w:tc>
          <w:tcPr>
            <w:tcW w:w="1172" w:type="pct"/>
            <w:vMerge/>
            <w:tcBorders>
              <w:bottom w:val="single" w:sz="4" w:space="0" w:color="auto"/>
            </w:tcBorders>
            <w:tcMar>
              <w:top w:w="-1" w:type="dxa"/>
              <w:left w:w="-1" w:type="dxa"/>
              <w:bottom w:w="-1" w:type="dxa"/>
              <w:right w:w="-1" w:type="dxa"/>
            </w:tcMar>
            <w:vAlign w:val="center"/>
          </w:tcPr>
          <w:p w14:paraId="4A7C80DF" w14:textId="77777777" w:rsidR="00D83FF6" w:rsidRDefault="00D83FF6" w:rsidP="00D83FF6">
            <w:pPr>
              <w:pStyle w:val="NormalWeb"/>
              <w:keepNext/>
              <w:widowControl/>
              <w:shd w:val="clear" w:color="auto" w:fill="FFFFFF"/>
              <w:snapToGrid w:val="0"/>
              <w:ind w:firstLineChars="0" w:firstLine="0"/>
              <w:jc w:val="left"/>
              <w:rPr>
                <w:rFonts w:eastAsia="Segoe UI"/>
              </w:rPr>
            </w:pPr>
          </w:p>
        </w:tc>
        <w:tc>
          <w:tcPr>
            <w:tcW w:w="1343" w:type="pct"/>
            <w:tcBorders>
              <w:bottom w:val="single" w:sz="4" w:space="0" w:color="auto"/>
            </w:tcBorders>
            <w:tcMar>
              <w:top w:w="-1" w:type="dxa"/>
              <w:left w:w="-1" w:type="dxa"/>
              <w:bottom w:w="-1" w:type="dxa"/>
              <w:right w:w="-1" w:type="dxa"/>
            </w:tcMar>
            <w:vAlign w:val="center"/>
          </w:tcPr>
          <w:p w14:paraId="2568B951"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No </w:t>
            </w:r>
          </w:p>
        </w:tc>
        <w:tc>
          <w:tcPr>
            <w:tcW w:w="919" w:type="pct"/>
            <w:tcBorders>
              <w:bottom w:val="single" w:sz="4" w:space="0" w:color="auto"/>
            </w:tcBorders>
            <w:tcMar>
              <w:top w:w="-1" w:type="dxa"/>
              <w:left w:w="-1" w:type="dxa"/>
              <w:bottom w:w="-1" w:type="dxa"/>
              <w:right w:w="-1" w:type="dxa"/>
            </w:tcMar>
            <w:vAlign w:val="center"/>
          </w:tcPr>
          <w:p w14:paraId="3D9A103F"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35(58.33) </w:t>
            </w:r>
          </w:p>
        </w:tc>
        <w:tc>
          <w:tcPr>
            <w:tcW w:w="725" w:type="pct"/>
            <w:tcBorders>
              <w:bottom w:val="single" w:sz="4" w:space="0" w:color="auto"/>
            </w:tcBorders>
            <w:tcMar>
              <w:top w:w="-1" w:type="dxa"/>
              <w:left w:w="-1" w:type="dxa"/>
              <w:bottom w:w="-1" w:type="dxa"/>
              <w:right w:w="-1" w:type="dxa"/>
            </w:tcMar>
            <w:vAlign w:val="center"/>
          </w:tcPr>
          <w:p w14:paraId="5A6E2716" w14:textId="77777777" w:rsidR="00D83FF6" w:rsidRDefault="00D83FF6">
            <w:pPr>
              <w:pStyle w:val="NormalWeb"/>
              <w:keepNext/>
              <w:widowControl/>
              <w:shd w:val="clear" w:color="auto" w:fill="FFFFFF"/>
              <w:snapToGrid w:val="0"/>
              <w:ind w:firstLineChars="0" w:firstLine="0"/>
              <w:jc w:val="center"/>
              <w:rPr>
                <w:rFonts w:eastAsia="Segoe UI"/>
              </w:rPr>
            </w:pPr>
            <w:r>
              <w:rPr>
                <w:rFonts w:eastAsia="Segoe UI"/>
                <w:color w:val="0F1115"/>
                <w:shd w:val="clear" w:color="auto" w:fill="FFFFFF"/>
              </w:rPr>
              <w:t xml:space="preserve">38(63.33) </w:t>
            </w:r>
          </w:p>
        </w:tc>
        <w:tc>
          <w:tcPr>
            <w:tcW w:w="463" w:type="pct"/>
            <w:vMerge/>
            <w:tcBorders>
              <w:bottom w:val="single" w:sz="4" w:space="0" w:color="auto"/>
            </w:tcBorders>
            <w:tcMar>
              <w:top w:w="-1" w:type="dxa"/>
              <w:left w:w="-1" w:type="dxa"/>
              <w:bottom w:w="-1" w:type="dxa"/>
              <w:right w:w="-1" w:type="dxa"/>
            </w:tcMar>
            <w:vAlign w:val="center"/>
          </w:tcPr>
          <w:p w14:paraId="4EDE6DE7" w14:textId="77777777" w:rsidR="00D83FF6" w:rsidRDefault="00D83FF6">
            <w:pPr>
              <w:pStyle w:val="NormalWeb"/>
              <w:keepNext/>
              <w:widowControl/>
              <w:shd w:val="clear" w:color="auto" w:fill="FFFFFF"/>
              <w:snapToGrid w:val="0"/>
              <w:ind w:firstLineChars="0" w:firstLine="0"/>
              <w:jc w:val="center"/>
              <w:rPr>
                <w:rFonts w:eastAsia="Segoe UI"/>
              </w:rPr>
            </w:pPr>
          </w:p>
        </w:tc>
        <w:tc>
          <w:tcPr>
            <w:tcW w:w="378" w:type="pct"/>
            <w:vMerge/>
            <w:tcBorders>
              <w:bottom w:val="single" w:sz="4" w:space="0" w:color="auto"/>
            </w:tcBorders>
            <w:tcMar>
              <w:top w:w="-1" w:type="dxa"/>
              <w:left w:w="-1" w:type="dxa"/>
              <w:bottom w:w="-1" w:type="dxa"/>
              <w:right w:w="-1" w:type="dxa"/>
            </w:tcMar>
            <w:vAlign w:val="center"/>
          </w:tcPr>
          <w:p w14:paraId="462B1ADF" w14:textId="77777777" w:rsidR="00D83FF6" w:rsidRDefault="00D83FF6">
            <w:pPr>
              <w:pStyle w:val="NormalWeb"/>
              <w:keepNext/>
              <w:widowControl/>
              <w:shd w:val="clear" w:color="auto" w:fill="FFFFFF"/>
              <w:snapToGrid w:val="0"/>
              <w:ind w:firstLineChars="0" w:firstLine="0"/>
              <w:jc w:val="center"/>
              <w:rPr>
                <w:rFonts w:eastAsia="Segoe UI"/>
              </w:rPr>
            </w:pPr>
          </w:p>
        </w:tc>
      </w:tr>
    </w:tbl>
    <w:p w14:paraId="2AE3C66F" w14:textId="0EA5EDB1"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Note: a represents χ² value, b represents </w:t>
      </w:r>
      <w:r w:rsidRPr="00D83FF6">
        <w:rPr>
          <w:rFonts w:eastAsia="Segoe UI"/>
          <w:i/>
          <w:iCs/>
          <w:color w:val="0F1115"/>
          <w:shd w:val="clear" w:color="auto" w:fill="FFFFFF"/>
        </w:rPr>
        <w:t>Z</w:t>
      </w:r>
      <w:r>
        <w:rPr>
          <w:rFonts w:eastAsia="Segoe UI"/>
          <w:color w:val="0F1115"/>
          <w:shd w:val="clear" w:color="auto" w:fill="FFFFFF"/>
        </w:rPr>
        <w:t xml:space="preserve"> value. * </w:t>
      </w:r>
      <w:r>
        <w:rPr>
          <w:rFonts w:eastAsia="Segoe UI"/>
          <w:i/>
          <w:iCs/>
          <w:color w:val="0F1115"/>
          <w:shd w:val="clear" w:color="auto" w:fill="FFFFFF"/>
        </w:rPr>
        <w:t>p</w:t>
      </w:r>
      <w:r w:rsidR="00D83FF6">
        <w:rPr>
          <w:rFonts w:eastAsia="Segoe UI"/>
          <w:i/>
          <w:iCs/>
          <w:color w:val="0F1115"/>
          <w:shd w:val="clear" w:color="auto" w:fill="FFFFFF"/>
        </w:rPr>
        <w:t xml:space="preserve"> </w:t>
      </w:r>
      <w:r>
        <w:rPr>
          <w:rFonts w:eastAsia="Segoe UI"/>
          <w:color w:val="0F1115"/>
          <w:shd w:val="clear" w:color="auto" w:fill="FFFFFF"/>
        </w:rPr>
        <w:t>&lt;</w:t>
      </w:r>
      <w:r w:rsidR="00D83FF6">
        <w:rPr>
          <w:rFonts w:eastAsia="Segoe UI"/>
          <w:color w:val="0F1115"/>
          <w:shd w:val="clear" w:color="auto" w:fill="FFFFFF"/>
        </w:rPr>
        <w:t xml:space="preserve"> </w:t>
      </w:r>
      <w:r>
        <w:rPr>
          <w:rFonts w:eastAsia="Segoe UI"/>
          <w:color w:val="0F1115"/>
          <w:shd w:val="clear" w:color="auto" w:fill="FFFFFF"/>
        </w:rPr>
        <w:t xml:space="preserve">0.05, ** </w:t>
      </w:r>
      <w:r>
        <w:rPr>
          <w:rFonts w:eastAsia="Segoe UI"/>
          <w:i/>
          <w:iCs/>
          <w:color w:val="0F1115"/>
          <w:shd w:val="clear" w:color="auto" w:fill="FFFFFF"/>
        </w:rPr>
        <w:t>p</w:t>
      </w:r>
      <w:r w:rsidR="00D83FF6">
        <w:rPr>
          <w:rFonts w:eastAsia="Segoe UI"/>
          <w:i/>
          <w:iCs/>
          <w:color w:val="0F1115"/>
          <w:shd w:val="clear" w:color="auto" w:fill="FFFFFF"/>
        </w:rPr>
        <w:t xml:space="preserve"> </w:t>
      </w:r>
      <w:r>
        <w:rPr>
          <w:rFonts w:eastAsia="Segoe UI"/>
          <w:color w:val="0F1115"/>
          <w:shd w:val="clear" w:color="auto" w:fill="FFFFFF"/>
        </w:rPr>
        <w:t>&lt;</w:t>
      </w:r>
      <w:r w:rsidR="00D83FF6">
        <w:rPr>
          <w:rFonts w:eastAsia="Segoe UI"/>
          <w:color w:val="0F1115"/>
          <w:shd w:val="clear" w:color="auto" w:fill="FFFFFF"/>
        </w:rPr>
        <w:t xml:space="preserve"> </w:t>
      </w:r>
      <w:r>
        <w:rPr>
          <w:rFonts w:eastAsia="Segoe UI"/>
          <w:color w:val="0F1115"/>
          <w:shd w:val="clear" w:color="auto" w:fill="FFFFFF"/>
        </w:rPr>
        <w:t>0.01.</w:t>
      </w:r>
    </w:p>
    <w:p w14:paraId="7F406AC2" w14:textId="77777777" w:rsidR="00605785" w:rsidRDefault="00605785">
      <w:pPr>
        <w:widowControl w:val="0"/>
        <w:snapToGrid w:val="0"/>
        <w:ind w:firstLineChars="0" w:firstLine="0"/>
        <w:rPr>
          <w:rFonts w:eastAsia="Segoe UI"/>
          <w:color w:val="0F1115"/>
          <w:shd w:val="clear" w:color="auto" w:fill="FFFFFF"/>
        </w:rPr>
      </w:pPr>
    </w:p>
    <w:p w14:paraId="654C9DE5" w14:textId="77777777" w:rsidR="00605785" w:rsidRDefault="00000000">
      <w:pPr>
        <w:widowControl w:val="0"/>
        <w:snapToGrid w:val="0"/>
        <w:ind w:firstLineChars="0" w:firstLine="0"/>
        <w:rPr>
          <w:rFonts w:eastAsia="Segoe UI"/>
          <w:color w:val="0F1115"/>
          <w:shd w:val="clear" w:color="auto" w:fill="FFFFFF"/>
        </w:rPr>
      </w:pPr>
      <w:r>
        <w:rPr>
          <w:rFonts w:eastAsia="Segoe UI"/>
          <w:b/>
          <w:bCs/>
          <w:color w:val="0F1115"/>
          <w:shd w:val="clear" w:color="auto" w:fill="FFFFFF"/>
        </w:rPr>
        <w:lastRenderedPageBreak/>
        <w:t>3.3</w:t>
      </w:r>
      <w:r>
        <w:rPr>
          <w:rFonts w:hint="eastAsia"/>
          <w:b/>
          <w:bCs/>
          <w:color w:val="0F1115"/>
          <w:shd w:val="clear" w:color="auto" w:fill="FFFFFF"/>
        </w:rPr>
        <w:t>.</w:t>
      </w:r>
      <w:r>
        <w:rPr>
          <w:rFonts w:eastAsia="Segoe UI"/>
          <w:b/>
          <w:bCs/>
          <w:color w:val="0F1115"/>
          <w:shd w:val="clear" w:color="auto" w:fill="FFFFFF"/>
        </w:rPr>
        <w:t xml:space="preserve"> AVF-</w:t>
      </w:r>
      <w:r>
        <w:rPr>
          <w:rFonts w:hint="eastAsia"/>
          <w:b/>
          <w:bCs/>
          <w:color w:val="0F1115"/>
          <w:shd w:val="clear" w:color="auto" w:fill="FFFFFF"/>
        </w:rPr>
        <w:t>r</w:t>
      </w:r>
      <w:r>
        <w:rPr>
          <w:rFonts w:eastAsia="Segoe UI"/>
          <w:b/>
          <w:bCs/>
          <w:color w:val="0F1115"/>
          <w:shd w:val="clear" w:color="auto" w:fill="FFFFFF"/>
        </w:rPr>
        <w:t xml:space="preserve">elated </w:t>
      </w:r>
      <w:r>
        <w:rPr>
          <w:rFonts w:hint="eastAsia"/>
          <w:b/>
          <w:bCs/>
          <w:color w:val="0F1115"/>
          <w:shd w:val="clear" w:color="auto" w:fill="FFFFFF"/>
        </w:rPr>
        <w:t>a</w:t>
      </w:r>
      <w:r>
        <w:rPr>
          <w:rFonts w:eastAsia="Segoe UI"/>
          <w:b/>
          <w:bCs/>
          <w:color w:val="0F1115"/>
          <w:shd w:val="clear" w:color="auto" w:fill="FFFFFF"/>
        </w:rPr>
        <w:t>bnormalities</w:t>
      </w:r>
    </w:p>
    <w:p w14:paraId="47523920" w14:textId="2E633CDA"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During the intervention period, the intervention group recorded 3 cases of AVF-related abnormalities, while the control group recorded 21 cases; the overall incidence in the intervention group was lower (</w:t>
      </w:r>
      <w:r w:rsidR="00D83FF6">
        <w:rPr>
          <w:rFonts w:eastAsia="Segoe UI"/>
          <w:i/>
          <w:iCs/>
          <w:color w:val="0F1115"/>
          <w:shd w:val="clear" w:color="auto" w:fill="FFFFFF"/>
        </w:rPr>
        <w:t xml:space="preserve">p </w:t>
      </w:r>
      <w:r>
        <w:rPr>
          <w:rFonts w:eastAsia="Segoe UI"/>
          <w:color w:val="0F1115"/>
          <w:shd w:val="clear" w:color="auto" w:fill="FFFFFF"/>
        </w:rPr>
        <w:t>=</w:t>
      </w:r>
      <w:r w:rsidR="00D83FF6">
        <w:rPr>
          <w:rFonts w:eastAsia="Segoe UI"/>
          <w:color w:val="0F1115"/>
          <w:shd w:val="clear" w:color="auto" w:fill="FFFFFF"/>
        </w:rPr>
        <w:t xml:space="preserve"> </w:t>
      </w:r>
      <w:r>
        <w:rPr>
          <w:rFonts w:eastAsia="Segoe UI"/>
          <w:color w:val="0F1115"/>
          <w:shd w:val="clear" w:color="auto" w:fill="FFFFFF"/>
        </w:rPr>
        <w:t xml:space="preserve">0.004). The descriptive distribution of various events is shown in </w:t>
      </w:r>
      <w:r>
        <w:rPr>
          <w:rFonts w:eastAsia="Segoe UI"/>
          <w:b/>
          <w:bCs/>
          <w:color w:val="0F1115"/>
          <w:shd w:val="clear" w:color="auto" w:fill="FFFFFF"/>
        </w:rPr>
        <w:t>Table 3</w:t>
      </w:r>
      <w:r>
        <w:rPr>
          <w:rFonts w:eastAsia="Segoe UI"/>
          <w:color w:val="0F1115"/>
          <w:shd w:val="clear" w:color="auto" w:fill="FFFFFF"/>
        </w:rPr>
        <w:t>.</w:t>
      </w:r>
    </w:p>
    <w:p w14:paraId="38665FC9" w14:textId="77777777" w:rsidR="00605785" w:rsidRDefault="00605785">
      <w:pPr>
        <w:widowControl w:val="0"/>
        <w:snapToGrid w:val="0"/>
        <w:ind w:firstLineChars="0" w:firstLine="0"/>
        <w:rPr>
          <w:rFonts w:eastAsia="Segoe UI"/>
          <w:color w:val="0F1115"/>
          <w:shd w:val="clear" w:color="auto" w:fill="FFFFFF"/>
        </w:rPr>
      </w:pPr>
    </w:p>
    <w:p w14:paraId="69749A29" w14:textId="394B02B8" w:rsidR="00D83FF6" w:rsidRDefault="00D83FF6">
      <w:pPr>
        <w:widowControl w:val="0"/>
        <w:snapToGrid w:val="0"/>
        <w:ind w:firstLineChars="0" w:firstLine="0"/>
        <w:rPr>
          <w:rFonts w:eastAsia="Segoe UI"/>
          <w:color w:val="0F1115"/>
          <w:shd w:val="clear" w:color="auto" w:fill="FFFFFF"/>
        </w:rPr>
      </w:pPr>
      <w:r>
        <w:rPr>
          <w:rFonts w:eastAsia="Segoe UI"/>
          <w:b/>
          <w:bCs/>
          <w:color w:val="0F1115"/>
          <w:shd w:val="clear" w:color="auto" w:fill="FFFFFF"/>
        </w:rPr>
        <w:t>Table 3</w:t>
      </w:r>
      <w:r>
        <w:rPr>
          <w:b/>
          <w:bCs/>
          <w:color w:val="0F1115"/>
          <w:shd w:val="clear" w:color="auto" w:fill="FFFFFF"/>
        </w:rPr>
        <w:t>.</w:t>
      </w:r>
      <w:r>
        <w:rPr>
          <w:rFonts w:eastAsia="Segoe UI"/>
          <w:b/>
          <w:bCs/>
          <w:color w:val="0F1115"/>
          <w:shd w:val="clear" w:color="auto" w:fill="FFFFFF"/>
        </w:rPr>
        <w:t xml:space="preserve"> </w:t>
      </w:r>
      <w:r>
        <w:rPr>
          <w:rFonts w:eastAsia="Segoe UI"/>
          <w:color w:val="0F1115"/>
          <w:shd w:val="clear" w:color="auto" w:fill="FFFFFF"/>
        </w:rPr>
        <w:t>AVF-</w:t>
      </w:r>
      <w:r>
        <w:rPr>
          <w:rFonts w:hint="eastAsia"/>
          <w:color w:val="0F1115"/>
          <w:shd w:val="clear" w:color="auto" w:fill="FFFFFF"/>
        </w:rPr>
        <w:t>r</w:t>
      </w:r>
      <w:r>
        <w:rPr>
          <w:rFonts w:eastAsia="Segoe UI"/>
          <w:color w:val="0F1115"/>
          <w:shd w:val="clear" w:color="auto" w:fill="FFFFFF"/>
        </w:rPr>
        <w:t xml:space="preserve">elated </w:t>
      </w:r>
      <w:r>
        <w:rPr>
          <w:rFonts w:hint="eastAsia"/>
          <w:color w:val="0F1115"/>
          <w:shd w:val="clear" w:color="auto" w:fill="FFFFFF"/>
        </w:rPr>
        <w:t>a</w:t>
      </w:r>
      <w:r>
        <w:rPr>
          <w:rFonts w:eastAsia="Segoe UI"/>
          <w:color w:val="0F1115"/>
          <w:shd w:val="clear" w:color="auto" w:fill="FFFFFF"/>
        </w:rPr>
        <w:t xml:space="preserve">bnormal </w:t>
      </w:r>
      <w:r>
        <w:rPr>
          <w:rFonts w:hint="eastAsia"/>
          <w:color w:val="0F1115"/>
          <w:shd w:val="clear" w:color="auto" w:fill="FFFFFF"/>
        </w:rPr>
        <w:t>e</w:t>
      </w:r>
      <w:r>
        <w:rPr>
          <w:rFonts w:eastAsia="Segoe UI"/>
          <w:color w:val="0F1115"/>
          <w:shd w:val="clear" w:color="auto" w:fill="FFFFFF"/>
        </w:rPr>
        <w:t xml:space="preserve">vents in </w:t>
      </w:r>
      <w:r>
        <w:rPr>
          <w:rFonts w:hint="eastAsia"/>
          <w:color w:val="0F1115"/>
          <w:shd w:val="clear" w:color="auto" w:fill="FFFFFF"/>
        </w:rPr>
        <w:t>b</w:t>
      </w:r>
      <w:r>
        <w:rPr>
          <w:rFonts w:eastAsia="Segoe UI"/>
          <w:color w:val="0F1115"/>
          <w:shd w:val="clear" w:color="auto" w:fill="FFFFFF"/>
        </w:rPr>
        <w:t xml:space="preserve">oth </w:t>
      </w:r>
      <w:r>
        <w:rPr>
          <w:rFonts w:hint="eastAsia"/>
          <w:color w:val="0F1115"/>
          <w:shd w:val="clear" w:color="auto" w:fill="FFFFFF"/>
        </w:rPr>
        <w:t>g</w:t>
      </w:r>
      <w:r>
        <w:rPr>
          <w:rFonts w:eastAsia="Segoe UI"/>
          <w:color w:val="0F1115"/>
          <w:shd w:val="clear" w:color="auto" w:fill="FFFFFF"/>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1150"/>
        <w:gridCol w:w="1110"/>
        <w:gridCol w:w="1375"/>
        <w:gridCol w:w="1043"/>
        <w:gridCol w:w="1491"/>
        <w:gridCol w:w="1136"/>
      </w:tblGrid>
      <w:tr w:rsidR="00D83FF6" w14:paraId="326424B7" w14:textId="77777777" w:rsidTr="00D83FF6">
        <w:tc>
          <w:tcPr>
            <w:tcW w:w="2518" w:type="dxa"/>
            <w:tcBorders>
              <w:top w:val="single" w:sz="4" w:space="0" w:color="auto"/>
              <w:bottom w:val="single" w:sz="4" w:space="0" w:color="auto"/>
            </w:tcBorders>
            <w:vAlign w:val="center"/>
          </w:tcPr>
          <w:p w14:paraId="407CC279" w14:textId="0CEAD8F1" w:rsidR="00D83FF6" w:rsidRDefault="00D83FF6" w:rsidP="00C81733">
            <w:pPr>
              <w:snapToGrid w:val="0"/>
              <w:ind w:firstLineChars="0" w:firstLine="0"/>
              <w:jc w:val="left"/>
              <w:rPr>
                <w:rFonts w:eastAsia="Segoe UI"/>
                <w:color w:val="0F1115"/>
                <w:shd w:val="clear" w:color="auto" w:fill="FFFFFF"/>
              </w:rPr>
            </w:pPr>
            <w:r>
              <w:rPr>
                <w:rFonts w:eastAsia="Segoe UI"/>
                <w:b/>
                <w:bCs/>
                <w:color w:val="0F1115"/>
                <w:shd w:val="clear" w:color="auto" w:fill="FFFFFF"/>
              </w:rPr>
              <w:t>Category</w:t>
            </w:r>
          </w:p>
        </w:tc>
        <w:tc>
          <w:tcPr>
            <w:tcW w:w="1166" w:type="dxa"/>
            <w:tcBorders>
              <w:top w:val="single" w:sz="4" w:space="0" w:color="auto"/>
              <w:bottom w:val="single" w:sz="4" w:space="0" w:color="auto"/>
            </w:tcBorders>
            <w:vAlign w:val="center"/>
          </w:tcPr>
          <w:p w14:paraId="0D3D641E"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Number of cases</w:t>
            </w:r>
          </w:p>
        </w:tc>
        <w:tc>
          <w:tcPr>
            <w:tcW w:w="1110" w:type="dxa"/>
            <w:tcBorders>
              <w:top w:val="single" w:sz="4" w:space="0" w:color="auto"/>
              <w:bottom w:val="single" w:sz="4" w:space="0" w:color="auto"/>
            </w:tcBorders>
            <w:vAlign w:val="center"/>
          </w:tcPr>
          <w:p w14:paraId="0736834E"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Bleeding</w:t>
            </w:r>
          </w:p>
        </w:tc>
        <w:tc>
          <w:tcPr>
            <w:tcW w:w="1380" w:type="dxa"/>
            <w:tcBorders>
              <w:top w:val="single" w:sz="4" w:space="0" w:color="auto"/>
              <w:bottom w:val="single" w:sz="4" w:space="0" w:color="auto"/>
            </w:tcBorders>
            <w:vAlign w:val="center"/>
          </w:tcPr>
          <w:p w14:paraId="515807D9"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Hematoma</w:t>
            </w:r>
          </w:p>
        </w:tc>
        <w:tc>
          <w:tcPr>
            <w:tcW w:w="1043" w:type="dxa"/>
            <w:tcBorders>
              <w:top w:val="single" w:sz="4" w:space="0" w:color="auto"/>
              <w:bottom w:val="single" w:sz="4" w:space="0" w:color="auto"/>
            </w:tcBorders>
            <w:vAlign w:val="center"/>
          </w:tcPr>
          <w:p w14:paraId="3931F8BB"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Stenosis</w:t>
            </w:r>
          </w:p>
        </w:tc>
        <w:tc>
          <w:tcPr>
            <w:tcW w:w="1501" w:type="dxa"/>
            <w:tcBorders>
              <w:top w:val="single" w:sz="4" w:space="0" w:color="auto"/>
              <w:bottom w:val="single" w:sz="4" w:space="0" w:color="auto"/>
            </w:tcBorders>
            <w:vAlign w:val="center"/>
          </w:tcPr>
          <w:p w14:paraId="4D200329"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Thrombosis</w:t>
            </w:r>
          </w:p>
        </w:tc>
        <w:tc>
          <w:tcPr>
            <w:tcW w:w="1136" w:type="dxa"/>
            <w:tcBorders>
              <w:top w:val="single" w:sz="4" w:space="0" w:color="auto"/>
              <w:bottom w:val="single" w:sz="4" w:space="0" w:color="auto"/>
            </w:tcBorders>
            <w:vAlign w:val="center"/>
          </w:tcPr>
          <w:p w14:paraId="602624F1" w14:textId="77777777" w:rsidR="00D83FF6" w:rsidRDefault="00D83FF6" w:rsidP="00C81733">
            <w:pPr>
              <w:snapToGrid w:val="0"/>
              <w:ind w:firstLineChars="0" w:firstLine="0"/>
              <w:jc w:val="center"/>
              <w:rPr>
                <w:rFonts w:eastAsia="Segoe UI"/>
                <w:color w:val="0F1115"/>
                <w:shd w:val="clear" w:color="auto" w:fill="FFFFFF"/>
              </w:rPr>
            </w:pPr>
            <w:r>
              <w:rPr>
                <w:rFonts w:eastAsia="Segoe UI"/>
                <w:b/>
                <w:bCs/>
                <w:color w:val="0F1115"/>
                <w:shd w:val="clear" w:color="auto" w:fill="FFFFFF"/>
              </w:rPr>
              <w:t>Infection</w:t>
            </w:r>
          </w:p>
        </w:tc>
      </w:tr>
      <w:tr w:rsidR="00D83FF6" w14:paraId="44FDB622" w14:textId="77777777" w:rsidTr="00D83FF6">
        <w:tc>
          <w:tcPr>
            <w:tcW w:w="2518" w:type="dxa"/>
            <w:tcBorders>
              <w:top w:val="single" w:sz="4" w:space="0" w:color="auto"/>
            </w:tcBorders>
            <w:vAlign w:val="center"/>
          </w:tcPr>
          <w:p w14:paraId="46E1614A" w14:textId="77777777" w:rsidR="00D83FF6" w:rsidRDefault="00D83FF6" w:rsidP="00C81733">
            <w:pPr>
              <w:snapToGrid w:val="0"/>
              <w:ind w:firstLineChars="0" w:firstLine="0"/>
              <w:jc w:val="left"/>
              <w:rPr>
                <w:rFonts w:eastAsia="Segoe UI"/>
                <w:color w:val="0F1115"/>
                <w:shd w:val="clear" w:color="auto" w:fill="FFFFFF"/>
              </w:rPr>
            </w:pPr>
            <w:r>
              <w:rPr>
                <w:rFonts w:eastAsia="Segoe UI"/>
                <w:color w:val="0F1115"/>
                <w:shd w:val="clear" w:color="auto" w:fill="FFFFFF"/>
              </w:rPr>
              <w:t>Intervention group (60)</w:t>
            </w:r>
          </w:p>
        </w:tc>
        <w:tc>
          <w:tcPr>
            <w:tcW w:w="1166" w:type="dxa"/>
            <w:tcBorders>
              <w:top w:val="single" w:sz="4" w:space="0" w:color="auto"/>
            </w:tcBorders>
            <w:vAlign w:val="center"/>
          </w:tcPr>
          <w:p w14:paraId="4F5E216F"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3</w:t>
            </w:r>
          </w:p>
        </w:tc>
        <w:tc>
          <w:tcPr>
            <w:tcW w:w="1110" w:type="dxa"/>
            <w:tcBorders>
              <w:top w:val="single" w:sz="4" w:space="0" w:color="auto"/>
            </w:tcBorders>
            <w:vAlign w:val="center"/>
          </w:tcPr>
          <w:p w14:paraId="69357916"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1 (1.67)</w:t>
            </w:r>
          </w:p>
        </w:tc>
        <w:tc>
          <w:tcPr>
            <w:tcW w:w="1380" w:type="dxa"/>
            <w:tcBorders>
              <w:top w:val="single" w:sz="4" w:space="0" w:color="auto"/>
            </w:tcBorders>
            <w:vAlign w:val="center"/>
          </w:tcPr>
          <w:p w14:paraId="4373320F"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1 (1.67)</w:t>
            </w:r>
          </w:p>
        </w:tc>
        <w:tc>
          <w:tcPr>
            <w:tcW w:w="1043" w:type="dxa"/>
            <w:tcBorders>
              <w:top w:val="single" w:sz="4" w:space="0" w:color="auto"/>
            </w:tcBorders>
            <w:vAlign w:val="center"/>
          </w:tcPr>
          <w:p w14:paraId="355446F6"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0 (0.00)</w:t>
            </w:r>
          </w:p>
        </w:tc>
        <w:tc>
          <w:tcPr>
            <w:tcW w:w="1501" w:type="dxa"/>
            <w:tcBorders>
              <w:top w:val="single" w:sz="4" w:space="0" w:color="auto"/>
            </w:tcBorders>
            <w:vAlign w:val="center"/>
          </w:tcPr>
          <w:p w14:paraId="7D331937"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1 (1.67)</w:t>
            </w:r>
          </w:p>
        </w:tc>
        <w:tc>
          <w:tcPr>
            <w:tcW w:w="1136" w:type="dxa"/>
            <w:tcBorders>
              <w:top w:val="single" w:sz="4" w:space="0" w:color="auto"/>
            </w:tcBorders>
            <w:vAlign w:val="center"/>
          </w:tcPr>
          <w:p w14:paraId="2C5B489F"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0 (0.00)</w:t>
            </w:r>
          </w:p>
        </w:tc>
      </w:tr>
      <w:tr w:rsidR="00D83FF6" w14:paraId="6E09072F" w14:textId="77777777" w:rsidTr="00D83FF6">
        <w:tc>
          <w:tcPr>
            <w:tcW w:w="2518" w:type="dxa"/>
            <w:vAlign w:val="center"/>
          </w:tcPr>
          <w:p w14:paraId="5440FCEF" w14:textId="77777777" w:rsidR="00D83FF6" w:rsidRDefault="00D83FF6" w:rsidP="00C81733">
            <w:pPr>
              <w:snapToGrid w:val="0"/>
              <w:ind w:firstLineChars="0" w:firstLine="0"/>
              <w:jc w:val="left"/>
              <w:rPr>
                <w:rFonts w:eastAsia="Segoe UI"/>
                <w:color w:val="0F1115"/>
                <w:shd w:val="clear" w:color="auto" w:fill="FFFFFF"/>
              </w:rPr>
            </w:pPr>
            <w:r>
              <w:rPr>
                <w:rFonts w:eastAsia="Segoe UI"/>
                <w:color w:val="0F1115"/>
                <w:shd w:val="clear" w:color="auto" w:fill="FFFFFF"/>
              </w:rPr>
              <w:t>Control group (60)</w:t>
            </w:r>
          </w:p>
        </w:tc>
        <w:tc>
          <w:tcPr>
            <w:tcW w:w="1166" w:type="dxa"/>
            <w:vAlign w:val="center"/>
          </w:tcPr>
          <w:p w14:paraId="5C343AB5"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21</w:t>
            </w:r>
          </w:p>
        </w:tc>
        <w:tc>
          <w:tcPr>
            <w:tcW w:w="1110" w:type="dxa"/>
            <w:vAlign w:val="center"/>
          </w:tcPr>
          <w:p w14:paraId="5ABD2272"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4 (6.67)</w:t>
            </w:r>
          </w:p>
        </w:tc>
        <w:tc>
          <w:tcPr>
            <w:tcW w:w="1380" w:type="dxa"/>
            <w:vAlign w:val="center"/>
          </w:tcPr>
          <w:p w14:paraId="24DF5073"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6 (10.00)</w:t>
            </w:r>
          </w:p>
        </w:tc>
        <w:tc>
          <w:tcPr>
            <w:tcW w:w="1043" w:type="dxa"/>
            <w:vAlign w:val="center"/>
          </w:tcPr>
          <w:p w14:paraId="261E07DF"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2 (3.33)</w:t>
            </w:r>
          </w:p>
        </w:tc>
        <w:tc>
          <w:tcPr>
            <w:tcW w:w="1501" w:type="dxa"/>
            <w:vAlign w:val="center"/>
          </w:tcPr>
          <w:p w14:paraId="6920C369"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5 (8.33)</w:t>
            </w:r>
          </w:p>
        </w:tc>
        <w:tc>
          <w:tcPr>
            <w:tcW w:w="1136" w:type="dxa"/>
            <w:vAlign w:val="center"/>
          </w:tcPr>
          <w:p w14:paraId="28F58556"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4 (6.67)</w:t>
            </w:r>
          </w:p>
        </w:tc>
      </w:tr>
      <w:tr w:rsidR="00D83FF6" w14:paraId="7742D72B" w14:textId="77777777" w:rsidTr="00D83FF6">
        <w:tc>
          <w:tcPr>
            <w:tcW w:w="2518" w:type="dxa"/>
            <w:vAlign w:val="center"/>
          </w:tcPr>
          <w:p w14:paraId="6B659932" w14:textId="77777777" w:rsidR="00D83FF6" w:rsidRPr="00D83FF6" w:rsidRDefault="00D83FF6" w:rsidP="00C81733">
            <w:pPr>
              <w:snapToGrid w:val="0"/>
              <w:ind w:firstLineChars="0" w:firstLine="0"/>
              <w:jc w:val="left"/>
              <w:rPr>
                <w:rFonts w:eastAsia="Segoe UI"/>
                <w:color w:val="0F1115"/>
                <w:shd w:val="clear" w:color="auto" w:fill="FFFFFF"/>
                <w:vertAlign w:val="superscript"/>
              </w:rPr>
            </w:pPr>
            <w:r>
              <w:rPr>
                <w:rFonts w:eastAsia="Segoe UI"/>
                <w:color w:val="0F1115"/>
                <w:shd w:val="clear" w:color="auto" w:fill="FFFFFF"/>
              </w:rPr>
              <w:t>χ</w:t>
            </w:r>
            <w:r>
              <w:rPr>
                <w:rFonts w:eastAsia="Segoe UI"/>
                <w:color w:val="0F1115"/>
                <w:shd w:val="clear" w:color="auto" w:fill="FFFFFF"/>
                <w:vertAlign w:val="superscript"/>
              </w:rPr>
              <w:t>2</w:t>
            </w:r>
          </w:p>
        </w:tc>
        <w:tc>
          <w:tcPr>
            <w:tcW w:w="7336" w:type="dxa"/>
            <w:gridSpan w:val="6"/>
            <w:vAlign w:val="center"/>
          </w:tcPr>
          <w:p w14:paraId="33B30E92"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17.413</w:t>
            </w:r>
          </w:p>
        </w:tc>
      </w:tr>
      <w:tr w:rsidR="00D83FF6" w14:paraId="282E28C5" w14:textId="77777777" w:rsidTr="00D83FF6">
        <w:tc>
          <w:tcPr>
            <w:tcW w:w="2518" w:type="dxa"/>
            <w:tcBorders>
              <w:bottom w:val="single" w:sz="4" w:space="0" w:color="auto"/>
            </w:tcBorders>
            <w:vAlign w:val="center"/>
          </w:tcPr>
          <w:p w14:paraId="5A458E8C" w14:textId="77777777" w:rsidR="00D83FF6" w:rsidRPr="00D83FF6" w:rsidRDefault="00D83FF6" w:rsidP="00C81733">
            <w:pPr>
              <w:snapToGrid w:val="0"/>
              <w:ind w:firstLineChars="0" w:firstLine="0"/>
              <w:jc w:val="left"/>
              <w:rPr>
                <w:rFonts w:eastAsia="Segoe UI"/>
                <w:i/>
                <w:iCs/>
                <w:color w:val="0F1115"/>
                <w:shd w:val="clear" w:color="auto" w:fill="FFFFFF"/>
              </w:rPr>
            </w:pPr>
            <w:r w:rsidRPr="00D83FF6">
              <w:rPr>
                <w:rFonts w:eastAsia="Segoe UI"/>
                <w:i/>
                <w:iCs/>
                <w:color w:val="0F1115"/>
                <w:shd w:val="clear" w:color="auto" w:fill="FFFFFF"/>
              </w:rPr>
              <w:t>p</w:t>
            </w:r>
          </w:p>
        </w:tc>
        <w:tc>
          <w:tcPr>
            <w:tcW w:w="7336" w:type="dxa"/>
            <w:gridSpan w:val="6"/>
            <w:tcBorders>
              <w:bottom w:val="single" w:sz="4" w:space="0" w:color="auto"/>
            </w:tcBorders>
            <w:vAlign w:val="center"/>
          </w:tcPr>
          <w:p w14:paraId="397A6980" w14:textId="77777777" w:rsidR="00D83FF6" w:rsidRDefault="00D83FF6" w:rsidP="00C81733">
            <w:pPr>
              <w:snapToGrid w:val="0"/>
              <w:ind w:firstLineChars="0" w:firstLine="0"/>
              <w:jc w:val="center"/>
              <w:rPr>
                <w:rFonts w:eastAsia="Segoe UI"/>
                <w:color w:val="0F1115"/>
                <w:shd w:val="clear" w:color="auto" w:fill="FFFFFF"/>
              </w:rPr>
            </w:pPr>
            <w:r>
              <w:rPr>
                <w:rFonts w:eastAsia="Segoe UI"/>
                <w:color w:val="0F1115"/>
                <w:shd w:val="clear" w:color="auto" w:fill="FFFFFF"/>
              </w:rPr>
              <w:t>0.004</w:t>
            </w:r>
          </w:p>
        </w:tc>
      </w:tr>
    </w:tbl>
    <w:p w14:paraId="3B71E6CA" w14:textId="77777777" w:rsidR="00605785" w:rsidRDefault="00605785">
      <w:pPr>
        <w:widowControl w:val="0"/>
        <w:snapToGrid w:val="0"/>
        <w:ind w:firstLineChars="0" w:firstLine="0"/>
        <w:rPr>
          <w:rFonts w:eastAsia="Segoe UI"/>
          <w:color w:val="0F1115"/>
          <w:shd w:val="clear" w:color="auto" w:fill="FFFFFF"/>
        </w:rPr>
      </w:pPr>
    </w:p>
    <w:p w14:paraId="1BAF9F10"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3.4</w:t>
      </w:r>
      <w:r>
        <w:rPr>
          <w:rFonts w:hint="eastAsia"/>
          <w:b/>
          <w:bCs/>
          <w:color w:val="0F1115"/>
          <w:shd w:val="clear" w:color="auto" w:fill="FFFFFF"/>
        </w:rPr>
        <w:t>.</w:t>
      </w:r>
      <w:r>
        <w:rPr>
          <w:rFonts w:eastAsia="Segoe UI"/>
          <w:b/>
          <w:bCs/>
          <w:color w:val="0F1115"/>
          <w:shd w:val="clear" w:color="auto" w:fill="FFFFFF"/>
        </w:rPr>
        <w:t xml:space="preserve"> Self-</w:t>
      </w:r>
      <w:r>
        <w:rPr>
          <w:rFonts w:hint="eastAsia"/>
          <w:b/>
          <w:bCs/>
          <w:color w:val="0F1115"/>
          <w:shd w:val="clear" w:color="auto" w:fill="FFFFFF"/>
        </w:rPr>
        <w:t>m</w:t>
      </w:r>
      <w:r>
        <w:rPr>
          <w:rFonts w:eastAsia="Segoe UI"/>
          <w:b/>
          <w:bCs/>
          <w:color w:val="0F1115"/>
          <w:shd w:val="clear" w:color="auto" w:fill="FFFFFF"/>
        </w:rPr>
        <w:t xml:space="preserve">anagement, </w:t>
      </w:r>
      <w:r>
        <w:rPr>
          <w:rFonts w:hint="eastAsia"/>
          <w:b/>
          <w:bCs/>
          <w:color w:val="0F1115"/>
          <w:shd w:val="clear" w:color="auto" w:fill="FFFFFF"/>
        </w:rPr>
        <w:t>f</w:t>
      </w:r>
      <w:r>
        <w:rPr>
          <w:rFonts w:eastAsia="Segoe UI"/>
          <w:b/>
          <w:bCs/>
          <w:color w:val="0F1115"/>
          <w:shd w:val="clear" w:color="auto" w:fill="FFFFFF"/>
        </w:rPr>
        <w:t xml:space="preserve">amily </w:t>
      </w:r>
      <w:r>
        <w:rPr>
          <w:rFonts w:hint="eastAsia"/>
          <w:b/>
          <w:bCs/>
          <w:color w:val="0F1115"/>
          <w:shd w:val="clear" w:color="auto" w:fill="FFFFFF"/>
        </w:rPr>
        <w:t>c</w:t>
      </w:r>
      <w:r>
        <w:rPr>
          <w:rFonts w:eastAsia="Segoe UI"/>
          <w:b/>
          <w:bCs/>
          <w:color w:val="0F1115"/>
          <w:shd w:val="clear" w:color="auto" w:fill="FFFFFF"/>
        </w:rPr>
        <w:t xml:space="preserve">are, </w:t>
      </w:r>
      <w:r>
        <w:rPr>
          <w:rFonts w:hint="eastAsia"/>
          <w:b/>
          <w:bCs/>
          <w:color w:val="0F1115"/>
          <w:shd w:val="clear" w:color="auto" w:fill="FFFFFF"/>
        </w:rPr>
        <w:t>s</w:t>
      </w:r>
      <w:r>
        <w:rPr>
          <w:rFonts w:eastAsia="Segoe UI"/>
          <w:b/>
          <w:bCs/>
          <w:color w:val="0F1115"/>
          <w:shd w:val="clear" w:color="auto" w:fill="FFFFFF"/>
        </w:rPr>
        <w:t>elf-</w:t>
      </w:r>
      <w:r>
        <w:rPr>
          <w:rFonts w:hint="eastAsia"/>
          <w:b/>
          <w:bCs/>
          <w:color w:val="0F1115"/>
          <w:shd w:val="clear" w:color="auto" w:fill="FFFFFF"/>
        </w:rPr>
        <w:t>e</w:t>
      </w:r>
      <w:r>
        <w:rPr>
          <w:rFonts w:eastAsia="Segoe UI"/>
          <w:b/>
          <w:bCs/>
          <w:color w:val="0F1115"/>
          <w:shd w:val="clear" w:color="auto" w:fill="FFFFFF"/>
        </w:rPr>
        <w:t xml:space="preserve">fficacy, and </w:t>
      </w:r>
      <w:r>
        <w:rPr>
          <w:rFonts w:hint="eastAsia"/>
          <w:b/>
          <w:bCs/>
          <w:color w:val="0F1115"/>
          <w:shd w:val="clear" w:color="auto" w:fill="FFFFFF"/>
        </w:rPr>
        <w:t>q</w:t>
      </w:r>
      <w:r>
        <w:rPr>
          <w:rFonts w:eastAsia="Segoe UI"/>
          <w:b/>
          <w:bCs/>
          <w:color w:val="0F1115"/>
          <w:shd w:val="clear" w:color="auto" w:fill="FFFFFF"/>
        </w:rPr>
        <w:t xml:space="preserve">uality of </w:t>
      </w:r>
      <w:r>
        <w:rPr>
          <w:rFonts w:hint="eastAsia"/>
          <w:b/>
          <w:bCs/>
          <w:color w:val="0F1115"/>
          <w:shd w:val="clear" w:color="auto" w:fill="FFFFFF"/>
        </w:rPr>
        <w:t>l</w:t>
      </w:r>
      <w:r>
        <w:rPr>
          <w:rFonts w:eastAsia="Segoe UI"/>
          <w:b/>
          <w:bCs/>
          <w:color w:val="0F1115"/>
          <w:shd w:val="clear" w:color="auto" w:fill="FFFFFF"/>
        </w:rPr>
        <w:t>ife</w:t>
      </w:r>
    </w:p>
    <w:p w14:paraId="3B75EDD2" w14:textId="08CCA289"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At baseline, there were no statistically significant differences in scores on the various scales between the two groups. After 4, 8, and 12 weeks of intervention, the intervention group scored higher than the control group on all four measures (all </w:t>
      </w:r>
      <w:r w:rsidR="00D83FF6">
        <w:rPr>
          <w:rFonts w:eastAsia="Segoe UI"/>
          <w:i/>
          <w:iCs/>
          <w:color w:val="0F1115"/>
          <w:shd w:val="clear" w:color="auto" w:fill="FFFFFF"/>
        </w:rPr>
        <w:t>p</w:t>
      </w:r>
      <w:r>
        <w:rPr>
          <w:rFonts w:hint="eastAsia"/>
          <w:i/>
          <w:iCs/>
          <w:color w:val="0F1115"/>
          <w:shd w:val="clear" w:color="auto" w:fill="FFFFFF"/>
        </w:rPr>
        <w:t xml:space="preserve"> </w:t>
      </w:r>
      <w:r>
        <w:rPr>
          <w:rFonts w:eastAsia="Segoe UI"/>
          <w:color w:val="0F1115"/>
          <w:shd w:val="clear" w:color="auto" w:fill="FFFFFF"/>
        </w:rPr>
        <w:t>&lt;</w:t>
      </w:r>
      <w:r>
        <w:rPr>
          <w:rFonts w:hint="eastAsia"/>
          <w:color w:val="0F1115"/>
          <w:shd w:val="clear" w:color="auto" w:fill="FFFFFF"/>
        </w:rPr>
        <w:t xml:space="preserve"> </w:t>
      </w:r>
      <w:r>
        <w:rPr>
          <w:rFonts w:eastAsia="Segoe UI"/>
          <w:color w:val="0F1115"/>
          <w:shd w:val="clear" w:color="auto" w:fill="FFFFFF"/>
        </w:rPr>
        <w:t xml:space="preserve">0.001). Repeated measures analysis of variance revealed statistically significant group effects, time effects, and interaction effects for AVF self-management, family care index, general self-efficacy, and quality of life (all </w:t>
      </w:r>
      <w:r w:rsidR="00D83FF6">
        <w:rPr>
          <w:rFonts w:eastAsia="Segoe UI"/>
          <w:i/>
          <w:iCs/>
          <w:color w:val="0F1115"/>
          <w:shd w:val="clear" w:color="auto" w:fill="FFFFFF"/>
        </w:rPr>
        <w:t>p</w:t>
      </w:r>
      <w:r>
        <w:rPr>
          <w:rFonts w:hint="eastAsia"/>
          <w:i/>
          <w:iCs/>
          <w:color w:val="0F1115"/>
          <w:shd w:val="clear" w:color="auto" w:fill="FFFFFF"/>
        </w:rPr>
        <w:t xml:space="preserve"> </w:t>
      </w:r>
      <w:r>
        <w:rPr>
          <w:rFonts w:eastAsia="Segoe UI"/>
          <w:color w:val="0F1115"/>
          <w:shd w:val="clear" w:color="auto" w:fill="FFFFFF"/>
        </w:rPr>
        <w:t>&lt;</w:t>
      </w:r>
      <w:r>
        <w:rPr>
          <w:rFonts w:hint="eastAsia"/>
          <w:color w:val="0F1115"/>
          <w:shd w:val="clear" w:color="auto" w:fill="FFFFFF"/>
        </w:rPr>
        <w:t xml:space="preserve"> </w:t>
      </w:r>
      <w:r>
        <w:rPr>
          <w:rFonts w:eastAsia="Segoe UI"/>
          <w:color w:val="0F1115"/>
          <w:shd w:val="clear" w:color="auto" w:fill="FFFFFF"/>
        </w:rPr>
        <w:t xml:space="preserve">0.001; </w:t>
      </w:r>
      <w:r>
        <w:rPr>
          <w:rFonts w:eastAsia="Segoe UI"/>
          <w:b/>
          <w:bCs/>
          <w:color w:val="0F1115"/>
          <w:shd w:val="clear" w:color="auto" w:fill="FFFFFF"/>
        </w:rPr>
        <w:t>Table 4</w:t>
      </w:r>
      <w:r>
        <w:rPr>
          <w:rFonts w:eastAsia="Segoe UI"/>
          <w:color w:val="0F1115"/>
          <w:shd w:val="clear" w:color="auto" w:fill="FFFFFF"/>
        </w:rPr>
        <w:t>), indicating that the magnitude of improvement in the intervention group increased over time.</w:t>
      </w:r>
    </w:p>
    <w:p w14:paraId="3631764B" w14:textId="77777777" w:rsidR="00605785" w:rsidRDefault="00605785">
      <w:pPr>
        <w:widowControl w:val="0"/>
        <w:snapToGrid w:val="0"/>
        <w:ind w:firstLineChars="0" w:firstLine="0"/>
        <w:rPr>
          <w:rFonts w:eastAsia="Segoe UI"/>
          <w:color w:val="0F1115"/>
          <w:shd w:val="clear" w:color="auto" w:fill="FFFFFF"/>
        </w:rPr>
      </w:pPr>
    </w:p>
    <w:p w14:paraId="2293EF65" w14:textId="77777777" w:rsidR="00605785" w:rsidRDefault="00000000">
      <w:pPr>
        <w:widowControl w:val="0"/>
        <w:snapToGrid w:val="0"/>
        <w:ind w:firstLineChars="0" w:firstLine="0"/>
        <w:rPr>
          <w:rFonts w:eastAsia="Segoe UI"/>
          <w:color w:val="0F1115"/>
          <w:shd w:val="clear" w:color="auto" w:fill="FFFFFF"/>
        </w:rPr>
      </w:pPr>
      <w:r>
        <w:rPr>
          <w:rFonts w:eastAsia="Segoe UI"/>
          <w:b/>
          <w:bCs/>
          <w:color w:val="0F1115"/>
          <w:shd w:val="clear" w:color="auto" w:fill="FFFFFF"/>
        </w:rPr>
        <w:t>Table 4</w:t>
      </w:r>
      <w:r>
        <w:rPr>
          <w:b/>
          <w:bCs/>
          <w:color w:val="0F1115"/>
          <w:shd w:val="clear" w:color="auto" w:fill="FFFFFF"/>
        </w:rPr>
        <w:t>.</w:t>
      </w:r>
      <w:r>
        <w:rPr>
          <w:rFonts w:eastAsia="Segoe UI"/>
          <w:color w:val="0F1115"/>
          <w:shd w:val="clear" w:color="auto" w:fill="FFFFFF"/>
        </w:rPr>
        <w:t xml:space="preserve"> Comparison of </w:t>
      </w:r>
      <w:r>
        <w:rPr>
          <w:rFonts w:hint="eastAsia"/>
          <w:color w:val="0F1115"/>
          <w:shd w:val="clear" w:color="auto" w:fill="FFFFFF"/>
        </w:rPr>
        <w:t>o</w:t>
      </w:r>
      <w:r>
        <w:rPr>
          <w:rFonts w:eastAsia="Segoe UI"/>
          <w:color w:val="0F1115"/>
          <w:shd w:val="clear" w:color="auto" w:fill="FFFFFF"/>
        </w:rPr>
        <w:t xml:space="preserve">utcome </w:t>
      </w:r>
      <w:r>
        <w:rPr>
          <w:rFonts w:hint="eastAsia"/>
          <w:color w:val="0F1115"/>
          <w:shd w:val="clear" w:color="auto" w:fill="FFFFFF"/>
        </w:rPr>
        <w:t>m</w:t>
      </w:r>
      <w:r>
        <w:rPr>
          <w:rFonts w:eastAsia="Segoe UI"/>
          <w:color w:val="0F1115"/>
          <w:shd w:val="clear" w:color="auto" w:fill="FFFFFF"/>
        </w:rPr>
        <w:t xml:space="preserve">easure </w:t>
      </w:r>
      <w:r>
        <w:rPr>
          <w:rFonts w:hint="eastAsia"/>
          <w:color w:val="0F1115"/>
          <w:shd w:val="clear" w:color="auto" w:fill="FFFFFF"/>
        </w:rPr>
        <w:t>s</w:t>
      </w:r>
      <w:r>
        <w:rPr>
          <w:rFonts w:eastAsia="Segoe UI"/>
          <w:color w:val="0F1115"/>
          <w:shd w:val="clear" w:color="auto" w:fill="FFFFFF"/>
        </w:rPr>
        <w:t xml:space="preserve">cores </w:t>
      </w:r>
      <w:r>
        <w:rPr>
          <w:rFonts w:hint="eastAsia"/>
          <w:color w:val="0F1115"/>
          <w:shd w:val="clear" w:color="auto" w:fill="FFFFFF"/>
        </w:rPr>
        <w:t>b</w:t>
      </w:r>
      <w:r>
        <w:rPr>
          <w:rFonts w:eastAsia="Segoe UI"/>
          <w:color w:val="0F1115"/>
          <w:shd w:val="clear" w:color="auto" w:fill="FFFFFF"/>
        </w:rPr>
        <w:t xml:space="preserve">etween the </w:t>
      </w:r>
      <w:r>
        <w:rPr>
          <w:rFonts w:hint="eastAsia"/>
          <w:color w:val="0F1115"/>
          <w:shd w:val="clear" w:color="auto" w:fill="FFFFFF"/>
        </w:rPr>
        <w:t>t</w:t>
      </w:r>
      <w:r>
        <w:rPr>
          <w:rFonts w:eastAsia="Segoe UI"/>
          <w:color w:val="0F1115"/>
          <w:shd w:val="clear" w:color="auto" w:fill="FFFFFF"/>
        </w:rPr>
        <w:t xml:space="preserve">wo </w:t>
      </w:r>
      <w:r>
        <w:rPr>
          <w:rFonts w:hint="eastAsia"/>
          <w:color w:val="0F1115"/>
          <w:shd w:val="clear" w:color="auto" w:fill="FFFFFF"/>
        </w:rPr>
        <w:t>g</w:t>
      </w:r>
      <w:r>
        <w:rPr>
          <w:rFonts w:eastAsia="Segoe UI"/>
          <w:color w:val="0F1115"/>
          <w:shd w:val="clear" w:color="auto" w:fill="FFFFFF"/>
        </w:rPr>
        <w:t xml:space="preserve">roups of </w:t>
      </w:r>
      <w:r>
        <w:rPr>
          <w:rFonts w:hint="eastAsia"/>
          <w:color w:val="0F1115"/>
          <w:shd w:val="clear" w:color="auto" w:fill="FFFFFF"/>
        </w:rPr>
        <w:t>p</w:t>
      </w:r>
      <w:r>
        <w:rPr>
          <w:rFonts w:eastAsia="Segoe UI"/>
          <w:color w:val="0F1115"/>
          <w:shd w:val="clear" w:color="auto" w:fill="FFFFFF"/>
        </w:rPr>
        <w:t>atients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8"/>
        <w:gridCol w:w="1722"/>
        <w:gridCol w:w="993"/>
        <w:gridCol w:w="992"/>
        <w:gridCol w:w="992"/>
        <w:gridCol w:w="992"/>
        <w:gridCol w:w="851"/>
        <w:gridCol w:w="709"/>
        <w:gridCol w:w="815"/>
      </w:tblGrid>
      <w:tr w:rsidR="00D83FF6" w14:paraId="03F6E9B1" w14:textId="77777777" w:rsidTr="00A02ED1">
        <w:tc>
          <w:tcPr>
            <w:tcW w:w="1788" w:type="dxa"/>
            <w:tcBorders>
              <w:top w:val="single" w:sz="4" w:space="0" w:color="auto"/>
              <w:bottom w:val="single" w:sz="4" w:space="0" w:color="auto"/>
            </w:tcBorders>
            <w:vAlign w:val="center"/>
          </w:tcPr>
          <w:p w14:paraId="20CEA71B" w14:textId="0678DF42" w:rsidR="00D83FF6" w:rsidRPr="00D83FF6" w:rsidRDefault="00D83FF6" w:rsidP="00D83FF6">
            <w:pPr>
              <w:snapToGrid w:val="0"/>
              <w:ind w:firstLineChars="0" w:firstLine="0"/>
              <w:jc w:val="left"/>
              <w:rPr>
                <w:rFonts w:eastAsia="Segoe UI"/>
                <w:color w:val="0F1115"/>
                <w:shd w:val="clear" w:color="auto" w:fill="FFFFFF"/>
              </w:rPr>
            </w:pPr>
            <w:r w:rsidRPr="00D83FF6">
              <w:rPr>
                <w:rFonts w:eastAsia="Segoe UI"/>
                <w:b/>
                <w:bCs/>
                <w:color w:val="0F1115"/>
                <w:shd w:val="clear" w:color="auto" w:fill="FFFFFF"/>
              </w:rPr>
              <w:t>Outcome</w:t>
            </w:r>
          </w:p>
        </w:tc>
        <w:tc>
          <w:tcPr>
            <w:tcW w:w="1722" w:type="dxa"/>
            <w:tcBorders>
              <w:top w:val="single" w:sz="4" w:space="0" w:color="auto"/>
              <w:bottom w:val="single" w:sz="4" w:space="0" w:color="auto"/>
            </w:tcBorders>
            <w:vAlign w:val="center"/>
          </w:tcPr>
          <w:p w14:paraId="32ED71B4" w14:textId="661994FB"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Group</w:t>
            </w:r>
          </w:p>
        </w:tc>
        <w:tc>
          <w:tcPr>
            <w:tcW w:w="993" w:type="dxa"/>
            <w:tcBorders>
              <w:top w:val="single" w:sz="4" w:space="0" w:color="auto"/>
              <w:bottom w:val="single" w:sz="4" w:space="0" w:color="auto"/>
            </w:tcBorders>
            <w:vAlign w:val="center"/>
          </w:tcPr>
          <w:p w14:paraId="5A2FD763" w14:textId="7E754F4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Baseline</w:t>
            </w:r>
          </w:p>
        </w:tc>
        <w:tc>
          <w:tcPr>
            <w:tcW w:w="992" w:type="dxa"/>
            <w:tcBorders>
              <w:top w:val="single" w:sz="4" w:space="0" w:color="auto"/>
              <w:bottom w:val="single" w:sz="4" w:space="0" w:color="auto"/>
            </w:tcBorders>
            <w:vAlign w:val="center"/>
          </w:tcPr>
          <w:p w14:paraId="7866D85D" w14:textId="756E43E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4 weeks</w:t>
            </w:r>
          </w:p>
        </w:tc>
        <w:tc>
          <w:tcPr>
            <w:tcW w:w="992" w:type="dxa"/>
            <w:tcBorders>
              <w:top w:val="single" w:sz="4" w:space="0" w:color="auto"/>
              <w:bottom w:val="single" w:sz="4" w:space="0" w:color="auto"/>
            </w:tcBorders>
            <w:vAlign w:val="center"/>
          </w:tcPr>
          <w:p w14:paraId="1C875B1A" w14:textId="22310111"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8 weeks</w:t>
            </w:r>
          </w:p>
        </w:tc>
        <w:tc>
          <w:tcPr>
            <w:tcW w:w="992" w:type="dxa"/>
            <w:tcBorders>
              <w:top w:val="single" w:sz="4" w:space="0" w:color="auto"/>
              <w:bottom w:val="single" w:sz="4" w:space="0" w:color="auto"/>
            </w:tcBorders>
            <w:vAlign w:val="center"/>
          </w:tcPr>
          <w:p w14:paraId="0FBEBCE7" w14:textId="4D02A98A"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12 weeks</w:t>
            </w:r>
          </w:p>
        </w:tc>
        <w:tc>
          <w:tcPr>
            <w:tcW w:w="851" w:type="dxa"/>
            <w:tcBorders>
              <w:top w:val="single" w:sz="4" w:space="0" w:color="auto"/>
              <w:bottom w:val="single" w:sz="4" w:space="0" w:color="auto"/>
            </w:tcBorders>
            <w:vAlign w:val="center"/>
          </w:tcPr>
          <w:p w14:paraId="2361B632" w14:textId="7A2EEE18"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F</w:t>
            </w:r>
            <w:r w:rsidRPr="00D83FF6">
              <w:rPr>
                <w:rFonts w:hint="eastAsia"/>
                <w:b/>
                <w:bCs/>
                <w:color w:val="0F1115"/>
                <w:shd w:val="clear" w:color="auto" w:fill="FFFFFF"/>
              </w:rPr>
              <w:t xml:space="preserve"> </w:t>
            </w:r>
            <w:r w:rsidRPr="00D83FF6">
              <w:rPr>
                <w:rFonts w:eastAsia="Segoe UI"/>
                <w:b/>
                <w:bCs/>
                <w:color w:val="0F1115"/>
                <w:shd w:val="clear" w:color="auto" w:fill="FFFFFF"/>
              </w:rPr>
              <w:t>group</w:t>
            </w:r>
          </w:p>
        </w:tc>
        <w:tc>
          <w:tcPr>
            <w:tcW w:w="709" w:type="dxa"/>
            <w:tcBorders>
              <w:top w:val="single" w:sz="4" w:space="0" w:color="auto"/>
              <w:bottom w:val="single" w:sz="4" w:space="0" w:color="auto"/>
            </w:tcBorders>
            <w:vAlign w:val="center"/>
          </w:tcPr>
          <w:p w14:paraId="7697728E" w14:textId="7570FC3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F</w:t>
            </w:r>
            <w:r w:rsidRPr="00D83FF6">
              <w:rPr>
                <w:rFonts w:hint="eastAsia"/>
                <w:b/>
                <w:bCs/>
                <w:color w:val="0F1115"/>
                <w:shd w:val="clear" w:color="auto" w:fill="FFFFFF"/>
              </w:rPr>
              <w:t xml:space="preserve"> </w:t>
            </w:r>
            <w:r w:rsidRPr="00D83FF6">
              <w:rPr>
                <w:rFonts w:eastAsia="Segoe UI"/>
                <w:b/>
                <w:bCs/>
                <w:color w:val="0F1115"/>
                <w:shd w:val="clear" w:color="auto" w:fill="FFFFFF"/>
              </w:rPr>
              <w:t>time</w:t>
            </w:r>
          </w:p>
        </w:tc>
        <w:tc>
          <w:tcPr>
            <w:tcW w:w="815" w:type="dxa"/>
            <w:tcBorders>
              <w:top w:val="single" w:sz="4" w:space="0" w:color="auto"/>
              <w:bottom w:val="single" w:sz="4" w:space="0" w:color="auto"/>
            </w:tcBorders>
            <w:vAlign w:val="center"/>
          </w:tcPr>
          <w:p w14:paraId="2B129BFC" w14:textId="0A87A5D1"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b/>
                <w:bCs/>
                <w:color w:val="0F1115"/>
                <w:shd w:val="clear" w:color="auto" w:fill="FFFFFF"/>
              </w:rPr>
              <w:t>F</w:t>
            </w:r>
            <w:r w:rsidRPr="00D83FF6">
              <w:rPr>
                <w:rFonts w:hint="eastAsia"/>
                <w:b/>
                <w:bCs/>
                <w:color w:val="0F1115"/>
                <w:shd w:val="clear" w:color="auto" w:fill="FFFFFF"/>
              </w:rPr>
              <w:t xml:space="preserve"> </w:t>
            </w:r>
            <w:r w:rsidRPr="00D83FF6">
              <w:rPr>
                <w:rFonts w:eastAsia="Segoe UI"/>
                <w:b/>
                <w:bCs/>
                <w:color w:val="0F1115"/>
                <w:shd w:val="clear" w:color="auto" w:fill="FFFFFF"/>
              </w:rPr>
              <w:t>interaction</w:t>
            </w:r>
          </w:p>
        </w:tc>
      </w:tr>
      <w:tr w:rsidR="00D83FF6" w14:paraId="7F28046C" w14:textId="77777777" w:rsidTr="00A02ED1">
        <w:tc>
          <w:tcPr>
            <w:tcW w:w="1788" w:type="dxa"/>
            <w:vMerge w:val="restart"/>
            <w:tcBorders>
              <w:top w:val="single" w:sz="4" w:space="0" w:color="auto"/>
            </w:tcBorders>
            <w:vAlign w:val="center"/>
          </w:tcPr>
          <w:p w14:paraId="326FE84B" w14:textId="10F0F774" w:rsidR="00D83FF6" w:rsidRPr="00D83FF6" w:rsidRDefault="00D83FF6" w:rsidP="00D83FF6">
            <w:pPr>
              <w:snapToGrid w:val="0"/>
              <w:ind w:firstLineChars="0" w:firstLine="0"/>
              <w:jc w:val="left"/>
              <w:rPr>
                <w:rFonts w:eastAsia="Segoe UI"/>
                <w:color w:val="0F1115"/>
                <w:shd w:val="clear" w:color="auto" w:fill="FFFFFF"/>
              </w:rPr>
            </w:pPr>
            <w:r w:rsidRPr="00D83FF6">
              <w:rPr>
                <w:rFonts w:eastAsia="Segoe UI"/>
                <w:color w:val="0F1115"/>
                <w:shd w:val="clear" w:color="auto" w:fill="FFFFFF"/>
              </w:rPr>
              <w:t>AVF self-management</w:t>
            </w:r>
          </w:p>
        </w:tc>
        <w:tc>
          <w:tcPr>
            <w:tcW w:w="1722" w:type="dxa"/>
            <w:tcBorders>
              <w:top w:val="single" w:sz="4" w:space="0" w:color="auto"/>
            </w:tcBorders>
            <w:vAlign w:val="center"/>
          </w:tcPr>
          <w:p w14:paraId="0A2F598B" w14:textId="0751DD48"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Control group</w:t>
            </w:r>
          </w:p>
        </w:tc>
        <w:tc>
          <w:tcPr>
            <w:tcW w:w="993" w:type="dxa"/>
            <w:tcBorders>
              <w:top w:val="single" w:sz="4" w:space="0" w:color="auto"/>
            </w:tcBorders>
            <w:vAlign w:val="center"/>
          </w:tcPr>
          <w:p w14:paraId="558AEA3C" w14:textId="137307B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41.30</w:t>
            </w:r>
            <w:r>
              <w:rPr>
                <w:rFonts w:eastAsia="Segoe UI"/>
                <w:color w:val="0F1115"/>
                <w:shd w:val="clear" w:color="auto" w:fill="FFFFFF"/>
              </w:rPr>
              <w:t xml:space="preserve"> ± </w:t>
            </w:r>
            <w:r w:rsidRPr="00D83FF6">
              <w:rPr>
                <w:rFonts w:eastAsia="Segoe UI"/>
                <w:color w:val="0F1115"/>
                <w:shd w:val="clear" w:color="auto" w:fill="FFFFFF"/>
              </w:rPr>
              <w:t>4.25</w:t>
            </w:r>
          </w:p>
        </w:tc>
        <w:tc>
          <w:tcPr>
            <w:tcW w:w="992" w:type="dxa"/>
            <w:tcBorders>
              <w:top w:val="single" w:sz="4" w:space="0" w:color="auto"/>
            </w:tcBorders>
            <w:vAlign w:val="center"/>
          </w:tcPr>
          <w:p w14:paraId="4D48D73D" w14:textId="79D76334"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41.90</w:t>
            </w:r>
            <w:r>
              <w:rPr>
                <w:rFonts w:eastAsia="Segoe UI"/>
                <w:color w:val="0F1115"/>
                <w:shd w:val="clear" w:color="auto" w:fill="FFFFFF"/>
              </w:rPr>
              <w:t xml:space="preserve"> ± </w:t>
            </w:r>
            <w:r w:rsidRPr="00D83FF6">
              <w:rPr>
                <w:rFonts w:eastAsia="Segoe UI"/>
                <w:color w:val="0F1115"/>
                <w:shd w:val="clear" w:color="auto" w:fill="FFFFFF"/>
              </w:rPr>
              <w:t>4.99ᵃ</w:t>
            </w:r>
          </w:p>
        </w:tc>
        <w:tc>
          <w:tcPr>
            <w:tcW w:w="992" w:type="dxa"/>
            <w:tcBorders>
              <w:top w:val="single" w:sz="4" w:space="0" w:color="auto"/>
            </w:tcBorders>
            <w:vAlign w:val="center"/>
          </w:tcPr>
          <w:p w14:paraId="7E761806" w14:textId="11EE502A"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42.87</w:t>
            </w:r>
            <w:r>
              <w:rPr>
                <w:rFonts w:eastAsia="Segoe UI"/>
                <w:color w:val="0F1115"/>
                <w:shd w:val="clear" w:color="auto" w:fill="FFFFFF"/>
              </w:rPr>
              <w:t xml:space="preserve"> ± </w:t>
            </w:r>
            <w:r w:rsidRPr="00D83FF6">
              <w:rPr>
                <w:rFonts w:eastAsia="Segoe UI"/>
                <w:color w:val="0F1115"/>
                <w:shd w:val="clear" w:color="auto" w:fill="FFFFFF"/>
              </w:rPr>
              <w:t>5.47ᵃᵇ</w:t>
            </w:r>
          </w:p>
        </w:tc>
        <w:tc>
          <w:tcPr>
            <w:tcW w:w="992" w:type="dxa"/>
            <w:tcBorders>
              <w:top w:val="single" w:sz="4" w:space="0" w:color="auto"/>
            </w:tcBorders>
            <w:vAlign w:val="center"/>
          </w:tcPr>
          <w:p w14:paraId="1384885B" w14:textId="7694439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43.38</w:t>
            </w:r>
            <w:r>
              <w:rPr>
                <w:rFonts w:eastAsia="Segoe UI"/>
                <w:color w:val="0F1115"/>
                <w:shd w:val="clear" w:color="auto" w:fill="FFFFFF"/>
              </w:rPr>
              <w:t xml:space="preserve"> ± </w:t>
            </w:r>
            <w:r w:rsidRPr="00D83FF6">
              <w:rPr>
                <w:rFonts w:eastAsia="Segoe UI"/>
                <w:color w:val="0F1115"/>
                <w:shd w:val="clear" w:color="auto" w:fill="FFFFFF"/>
              </w:rPr>
              <w:t>5.68ᵃᵇ</w:t>
            </w:r>
          </w:p>
        </w:tc>
        <w:tc>
          <w:tcPr>
            <w:tcW w:w="851" w:type="dxa"/>
            <w:vMerge w:val="restart"/>
            <w:tcBorders>
              <w:top w:val="single" w:sz="4" w:space="0" w:color="auto"/>
            </w:tcBorders>
            <w:vAlign w:val="center"/>
          </w:tcPr>
          <w:p w14:paraId="5E6FCD5E" w14:textId="6E344A77"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466.219</w:t>
            </w:r>
          </w:p>
        </w:tc>
        <w:tc>
          <w:tcPr>
            <w:tcW w:w="709" w:type="dxa"/>
            <w:vMerge w:val="restart"/>
            <w:tcBorders>
              <w:top w:val="single" w:sz="4" w:space="0" w:color="auto"/>
            </w:tcBorders>
            <w:vAlign w:val="center"/>
          </w:tcPr>
          <w:p w14:paraId="022685D7" w14:textId="6719A1C7"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256.936</w:t>
            </w:r>
          </w:p>
        </w:tc>
        <w:tc>
          <w:tcPr>
            <w:tcW w:w="815" w:type="dxa"/>
            <w:vMerge w:val="restart"/>
            <w:tcBorders>
              <w:top w:val="single" w:sz="4" w:space="0" w:color="auto"/>
            </w:tcBorders>
            <w:vAlign w:val="center"/>
          </w:tcPr>
          <w:p w14:paraId="1AE931CB" w14:textId="5D603485"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317.366</w:t>
            </w:r>
          </w:p>
        </w:tc>
      </w:tr>
      <w:tr w:rsidR="00D83FF6" w14:paraId="6074CC26" w14:textId="77777777" w:rsidTr="00A02ED1">
        <w:tc>
          <w:tcPr>
            <w:tcW w:w="1788" w:type="dxa"/>
            <w:vMerge/>
            <w:vAlign w:val="center"/>
          </w:tcPr>
          <w:p w14:paraId="3D3EA59C" w14:textId="77777777" w:rsidR="00D83FF6" w:rsidRPr="00D83FF6" w:rsidRDefault="00D83FF6" w:rsidP="00D83FF6">
            <w:pPr>
              <w:snapToGrid w:val="0"/>
              <w:ind w:firstLineChars="0" w:firstLine="0"/>
              <w:jc w:val="left"/>
              <w:rPr>
                <w:rFonts w:eastAsia="Segoe UI"/>
                <w:color w:val="0F1115"/>
                <w:shd w:val="clear" w:color="auto" w:fill="FFFFFF"/>
              </w:rPr>
            </w:pPr>
          </w:p>
        </w:tc>
        <w:tc>
          <w:tcPr>
            <w:tcW w:w="1722" w:type="dxa"/>
            <w:vAlign w:val="center"/>
          </w:tcPr>
          <w:p w14:paraId="27642D9C" w14:textId="4ECBBB5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Intervention group</w:t>
            </w:r>
          </w:p>
        </w:tc>
        <w:tc>
          <w:tcPr>
            <w:tcW w:w="993" w:type="dxa"/>
            <w:vAlign w:val="center"/>
          </w:tcPr>
          <w:p w14:paraId="49368EA4" w14:textId="70335CA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40.87</w:t>
            </w:r>
            <w:r>
              <w:rPr>
                <w:rFonts w:eastAsia="Segoe UI"/>
                <w:color w:val="0F1115"/>
                <w:shd w:val="clear" w:color="auto" w:fill="FFFFFF"/>
              </w:rPr>
              <w:t xml:space="preserve"> ± </w:t>
            </w:r>
            <w:r w:rsidRPr="00D83FF6">
              <w:rPr>
                <w:rFonts w:eastAsia="Segoe UI"/>
                <w:color w:val="0F1115"/>
                <w:shd w:val="clear" w:color="auto" w:fill="FFFFFF"/>
              </w:rPr>
              <w:t>3.43</w:t>
            </w:r>
          </w:p>
        </w:tc>
        <w:tc>
          <w:tcPr>
            <w:tcW w:w="992" w:type="dxa"/>
            <w:vAlign w:val="center"/>
          </w:tcPr>
          <w:p w14:paraId="4D0B02AB" w14:textId="6B4EC377"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49.67</w:t>
            </w:r>
            <w:r>
              <w:rPr>
                <w:rFonts w:eastAsia="Segoe UI"/>
                <w:color w:val="0F1115"/>
                <w:shd w:val="clear" w:color="auto" w:fill="FFFFFF"/>
              </w:rPr>
              <w:t xml:space="preserve"> ± </w:t>
            </w:r>
            <w:r w:rsidRPr="00D83FF6">
              <w:rPr>
                <w:rFonts w:eastAsia="Segoe UI"/>
                <w:color w:val="0F1115"/>
                <w:shd w:val="clear" w:color="auto" w:fill="FFFFFF"/>
              </w:rPr>
              <w:t>2.30ᵃ</w:t>
            </w:r>
          </w:p>
        </w:tc>
        <w:tc>
          <w:tcPr>
            <w:tcW w:w="992" w:type="dxa"/>
            <w:vAlign w:val="center"/>
          </w:tcPr>
          <w:p w14:paraId="3A7232D6" w14:textId="681CA55A"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57.92</w:t>
            </w:r>
            <w:r>
              <w:rPr>
                <w:rFonts w:eastAsia="Segoe UI"/>
                <w:color w:val="0F1115"/>
                <w:shd w:val="clear" w:color="auto" w:fill="FFFFFF"/>
              </w:rPr>
              <w:t xml:space="preserve"> ± </w:t>
            </w:r>
            <w:r w:rsidRPr="00D83FF6">
              <w:rPr>
                <w:rFonts w:eastAsia="Segoe UI"/>
                <w:color w:val="0F1115"/>
                <w:shd w:val="clear" w:color="auto" w:fill="FFFFFF"/>
              </w:rPr>
              <w:t>1.74ᵃᵇ</w:t>
            </w:r>
          </w:p>
        </w:tc>
        <w:tc>
          <w:tcPr>
            <w:tcW w:w="992" w:type="dxa"/>
            <w:vAlign w:val="center"/>
          </w:tcPr>
          <w:p w14:paraId="4A1517FB" w14:textId="5E3AA81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63.48</w:t>
            </w:r>
            <w:r>
              <w:rPr>
                <w:rFonts w:eastAsia="Segoe UI"/>
                <w:color w:val="0F1115"/>
                <w:shd w:val="clear" w:color="auto" w:fill="FFFFFF"/>
              </w:rPr>
              <w:t xml:space="preserve"> ± </w:t>
            </w:r>
            <w:r w:rsidRPr="00D83FF6">
              <w:rPr>
                <w:rFonts w:eastAsia="Segoe UI"/>
                <w:color w:val="0F1115"/>
                <w:shd w:val="clear" w:color="auto" w:fill="FFFFFF"/>
              </w:rPr>
              <w:t>1.38ᵃᵇᶜ</w:t>
            </w:r>
          </w:p>
        </w:tc>
        <w:tc>
          <w:tcPr>
            <w:tcW w:w="851" w:type="dxa"/>
            <w:vMerge/>
            <w:vAlign w:val="center"/>
          </w:tcPr>
          <w:p w14:paraId="2645C2AA"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709" w:type="dxa"/>
            <w:vMerge/>
            <w:vAlign w:val="center"/>
          </w:tcPr>
          <w:p w14:paraId="5D49BC5D"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815" w:type="dxa"/>
            <w:vMerge/>
            <w:vAlign w:val="center"/>
          </w:tcPr>
          <w:p w14:paraId="70CC15FF" w14:textId="77777777" w:rsidR="00D83FF6" w:rsidRPr="00D83FF6" w:rsidRDefault="00D83FF6" w:rsidP="00D83FF6">
            <w:pPr>
              <w:snapToGrid w:val="0"/>
              <w:ind w:firstLineChars="0" w:firstLine="0"/>
              <w:jc w:val="center"/>
              <w:rPr>
                <w:rFonts w:eastAsia="Segoe UI"/>
                <w:color w:val="0F1115"/>
                <w:shd w:val="clear" w:color="auto" w:fill="FFFFFF"/>
              </w:rPr>
            </w:pPr>
          </w:p>
        </w:tc>
      </w:tr>
      <w:tr w:rsidR="00D83FF6" w14:paraId="04CF9021" w14:textId="77777777" w:rsidTr="00A02ED1">
        <w:tc>
          <w:tcPr>
            <w:tcW w:w="1788" w:type="dxa"/>
            <w:vMerge w:val="restart"/>
            <w:vAlign w:val="center"/>
          </w:tcPr>
          <w:p w14:paraId="7BC8B906" w14:textId="769EC40A" w:rsidR="00D83FF6" w:rsidRPr="00D83FF6" w:rsidRDefault="00D83FF6" w:rsidP="00D83FF6">
            <w:pPr>
              <w:snapToGrid w:val="0"/>
              <w:ind w:firstLineChars="0" w:firstLine="0"/>
              <w:jc w:val="left"/>
              <w:rPr>
                <w:rFonts w:eastAsia="Segoe UI"/>
                <w:color w:val="0F1115"/>
                <w:shd w:val="clear" w:color="auto" w:fill="FFFFFF"/>
              </w:rPr>
            </w:pPr>
            <w:r w:rsidRPr="00D83FF6">
              <w:rPr>
                <w:rFonts w:eastAsia="Segoe UI"/>
                <w:color w:val="0F1115"/>
                <w:shd w:val="clear" w:color="auto" w:fill="FFFFFF"/>
              </w:rPr>
              <w:t>Family care</w:t>
            </w:r>
          </w:p>
        </w:tc>
        <w:tc>
          <w:tcPr>
            <w:tcW w:w="1722" w:type="dxa"/>
            <w:vAlign w:val="center"/>
          </w:tcPr>
          <w:p w14:paraId="5E6F189C" w14:textId="43D3B782"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Control group</w:t>
            </w:r>
          </w:p>
        </w:tc>
        <w:tc>
          <w:tcPr>
            <w:tcW w:w="993" w:type="dxa"/>
            <w:vAlign w:val="center"/>
          </w:tcPr>
          <w:p w14:paraId="670FF535" w14:textId="284545AF"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6.42</w:t>
            </w:r>
            <w:r>
              <w:rPr>
                <w:rFonts w:eastAsia="Segoe UI"/>
                <w:color w:val="0F1115"/>
                <w:shd w:val="clear" w:color="auto" w:fill="FFFFFF"/>
              </w:rPr>
              <w:t xml:space="preserve"> ± </w:t>
            </w:r>
            <w:r w:rsidRPr="00D83FF6">
              <w:rPr>
                <w:rFonts w:eastAsia="Segoe UI"/>
                <w:color w:val="0F1115"/>
                <w:shd w:val="clear" w:color="auto" w:fill="FFFFFF"/>
              </w:rPr>
              <w:t>1.21</w:t>
            </w:r>
          </w:p>
        </w:tc>
        <w:tc>
          <w:tcPr>
            <w:tcW w:w="992" w:type="dxa"/>
            <w:vAlign w:val="center"/>
          </w:tcPr>
          <w:p w14:paraId="6A3ED89B" w14:textId="7FC00758"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6.50</w:t>
            </w:r>
            <w:r>
              <w:rPr>
                <w:rFonts w:eastAsia="Segoe UI"/>
                <w:color w:val="0F1115"/>
                <w:shd w:val="clear" w:color="auto" w:fill="FFFFFF"/>
              </w:rPr>
              <w:t xml:space="preserve"> ± </w:t>
            </w:r>
            <w:r w:rsidRPr="00D83FF6">
              <w:rPr>
                <w:rFonts w:eastAsia="Segoe UI"/>
                <w:color w:val="0F1115"/>
                <w:shd w:val="clear" w:color="auto" w:fill="FFFFFF"/>
              </w:rPr>
              <w:t>1.83</w:t>
            </w:r>
          </w:p>
        </w:tc>
        <w:tc>
          <w:tcPr>
            <w:tcW w:w="992" w:type="dxa"/>
            <w:vAlign w:val="center"/>
          </w:tcPr>
          <w:p w14:paraId="080890CC" w14:textId="21F240C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6.58</w:t>
            </w:r>
            <w:r>
              <w:rPr>
                <w:rFonts w:eastAsia="Segoe UI"/>
                <w:color w:val="0F1115"/>
                <w:shd w:val="clear" w:color="auto" w:fill="FFFFFF"/>
              </w:rPr>
              <w:t xml:space="preserve"> ± </w:t>
            </w:r>
            <w:r w:rsidRPr="00D83FF6">
              <w:rPr>
                <w:rFonts w:eastAsia="Segoe UI"/>
                <w:color w:val="0F1115"/>
                <w:shd w:val="clear" w:color="auto" w:fill="FFFFFF"/>
              </w:rPr>
              <w:t>2.00</w:t>
            </w:r>
          </w:p>
        </w:tc>
        <w:tc>
          <w:tcPr>
            <w:tcW w:w="992" w:type="dxa"/>
            <w:vAlign w:val="center"/>
          </w:tcPr>
          <w:p w14:paraId="4BA79775" w14:textId="366586B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6.72</w:t>
            </w:r>
            <w:r>
              <w:rPr>
                <w:rFonts w:eastAsia="Segoe UI"/>
                <w:color w:val="0F1115"/>
                <w:shd w:val="clear" w:color="auto" w:fill="FFFFFF"/>
              </w:rPr>
              <w:t xml:space="preserve"> ± </w:t>
            </w:r>
            <w:r w:rsidRPr="00D83FF6">
              <w:rPr>
                <w:rFonts w:eastAsia="Segoe UI"/>
                <w:color w:val="0F1115"/>
                <w:shd w:val="clear" w:color="auto" w:fill="FFFFFF"/>
              </w:rPr>
              <w:t>2.06</w:t>
            </w:r>
          </w:p>
        </w:tc>
        <w:tc>
          <w:tcPr>
            <w:tcW w:w="851" w:type="dxa"/>
            <w:vMerge w:val="restart"/>
            <w:vAlign w:val="center"/>
          </w:tcPr>
          <w:p w14:paraId="776A49EE" w14:textId="0A32F75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20.279</w:t>
            </w:r>
          </w:p>
        </w:tc>
        <w:tc>
          <w:tcPr>
            <w:tcW w:w="709" w:type="dxa"/>
            <w:vMerge w:val="restart"/>
            <w:vAlign w:val="center"/>
          </w:tcPr>
          <w:p w14:paraId="43A314EA" w14:textId="60487F4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14.529</w:t>
            </w:r>
          </w:p>
        </w:tc>
        <w:tc>
          <w:tcPr>
            <w:tcW w:w="815" w:type="dxa"/>
            <w:vMerge w:val="restart"/>
            <w:vAlign w:val="center"/>
          </w:tcPr>
          <w:p w14:paraId="62662CBF" w14:textId="5848A8FA"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10.844</w:t>
            </w:r>
          </w:p>
        </w:tc>
      </w:tr>
      <w:tr w:rsidR="00D83FF6" w14:paraId="54C127E7" w14:textId="77777777" w:rsidTr="00A02ED1">
        <w:tc>
          <w:tcPr>
            <w:tcW w:w="1788" w:type="dxa"/>
            <w:vMerge/>
            <w:vAlign w:val="center"/>
          </w:tcPr>
          <w:p w14:paraId="29D8F551" w14:textId="77777777" w:rsidR="00D83FF6" w:rsidRPr="00D83FF6" w:rsidRDefault="00D83FF6" w:rsidP="00D83FF6">
            <w:pPr>
              <w:snapToGrid w:val="0"/>
              <w:ind w:firstLineChars="0" w:firstLine="0"/>
              <w:jc w:val="left"/>
              <w:rPr>
                <w:rFonts w:eastAsia="Segoe UI"/>
                <w:color w:val="0F1115"/>
                <w:shd w:val="clear" w:color="auto" w:fill="FFFFFF"/>
              </w:rPr>
            </w:pPr>
          </w:p>
        </w:tc>
        <w:tc>
          <w:tcPr>
            <w:tcW w:w="1722" w:type="dxa"/>
            <w:vAlign w:val="center"/>
          </w:tcPr>
          <w:p w14:paraId="0347E82A" w14:textId="76877042"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Intervention group</w:t>
            </w:r>
          </w:p>
        </w:tc>
        <w:tc>
          <w:tcPr>
            <w:tcW w:w="993" w:type="dxa"/>
            <w:vAlign w:val="center"/>
          </w:tcPr>
          <w:p w14:paraId="78A24E86" w14:textId="6B2915A2"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6.40</w:t>
            </w:r>
            <w:r>
              <w:rPr>
                <w:rFonts w:eastAsia="Segoe UI"/>
                <w:color w:val="0F1115"/>
                <w:shd w:val="clear" w:color="auto" w:fill="FFFFFF"/>
              </w:rPr>
              <w:t xml:space="preserve"> ± </w:t>
            </w:r>
            <w:r w:rsidRPr="00D83FF6">
              <w:rPr>
                <w:rFonts w:eastAsia="Segoe UI"/>
                <w:color w:val="0F1115"/>
                <w:shd w:val="clear" w:color="auto" w:fill="FFFFFF"/>
              </w:rPr>
              <w:t>1.20</w:t>
            </w:r>
          </w:p>
        </w:tc>
        <w:tc>
          <w:tcPr>
            <w:tcW w:w="992" w:type="dxa"/>
            <w:vAlign w:val="center"/>
          </w:tcPr>
          <w:p w14:paraId="05AB5E86" w14:textId="1DC76DCF"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7.47</w:t>
            </w:r>
            <w:r>
              <w:rPr>
                <w:rFonts w:eastAsia="Segoe UI"/>
                <w:color w:val="0F1115"/>
                <w:shd w:val="clear" w:color="auto" w:fill="FFFFFF"/>
              </w:rPr>
              <w:t xml:space="preserve"> ± </w:t>
            </w:r>
            <w:r w:rsidRPr="00D83FF6">
              <w:rPr>
                <w:rFonts w:eastAsia="Segoe UI"/>
                <w:color w:val="0F1115"/>
                <w:shd w:val="clear" w:color="auto" w:fill="FFFFFF"/>
              </w:rPr>
              <w:t>1.23ᵃ</w:t>
            </w:r>
          </w:p>
        </w:tc>
        <w:tc>
          <w:tcPr>
            <w:tcW w:w="992" w:type="dxa"/>
            <w:vAlign w:val="center"/>
          </w:tcPr>
          <w:p w14:paraId="1A55FE31" w14:textId="6849414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7.90</w:t>
            </w:r>
            <w:r>
              <w:rPr>
                <w:rFonts w:eastAsia="Segoe UI"/>
                <w:color w:val="0F1115"/>
                <w:shd w:val="clear" w:color="auto" w:fill="FFFFFF"/>
              </w:rPr>
              <w:t xml:space="preserve"> ± </w:t>
            </w:r>
            <w:r w:rsidRPr="00D83FF6">
              <w:rPr>
                <w:rFonts w:eastAsia="Segoe UI"/>
                <w:color w:val="0F1115"/>
                <w:shd w:val="clear" w:color="auto" w:fill="FFFFFF"/>
              </w:rPr>
              <w:t>1.36ᵃᵇ</w:t>
            </w:r>
          </w:p>
        </w:tc>
        <w:tc>
          <w:tcPr>
            <w:tcW w:w="992" w:type="dxa"/>
            <w:vAlign w:val="center"/>
          </w:tcPr>
          <w:p w14:paraId="70056A86" w14:textId="0A1DBC0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8.13</w:t>
            </w:r>
            <w:r>
              <w:rPr>
                <w:rFonts w:eastAsia="Segoe UI"/>
                <w:color w:val="0F1115"/>
                <w:shd w:val="clear" w:color="auto" w:fill="FFFFFF"/>
              </w:rPr>
              <w:t xml:space="preserve"> ± </w:t>
            </w:r>
            <w:r w:rsidRPr="00D83FF6">
              <w:rPr>
                <w:rFonts w:eastAsia="Segoe UI"/>
                <w:color w:val="0F1115"/>
                <w:shd w:val="clear" w:color="auto" w:fill="FFFFFF"/>
              </w:rPr>
              <w:t>0.70ᵃᵇ</w:t>
            </w:r>
          </w:p>
        </w:tc>
        <w:tc>
          <w:tcPr>
            <w:tcW w:w="851" w:type="dxa"/>
            <w:vMerge/>
            <w:vAlign w:val="center"/>
          </w:tcPr>
          <w:p w14:paraId="1AD496E2"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709" w:type="dxa"/>
            <w:vMerge/>
            <w:vAlign w:val="center"/>
          </w:tcPr>
          <w:p w14:paraId="68AD2DD9"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815" w:type="dxa"/>
            <w:vMerge/>
            <w:vAlign w:val="center"/>
          </w:tcPr>
          <w:p w14:paraId="56C4BE30" w14:textId="77777777" w:rsidR="00D83FF6" w:rsidRPr="00D83FF6" w:rsidRDefault="00D83FF6" w:rsidP="00D83FF6">
            <w:pPr>
              <w:snapToGrid w:val="0"/>
              <w:ind w:firstLineChars="0" w:firstLine="0"/>
              <w:jc w:val="center"/>
              <w:rPr>
                <w:rFonts w:eastAsia="Segoe UI"/>
                <w:color w:val="0F1115"/>
                <w:shd w:val="clear" w:color="auto" w:fill="FFFFFF"/>
              </w:rPr>
            </w:pPr>
          </w:p>
        </w:tc>
      </w:tr>
      <w:tr w:rsidR="00D83FF6" w14:paraId="24F7A5C3" w14:textId="77777777" w:rsidTr="00A02ED1">
        <w:tc>
          <w:tcPr>
            <w:tcW w:w="1788" w:type="dxa"/>
            <w:vMerge w:val="restart"/>
            <w:vAlign w:val="center"/>
          </w:tcPr>
          <w:p w14:paraId="1124BB69" w14:textId="42C3C945" w:rsidR="00D83FF6" w:rsidRPr="00D83FF6" w:rsidRDefault="00D83FF6" w:rsidP="00D83FF6">
            <w:pPr>
              <w:snapToGrid w:val="0"/>
              <w:ind w:firstLineChars="0" w:firstLine="0"/>
              <w:jc w:val="left"/>
              <w:rPr>
                <w:rFonts w:eastAsia="Segoe UI"/>
                <w:color w:val="0F1115"/>
                <w:shd w:val="clear" w:color="auto" w:fill="FFFFFF"/>
              </w:rPr>
            </w:pPr>
            <w:r w:rsidRPr="00D83FF6">
              <w:rPr>
                <w:rFonts w:eastAsia="Segoe UI"/>
                <w:color w:val="0F1115"/>
                <w:shd w:val="clear" w:color="auto" w:fill="FFFFFF"/>
              </w:rPr>
              <w:t>General self-efficacy</w:t>
            </w:r>
          </w:p>
        </w:tc>
        <w:tc>
          <w:tcPr>
            <w:tcW w:w="1722" w:type="dxa"/>
            <w:vAlign w:val="center"/>
          </w:tcPr>
          <w:p w14:paraId="4936739A" w14:textId="6C0D28A4"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Control group</w:t>
            </w:r>
          </w:p>
        </w:tc>
        <w:tc>
          <w:tcPr>
            <w:tcW w:w="993" w:type="dxa"/>
            <w:vAlign w:val="center"/>
          </w:tcPr>
          <w:p w14:paraId="48FDA739" w14:textId="7CA343C5"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21.08</w:t>
            </w:r>
            <w:r>
              <w:rPr>
                <w:rFonts w:eastAsia="Segoe UI"/>
                <w:color w:val="0F1115"/>
                <w:shd w:val="clear" w:color="auto" w:fill="FFFFFF"/>
              </w:rPr>
              <w:t xml:space="preserve"> ± </w:t>
            </w:r>
            <w:r w:rsidRPr="00D83FF6">
              <w:rPr>
                <w:rFonts w:eastAsia="Segoe UI"/>
                <w:color w:val="0F1115"/>
                <w:shd w:val="clear" w:color="auto" w:fill="FFFFFF"/>
              </w:rPr>
              <w:t>3.38</w:t>
            </w:r>
          </w:p>
        </w:tc>
        <w:tc>
          <w:tcPr>
            <w:tcW w:w="992" w:type="dxa"/>
            <w:vAlign w:val="center"/>
          </w:tcPr>
          <w:p w14:paraId="46050C19" w14:textId="2B3DA086"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21.78</w:t>
            </w:r>
            <w:r>
              <w:rPr>
                <w:rFonts w:eastAsia="Segoe UI"/>
                <w:color w:val="0F1115"/>
                <w:shd w:val="clear" w:color="auto" w:fill="FFFFFF"/>
              </w:rPr>
              <w:t xml:space="preserve"> ± </w:t>
            </w:r>
            <w:r w:rsidRPr="00D83FF6">
              <w:rPr>
                <w:rFonts w:eastAsia="Segoe UI"/>
                <w:color w:val="0F1115"/>
                <w:shd w:val="clear" w:color="auto" w:fill="FFFFFF"/>
              </w:rPr>
              <w:t>5.59</w:t>
            </w:r>
          </w:p>
        </w:tc>
        <w:tc>
          <w:tcPr>
            <w:tcW w:w="992" w:type="dxa"/>
            <w:vAlign w:val="center"/>
          </w:tcPr>
          <w:p w14:paraId="4AAE057B" w14:textId="2A6407B5"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21.97</w:t>
            </w:r>
            <w:r>
              <w:rPr>
                <w:rFonts w:eastAsia="Segoe UI"/>
                <w:color w:val="0F1115"/>
                <w:shd w:val="clear" w:color="auto" w:fill="FFFFFF"/>
              </w:rPr>
              <w:t xml:space="preserve"> ± </w:t>
            </w:r>
            <w:r w:rsidRPr="00D83FF6">
              <w:rPr>
                <w:rFonts w:eastAsia="Segoe UI"/>
                <w:color w:val="0F1115"/>
                <w:shd w:val="clear" w:color="auto" w:fill="FFFFFF"/>
              </w:rPr>
              <w:t>4.77ᵃ</w:t>
            </w:r>
          </w:p>
        </w:tc>
        <w:tc>
          <w:tcPr>
            <w:tcW w:w="992" w:type="dxa"/>
            <w:vAlign w:val="center"/>
          </w:tcPr>
          <w:p w14:paraId="111516D4" w14:textId="40A4604A"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22.25</w:t>
            </w:r>
            <w:r>
              <w:rPr>
                <w:rFonts w:eastAsia="Segoe UI"/>
                <w:color w:val="0F1115"/>
                <w:shd w:val="clear" w:color="auto" w:fill="FFFFFF"/>
              </w:rPr>
              <w:t xml:space="preserve"> ± </w:t>
            </w:r>
            <w:r w:rsidRPr="00D83FF6">
              <w:rPr>
                <w:rFonts w:eastAsia="Segoe UI"/>
                <w:color w:val="0F1115"/>
                <w:shd w:val="clear" w:color="auto" w:fill="FFFFFF"/>
              </w:rPr>
              <w:t>4.78ᵃ</w:t>
            </w:r>
          </w:p>
        </w:tc>
        <w:tc>
          <w:tcPr>
            <w:tcW w:w="851" w:type="dxa"/>
            <w:vMerge w:val="restart"/>
            <w:vAlign w:val="center"/>
          </w:tcPr>
          <w:p w14:paraId="71198001" w14:textId="19754A8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107.600</w:t>
            </w:r>
          </w:p>
        </w:tc>
        <w:tc>
          <w:tcPr>
            <w:tcW w:w="709" w:type="dxa"/>
            <w:vMerge w:val="restart"/>
            <w:vAlign w:val="center"/>
          </w:tcPr>
          <w:p w14:paraId="7A50A105" w14:textId="43B9C815"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189.926</w:t>
            </w:r>
          </w:p>
        </w:tc>
        <w:tc>
          <w:tcPr>
            <w:tcW w:w="815" w:type="dxa"/>
            <w:vMerge w:val="restart"/>
            <w:vAlign w:val="center"/>
          </w:tcPr>
          <w:p w14:paraId="023E23FF" w14:textId="493DA4B2"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140.400</w:t>
            </w:r>
          </w:p>
        </w:tc>
      </w:tr>
      <w:tr w:rsidR="00D83FF6" w14:paraId="2E32148C" w14:textId="77777777" w:rsidTr="00A02ED1">
        <w:tc>
          <w:tcPr>
            <w:tcW w:w="1788" w:type="dxa"/>
            <w:vMerge/>
            <w:vAlign w:val="center"/>
          </w:tcPr>
          <w:p w14:paraId="4B9EDF31" w14:textId="77777777" w:rsidR="00D83FF6" w:rsidRPr="00D83FF6" w:rsidRDefault="00D83FF6" w:rsidP="00D83FF6">
            <w:pPr>
              <w:snapToGrid w:val="0"/>
              <w:ind w:firstLineChars="0" w:firstLine="0"/>
              <w:jc w:val="left"/>
              <w:rPr>
                <w:rFonts w:eastAsia="Segoe UI"/>
                <w:color w:val="0F1115"/>
                <w:shd w:val="clear" w:color="auto" w:fill="FFFFFF"/>
              </w:rPr>
            </w:pPr>
          </w:p>
        </w:tc>
        <w:tc>
          <w:tcPr>
            <w:tcW w:w="1722" w:type="dxa"/>
            <w:vAlign w:val="center"/>
          </w:tcPr>
          <w:p w14:paraId="28E531DF" w14:textId="5CE41D0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Intervention group</w:t>
            </w:r>
          </w:p>
        </w:tc>
        <w:tc>
          <w:tcPr>
            <w:tcW w:w="993" w:type="dxa"/>
            <w:vAlign w:val="center"/>
          </w:tcPr>
          <w:p w14:paraId="7BB6EE08" w14:textId="3CFF9428"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21.00</w:t>
            </w:r>
            <w:r>
              <w:rPr>
                <w:rFonts w:eastAsia="Segoe UI"/>
                <w:color w:val="0F1115"/>
                <w:shd w:val="clear" w:color="auto" w:fill="FFFFFF"/>
              </w:rPr>
              <w:t xml:space="preserve"> ± </w:t>
            </w:r>
            <w:r w:rsidRPr="00D83FF6">
              <w:rPr>
                <w:rFonts w:eastAsia="Segoe UI"/>
                <w:color w:val="0F1115"/>
                <w:shd w:val="clear" w:color="auto" w:fill="FFFFFF"/>
              </w:rPr>
              <w:t>3.69</w:t>
            </w:r>
          </w:p>
        </w:tc>
        <w:tc>
          <w:tcPr>
            <w:tcW w:w="992" w:type="dxa"/>
            <w:vAlign w:val="center"/>
          </w:tcPr>
          <w:p w14:paraId="33D6A7B0" w14:textId="3A88E18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26.03</w:t>
            </w:r>
            <w:r>
              <w:rPr>
                <w:rFonts w:eastAsia="Segoe UI"/>
                <w:color w:val="0F1115"/>
                <w:shd w:val="clear" w:color="auto" w:fill="FFFFFF"/>
              </w:rPr>
              <w:t xml:space="preserve"> ± </w:t>
            </w:r>
            <w:r w:rsidRPr="00D83FF6">
              <w:rPr>
                <w:rFonts w:eastAsia="Segoe UI"/>
                <w:color w:val="0F1115"/>
                <w:shd w:val="clear" w:color="auto" w:fill="FFFFFF"/>
              </w:rPr>
              <w:t>2.21ᵃ</w:t>
            </w:r>
          </w:p>
        </w:tc>
        <w:tc>
          <w:tcPr>
            <w:tcW w:w="992" w:type="dxa"/>
            <w:vAlign w:val="center"/>
          </w:tcPr>
          <w:p w14:paraId="4CEBCB4D" w14:textId="177743D1"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30.97</w:t>
            </w:r>
            <w:r>
              <w:rPr>
                <w:rFonts w:eastAsia="Segoe UI"/>
                <w:color w:val="0F1115"/>
                <w:shd w:val="clear" w:color="auto" w:fill="FFFFFF"/>
              </w:rPr>
              <w:t xml:space="preserve"> ± </w:t>
            </w:r>
            <w:r w:rsidRPr="00D83FF6">
              <w:rPr>
                <w:rFonts w:eastAsia="Segoe UI"/>
                <w:color w:val="0F1115"/>
                <w:shd w:val="clear" w:color="auto" w:fill="FFFFFF"/>
              </w:rPr>
              <w:t>1.52ᵃᵇ</w:t>
            </w:r>
          </w:p>
        </w:tc>
        <w:tc>
          <w:tcPr>
            <w:tcW w:w="992" w:type="dxa"/>
            <w:vAlign w:val="center"/>
          </w:tcPr>
          <w:p w14:paraId="0CE323F0" w14:textId="7C0C0964"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34.05</w:t>
            </w:r>
            <w:r>
              <w:rPr>
                <w:rFonts w:eastAsia="Segoe UI"/>
                <w:color w:val="0F1115"/>
                <w:shd w:val="clear" w:color="auto" w:fill="FFFFFF"/>
              </w:rPr>
              <w:t xml:space="preserve"> ± </w:t>
            </w:r>
            <w:r w:rsidRPr="00D83FF6">
              <w:rPr>
                <w:rFonts w:eastAsia="Segoe UI"/>
                <w:color w:val="0F1115"/>
                <w:shd w:val="clear" w:color="auto" w:fill="FFFFFF"/>
              </w:rPr>
              <w:t>0.85ᵃᵇᶜ</w:t>
            </w:r>
          </w:p>
        </w:tc>
        <w:tc>
          <w:tcPr>
            <w:tcW w:w="851" w:type="dxa"/>
            <w:vMerge/>
            <w:vAlign w:val="center"/>
          </w:tcPr>
          <w:p w14:paraId="00E6754C"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709" w:type="dxa"/>
            <w:vMerge/>
            <w:vAlign w:val="center"/>
          </w:tcPr>
          <w:p w14:paraId="242EA68C"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815" w:type="dxa"/>
            <w:vMerge/>
            <w:vAlign w:val="center"/>
          </w:tcPr>
          <w:p w14:paraId="2CB81CB5" w14:textId="77777777" w:rsidR="00D83FF6" w:rsidRPr="00D83FF6" w:rsidRDefault="00D83FF6" w:rsidP="00D83FF6">
            <w:pPr>
              <w:snapToGrid w:val="0"/>
              <w:ind w:firstLineChars="0" w:firstLine="0"/>
              <w:jc w:val="center"/>
              <w:rPr>
                <w:rFonts w:eastAsia="Segoe UI"/>
                <w:color w:val="0F1115"/>
                <w:shd w:val="clear" w:color="auto" w:fill="FFFFFF"/>
              </w:rPr>
            </w:pPr>
          </w:p>
        </w:tc>
      </w:tr>
      <w:tr w:rsidR="00D83FF6" w14:paraId="040762C2" w14:textId="77777777" w:rsidTr="00A02ED1">
        <w:tc>
          <w:tcPr>
            <w:tcW w:w="1788" w:type="dxa"/>
            <w:vMerge w:val="restart"/>
            <w:vAlign w:val="center"/>
          </w:tcPr>
          <w:p w14:paraId="524B1750" w14:textId="42421D40" w:rsidR="00D83FF6" w:rsidRPr="00D83FF6" w:rsidRDefault="00D83FF6" w:rsidP="00D83FF6">
            <w:pPr>
              <w:snapToGrid w:val="0"/>
              <w:ind w:firstLineChars="0" w:firstLine="0"/>
              <w:jc w:val="left"/>
              <w:rPr>
                <w:rFonts w:eastAsia="Segoe UI"/>
                <w:color w:val="0F1115"/>
                <w:shd w:val="clear" w:color="auto" w:fill="FFFFFF"/>
              </w:rPr>
            </w:pPr>
            <w:r w:rsidRPr="00D83FF6">
              <w:rPr>
                <w:rFonts w:eastAsia="Segoe UI"/>
                <w:color w:val="0F1115"/>
                <w:shd w:val="clear" w:color="auto" w:fill="FFFFFF"/>
              </w:rPr>
              <w:t>Quality of life</w:t>
            </w:r>
          </w:p>
        </w:tc>
        <w:tc>
          <w:tcPr>
            <w:tcW w:w="1722" w:type="dxa"/>
            <w:vAlign w:val="center"/>
          </w:tcPr>
          <w:p w14:paraId="25CA2F18" w14:textId="7D68F417"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Control group</w:t>
            </w:r>
          </w:p>
        </w:tc>
        <w:tc>
          <w:tcPr>
            <w:tcW w:w="993" w:type="dxa"/>
            <w:vAlign w:val="center"/>
          </w:tcPr>
          <w:p w14:paraId="587D7167" w14:textId="1CBFF9A7"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81.98</w:t>
            </w:r>
            <w:r>
              <w:rPr>
                <w:rFonts w:eastAsia="Segoe UI"/>
                <w:color w:val="0F1115"/>
                <w:shd w:val="clear" w:color="auto" w:fill="FFFFFF"/>
              </w:rPr>
              <w:t xml:space="preserve"> ± </w:t>
            </w:r>
            <w:r w:rsidRPr="00D83FF6">
              <w:rPr>
                <w:rFonts w:eastAsia="Segoe UI"/>
                <w:color w:val="0F1115"/>
                <w:shd w:val="clear" w:color="auto" w:fill="FFFFFF"/>
              </w:rPr>
              <w:t>12.37</w:t>
            </w:r>
          </w:p>
        </w:tc>
        <w:tc>
          <w:tcPr>
            <w:tcW w:w="992" w:type="dxa"/>
            <w:vAlign w:val="center"/>
          </w:tcPr>
          <w:p w14:paraId="5F745368" w14:textId="28B5904D"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82.63</w:t>
            </w:r>
            <w:r>
              <w:rPr>
                <w:rFonts w:eastAsia="Segoe UI"/>
                <w:color w:val="0F1115"/>
                <w:shd w:val="clear" w:color="auto" w:fill="FFFFFF"/>
              </w:rPr>
              <w:t xml:space="preserve"> ± </w:t>
            </w:r>
            <w:r w:rsidRPr="00D83FF6">
              <w:rPr>
                <w:rFonts w:eastAsia="Segoe UI"/>
                <w:color w:val="0F1115"/>
                <w:shd w:val="clear" w:color="auto" w:fill="FFFFFF"/>
              </w:rPr>
              <w:t>13.37</w:t>
            </w:r>
          </w:p>
        </w:tc>
        <w:tc>
          <w:tcPr>
            <w:tcW w:w="992" w:type="dxa"/>
            <w:vAlign w:val="center"/>
          </w:tcPr>
          <w:p w14:paraId="0CB0B891" w14:textId="01142135"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83.53</w:t>
            </w:r>
            <w:r>
              <w:rPr>
                <w:rFonts w:eastAsia="Segoe UI"/>
                <w:color w:val="0F1115"/>
                <w:shd w:val="clear" w:color="auto" w:fill="FFFFFF"/>
              </w:rPr>
              <w:t xml:space="preserve"> ± </w:t>
            </w:r>
            <w:r w:rsidRPr="00D83FF6">
              <w:rPr>
                <w:rFonts w:eastAsia="Segoe UI"/>
                <w:color w:val="0F1115"/>
                <w:shd w:val="clear" w:color="auto" w:fill="FFFFFF"/>
              </w:rPr>
              <w:t>13.05ᵇ</w:t>
            </w:r>
          </w:p>
        </w:tc>
        <w:tc>
          <w:tcPr>
            <w:tcW w:w="992" w:type="dxa"/>
            <w:vAlign w:val="center"/>
          </w:tcPr>
          <w:p w14:paraId="72A548D9" w14:textId="5676113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84.30</w:t>
            </w:r>
            <w:r>
              <w:rPr>
                <w:rFonts w:eastAsia="Segoe UI"/>
                <w:color w:val="0F1115"/>
                <w:shd w:val="clear" w:color="auto" w:fill="FFFFFF"/>
              </w:rPr>
              <w:t xml:space="preserve"> ± </w:t>
            </w:r>
            <w:r w:rsidRPr="00D83FF6">
              <w:rPr>
                <w:rFonts w:eastAsia="Segoe UI"/>
                <w:color w:val="0F1115"/>
                <w:shd w:val="clear" w:color="auto" w:fill="FFFFFF"/>
              </w:rPr>
              <w:t>13.74ᵃᵇ</w:t>
            </w:r>
          </w:p>
        </w:tc>
        <w:tc>
          <w:tcPr>
            <w:tcW w:w="851" w:type="dxa"/>
            <w:vMerge w:val="restart"/>
            <w:tcBorders>
              <w:bottom w:val="single" w:sz="4" w:space="0" w:color="auto"/>
            </w:tcBorders>
            <w:vAlign w:val="center"/>
          </w:tcPr>
          <w:p w14:paraId="49E8932F" w14:textId="487A1843"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267.927</w:t>
            </w:r>
          </w:p>
        </w:tc>
        <w:tc>
          <w:tcPr>
            <w:tcW w:w="709" w:type="dxa"/>
            <w:vMerge w:val="restart"/>
            <w:tcBorders>
              <w:bottom w:val="single" w:sz="4" w:space="0" w:color="auto"/>
            </w:tcBorders>
            <w:vAlign w:val="center"/>
          </w:tcPr>
          <w:p w14:paraId="7A6350B5" w14:textId="0F01A6C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111.964</w:t>
            </w:r>
          </w:p>
        </w:tc>
        <w:tc>
          <w:tcPr>
            <w:tcW w:w="815" w:type="dxa"/>
            <w:vMerge w:val="restart"/>
            <w:tcBorders>
              <w:bottom w:val="single" w:sz="4" w:space="0" w:color="auto"/>
            </w:tcBorders>
            <w:vAlign w:val="center"/>
          </w:tcPr>
          <w:p w14:paraId="4F1C1967" w14:textId="4D66BE89"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206.384</w:t>
            </w:r>
          </w:p>
        </w:tc>
      </w:tr>
      <w:tr w:rsidR="00D83FF6" w14:paraId="575A7646" w14:textId="77777777" w:rsidTr="00A02ED1">
        <w:tc>
          <w:tcPr>
            <w:tcW w:w="1788" w:type="dxa"/>
            <w:vMerge/>
            <w:tcBorders>
              <w:bottom w:val="single" w:sz="4" w:space="0" w:color="auto"/>
            </w:tcBorders>
            <w:vAlign w:val="center"/>
          </w:tcPr>
          <w:p w14:paraId="2A6453E4" w14:textId="77777777" w:rsidR="00D83FF6" w:rsidRPr="00D83FF6" w:rsidRDefault="00D83FF6" w:rsidP="00D83FF6">
            <w:pPr>
              <w:snapToGrid w:val="0"/>
              <w:ind w:firstLineChars="0" w:firstLine="0"/>
              <w:jc w:val="left"/>
              <w:rPr>
                <w:rFonts w:eastAsia="Segoe UI"/>
                <w:color w:val="0F1115"/>
                <w:shd w:val="clear" w:color="auto" w:fill="FFFFFF"/>
              </w:rPr>
            </w:pPr>
          </w:p>
        </w:tc>
        <w:tc>
          <w:tcPr>
            <w:tcW w:w="1722" w:type="dxa"/>
            <w:tcBorders>
              <w:bottom w:val="single" w:sz="4" w:space="0" w:color="auto"/>
            </w:tcBorders>
            <w:vAlign w:val="center"/>
          </w:tcPr>
          <w:p w14:paraId="65F31A22" w14:textId="79A85CB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Intervention group</w:t>
            </w:r>
          </w:p>
        </w:tc>
        <w:tc>
          <w:tcPr>
            <w:tcW w:w="993" w:type="dxa"/>
            <w:tcBorders>
              <w:bottom w:val="single" w:sz="4" w:space="0" w:color="auto"/>
            </w:tcBorders>
            <w:vAlign w:val="center"/>
          </w:tcPr>
          <w:p w14:paraId="3A3E6F0E" w14:textId="7A984D9B"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85.73</w:t>
            </w:r>
            <w:r>
              <w:rPr>
                <w:rFonts w:eastAsia="Segoe UI"/>
                <w:color w:val="0F1115"/>
                <w:shd w:val="clear" w:color="auto" w:fill="FFFFFF"/>
              </w:rPr>
              <w:t xml:space="preserve"> ± </w:t>
            </w:r>
            <w:r w:rsidRPr="00D83FF6">
              <w:rPr>
                <w:rFonts w:eastAsia="Segoe UI"/>
                <w:color w:val="0F1115"/>
                <w:shd w:val="clear" w:color="auto" w:fill="FFFFFF"/>
              </w:rPr>
              <w:t>12.84</w:t>
            </w:r>
          </w:p>
        </w:tc>
        <w:tc>
          <w:tcPr>
            <w:tcW w:w="992" w:type="dxa"/>
            <w:tcBorders>
              <w:bottom w:val="single" w:sz="4" w:space="0" w:color="auto"/>
            </w:tcBorders>
            <w:vAlign w:val="center"/>
          </w:tcPr>
          <w:p w14:paraId="08374AB9" w14:textId="7B9E0DFE"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95.93</w:t>
            </w:r>
            <w:r>
              <w:rPr>
                <w:rFonts w:eastAsia="Segoe UI"/>
                <w:color w:val="0F1115"/>
                <w:shd w:val="clear" w:color="auto" w:fill="FFFFFF"/>
              </w:rPr>
              <w:t xml:space="preserve"> ± </w:t>
            </w:r>
            <w:r w:rsidRPr="00D83FF6">
              <w:rPr>
                <w:rFonts w:eastAsia="Segoe UI"/>
                <w:color w:val="0F1115"/>
                <w:shd w:val="clear" w:color="auto" w:fill="FFFFFF"/>
              </w:rPr>
              <w:t>7.75ᵃ</w:t>
            </w:r>
          </w:p>
        </w:tc>
        <w:tc>
          <w:tcPr>
            <w:tcW w:w="992" w:type="dxa"/>
            <w:tcBorders>
              <w:bottom w:val="single" w:sz="4" w:space="0" w:color="auto"/>
            </w:tcBorders>
            <w:vAlign w:val="center"/>
          </w:tcPr>
          <w:p w14:paraId="4C3A5E7E" w14:textId="7FDA6060"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110.53</w:t>
            </w:r>
            <w:r>
              <w:rPr>
                <w:rFonts w:eastAsia="Segoe UI"/>
                <w:color w:val="0F1115"/>
                <w:shd w:val="clear" w:color="auto" w:fill="FFFFFF"/>
              </w:rPr>
              <w:t xml:space="preserve"> ± </w:t>
            </w:r>
            <w:r w:rsidRPr="00D83FF6">
              <w:rPr>
                <w:rFonts w:eastAsia="Segoe UI"/>
                <w:color w:val="0F1115"/>
                <w:shd w:val="clear" w:color="auto" w:fill="FFFFFF"/>
              </w:rPr>
              <w:t>5.20ᵃᵇ</w:t>
            </w:r>
          </w:p>
        </w:tc>
        <w:tc>
          <w:tcPr>
            <w:tcW w:w="992" w:type="dxa"/>
            <w:tcBorders>
              <w:bottom w:val="single" w:sz="4" w:space="0" w:color="auto"/>
            </w:tcBorders>
            <w:vAlign w:val="center"/>
          </w:tcPr>
          <w:p w14:paraId="7647E5F5" w14:textId="3FD0AA99" w:rsidR="00D83FF6" w:rsidRPr="00D83FF6" w:rsidRDefault="00D83FF6" w:rsidP="00D83FF6">
            <w:pPr>
              <w:snapToGrid w:val="0"/>
              <w:ind w:firstLineChars="0" w:firstLine="0"/>
              <w:jc w:val="center"/>
              <w:rPr>
                <w:rFonts w:eastAsia="Segoe UI"/>
                <w:color w:val="0F1115"/>
                <w:shd w:val="clear" w:color="auto" w:fill="FFFFFF"/>
              </w:rPr>
            </w:pPr>
            <w:r w:rsidRPr="00D83FF6">
              <w:rPr>
                <w:rFonts w:eastAsia="Segoe UI"/>
                <w:color w:val="0F1115"/>
                <w:shd w:val="clear" w:color="auto" w:fill="FFFFFF"/>
              </w:rPr>
              <w:t>120.35</w:t>
            </w:r>
            <w:r>
              <w:rPr>
                <w:rFonts w:eastAsia="Segoe UI"/>
                <w:color w:val="0F1115"/>
                <w:shd w:val="clear" w:color="auto" w:fill="FFFFFF"/>
              </w:rPr>
              <w:t xml:space="preserve"> ± </w:t>
            </w:r>
            <w:r w:rsidRPr="00D83FF6">
              <w:rPr>
                <w:rFonts w:eastAsia="Segoe UI"/>
                <w:color w:val="0F1115"/>
                <w:shd w:val="clear" w:color="auto" w:fill="FFFFFF"/>
              </w:rPr>
              <w:t>2.68ᵃᵇᶜ</w:t>
            </w:r>
          </w:p>
        </w:tc>
        <w:tc>
          <w:tcPr>
            <w:tcW w:w="851" w:type="dxa"/>
            <w:vMerge/>
            <w:tcBorders>
              <w:bottom w:val="single" w:sz="4" w:space="0" w:color="auto"/>
            </w:tcBorders>
            <w:vAlign w:val="center"/>
          </w:tcPr>
          <w:p w14:paraId="3F4DCE35"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709" w:type="dxa"/>
            <w:vMerge/>
            <w:tcBorders>
              <w:bottom w:val="single" w:sz="4" w:space="0" w:color="auto"/>
            </w:tcBorders>
            <w:vAlign w:val="center"/>
          </w:tcPr>
          <w:p w14:paraId="26EC97CE" w14:textId="77777777" w:rsidR="00D83FF6" w:rsidRPr="00D83FF6" w:rsidRDefault="00D83FF6" w:rsidP="00D83FF6">
            <w:pPr>
              <w:snapToGrid w:val="0"/>
              <w:ind w:firstLineChars="0" w:firstLine="0"/>
              <w:jc w:val="center"/>
              <w:rPr>
                <w:rFonts w:eastAsia="Segoe UI"/>
                <w:color w:val="0F1115"/>
                <w:shd w:val="clear" w:color="auto" w:fill="FFFFFF"/>
              </w:rPr>
            </w:pPr>
          </w:p>
        </w:tc>
        <w:tc>
          <w:tcPr>
            <w:tcW w:w="815" w:type="dxa"/>
            <w:vMerge/>
            <w:tcBorders>
              <w:bottom w:val="single" w:sz="4" w:space="0" w:color="auto"/>
            </w:tcBorders>
            <w:vAlign w:val="center"/>
          </w:tcPr>
          <w:p w14:paraId="5D88776D" w14:textId="77777777" w:rsidR="00D83FF6" w:rsidRPr="00D83FF6" w:rsidRDefault="00D83FF6" w:rsidP="00D83FF6">
            <w:pPr>
              <w:snapToGrid w:val="0"/>
              <w:ind w:firstLineChars="0" w:firstLine="0"/>
              <w:jc w:val="center"/>
              <w:rPr>
                <w:rFonts w:eastAsia="Segoe UI"/>
                <w:color w:val="0F1115"/>
                <w:shd w:val="clear" w:color="auto" w:fill="FFFFFF"/>
              </w:rPr>
            </w:pPr>
          </w:p>
        </w:tc>
      </w:tr>
    </w:tbl>
    <w:p w14:paraId="2458118D" w14:textId="682E729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Note: </w:t>
      </w:r>
      <w:r>
        <w:rPr>
          <w:rFonts w:eastAsia="Segoe UI"/>
          <w:color w:val="0F1115"/>
          <w:shd w:val="clear" w:color="auto" w:fill="FFFFFF"/>
          <w:vertAlign w:val="superscript"/>
        </w:rPr>
        <w:t>a</w:t>
      </w:r>
      <w:r>
        <w:rPr>
          <w:rFonts w:hint="eastAsia"/>
          <w:color w:val="0F1115"/>
          <w:shd w:val="clear" w:color="auto" w:fill="FFFFFF"/>
          <w:vertAlign w:val="superscript"/>
        </w:rPr>
        <w:t xml:space="preserve"> </w:t>
      </w:r>
      <w:r w:rsidR="00A02ED1">
        <w:rPr>
          <w:i/>
          <w:iCs/>
          <w:color w:val="0F1115"/>
          <w:shd w:val="clear" w:color="auto" w:fill="FFFFFF"/>
        </w:rPr>
        <w:t xml:space="preserve">p </w:t>
      </w:r>
      <w:r>
        <w:rPr>
          <w:rFonts w:eastAsia="Segoe UI"/>
          <w:color w:val="0F1115"/>
          <w:shd w:val="clear" w:color="auto" w:fill="FFFFFF"/>
        </w:rPr>
        <w:t>&lt;</w:t>
      </w:r>
      <w:r w:rsidR="00A02ED1">
        <w:rPr>
          <w:rFonts w:eastAsia="Segoe UI"/>
          <w:color w:val="0F1115"/>
          <w:shd w:val="clear" w:color="auto" w:fill="FFFFFF"/>
        </w:rPr>
        <w:t xml:space="preserve"> </w:t>
      </w:r>
      <w:r>
        <w:rPr>
          <w:rFonts w:eastAsia="Segoe UI"/>
          <w:color w:val="0F1115"/>
          <w:shd w:val="clear" w:color="auto" w:fill="FFFFFF"/>
        </w:rPr>
        <w:t xml:space="preserve">0.05 compared with baseline; </w:t>
      </w:r>
      <w:r>
        <w:rPr>
          <w:rFonts w:eastAsia="Segoe UI"/>
          <w:color w:val="0F1115"/>
          <w:shd w:val="clear" w:color="auto" w:fill="FFFFFF"/>
          <w:vertAlign w:val="superscript"/>
        </w:rPr>
        <w:t>b</w:t>
      </w:r>
      <w:r>
        <w:rPr>
          <w:rFonts w:eastAsia="Segoe UI"/>
          <w:color w:val="0F1115"/>
          <w:shd w:val="clear" w:color="auto" w:fill="FFFFFF"/>
        </w:rPr>
        <w:t xml:space="preserve"> </w:t>
      </w:r>
      <w:r w:rsidR="00A02ED1">
        <w:rPr>
          <w:rFonts w:eastAsia="Segoe UI"/>
          <w:i/>
          <w:iCs/>
          <w:color w:val="0F1115"/>
          <w:shd w:val="clear" w:color="auto" w:fill="FFFFFF"/>
        </w:rPr>
        <w:t xml:space="preserve">p </w:t>
      </w:r>
      <w:r>
        <w:rPr>
          <w:rFonts w:eastAsia="Segoe UI"/>
          <w:color w:val="0F1115"/>
          <w:shd w:val="clear" w:color="auto" w:fill="FFFFFF"/>
        </w:rPr>
        <w:t>&lt;</w:t>
      </w:r>
      <w:r w:rsidR="00A02ED1">
        <w:rPr>
          <w:rFonts w:eastAsia="Segoe UI"/>
          <w:color w:val="0F1115"/>
          <w:shd w:val="clear" w:color="auto" w:fill="FFFFFF"/>
        </w:rPr>
        <w:t xml:space="preserve"> </w:t>
      </w:r>
      <w:r>
        <w:rPr>
          <w:rFonts w:eastAsia="Segoe UI"/>
          <w:color w:val="0F1115"/>
          <w:shd w:val="clear" w:color="auto" w:fill="FFFFFF"/>
        </w:rPr>
        <w:t xml:space="preserve">0.05 compared with week 4; </w:t>
      </w:r>
      <w:r>
        <w:rPr>
          <w:rFonts w:eastAsia="Segoe UI"/>
          <w:color w:val="0F1115"/>
          <w:shd w:val="clear" w:color="auto" w:fill="FFFFFF"/>
          <w:vertAlign w:val="superscript"/>
        </w:rPr>
        <w:t>c</w:t>
      </w:r>
      <w:r>
        <w:rPr>
          <w:rFonts w:eastAsia="Segoe UI"/>
          <w:color w:val="0F1115"/>
          <w:shd w:val="clear" w:color="auto" w:fill="FFFFFF"/>
        </w:rPr>
        <w:t xml:space="preserve"> </w:t>
      </w:r>
      <w:r w:rsidR="00A02ED1">
        <w:rPr>
          <w:rFonts w:eastAsia="Segoe UI"/>
          <w:i/>
          <w:iCs/>
          <w:color w:val="0F1115"/>
          <w:shd w:val="clear" w:color="auto" w:fill="FFFFFF"/>
        </w:rPr>
        <w:t xml:space="preserve">p </w:t>
      </w:r>
      <w:r>
        <w:rPr>
          <w:rFonts w:eastAsia="Segoe UI"/>
          <w:color w:val="0F1115"/>
          <w:shd w:val="clear" w:color="auto" w:fill="FFFFFF"/>
        </w:rPr>
        <w:t>&lt;</w:t>
      </w:r>
      <w:r w:rsidR="00A02ED1">
        <w:rPr>
          <w:rFonts w:eastAsia="Segoe UI"/>
          <w:color w:val="0F1115"/>
          <w:shd w:val="clear" w:color="auto" w:fill="FFFFFF"/>
        </w:rPr>
        <w:t xml:space="preserve"> </w:t>
      </w:r>
      <w:r>
        <w:rPr>
          <w:rFonts w:eastAsia="Segoe UI"/>
          <w:color w:val="0F1115"/>
          <w:shd w:val="clear" w:color="auto" w:fill="FFFFFF"/>
        </w:rPr>
        <w:t xml:space="preserve">0.05 compared with week 8. The group, time, and interaction effects for all outcomes were </w:t>
      </w:r>
      <w:r w:rsidR="00A02ED1">
        <w:rPr>
          <w:rFonts w:eastAsia="Segoe UI"/>
          <w:i/>
          <w:iCs/>
          <w:color w:val="0F1115"/>
          <w:shd w:val="clear" w:color="auto" w:fill="FFFFFF"/>
        </w:rPr>
        <w:t>p</w:t>
      </w:r>
      <w:r>
        <w:rPr>
          <w:rFonts w:hint="eastAsia"/>
          <w:i/>
          <w:iCs/>
          <w:color w:val="0F1115"/>
          <w:shd w:val="clear" w:color="auto" w:fill="FFFFFF"/>
        </w:rPr>
        <w:t xml:space="preserve"> </w:t>
      </w:r>
      <w:r>
        <w:rPr>
          <w:rFonts w:eastAsia="Segoe UI"/>
          <w:color w:val="0F1115"/>
          <w:shd w:val="clear" w:color="auto" w:fill="FFFFFF"/>
        </w:rPr>
        <w:t>&lt;</w:t>
      </w:r>
      <w:r>
        <w:rPr>
          <w:rFonts w:hint="eastAsia"/>
          <w:color w:val="0F1115"/>
          <w:shd w:val="clear" w:color="auto" w:fill="FFFFFF"/>
        </w:rPr>
        <w:t xml:space="preserve"> </w:t>
      </w:r>
      <w:r>
        <w:rPr>
          <w:rFonts w:eastAsia="Segoe UI"/>
          <w:color w:val="0F1115"/>
          <w:shd w:val="clear" w:color="auto" w:fill="FFFFFF"/>
        </w:rPr>
        <w:t>0.001.</w:t>
      </w:r>
    </w:p>
    <w:p w14:paraId="61A6097D" w14:textId="77777777" w:rsidR="00605785" w:rsidRDefault="00605785">
      <w:pPr>
        <w:widowControl w:val="0"/>
        <w:snapToGrid w:val="0"/>
        <w:ind w:firstLineChars="0" w:firstLine="0"/>
        <w:rPr>
          <w:rFonts w:eastAsia="Segoe UI"/>
          <w:color w:val="0F1115"/>
          <w:shd w:val="clear" w:color="auto" w:fill="FFFFFF"/>
        </w:rPr>
      </w:pPr>
    </w:p>
    <w:p w14:paraId="39C6F440"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4</w:t>
      </w:r>
      <w:r>
        <w:rPr>
          <w:b/>
          <w:bCs/>
          <w:color w:val="0F1115"/>
          <w:shd w:val="clear" w:color="auto" w:fill="FFFFFF"/>
        </w:rPr>
        <w:t>.</w:t>
      </w:r>
      <w:r>
        <w:rPr>
          <w:rFonts w:eastAsia="Segoe UI"/>
          <w:b/>
          <w:bCs/>
          <w:color w:val="0F1115"/>
          <w:shd w:val="clear" w:color="auto" w:fill="FFFFFF"/>
        </w:rPr>
        <w:t xml:space="preserve"> Discussion </w:t>
      </w:r>
    </w:p>
    <w:p w14:paraId="20950E0C"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4.1</w:t>
      </w:r>
      <w:r>
        <w:rPr>
          <w:b/>
          <w:bCs/>
          <w:color w:val="0F1115"/>
          <w:shd w:val="clear" w:color="auto" w:fill="FFFFFF"/>
        </w:rPr>
        <w:t>.</w:t>
      </w:r>
      <w:r>
        <w:rPr>
          <w:rFonts w:eastAsia="Segoe UI"/>
          <w:b/>
          <w:bCs/>
          <w:color w:val="0F1115"/>
          <w:shd w:val="clear" w:color="auto" w:fill="FFFFFF"/>
        </w:rPr>
        <w:t xml:space="preserve"> Scientific </w:t>
      </w:r>
      <w:r>
        <w:rPr>
          <w:rFonts w:hint="eastAsia"/>
          <w:b/>
          <w:bCs/>
          <w:color w:val="0F1115"/>
          <w:shd w:val="clear" w:color="auto" w:fill="FFFFFF"/>
        </w:rPr>
        <w:t>r</w:t>
      </w:r>
      <w:r>
        <w:rPr>
          <w:rFonts w:eastAsia="Segoe UI"/>
          <w:b/>
          <w:bCs/>
          <w:color w:val="0F1115"/>
          <w:shd w:val="clear" w:color="auto" w:fill="FFFFFF"/>
        </w:rPr>
        <w:t xml:space="preserve">ationale and </w:t>
      </w:r>
      <w:r>
        <w:rPr>
          <w:rFonts w:hint="eastAsia"/>
          <w:b/>
          <w:bCs/>
          <w:color w:val="0F1115"/>
          <w:shd w:val="clear" w:color="auto" w:fill="FFFFFF"/>
        </w:rPr>
        <w:t>f</w:t>
      </w:r>
      <w:r>
        <w:rPr>
          <w:rFonts w:eastAsia="Segoe UI"/>
          <w:b/>
          <w:bCs/>
          <w:color w:val="0F1115"/>
          <w:shd w:val="clear" w:color="auto" w:fill="FFFFFF"/>
        </w:rPr>
        <w:t xml:space="preserve">easibility of the </w:t>
      </w:r>
      <w:r>
        <w:rPr>
          <w:rFonts w:hint="eastAsia"/>
          <w:b/>
          <w:bCs/>
          <w:color w:val="0F1115"/>
          <w:shd w:val="clear" w:color="auto" w:fill="FFFFFF"/>
        </w:rPr>
        <w:t>i</w:t>
      </w:r>
      <w:r>
        <w:rPr>
          <w:rFonts w:eastAsia="Segoe UI"/>
          <w:b/>
          <w:bCs/>
          <w:color w:val="0F1115"/>
          <w:shd w:val="clear" w:color="auto" w:fill="FFFFFF"/>
        </w:rPr>
        <w:t xml:space="preserve">ntervention </w:t>
      </w:r>
      <w:r>
        <w:rPr>
          <w:rFonts w:hint="eastAsia"/>
          <w:b/>
          <w:bCs/>
          <w:color w:val="0F1115"/>
          <w:shd w:val="clear" w:color="auto" w:fill="FFFFFF"/>
        </w:rPr>
        <w:t>p</w:t>
      </w:r>
      <w:r>
        <w:rPr>
          <w:rFonts w:eastAsia="Segoe UI"/>
          <w:b/>
          <w:bCs/>
          <w:color w:val="0F1115"/>
          <w:shd w:val="clear" w:color="auto" w:fill="FFFFFF"/>
        </w:rPr>
        <w:t xml:space="preserve">rogram </w:t>
      </w:r>
      <w:r>
        <w:rPr>
          <w:rFonts w:hint="eastAsia"/>
          <w:b/>
          <w:bCs/>
          <w:color w:val="0F1115"/>
          <w:shd w:val="clear" w:color="auto" w:fill="FFFFFF"/>
        </w:rPr>
        <w:t>c</w:t>
      </w:r>
      <w:r>
        <w:rPr>
          <w:rFonts w:eastAsia="Segoe UI"/>
          <w:b/>
          <w:bCs/>
          <w:color w:val="0F1115"/>
          <w:shd w:val="clear" w:color="auto" w:fill="FFFFFF"/>
        </w:rPr>
        <w:t xml:space="preserve">onstruction </w:t>
      </w:r>
    </w:p>
    <w:p w14:paraId="1148B130" w14:textId="7777777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This study utilized the Individual and Family Self-Management Theory (IFSMT) as a framework to translate situational factor identification, literature analysis, and expert consensus into an implementable patient-family-healthcare provider collaborative program </w:t>
      </w:r>
      <w:r>
        <w:rPr>
          <w:rFonts w:eastAsia="Segoe UI"/>
          <w:color w:val="0F1115"/>
          <w:shd w:val="clear" w:color="auto" w:fill="FFFFFF"/>
          <w:vertAlign w:val="superscript"/>
        </w:rPr>
        <w:t>[16]</w:t>
      </w:r>
      <w:r>
        <w:rPr>
          <w:rFonts w:eastAsia="Segoe UI"/>
          <w:color w:val="0F1115"/>
          <w:shd w:val="clear" w:color="auto" w:fill="FFFFFF"/>
        </w:rPr>
        <w:t xml:space="preserve">. The program was not </w:t>
      </w:r>
      <w:r>
        <w:rPr>
          <w:rFonts w:eastAsia="Segoe UI"/>
          <w:color w:val="0F1115"/>
          <w:shd w:val="clear" w:color="auto" w:fill="FFFFFF"/>
        </w:rPr>
        <w:lastRenderedPageBreak/>
        <w:t xml:space="preserve">limited to one-time knowledge dissemination but also encompassed knowledge and beliefs, self-regulation, and social facilitation. It enhanced behavioral execution through age-appropriate materials, repeated demonstrations, staged goals, family reminders, and continuous feedback. The two rounds of expert consultations demonstrated high participation and authority, and the program content aligned with the low-scoring behaviors and controllable factors identified in the preliminary survey, supporting its content validity and clinical feasibility. </w:t>
      </w:r>
    </w:p>
    <w:p w14:paraId="2CC23536" w14:textId="77777777" w:rsidR="00605785" w:rsidRDefault="00605785">
      <w:pPr>
        <w:widowControl w:val="0"/>
        <w:snapToGrid w:val="0"/>
        <w:ind w:firstLineChars="0" w:firstLine="0"/>
        <w:rPr>
          <w:rFonts w:eastAsia="Segoe UI"/>
          <w:color w:val="0F1115"/>
          <w:shd w:val="clear" w:color="auto" w:fill="FFFFFF"/>
        </w:rPr>
      </w:pPr>
    </w:p>
    <w:p w14:paraId="318029FE"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4.2</w:t>
      </w:r>
      <w:r>
        <w:rPr>
          <w:b/>
          <w:bCs/>
          <w:color w:val="0F1115"/>
          <w:shd w:val="clear" w:color="auto" w:fill="FFFFFF"/>
        </w:rPr>
        <w:t>.</w:t>
      </w:r>
      <w:r>
        <w:rPr>
          <w:rFonts w:eastAsia="Segoe UI"/>
          <w:b/>
          <w:bCs/>
          <w:color w:val="0F1115"/>
          <w:shd w:val="clear" w:color="auto" w:fill="FFFFFF"/>
        </w:rPr>
        <w:t xml:space="preserve"> Impact on AVF </w:t>
      </w:r>
      <w:r>
        <w:rPr>
          <w:rFonts w:hint="eastAsia"/>
          <w:b/>
          <w:bCs/>
          <w:color w:val="0F1115"/>
          <w:shd w:val="clear" w:color="auto" w:fill="FFFFFF"/>
        </w:rPr>
        <w:t>a</w:t>
      </w:r>
      <w:r>
        <w:rPr>
          <w:rFonts w:eastAsia="Segoe UI"/>
          <w:b/>
          <w:bCs/>
          <w:color w:val="0F1115"/>
          <w:shd w:val="clear" w:color="auto" w:fill="FFFFFF"/>
        </w:rPr>
        <w:t xml:space="preserve">bnormalities and </w:t>
      </w:r>
      <w:r>
        <w:rPr>
          <w:rFonts w:hint="eastAsia"/>
          <w:b/>
          <w:bCs/>
          <w:color w:val="0F1115"/>
          <w:shd w:val="clear" w:color="auto" w:fill="FFFFFF"/>
        </w:rPr>
        <w:t>s</w:t>
      </w:r>
      <w:r>
        <w:rPr>
          <w:rFonts w:eastAsia="Segoe UI"/>
          <w:b/>
          <w:bCs/>
          <w:color w:val="0F1115"/>
          <w:shd w:val="clear" w:color="auto" w:fill="FFFFFF"/>
        </w:rPr>
        <w:t>elf-</w:t>
      </w:r>
      <w:r>
        <w:rPr>
          <w:rFonts w:hint="eastAsia"/>
          <w:b/>
          <w:bCs/>
          <w:color w:val="0F1115"/>
          <w:shd w:val="clear" w:color="auto" w:fill="FFFFFF"/>
        </w:rPr>
        <w:t>m</w:t>
      </w:r>
      <w:r>
        <w:rPr>
          <w:rFonts w:eastAsia="Segoe UI"/>
          <w:b/>
          <w:bCs/>
          <w:color w:val="0F1115"/>
          <w:shd w:val="clear" w:color="auto" w:fill="FFFFFF"/>
        </w:rPr>
        <w:t xml:space="preserve">anagement </w:t>
      </w:r>
    </w:p>
    <w:p w14:paraId="1CD7B2CB" w14:textId="7777777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The intervention group had significantly fewer AVF-related abnormalities than the control group, likely due to the combined effects of daily self-examination, abnormality identification, and timely communication. Structured education improved patients</w:t>
      </w:r>
      <w:r>
        <w:rPr>
          <w:color w:val="0F1115"/>
          <w:shd w:val="clear" w:color="auto" w:fill="FFFFFF"/>
        </w:rPr>
        <w:t>’</w:t>
      </w:r>
      <w:r>
        <w:rPr>
          <w:rFonts w:eastAsia="Segoe UI"/>
          <w:color w:val="0F1115"/>
          <w:shd w:val="clear" w:color="auto" w:fill="FFFFFF"/>
        </w:rPr>
        <w:t xml:space="preserve"> sensitivity to tremors, bruits, skin changes, and post-puncture abnormalities, enabling problems to be detected and addressed before complete fistula failure </w:t>
      </w:r>
      <w:r>
        <w:rPr>
          <w:rFonts w:eastAsia="Segoe UI"/>
          <w:color w:val="0F1115"/>
          <w:shd w:val="clear" w:color="auto" w:fill="FFFFFF"/>
          <w:vertAlign w:val="superscript"/>
        </w:rPr>
        <w:t>[17]</w:t>
      </w:r>
      <w:r>
        <w:rPr>
          <w:rFonts w:eastAsia="Segoe UI"/>
          <w:color w:val="0F1115"/>
          <w:shd w:val="clear" w:color="auto" w:fill="FFFFFF"/>
        </w:rPr>
        <w:t xml:space="preserve">. Integration of weight, blood pressure, exercise, and volume management may also reduce triggers such as hypotension, low blood flow, and local injury. For elderly patients with decreased sensory, cognitive, and operational abilities, pictorial tools, teach-back exercises, and family co-monitoring can compensate for the limitations of oral instruction alone </w:t>
      </w:r>
      <w:r>
        <w:rPr>
          <w:rFonts w:eastAsia="Segoe UI"/>
          <w:color w:val="0F1115"/>
          <w:shd w:val="clear" w:color="auto" w:fill="FFFFFF"/>
          <w:vertAlign w:val="superscript"/>
        </w:rPr>
        <w:t>[18]</w:t>
      </w:r>
      <w:r>
        <w:rPr>
          <w:rFonts w:eastAsia="Segoe UI"/>
          <w:color w:val="0F1115"/>
          <w:shd w:val="clear" w:color="auto" w:fill="FFFFFF"/>
        </w:rPr>
        <w:t xml:space="preserve">. </w:t>
      </w:r>
    </w:p>
    <w:p w14:paraId="19F2CE18" w14:textId="77777777" w:rsidR="00605785" w:rsidRDefault="00000000">
      <w:pPr>
        <w:widowControl w:val="0"/>
        <w:snapToGrid w:val="0"/>
        <w:ind w:firstLine="480"/>
        <w:rPr>
          <w:rFonts w:eastAsia="Segoe UI"/>
          <w:color w:val="0F1115"/>
          <w:shd w:val="clear" w:color="auto" w:fill="FFFFFF"/>
        </w:rPr>
      </w:pPr>
      <w:r>
        <w:rPr>
          <w:rFonts w:eastAsia="Segoe UI"/>
          <w:color w:val="0F1115"/>
          <w:shd w:val="clear" w:color="auto" w:fill="FFFFFF"/>
        </w:rPr>
        <w:t>The continuous increase in AVF self-management scores in the intervention group suggests that repeated training and feedback facilitate the translation of knowledge into stable behaviors. IFSMT emphasizes that the self-management process is shaped by information, skills, and the social environment; this study enhanced patients</w:t>
      </w:r>
      <w:r>
        <w:rPr>
          <w:color w:val="0F1115"/>
          <w:shd w:val="clear" w:color="auto" w:fill="FFFFFF"/>
        </w:rPr>
        <w:t>’</w:t>
      </w:r>
      <w:r>
        <w:rPr>
          <w:rFonts w:eastAsia="Segoe UI"/>
          <w:color w:val="0F1115"/>
          <w:shd w:val="clear" w:color="auto" w:fill="FFFFFF"/>
        </w:rPr>
        <w:t xml:space="preserve"> mastery of complication identification, prevention, and management through a closed loop of demonstration-practice-correction-recording-feedback. This is consistent with research findings that elderly patients with multiple comorbidities require continuous, individualized, and multidimensional support </w:t>
      </w:r>
      <w:r>
        <w:rPr>
          <w:rFonts w:eastAsia="Segoe UI"/>
          <w:color w:val="0F1115"/>
          <w:shd w:val="clear" w:color="auto" w:fill="FFFFFF"/>
          <w:vertAlign w:val="superscript"/>
        </w:rPr>
        <w:t>[19]</w:t>
      </w:r>
      <w:r>
        <w:rPr>
          <w:rFonts w:eastAsia="Segoe UI"/>
          <w:color w:val="0F1115"/>
          <w:shd w:val="clear" w:color="auto" w:fill="FFFFFF"/>
        </w:rPr>
        <w:t xml:space="preserve">. </w:t>
      </w:r>
    </w:p>
    <w:p w14:paraId="12D938FA" w14:textId="77777777" w:rsidR="00605785" w:rsidRDefault="00605785">
      <w:pPr>
        <w:widowControl w:val="0"/>
        <w:snapToGrid w:val="0"/>
        <w:ind w:firstLineChars="0" w:firstLine="0"/>
        <w:rPr>
          <w:rFonts w:eastAsia="Segoe UI"/>
          <w:color w:val="0F1115"/>
          <w:shd w:val="clear" w:color="auto" w:fill="FFFFFF"/>
        </w:rPr>
      </w:pPr>
    </w:p>
    <w:p w14:paraId="326B8286"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4.3</w:t>
      </w:r>
      <w:r>
        <w:rPr>
          <w:b/>
          <w:bCs/>
          <w:color w:val="0F1115"/>
          <w:shd w:val="clear" w:color="auto" w:fill="FFFFFF"/>
        </w:rPr>
        <w:t>.</w:t>
      </w:r>
      <w:r>
        <w:rPr>
          <w:rFonts w:eastAsia="Segoe UI"/>
          <w:b/>
          <w:bCs/>
          <w:color w:val="0F1115"/>
          <w:shd w:val="clear" w:color="auto" w:fill="FFFFFF"/>
        </w:rPr>
        <w:t xml:space="preserve"> Impact on </w:t>
      </w:r>
      <w:r>
        <w:rPr>
          <w:rFonts w:hint="eastAsia"/>
          <w:b/>
          <w:bCs/>
          <w:color w:val="0F1115"/>
          <w:shd w:val="clear" w:color="auto" w:fill="FFFFFF"/>
        </w:rPr>
        <w:t>f</w:t>
      </w:r>
      <w:r>
        <w:rPr>
          <w:rFonts w:eastAsia="Segoe UI"/>
          <w:b/>
          <w:bCs/>
          <w:color w:val="0F1115"/>
          <w:shd w:val="clear" w:color="auto" w:fill="FFFFFF"/>
        </w:rPr>
        <w:t xml:space="preserve">amily </w:t>
      </w:r>
      <w:r>
        <w:rPr>
          <w:rFonts w:hint="eastAsia"/>
          <w:b/>
          <w:bCs/>
          <w:color w:val="0F1115"/>
          <w:shd w:val="clear" w:color="auto" w:fill="FFFFFF"/>
        </w:rPr>
        <w:t>c</w:t>
      </w:r>
      <w:r>
        <w:rPr>
          <w:rFonts w:eastAsia="Segoe UI"/>
          <w:b/>
          <w:bCs/>
          <w:color w:val="0F1115"/>
          <w:shd w:val="clear" w:color="auto" w:fill="FFFFFF"/>
        </w:rPr>
        <w:t xml:space="preserve">are, </w:t>
      </w:r>
      <w:r>
        <w:rPr>
          <w:rFonts w:hint="eastAsia"/>
          <w:b/>
          <w:bCs/>
          <w:color w:val="0F1115"/>
          <w:shd w:val="clear" w:color="auto" w:fill="FFFFFF"/>
        </w:rPr>
        <w:t>g</w:t>
      </w:r>
      <w:r>
        <w:rPr>
          <w:rFonts w:eastAsia="Segoe UI"/>
          <w:b/>
          <w:bCs/>
          <w:color w:val="0F1115"/>
          <w:shd w:val="clear" w:color="auto" w:fill="FFFFFF"/>
        </w:rPr>
        <w:t xml:space="preserve">eneral </w:t>
      </w:r>
      <w:r>
        <w:rPr>
          <w:rFonts w:hint="eastAsia"/>
          <w:b/>
          <w:bCs/>
          <w:color w:val="0F1115"/>
          <w:shd w:val="clear" w:color="auto" w:fill="FFFFFF"/>
        </w:rPr>
        <w:t>s</w:t>
      </w:r>
      <w:r>
        <w:rPr>
          <w:rFonts w:eastAsia="Segoe UI"/>
          <w:b/>
          <w:bCs/>
          <w:color w:val="0F1115"/>
          <w:shd w:val="clear" w:color="auto" w:fill="FFFFFF"/>
        </w:rPr>
        <w:t>elf-</w:t>
      </w:r>
      <w:r>
        <w:rPr>
          <w:rFonts w:hint="eastAsia"/>
          <w:b/>
          <w:bCs/>
          <w:color w:val="0F1115"/>
          <w:shd w:val="clear" w:color="auto" w:fill="FFFFFF"/>
        </w:rPr>
        <w:t>e</w:t>
      </w:r>
      <w:r>
        <w:rPr>
          <w:rFonts w:eastAsia="Segoe UI"/>
          <w:b/>
          <w:bCs/>
          <w:color w:val="0F1115"/>
          <w:shd w:val="clear" w:color="auto" w:fill="FFFFFF"/>
        </w:rPr>
        <w:t xml:space="preserve">fficacy, and </w:t>
      </w:r>
      <w:r>
        <w:rPr>
          <w:rFonts w:hint="eastAsia"/>
          <w:b/>
          <w:bCs/>
          <w:color w:val="0F1115"/>
          <w:shd w:val="clear" w:color="auto" w:fill="FFFFFF"/>
        </w:rPr>
        <w:t>q</w:t>
      </w:r>
      <w:r>
        <w:rPr>
          <w:rFonts w:eastAsia="Segoe UI"/>
          <w:b/>
          <w:bCs/>
          <w:color w:val="0F1115"/>
          <w:shd w:val="clear" w:color="auto" w:fill="FFFFFF"/>
        </w:rPr>
        <w:t xml:space="preserve">uality of </w:t>
      </w:r>
      <w:r>
        <w:rPr>
          <w:rFonts w:hint="eastAsia"/>
          <w:b/>
          <w:bCs/>
          <w:color w:val="0F1115"/>
          <w:shd w:val="clear" w:color="auto" w:fill="FFFFFF"/>
        </w:rPr>
        <w:t>l</w:t>
      </w:r>
      <w:r>
        <w:rPr>
          <w:rFonts w:eastAsia="Segoe UI"/>
          <w:b/>
          <w:bCs/>
          <w:color w:val="0F1115"/>
          <w:shd w:val="clear" w:color="auto" w:fill="FFFFFF"/>
        </w:rPr>
        <w:t xml:space="preserve">ife </w:t>
      </w:r>
    </w:p>
    <w:p w14:paraId="617B0EE4" w14:textId="58EEEDAF"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The gradual improvement in family care levels and general self-efficacy was an important finding of this study. Family members participated in goal setting and behavioral reminders and received training in observation and emergency response, shifting from </w:t>
      </w:r>
      <w:r>
        <w:rPr>
          <w:color w:val="0F1115"/>
          <w:shd w:val="clear" w:color="auto" w:fill="FFFFFF"/>
        </w:rPr>
        <w:t>“</w:t>
      </w:r>
      <w:r>
        <w:rPr>
          <w:rFonts w:eastAsia="Segoe UI"/>
          <w:color w:val="0F1115"/>
          <w:shd w:val="clear" w:color="auto" w:fill="FFFFFF"/>
        </w:rPr>
        <w:t>managing on behalf of the patient</w:t>
      </w:r>
      <w:r>
        <w:rPr>
          <w:color w:val="0F1115"/>
          <w:shd w:val="clear" w:color="auto" w:fill="FFFFFF"/>
        </w:rPr>
        <w:t>”</w:t>
      </w:r>
      <w:r>
        <w:rPr>
          <w:rFonts w:eastAsia="Segoe UI"/>
          <w:color w:val="0F1115"/>
          <w:shd w:val="clear" w:color="auto" w:fill="FFFFFF"/>
        </w:rPr>
        <w:t xml:space="preserve"> to </w:t>
      </w:r>
      <w:r>
        <w:rPr>
          <w:color w:val="0F1115"/>
          <w:shd w:val="clear" w:color="auto" w:fill="FFFFFF"/>
        </w:rPr>
        <w:t>“</w:t>
      </w:r>
      <w:r>
        <w:rPr>
          <w:rFonts w:eastAsia="Segoe UI"/>
          <w:color w:val="0F1115"/>
          <w:shd w:val="clear" w:color="auto" w:fill="FFFFFF"/>
        </w:rPr>
        <w:t>supporting the patient in completing management</w:t>
      </w:r>
      <w:r>
        <w:rPr>
          <w:color w:val="0F1115"/>
          <w:shd w:val="clear" w:color="auto" w:fill="FFFFFF"/>
        </w:rPr>
        <w:t>”</w:t>
      </w:r>
      <w:r>
        <w:rPr>
          <w:rFonts w:eastAsia="Segoe UI"/>
          <w:color w:val="0F1115"/>
          <w:shd w:val="clear" w:color="auto" w:fill="FFFFFF"/>
        </w:rPr>
        <w:t>. This collaboration reduced blame and conflict, enhanced patients</w:t>
      </w:r>
      <w:r>
        <w:rPr>
          <w:color w:val="0F1115"/>
          <w:shd w:val="clear" w:color="auto" w:fill="FFFFFF"/>
        </w:rPr>
        <w:t>’</w:t>
      </w:r>
      <w:r>
        <w:rPr>
          <w:rFonts w:eastAsia="Segoe UI"/>
          <w:color w:val="0F1115"/>
          <w:shd w:val="clear" w:color="auto" w:fill="FFFFFF"/>
        </w:rPr>
        <w:t xml:space="preserve"> sense of control and success experiences, and aligned with evidence on family-engaged chronic disease management </w:t>
      </w:r>
      <w:r>
        <w:rPr>
          <w:rFonts w:eastAsia="Segoe UI"/>
          <w:color w:val="0F1115"/>
          <w:shd w:val="clear" w:color="auto" w:fill="FFFFFF"/>
          <w:vertAlign w:val="superscript"/>
        </w:rPr>
        <w:t>[20,21]</w:t>
      </w:r>
      <w:r>
        <w:rPr>
          <w:rFonts w:eastAsia="Segoe UI"/>
          <w:color w:val="0F1115"/>
          <w:shd w:val="clear" w:color="auto" w:fill="FFFFFF"/>
        </w:rPr>
        <w:t>. Peer case studies, staged goals, and positive feedback provided vicarious experiences, mastery experiences, and social persuasion, potentially explaining the increasing trend in self-efficacy over time</w:t>
      </w:r>
      <w:r>
        <w:rPr>
          <w:rFonts w:eastAsia="Segoe UI"/>
          <w:color w:val="0F1115"/>
          <w:shd w:val="clear" w:color="auto" w:fill="FFFFFF"/>
          <w:vertAlign w:val="superscript"/>
        </w:rPr>
        <w:t xml:space="preserve"> [22]</w:t>
      </w:r>
      <w:r>
        <w:rPr>
          <w:rFonts w:eastAsia="Segoe UI"/>
          <w:color w:val="0F1115"/>
          <w:shd w:val="clear" w:color="auto" w:fill="FFFFFF"/>
        </w:rPr>
        <w:t xml:space="preserve">. </w:t>
      </w:r>
    </w:p>
    <w:p w14:paraId="48F73438" w14:textId="612142D1" w:rsidR="00605785" w:rsidRDefault="00000000">
      <w:pPr>
        <w:widowControl w:val="0"/>
        <w:snapToGrid w:val="0"/>
        <w:ind w:firstLine="480"/>
        <w:rPr>
          <w:rFonts w:eastAsia="Segoe UI"/>
          <w:color w:val="0F1115"/>
          <w:shd w:val="clear" w:color="auto" w:fill="FFFFFF"/>
        </w:rPr>
      </w:pPr>
      <w:r>
        <w:rPr>
          <w:rFonts w:eastAsia="Segoe UI"/>
          <w:color w:val="0F1115"/>
          <w:shd w:val="clear" w:color="auto" w:fill="FFFFFF"/>
        </w:rPr>
        <w:t xml:space="preserve">The improvement in quality of life may be the cumulative result of multiple proximal changes. Better AVF maintenance reduces access abnormalities and related concerns, while enhanced self-efficacy and family support help alleviate the burden of disease management. Continuous healthcare provider contact increases security. Previous studies have also shown that vascular access experience, psychological state, and social support are closely related to the quality of life of hemodialysis patients </w:t>
      </w:r>
      <w:r>
        <w:rPr>
          <w:rFonts w:eastAsia="Segoe UI"/>
          <w:color w:val="0F1115"/>
          <w:shd w:val="clear" w:color="auto" w:fill="FFFFFF"/>
          <w:vertAlign w:val="superscript"/>
        </w:rPr>
        <w:t>[23,24]</w:t>
      </w:r>
      <w:r>
        <w:rPr>
          <w:rFonts w:eastAsia="Segoe UI"/>
          <w:color w:val="0F1115"/>
          <w:shd w:val="clear" w:color="auto" w:fill="FFFFFF"/>
        </w:rPr>
        <w:t xml:space="preserve">. Therefore, AVF interventions should not focus solely on patency rates but also incorporate patient experience and family resources into outcome evaluations. </w:t>
      </w:r>
    </w:p>
    <w:p w14:paraId="4E9B17B1" w14:textId="77777777" w:rsidR="00605785" w:rsidRDefault="00605785">
      <w:pPr>
        <w:widowControl w:val="0"/>
        <w:snapToGrid w:val="0"/>
        <w:ind w:firstLine="480"/>
        <w:rPr>
          <w:rFonts w:eastAsia="Segoe UI"/>
          <w:color w:val="0F1115"/>
          <w:shd w:val="clear" w:color="auto" w:fill="FFFFFF"/>
        </w:rPr>
      </w:pPr>
    </w:p>
    <w:p w14:paraId="2EE8C8DA"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4.4</w:t>
      </w:r>
      <w:r>
        <w:rPr>
          <w:b/>
          <w:bCs/>
          <w:color w:val="0F1115"/>
          <w:shd w:val="clear" w:color="auto" w:fill="FFFFFF"/>
        </w:rPr>
        <w:t>.</w:t>
      </w:r>
      <w:r>
        <w:rPr>
          <w:rFonts w:eastAsia="Segoe UI"/>
          <w:b/>
          <w:bCs/>
          <w:color w:val="0F1115"/>
          <w:shd w:val="clear" w:color="auto" w:fill="FFFFFF"/>
        </w:rPr>
        <w:t xml:space="preserve"> Clinical </w:t>
      </w:r>
      <w:r>
        <w:rPr>
          <w:rFonts w:hint="eastAsia"/>
          <w:b/>
          <w:bCs/>
          <w:color w:val="0F1115"/>
          <w:shd w:val="clear" w:color="auto" w:fill="FFFFFF"/>
        </w:rPr>
        <w:t>i</w:t>
      </w:r>
      <w:r>
        <w:rPr>
          <w:rFonts w:eastAsia="Segoe UI"/>
          <w:b/>
          <w:bCs/>
          <w:color w:val="0F1115"/>
          <w:shd w:val="clear" w:color="auto" w:fill="FFFFFF"/>
        </w:rPr>
        <w:t xml:space="preserve">mplications, </w:t>
      </w:r>
      <w:r>
        <w:rPr>
          <w:rFonts w:hint="eastAsia"/>
          <w:b/>
          <w:bCs/>
          <w:color w:val="0F1115"/>
          <w:shd w:val="clear" w:color="auto" w:fill="FFFFFF"/>
        </w:rPr>
        <w:t>s</w:t>
      </w:r>
      <w:r>
        <w:rPr>
          <w:rFonts w:eastAsia="Segoe UI"/>
          <w:b/>
          <w:bCs/>
          <w:color w:val="0F1115"/>
          <w:shd w:val="clear" w:color="auto" w:fill="FFFFFF"/>
        </w:rPr>
        <w:t xml:space="preserve">trengths, and </w:t>
      </w:r>
      <w:r>
        <w:rPr>
          <w:rFonts w:hint="eastAsia"/>
          <w:b/>
          <w:bCs/>
          <w:color w:val="0F1115"/>
          <w:shd w:val="clear" w:color="auto" w:fill="FFFFFF"/>
        </w:rPr>
        <w:t>l</w:t>
      </w:r>
      <w:r>
        <w:rPr>
          <w:rFonts w:eastAsia="Segoe UI"/>
          <w:b/>
          <w:bCs/>
          <w:color w:val="0F1115"/>
          <w:shd w:val="clear" w:color="auto" w:fill="FFFFFF"/>
        </w:rPr>
        <w:t xml:space="preserve">imitations </w:t>
      </w:r>
    </w:p>
    <w:p w14:paraId="336E2E16" w14:textId="7777777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This program can be integrated into routine dialysis procedures: initial assessment and skill training are completed centrally, with subsequent support provided continuously using dialysis time, family accompaniment time, and online tools, demonstrating good replicability. Age-appropriate materials, teach-back methods, and visual recording are particularly suitable for patients with slower learning speeds or requiring repeated practice </w:t>
      </w:r>
      <w:r>
        <w:rPr>
          <w:rFonts w:eastAsia="Segoe UI"/>
          <w:color w:val="0F1115"/>
          <w:shd w:val="clear" w:color="auto" w:fill="FFFFFF"/>
          <w:vertAlign w:val="superscript"/>
        </w:rPr>
        <w:t>[25]</w:t>
      </w:r>
      <w:r>
        <w:rPr>
          <w:rFonts w:eastAsia="Segoe UI"/>
          <w:color w:val="0F1115"/>
          <w:shd w:val="clear" w:color="auto" w:fill="FFFFFF"/>
        </w:rPr>
        <w:t xml:space="preserve">. When clinically promoting this program, the frequency of instruction can be adjusted based on available resources, but core components such as shared goals, self-monitoring, family collaboration, and professional feedback should be retained. </w:t>
      </w:r>
    </w:p>
    <w:p w14:paraId="24EAC222" w14:textId="77777777" w:rsidR="00605785" w:rsidRDefault="00000000">
      <w:pPr>
        <w:widowControl w:val="0"/>
        <w:snapToGrid w:val="0"/>
        <w:ind w:firstLine="480"/>
        <w:rPr>
          <w:rFonts w:eastAsia="Segoe UI"/>
          <w:color w:val="0F1115"/>
          <w:shd w:val="clear" w:color="auto" w:fill="FFFFFF"/>
        </w:rPr>
      </w:pPr>
      <w:r>
        <w:rPr>
          <w:rFonts w:eastAsia="Segoe UI"/>
          <w:color w:val="0F1115"/>
          <w:shd w:val="clear" w:color="auto" w:fill="FFFFFF"/>
        </w:rPr>
        <w:t xml:space="preserve">This study has limitations. First, it was a single-center study with a limited sample size, and the external validity of the results requires verification through multicenter studies. Second, the intervention lasted 12 weeks, making it impossible to determine long-term access patency and </w:t>
      </w:r>
      <w:r>
        <w:rPr>
          <w:rFonts w:eastAsia="Segoe UI"/>
          <w:color w:val="0F1115"/>
          <w:shd w:val="clear" w:color="auto" w:fill="FFFFFF"/>
        </w:rPr>
        <w:lastRenderedPageBreak/>
        <w:t xml:space="preserve">behavioral maintenance. Third, blinding of participants and implementers was difficult, and some outcomes were self-reported scales, potentially introducing implementation and reporting biases. Fourth, this study reported AVF abnormalities as event counts; future studies should predefine criteria for AVF abnormalities and failure, standardize the recording of first and recurrent events, and extend follow-up time to more accurately evaluate the impact of interventions on AVF complications and long-term patency. </w:t>
      </w:r>
    </w:p>
    <w:p w14:paraId="5D265868" w14:textId="77777777" w:rsidR="00605785" w:rsidRDefault="00605785">
      <w:pPr>
        <w:widowControl w:val="0"/>
        <w:snapToGrid w:val="0"/>
        <w:ind w:firstLine="480"/>
        <w:rPr>
          <w:rFonts w:eastAsia="Segoe UI"/>
          <w:color w:val="0F1115"/>
          <w:shd w:val="clear" w:color="auto" w:fill="FFFFFF"/>
        </w:rPr>
      </w:pPr>
    </w:p>
    <w:p w14:paraId="231A879E"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5</w:t>
      </w:r>
      <w:r>
        <w:rPr>
          <w:b/>
          <w:bCs/>
          <w:color w:val="0F1115"/>
          <w:shd w:val="clear" w:color="auto" w:fill="FFFFFF"/>
        </w:rPr>
        <w:t>.</w:t>
      </w:r>
      <w:r>
        <w:rPr>
          <w:rFonts w:eastAsia="Segoe UI"/>
          <w:b/>
          <w:bCs/>
          <w:color w:val="0F1115"/>
          <w:shd w:val="clear" w:color="auto" w:fill="FFFFFF"/>
        </w:rPr>
        <w:t xml:space="preserve"> Conclusion </w:t>
      </w:r>
    </w:p>
    <w:p w14:paraId="4BD17936" w14:textId="7777777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The AVF maintenance program for elderly patients on maintenance hemodialysis, constructed based on IFSMT, organically integrates age-appropriate education, self-monitoring and skill training, goal setting and feedback, family collaboration, and continuous healthcare provider support. A 12-week intervention improved AVF self-management, family care, general self-efficacy, and quality of life and may reduce AVF-related abnormalities. Future studies should further validate its effectiveness and generalizability through multicenter, long-term follow-up, and standardized event evaluation.</w:t>
      </w:r>
    </w:p>
    <w:p w14:paraId="3E23EB07" w14:textId="77777777" w:rsidR="00605785" w:rsidRDefault="00605785">
      <w:pPr>
        <w:widowControl w:val="0"/>
        <w:snapToGrid w:val="0"/>
        <w:ind w:firstLineChars="0" w:firstLine="0"/>
        <w:rPr>
          <w:rFonts w:eastAsia="Segoe UI"/>
          <w:color w:val="0F1115"/>
          <w:shd w:val="clear" w:color="auto" w:fill="FFFFFF"/>
        </w:rPr>
      </w:pPr>
    </w:p>
    <w:p w14:paraId="02FC404A" w14:textId="77777777" w:rsidR="00605785" w:rsidRDefault="00000000">
      <w:pPr>
        <w:widowControl w:val="0"/>
        <w:snapToGrid w:val="0"/>
        <w:ind w:firstLineChars="0" w:firstLine="0"/>
        <w:rPr>
          <w:rFonts w:eastAsia="Segoe UI"/>
          <w:b/>
          <w:bCs/>
          <w:color w:val="0F1115"/>
          <w:shd w:val="clear" w:color="auto" w:fill="FFFFFF"/>
        </w:rPr>
      </w:pPr>
      <w:bookmarkStart w:id="0" w:name="_Hlk181689731"/>
      <w:r>
        <w:rPr>
          <w:rFonts w:eastAsia="Segoe UI"/>
          <w:b/>
          <w:bCs/>
          <w:color w:val="0F1115"/>
          <w:shd w:val="clear" w:color="auto" w:fill="FFFFFF"/>
        </w:rPr>
        <w:t>Disclosure statement</w:t>
      </w:r>
    </w:p>
    <w:p w14:paraId="223B1B12" w14:textId="77777777" w:rsidR="00605785" w:rsidRDefault="00000000">
      <w:pPr>
        <w:widowControl w:val="0"/>
        <w:snapToGrid w:val="0"/>
        <w:ind w:firstLineChars="0" w:firstLine="0"/>
        <w:rPr>
          <w:rFonts w:eastAsia="Segoe UI"/>
          <w:color w:val="0F1115"/>
          <w:shd w:val="clear" w:color="auto" w:fill="FFFFFF"/>
        </w:rPr>
      </w:pPr>
      <w:r>
        <w:rPr>
          <w:rFonts w:eastAsia="Segoe UI"/>
          <w:color w:val="0F1115"/>
          <w:shd w:val="clear" w:color="auto" w:fill="FFFFFF"/>
        </w:rPr>
        <w:t xml:space="preserve">The authors declare no conflict of interest. </w:t>
      </w:r>
    </w:p>
    <w:bookmarkEnd w:id="0"/>
    <w:p w14:paraId="508A4041" w14:textId="77777777" w:rsidR="00605785" w:rsidRDefault="00605785">
      <w:pPr>
        <w:widowControl w:val="0"/>
        <w:snapToGrid w:val="0"/>
        <w:ind w:firstLineChars="0" w:firstLine="0"/>
        <w:rPr>
          <w:rFonts w:eastAsia="Segoe UI"/>
          <w:color w:val="0F1115"/>
          <w:shd w:val="clear" w:color="auto" w:fill="FFFFFF"/>
        </w:rPr>
      </w:pPr>
    </w:p>
    <w:p w14:paraId="62CFEFBA" w14:textId="77777777" w:rsidR="00605785" w:rsidRDefault="00000000">
      <w:pPr>
        <w:widowControl w:val="0"/>
        <w:snapToGrid w:val="0"/>
        <w:ind w:firstLineChars="0" w:firstLine="0"/>
        <w:rPr>
          <w:rFonts w:eastAsia="Segoe UI"/>
          <w:b/>
          <w:bCs/>
          <w:color w:val="0F1115"/>
          <w:shd w:val="clear" w:color="auto" w:fill="FFFFFF"/>
        </w:rPr>
      </w:pPr>
      <w:r>
        <w:rPr>
          <w:rFonts w:eastAsia="Segoe UI"/>
          <w:b/>
          <w:bCs/>
          <w:color w:val="0F1115"/>
          <w:shd w:val="clear" w:color="auto" w:fill="FFFFFF"/>
        </w:rPr>
        <w:t xml:space="preserve">References </w:t>
      </w:r>
    </w:p>
    <w:p w14:paraId="2C127770"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 </w:t>
      </w:r>
      <w:r>
        <w:rPr>
          <w:rFonts w:eastAsia="Segoe UI"/>
          <w:color w:val="0F1115"/>
          <w:shd w:val="clear" w:color="auto" w:fill="FFFFFF"/>
          <w:lang w:val="en-MY"/>
        </w:rPr>
        <w:tab/>
      </w:r>
      <w:r w:rsidRPr="00A02ED1">
        <w:rPr>
          <w:rFonts w:eastAsia="Segoe UI"/>
          <w:color w:val="0F1115"/>
          <w:shd w:val="clear" w:color="auto" w:fill="FFFFFF"/>
          <w:lang w:val="en-MY"/>
        </w:rPr>
        <w:t xml:space="preserve">Zhang Y, Yang N, Bai X, et al., 2025, Factors Affecting </w:t>
      </w:r>
      <w:proofErr w:type="spellStart"/>
      <w:r w:rsidRPr="00A02ED1">
        <w:rPr>
          <w:rFonts w:eastAsia="Segoe UI"/>
          <w:color w:val="0F1115"/>
          <w:shd w:val="clear" w:color="auto" w:fill="FFFFFF"/>
          <w:lang w:val="en-MY"/>
        </w:rPr>
        <w:t>Postdialysis</w:t>
      </w:r>
      <w:proofErr w:type="spellEnd"/>
      <w:r w:rsidRPr="00A02ED1">
        <w:rPr>
          <w:rFonts w:eastAsia="Segoe UI"/>
          <w:color w:val="0F1115"/>
          <w:shd w:val="clear" w:color="auto" w:fill="FFFFFF"/>
          <w:lang w:val="en-MY"/>
        </w:rPr>
        <w:t xml:space="preserve"> Fatigue Among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xml:space="preserve"> Patients: A Multi-Group Path Analysis According to Nutritional Status. Frontiers in Medicine, 12: 1553751.</w:t>
      </w:r>
    </w:p>
    <w:p w14:paraId="7CA14951"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 </w:t>
      </w:r>
      <w:r>
        <w:rPr>
          <w:rFonts w:eastAsia="Segoe UI"/>
          <w:color w:val="0F1115"/>
          <w:shd w:val="clear" w:color="auto" w:fill="FFFFFF"/>
          <w:lang w:val="en-MY"/>
        </w:rPr>
        <w:tab/>
      </w:r>
      <w:r w:rsidRPr="00A02ED1">
        <w:rPr>
          <w:rFonts w:eastAsia="Segoe UI"/>
          <w:color w:val="0F1115"/>
          <w:shd w:val="clear" w:color="auto" w:fill="FFFFFF"/>
          <w:lang w:val="en-MY"/>
        </w:rPr>
        <w:t xml:space="preserve">Zheng X, 2022, The Impact of Arteriovenous Fistula and Dialysis Catheter on the Survival Status of Elderly Patients on Maintenance </w:t>
      </w:r>
      <w:proofErr w:type="spellStart"/>
      <w:r w:rsidRPr="00A02ED1">
        <w:rPr>
          <w:rFonts w:eastAsia="Segoe UI"/>
          <w:color w:val="0F1115"/>
          <w:shd w:val="clear" w:color="auto" w:fill="FFFFFF"/>
          <w:lang w:val="en-MY"/>
        </w:rPr>
        <w:t>Hemodialysis</w:t>
      </w:r>
      <w:proofErr w:type="spellEnd"/>
      <w:r>
        <w:rPr>
          <w:rFonts w:eastAsia="Segoe UI"/>
          <w:color w:val="0F1115"/>
          <w:shd w:val="clear" w:color="auto" w:fill="FFFFFF"/>
          <w:lang w:val="en-MY"/>
        </w:rPr>
        <w:t>,</w:t>
      </w:r>
      <w:r w:rsidRPr="00A02ED1">
        <w:rPr>
          <w:rFonts w:eastAsia="Segoe UI"/>
          <w:color w:val="0F1115"/>
          <w:shd w:val="clear" w:color="auto" w:fill="FFFFFF"/>
          <w:lang w:val="en-MY"/>
        </w:rPr>
        <w:t xml:space="preserve"> thesis, Guangxi Medical University.</w:t>
      </w:r>
    </w:p>
    <w:p w14:paraId="3ABB207F"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[3] </w:t>
      </w:r>
      <w:r>
        <w:rPr>
          <w:rFonts w:eastAsia="Segoe UI"/>
          <w:color w:val="0F1115"/>
          <w:shd w:val="clear" w:color="auto" w:fill="FFFFFF"/>
          <w:lang w:val="en-MY"/>
        </w:rPr>
        <w:tab/>
      </w:r>
      <w:r w:rsidRPr="00A02ED1">
        <w:rPr>
          <w:rFonts w:eastAsia="Segoe UI"/>
          <w:color w:val="0F1115"/>
          <w:shd w:val="clear" w:color="auto" w:fill="FFFFFF"/>
          <w:lang w:val="en-MY"/>
        </w:rPr>
        <w:t xml:space="preserve">Ye Q, Wang S, Liu Q, et al., 2022, Research Progress on Risk Prediction Models for Autologous Arteriovenous Fistula Failure in Patients on Maintenance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Chinese Nursing Management, 22(7): 1102–1105.</w:t>
      </w:r>
    </w:p>
    <w:p w14:paraId="42B95238"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[4] </w:t>
      </w:r>
      <w:r>
        <w:rPr>
          <w:rFonts w:eastAsia="Segoe UI"/>
          <w:color w:val="0F1115"/>
          <w:shd w:val="clear" w:color="auto" w:fill="FFFFFF"/>
          <w:lang w:val="en-MY"/>
        </w:rPr>
        <w:tab/>
      </w:r>
      <w:r w:rsidRPr="00A02ED1">
        <w:rPr>
          <w:rFonts w:eastAsia="Segoe UI"/>
          <w:color w:val="0F1115"/>
          <w:shd w:val="clear" w:color="auto" w:fill="FFFFFF"/>
          <w:lang w:val="en-MY"/>
        </w:rPr>
        <w:t>Liu Q, Zhai X, Xu H, et al., 2014, Analysis of Causes and Nursing Care of Autologous Arteriovenous Fistula Occlusion in Elderly Patients. Journal of Jiujiang University (Natural Science Edition), 29(1): 100–101.</w:t>
      </w:r>
    </w:p>
    <w:p w14:paraId="0C742180"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[5] </w:t>
      </w:r>
      <w:r>
        <w:rPr>
          <w:rFonts w:eastAsia="Segoe UI"/>
          <w:color w:val="0F1115"/>
          <w:shd w:val="clear" w:color="auto" w:fill="FFFFFF"/>
          <w:lang w:val="en-MY"/>
        </w:rPr>
        <w:tab/>
      </w:r>
      <w:r w:rsidRPr="00A02ED1">
        <w:rPr>
          <w:rFonts w:eastAsia="Segoe UI"/>
          <w:color w:val="0F1115"/>
          <w:shd w:val="clear" w:color="auto" w:fill="FFFFFF"/>
          <w:lang w:val="en-MY"/>
        </w:rPr>
        <w:t xml:space="preserve">Cui J, Yan J, Tong H, et al., 2021, Analysis of the Current Status and Influencing Factors of Self-Care Ability for Arteriovenous Fistula in Patients on Maintenance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General Nursing, 19(31): 4445–4449.</w:t>
      </w:r>
    </w:p>
    <w:p w14:paraId="78E121A2"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[6] </w:t>
      </w:r>
      <w:r>
        <w:rPr>
          <w:rFonts w:eastAsia="Segoe UI"/>
          <w:color w:val="0F1115"/>
          <w:shd w:val="clear" w:color="auto" w:fill="FFFFFF"/>
          <w:lang w:val="en-MY"/>
        </w:rPr>
        <w:tab/>
      </w:r>
      <w:r w:rsidRPr="00A02ED1">
        <w:rPr>
          <w:rFonts w:eastAsia="Segoe UI"/>
          <w:color w:val="0F1115"/>
          <w:shd w:val="clear" w:color="auto" w:fill="FFFFFF"/>
          <w:lang w:val="en-MY"/>
        </w:rPr>
        <w:t>Yin Y, Jin Q, 2020, Interpretation and Discussion of the 2019 Update of the Kidney Disease Outcomes Quality Initiative: Clinical Practice Guidelines for Vascular Access. Chinese Journal of Nephrology, 36(7): 560.</w:t>
      </w:r>
    </w:p>
    <w:p w14:paraId="38187856"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[7] </w:t>
      </w:r>
      <w:r>
        <w:rPr>
          <w:rFonts w:eastAsia="Segoe UI"/>
          <w:color w:val="0F1115"/>
          <w:shd w:val="clear" w:color="auto" w:fill="FFFFFF"/>
          <w:lang w:val="en-MY"/>
        </w:rPr>
        <w:tab/>
      </w:r>
      <w:r w:rsidRPr="00A02ED1">
        <w:rPr>
          <w:rFonts w:eastAsia="Segoe UI"/>
          <w:color w:val="0F1115"/>
          <w:shd w:val="clear" w:color="auto" w:fill="FFFFFF"/>
          <w:lang w:val="en-MY"/>
        </w:rPr>
        <w:t>Ryan P, Sawin K, 2009, The Individual and Family Self-Management Theory: Background and Perspectives on Context, Process, and Outcomes. Nursing Outlook, 57(4): 217–225.</w:t>
      </w:r>
    </w:p>
    <w:p w14:paraId="7C2162F1"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[8] </w:t>
      </w:r>
      <w:r>
        <w:rPr>
          <w:rFonts w:eastAsia="Segoe UI"/>
          <w:color w:val="0F1115"/>
          <w:shd w:val="clear" w:color="auto" w:fill="FFFFFF"/>
          <w:lang w:val="en-MY"/>
        </w:rPr>
        <w:tab/>
      </w:r>
      <w:r w:rsidRPr="00A02ED1">
        <w:rPr>
          <w:rFonts w:eastAsia="Segoe UI"/>
          <w:color w:val="0F1115"/>
          <w:shd w:val="clear" w:color="auto" w:fill="FFFFFF"/>
          <w:lang w:val="en-MY"/>
        </w:rPr>
        <w:t xml:space="preserve">Jiang H, 2019, Development of a Self-Management Scale for Autologous Arteriovenous Fistula in Patients on Maintenance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thesis, Shandong University.</w:t>
      </w:r>
    </w:p>
    <w:p w14:paraId="509FAFCB"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[9] </w:t>
      </w:r>
      <w:r>
        <w:rPr>
          <w:rFonts w:eastAsia="Segoe UI"/>
          <w:color w:val="0F1115"/>
          <w:shd w:val="clear" w:color="auto" w:fill="FFFFFF"/>
          <w:lang w:val="en-MY"/>
        </w:rPr>
        <w:tab/>
      </w:r>
      <w:r w:rsidRPr="00A02ED1">
        <w:rPr>
          <w:rFonts w:eastAsia="Segoe UI"/>
          <w:color w:val="0F1115"/>
          <w:shd w:val="clear" w:color="auto" w:fill="FFFFFF"/>
          <w:lang w:val="en-MY"/>
        </w:rPr>
        <w:t xml:space="preserve">Wang C, Hu Z, Liu Y, 2001, A Study on the Reliability and Validity of the General Self-Efficacy Scale. Applied Psychology, </w:t>
      </w:r>
      <w:r>
        <w:rPr>
          <w:rFonts w:eastAsia="Segoe UI"/>
          <w:color w:val="0F1115"/>
          <w:shd w:val="clear" w:color="auto" w:fill="FFFFFF"/>
          <w:lang w:val="en-MY"/>
        </w:rPr>
        <w:t>2001</w:t>
      </w:r>
      <w:r w:rsidRPr="00A02ED1">
        <w:rPr>
          <w:rFonts w:eastAsia="Segoe UI"/>
          <w:color w:val="0F1115"/>
          <w:shd w:val="clear" w:color="auto" w:fill="FFFFFF"/>
          <w:lang w:val="en-MY"/>
        </w:rPr>
        <w:t>(1): 37–40.</w:t>
      </w:r>
    </w:p>
    <w:p w14:paraId="67EE897A"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[10] </w:t>
      </w:r>
      <w:r>
        <w:rPr>
          <w:rFonts w:eastAsia="Segoe UI"/>
          <w:color w:val="0F1115"/>
          <w:shd w:val="clear" w:color="auto" w:fill="FFFFFF"/>
          <w:lang w:val="en-MY"/>
        </w:rPr>
        <w:tab/>
      </w:r>
      <w:r w:rsidRPr="00A02ED1">
        <w:rPr>
          <w:rFonts w:eastAsia="Segoe UI"/>
          <w:color w:val="0F1115"/>
          <w:shd w:val="clear" w:color="auto" w:fill="FFFFFF"/>
          <w:lang w:val="en-MY"/>
        </w:rPr>
        <w:t xml:space="preserve">Ye W, Xu J, 1993, An Investigation of Anxiety and Depression in 100 Hospitalized Patients with Heart Disease. Shanghai Archives of Psychiatry, </w:t>
      </w:r>
      <w:r>
        <w:rPr>
          <w:rFonts w:eastAsia="Segoe UI"/>
          <w:color w:val="0F1115"/>
          <w:shd w:val="clear" w:color="auto" w:fill="FFFFFF"/>
          <w:lang w:val="en-MY"/>
        </w:rPr>
        <w:t>1993</w:t>
      </w:r>
      <w:r w:rsidRPr="00A02ED1">
        <w:rPr>
          <w:rFonts w:eastAsia="Segoe UI"/>
          <w:color w:val="0F1115"/>
          <w:shd w:val="clear" w:color="auto" w:fill="FFFFFF"/>
          <w:lang w:val="en-MY"/>
        </w:rPr>
        <w:t>(4): 253–255.</w:t>
      </w:r>
    </w:p>
    <w:p w14:paraId="4CE51640"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[11] </w:t>
      </w:r>
      <w:r>
        <w:rPr>
          <w:rFonts w:eastAsia="Segoe UI"/>
          <w:color w:val="0F1115"/>
          <w:shd w:val="clear" w:color="auto" w:fill="FFFFFF"/>
          <w:lang w:val="en-MY"/>
        </w:rPr>
        <w:tab/>
      </w:r>
      <w:r w:rsidRPr="00A02ED1">
        <w:rPr>
          <w:rFonts w:eastAsia="Segoe UI"/>
          <w:color w:val="0F1115"/>
          <w:shd w:val="clear" w:color="auto" w:fill="FFFFFF"/>
          <w:lang w:val="en-MY"/>
        </w:rPr>
        <w:t xml:space="preserve">Gu Y, </w:t>
      </w:r>
      <w:proofErr w:type="spellStart"/>
      <w:r w:rsidRPr="00A02ED1">
        <w:rPr>
          <w:rFonts w:eastAsia="Segoe UI"/>
          <w:color w:val="0F1115"/>
          <w:shd w:val="clear" w:color="auto" w:fill="FFFFFF"/>
          <w:lang w:val="en-MY"/>
        </w:rPr>
        <w:t>Lv</w:t>
      </w:r>
      <w:proofErr w:type="spellEnd"/>
      <w:r w:rsidRPr="00A02ED1">
        <w:rPr>
          <w:rFonts w:eastAsia="Segoe UI"/>
          <w:color w:val="0F1115"/>
          <w:shd w:val="clear" w:color="auto" w:fill="FFFFFF"/>
          <w:lang w:val="en-MY"/>
        </w:rPr>
        <w:t xml:space="preserve"> F, 1995, The Family APGAR Questionnaire and Its Clinical Application. Foreign Medical Sciences (Hospital Administration Branch), </w:t>
      </w:r>
      <w:r>
        <w:rPr>
          <w:rFonts w:eastAsia="Segoe UI"/>
          <w:color w:val="0F1115"/>
          <w:shd w:val="clear" w:color="auto" w:fill="FFFFFF"/>
          <w:lang w:val="en-MY"/>
        </w:rPr>
        <w:t>1995</w:t>
      </w:r>
      <w:r w:rsidRPr="00A02ED1">
        <w:rPr>
          <w:rFonts w:eastAsia="Segoe UI"/>
          <w:color w:val="0F1115"/>
          <w:shd w:val="clear" w:color="auto" w:fill="FFFFFF"/>
          <w:lang w:val="en-MY"/>
        </w:rPr>
        <w:t>(2): 56–59.</w:t>
      </w:r>
    </w:p>
    <w:p w14:paraId="0050F837"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[12] </w:t>
      </w:r>
      <w:r>
        <w:rPr>
          <w:rFonts w:eastAsia="Segoe UI"/>
          <w:color w:val="0F1115"/>
          <w:shd w:val="clear" w:color="auto" w:fill="FFFFFF"/>
          <w:lang w:val="en-MY"/>
        </w:rPr>
        <w:tab/>
      </w:r>
      <w:r w:rsidRPr="00A02ED1">
        <w:rPr>
          <w:rFonts w:eastAsia="Segoe UI"/>
          <w:color w:val="0F1115"/>
          <w:shd w:val="clear" w:color="auto" w:fill="FFFFFF"/>
          <w:lang w:val="en-MY"/>
        </w:rPr>
        <w:t xml:space="preserve">Jin Q, Wang Y, Ye Z, et al., 2019, Expert Consensus on Vascular Access for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xml:space="preserve"> in China (2nd Edition). Chinese Journal of Blood Purification, 18(6): 365–381.</w:t>
      </w:r>
    </w:p>
    <w:p w14:paraId="0E6669DB"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[13] </w:t>
      </w:r>
      <w:r>
        <w:rPr>
          <w:rFonts w:eastAsia="Segoe UI"/>
          <w:color w:val="0F1115"/>
          <w:shd w:val="clear" w:color="auto" w:fill="FFFFFF"/>
          <w:lang w:val="en-MY"/>
        </w:rPr>
        <w:tab/>
      </w:r>
      <w:r w:rsidRPr="00A02ED1">
        <w:rPr>
          <w:rFonts w:eastAsia="Segoe UI"/>
          <w:color w:val="0F1115"/>
          <w:shd w:val="clear" w:color="auto" w:fill="FFFFFF"/>
          <w:lang w:val="en-MY"/>
        </w:rPr>
        <w:t>Wang H, Yao M, Zhang Y, et al., 2023, A Study on the Effect of Applying Root Cause Analysis to Optimize the Management of Patients with Autologous Arteriovenous Fistula. Journal of Nursing Administration, 23(4): 286–289.</w:t>
      </w:r>
    </w:p>
    <w:p w14:paraId="40004F91"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[14] </w:t>
      </w:r>
      <w:r>
        <w:rPr>
          <w:rFonts w:eastAsia="Segoe UI"/>
          <w:color w:val="0F1115"/>
          <w:shd w:val="clear" w:color="auto" w:fill="FFFFFF"/>
          <w:lang w:val="en-MY"/>
        </w:rPr>
        <w:tab/>
      </w:r>
      <w:r w:rsidRPr="00A02ED1">
        <w:rPr>
          <w:rFonts w:eastAsia="Segoe UI"/>
          <w:color w:val="0F1115"/>
          <w:shd w:val="clear" w:color="auto" w:fill="FFFFFF"/>
          <w:lang w:val="en-MY"/>
        </w:rPr>
        <w:t xml:space="preserve">Pisoni R, </w:t>
      </w:r>
      <w:proofErr w:type="spellStart"/>
      <w:r w:rsidRPr="00A02ED1">
        <w:rPr>
          <w:rFonts w:eastAsia="Segoe UI"/>
          <w:color w:val="0F1115"/>
          <w:shd w:val="clear" w:color="auto" w:fill="FFFFFF"/>
          <w:lang w:val="en-MY"/>
        </w:rPr>
        <w:t>Zepel</w:t>
      </w:r>
      <w:proofErr w:type="spellEnd"/>
      <w:r w:rsidRPr="00A02ED1">
        <w:rPr>
          <w:rFonts w:eastAsia="Segoe UI"/>
          <w:color w:val="0F1115"/>
          <w:shd w:val="clear" w:color="auto" w:fill="FFFFFF"/>
          <w:lang w:val="en-MY"/>
        </w:rPr>
        <w:t xml:space="preserve"> L, Zhao J, et al., 2021, International Comparisons of Native Arteriovenous </w:t>
      </w:r>
      <w:r w:rsidRPr="00A02ED1">
        <w:rPr>
          <w:rFonts w:eastAsia="Segoe UI"/>
          <w:color w:val="0F1115"/>
          <w:shd w:val="clear" w:color="auto" w:fill="FFFFFF"/>
          <w:lang w:val="en-MY"/>
        </w:rPr>
        <w:lastRenderedPageBreak/>
        <w:t xml:space="preserve">Fistula Patency and Time to Becoming Catheter-Free: Findings </w:t>
      </w:r>
      <w:r>
        <w:rPr>
          <w:rFonts w:eastAsia="Segoe UI"/>
          <w:color w:val="0F1115"/>
          <w:shd w:val="clear" w:color="auto" w:fill="FFFFFF"/>
          <w:lang w:val="en-MY"/>
        </w:rPr>
        <w:t>f</w:t>
      </w:r>
      <w:r w:rsidRPr="00A02ED1">
        <w:rPr>
          <w:rFonts w:eastAsia="Segoe UI"/>
          <w:color w:val="0F1115"/>
          <w:shd w:val="clear" w:color="auto" w:fill="FFFFFF"/>
          <w:lang w:val="en-MY"/>
        </w:rPr>
        <w:t>rom the Dialysis Outcomes and Practice Patterns Study (DOPPS). American Journal of Kidney Diseases, 77(2): 245–254.</w:t>
      </w:r>
    </w:p>
    <w:p w14:paraId="1CBF2754"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[15] </w:t>
      </w:r>
      <w:r>
        <w:rPr>
          <w:rFonts w:eastAsia="Segoe UI"/>
          <w:color w:val="0F1115"/>
          <w:shd w:val="clear" w:color="auto" w:fill="FFFFFF"/>
          <w:lang w:val="en-MY"/>
        </w:rPr>
        <w:tab/>
      </w:r>
      <w:r w:rsidRPr="00A02ED1">
        <w:rPr>
          <w:rFonts w:eastAsia="Segoe UI"/>
          <w:color w:val="0F1115"/>
          <w:shd w:val="clear" w:color="auto" w:fill="FFFFFF"/>
          <w:lang w:val="en-MY"/>
        </w:rPr>
        <w:t xml:space="preserve">Huang X, Zhang Y, Zhang L, et al., 2005, Quality of Life and Influencing Factors in Patients on Maintenance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xml:space="preserve"> in Wuhan. Chinese Journal of Nephrology, </w:t>
      </w:r>
      <w:r>
        <w:rPr>
          <w:rFonts w:eastAsia="Segoe UI"/>
          <w:color w:val="0F1115"/>
          <w:shd w:val="clear" w:color="auto" w:fill="FFFFFF"/>
          <w:lang w:val="en-MY"/>
        </w:rPr>
        <w:t>2005</w:t>
      </w:r>
      <w:r w:rsidRPr="00A02ED1">
        <w:rPr>
          <w:rFonts w:eastAsia="Segoe UI"/>
          <w:color w:val="0F1115"/>
          <w:shd w:val="clear" w:color="auto" w:fill="FFFFFF"/>
          <w:lang w:val="en-MY"/>
        </w:rPr>
        <w:t>(2): 29–30.</w:t>
      </w:r>
    </w:p>
    <w:p w14:paraId="0E690895"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[16] </w:t>
      </w:r>
      <w:r>
        <w:rPr>
          <w:rFonts w:eastAsia="Segoe UI"/>
          <w:color w:val="0F1115"/>
          <w:shd w:val="clear" w:color="auto" w:fill="FFFFFF"/>
          <w:lang w:val="en-MY"/>
        </w:rPr>
        <w:tab/>
      </w:r>
      <w:r w:rsidRPr="00A02ED1">
        <w:rPr>
          <w:rFonts w:eastAsia="Segoe UI"/>
          <w:color w:val="0F1115"/>
          <w:shd w:val="clear" w:color="auto" w:fill="FFFFFF"/>
          <w:lang w:val="en-MY"/>
        </w:rPr>
        <w:t xml:space="preserve">Peng M, Xu J, Zhou Q, et al., 2019, Situational Factor Analysis of Foot Self-Management </w:t>
      </w:r>
      <w:proofErr w:type="spellStart"/>
      <w:r w:rsidRPr="00A02ED1">
        <w:rPr>
          <w:rFonts w:eastAsia="Segoe UI"/>
          <w:color w:val="0F1115"/>
          <w:shd w:val="clear" w:color="auto" w:fill="FFFFFF"/>
          <w:lang w:val="en-MY"/>
        </w:rPr>
        <w:t>Behaviors</w:t>
      </w:r>
      <w:proofErr w:type="spellEnd"/>
      <w:r w:rsidRPr="00A02ED1">
        <w:rPr>
          <w:rFonts w:eastAsia="Segoe UI"/>
          <w:color w:val="0F1115"/>
          <w:shd w:val="clear" w:color="auto" w:fill="FFFFFF"/>
          <w:lang w:val="en-MY"/>
        </w:rPr>
        <w:t xml:space="preserve"> in Patients with Type 2 Diabetes Based on the Individual and Family Self-Management Theory. Journal of PLA Nursing, 36(2): 21–25.</w:t>
      </w:r>
    </w:p>
    <w:p w14:paraId="354E0537"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[17] </w:t>
      </w:r>
      <w:r>
        <w:rPr>
          <w:rFonts w:eastAsia="Segoe UI"/>
          <w:color w:val="0F1115"/>
          <w:shd w:val="clear" w:color="auto" w:fill="FFFFFF"/>
          <w:lang w:val="en-MY"/>
        </w:rPr>
        <w:tab/>
      </w:r>
      <w:r w:rsidRPr="00A02ED1">
        <w:rPr>
          <w:rFonts w:eastAsia="Segoe UI"/>
          <w:color w:val="0F1115"/>
          <w:shd w:val="clear" w:color="auto" w:fill="FFFFFF"/>
          <w:lang w:val="en-MY"/>
        </w:rPr>
        <w:t>Misra T, Chanderkanta, Yadav S, et al., 2026, Impact of a Structured Group Education Model to Promote Self-Surveillance and Early Detection of Fistula Dysfunction in Dialysis Patients. Indian Journal of Vascular and Endovascular Surgery, 13(1): 54–57.</w:t>
      </w:r>
    </w:p>
    <w:p w14:paraId="63A2587E"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[18] </w:t>
      </w:r>
      <w:r>
        <w:rPr>
          <w:rFonts w:eastAsia="Segoe UI"/>
          <w:color w:val="0F1115"/>
          <w:shd w:val="clear" w:color="auto" w:fill="FFFFFF"/>
          <w:lang w:val="en-MY"/>
        </w:rPr>
        <w:tab/>
      </w:r>
      <w:r w:rsidRPr="00A02ED1">
        <w:rPr>
          <w:rFonts w:eastAsia="Segoe UI"/>
          <w:color w:val="0F1115"/>
          <w:shd w:val="clear" w:color="auto" w:fill="FFFFFF"/>
          <w:lang w:val="en-MY"/>
        </w:rPr>
        <w:t xml:space="preserve">Stoecker J, Li X, Clark T, et al., 2023, Dialysis Access-Associated Steal Syndrome and Management. </w:t>
      </w:r>
      <w:proofErr w:type="spellStart"/>
      <w:r w:rsidRPr="00A02ED1">
        <w:rPr>
          <w:rFonts w:eastAsia="Segoe UI"/>
          <w:color w:val="0F1115"/>
          <w:shd w:val="clear" w:color="auto" w:fill="FFFFFF"/>
          <w:lang w:val="en-MY"/>
        </w:rPr>
        <w:t>CardioVascular</w:t>
      </w:r>
      <w:proofErr w:type="spellEnd"/>
      <w:r w:rsidRPr="00A02ED1">
        <w:rPr>
          <w:rFonts w:eastAsia="Segoe UI"/>
          <w:color w:val="0F1115"/>
          <w:shd w:val="clear" w:color="auto" w:fill="FFFFFF"/>
          <w:lang w:val="en-MY"/>
        </w:rPr>
        <w:t xml:space="preserve"> and Interventional Radiology, 46(9): 1168–1181.</w:t>
      </w:r>
    </w:p>
    <w:p w14:paraId="39B66B8D"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[19] </w:t>
      </w:r>
      <w:r>
        <w:rPr>
          <w:rFonts w:eastAsia="Segoe UI"/>
          <w:color w:val="0F1115"/>
          <w:shd w:val="clear" w:color="auto" w:fill="FFFFFF"/>
          <w:lang w:val="en-MY"/>
        </w:rPr>
        <w:tab/>
      </w:r>
      <w:r w:rsidRPr="00A02ED1">
        <w:rPr>
          <w:rFonts w:eastAsia="Segoe UI"/>
          <w:color w:val="0F1115"/>
          <w:shd w:val="clear" w:color="auto" w:fill="FFFFFF"/>
          <w:lang w:val="en-MY"/>
        </w:rPr>
        <w:t>Tian J, Wang H, Peng S, et al., 2024, Experiences of Older People with Multimorbidity Regarding Self-Management of Diseases: A Systematic Review and Qualitative Meta-Synthesis. International Journal of Nursing Practice, 30(5): e13289.</w:t>
      </w:r>
    </w:p>
    <w:p w14:paraId="4DC50BA5"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[20] </w:t>
      </w:r>
      <w:r>
        <w:rPr>
          <w:rFonts w:eastAsia="Segoe UI"/>
          <w:color w:val="0F1115"/>
          <w:shd w:val="clear" w:color="auto" w:fill="FFFFFF"/>
          <w:lang w:val="en-MY"/>
        </w:rPr>
        <w:tab/>
      </w:r>
      <w:r w:rsidRPr="00A02ED1">
        <w:rPr>
          <w:rFonts w:eastAsia="Segoe UI"/>
          <w:color w:val="0F1115"/>
          <w:shd w:val="clear" w:color="auto" w:fill="FFFFFF"/>
          <w:lang w:val="en-MY"/>
        </w:rPr>
        <w:t xml:space="preserve">Guo Y, Su L, </w:t>
      </w:r>
      <w:proofErr w:type="spellStart"/>
      <w:r w:rsidRPr="00A02ED1">
        <w:rPr>
          <w:rFonts w:eastAsia="Segoe UI"/>
          <w:color w:val="0F1115"/>
          <w:shd w:val="clear" w:color="auto" w:fill="FFFFFF"/>
          <w:lang w:val="en-MY"/>
        </w:rPr>
        <w:t>Lv</w:t>
      </w:r>
      <w:proofErr w:type="spellEnd"/>
      <w:r w:rsidRPr="00A02ED1">
        <w:rPr>
          <w:rFonts w:eastAsia="Segoe UI"/>
          <w:color w:val="0F1115"/>
          <w:shd w:val="clear" w:color="auto" w:fill="FFFFFF"/>
          <w:lang w:val="en-MY"/>
        </w:rPr>
        <w:t xml:space="preserve"> X, et al., 2025, A Qualitative Study on the Facilitating and Barrier Factors of Family Participation in Medication Safety for Elderly Patients with Multiple Chronic Conditions. Chinese Journal of Nursing, 60(10): 1244–1250.</w:t>
      </w:r>
    </w:p>
    <w:p w14:paraId="03DBD8B8"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[21] </w:t>
      </w:r>
      <w:r>
        <w:rPr>
          <w:rFonts w:eastAsia="Segoe UI"/>
          <w:color w:val="0F1115"/>
          <w:shd w:val="clear" w:color="auto" w:fill="FFFFFF"/>
          <w:lang w:val="en-MY"/>
        </w:rPr>
        <w:tab/>
      </w:r>
      <w:r w:rsidRPr="00A02ED1">
        <w:rPr>
          <w:rFonts w:eastAsia="Segoe UI"/>
          <w:color w:val="0F1115"/>
          <w:shd w:val="clear" w:color="auto" w:fill="FFFFFF"/>
          <w:lang w:val="en-MY"/>
        </w:rPr>
        <w:t>Zhang Y, Zhu H, Long Y, et al., 2025, Construction and Application of a Self-Management Program for Patients After Sphincter-Preserving Surgery for Rectal Cancer. Chinese Nursing Management, 25(1): 145–150.</w:t>
      </w:r>
    </w:p>
    <w:p w14:paraId="136B990C"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[22] </w:t>
      </w:r>
      <w:r>
        <w:rPr>
          <w:rFonts w:eastAsia="Segoe UI"/>
          <w:color w:val="0F1115"/>
          <w:shd w:val="clear" w:color="auto" w:fill="FFFFFF"/>
          <w:lang w:val="en-MY"/>
        </w:rPr>
        <w:tab/>
      </w:r>
      <w:r w:rsidRPr="00A02ED1">
        <w:rPr>
          <w:rFonts w:eastAsia="Segoe UI"/>
          <w:color w:val="0F1115"/>
          <w:shd w:val="clear" w:color="auto" w:fill="FFFFFF"/>
          <w:lang w:val="en-MY"/>
        </w:rPr>
        <w:t>Wang Y, Sang W, Jia G, et al., 2022, Analysis of the Current Status and Influencing Factors of Exercise Fear in Patients with First-Episode Acute Myocardial Infarction. Chinese Nursing Management, 22(1): 63–69.</w:t>
      </w:r>
    </w:p>
    <w:p w14:paraId="7D8DF50C"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[23] </w:t>
      </w:r>
      <w:r>
        <w:rPr>
          <w:rFonts w:eastAsia="Segoe UI"/>
          <w:color w:val="0F1115"/>
          <w:shd w:val="clear" w:color="auto" w:fill="FFFFFF"/>
          <w:lang w:val="en-MY"/>
        </w:rPr>
        <w:tab/>
      </w:r>
      <w:r w:rsidRPr="00A02ED1">
        <w:rPr>
          <w:rFonts w:eastAsia="Segoe UI"/>
          <w:color w:val="0F1115"/>
          <w:shd w:val="clear" w:color="auto" w:fill="FFFFFF"/>
          <w:lang w:val="en-MY"/>
        </w:rPr>
        <w:t xml:space="preserve">Romano-Zelekha O, Golan E, Ifrah A, et al., 2017, Differences in Quality of Life Between Jewish and Arab Patients on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Quality of Life Research, 26(12): 3343–3352.</w:t>
      </w:r>
    </w:p>
    <w:p w14:paraId="09C4E50F" w14:textId="77777777" w:rsid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[24] </w:t>
      </w:r>
      <w:r>
        <w:rPr>
          <w:rFonts w:eastAsia="Segoe UI"/>
          <w:color w:val="0F1115"/>
          <w:shd w:val="clear" w:color="auto" w:fill="FFFFFF"/>
          <w:lang w:val="en-MY"/>
        </w:rPr>
        <w:tab/>
      </w:r>
      <w:r w:rsidRPr="00A02ED1">
        <w:rPr>
          <w:rFonts w:eastAsia="Segoe UI"/>
          <w:color w:val="0F1115"/>
          <w:shd w:val="clear" w:color="auto" w:fill="FFFFFF"/>
          <w:lang w:val="en-MY"/>
        </w:rPr>
        <w:t xml:space="preserve">Nordyke R, Nicholson G, Gage S, et al., 2020, Vascular Access-Specific Health-Related Quality of Life Impacts Among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xml:space="preserve"> Patients: Qualitative Development of the </w:t>
      </w:r>
      <w:proofErr w:type="spellStart"/>
      <w:r w:rsidRPr="00A02ED1">
        <w:rPr>
          <w:rFonts w:eastAsia="Segoe UI"/>
          <w:color w:val="0F1115"/>
          <w:shd w:val="clear" w:color="auto" w:fill="FFFFFF"/>
          <w:lang w:val="en-MY"/>
        </w:rPr>
        <w:t>Hemodialysis</w:t>
      </w:r>
      <w:proofErr w:type="spellEnd"/>
      <w:r w:rsidRPr="00A02ED1">
        <w:rPr>
          <w:rFonts w:eastAsia="Segoe UI"/>
          <w:color w:val="0F1115"/>
          <w:shd w:val="clear" w:color="auto" w:fill="FFFFFF"/>
          <w:lang w:val="en-MY"/>
        </w:rPr>
        <w:t xml:space="preserve"> Access-Related Quality of Life (HARQ) Instrument. BMC Nephrology, 21(1): 16.</w:t>
      </w:r>
    </w:p>
    <w:p w14:paraId="2140DD25" w14:textId="61943049" w:rsidR="00A02ED1" w:rsidRPr="00A02ED1" w:rsidRDefault="00A02ED1" w:rsidP="00A02ED1">
      <w:pPr>
        <w:widowControl w:val="0"/>
        <w:snapToGrid w:val="0"/>
        <w:ind w:left="709" w:firstLineChars="0" w:hanging="709"/>
        <w:rPr>
          <w:rFonts w:eastAsia="Segoe UI"/>
          <w:color w:val="0F1115"/>
          <w:shd w:val="clear" w:color="auto" w:fill="FFFFFF"/>
          <w:lang w:val="en-MY"/>
        </w:rPr>
      </w:pPr>
      <w:r w:rsidRPr="00A02ED1">
        <w:rPr>
          <w:rFonts w:eastAsia="Segoe UI"/>
          <w:color w:val="0F1115"/>
          <w:shd w:val="clear" w:color="auto" w:fill="FFFFFF"/>
          <w:lang w:val="en-MY"/>
        </w:rPr>
        <w:t xml:space="preserve">[25] </w:t>
      </w:r>
      <w:r>
        <w:rPr>
          <w:rFonts w:eastAsia="Segoe UI"/>
          <w:color w:val="0F1115"/>
          <w:shd w:val="clear" w:color="auto" w:fill="FFFFFF"/>
          <w:lang w:val="en-MY"/>
        </w:rPr>
        <w:tab/>
      </w:r>
      <w:r w:rsidRPr="00A02ED1">
        <w:rPr>
          <w:rFonts w:eastAsia="Segoe UI"/>
          <w:color w:val="0F1115"/>
          <w:shd w:val="clear" w:color="auto" w:fill="FFFFFF"/>
          <w:lang w:val="en-MY"/>
        </w:rPr>
        <w:t>Luo Y, Cheng Y, Luo R, et al., 2022, A Qualitative Study on the Home Rehabilitation Experience of Patients with Osteoporotic Vertebral Compression Fractures After Surgery. Chinese Journal of Nursing, 57(10): 1165–1171.</w:t>
      </w:r>
    </w:p>
    <w:p w14:paraId="52D30AEA" w14:textId="77777777" w:rsidR="00A02ED1" w:rsidRDefault="00A02ED1">
      <w:pPr>
        <w:widowControl w:val="0"/>
        <w:snapToGrid w:val="0"/>
        <w:ind w:firstLineChars="0" w:firstLine="0"/>
        <w:rPr>
          <w:rFonts w:eastAsia="Segoe UI"/>
          <w:color w:val="0F1115"/>
          <w:shd w:val="clear" w:color="auto" w:fill="FFFFFF"/>
        </w:rPr>
      </w:pPr>
    </w:p>
    <w:p w14:paraId="6596E4CB" w14:textId="77777777" w:rsidR="00A02ED1" w:rsidRDefault="00A02ED1">
      <w:pPr>
        <w:widowControl w:val="0"/>
        <w:snapToGrid w:val="0"/>
        <w:ind w:firstLineChars="0" w:firstLine="0"/>
        <w:rPr>
          <w:rFonts w:eastAsia="Segoe UI"/>
          <w:color w:val="0F1115"/>
          <w:shd w:val="clear" w:color="auto" w:fill="FFFFFF"/>
        </w:rPr>
      </w:pPr>
    </w:p>
    <w:p w14:paraId="159F84C5" w14:textId="77777777" w:rsidR="00A02ED1" w:rsidRPr="00A02ED1" w:rsidRDefault="00A02ED1" w:rsidP="00A02ED1">
      <w:pPr>
        <w:widowControl w:val="0"/>
        <w:snapToGrid w:val="0"/>
        <w:ind w:firstLineChars="0" w:firstLine="0"/>
        <w:rPr>
          <w:rFonts w:eastAsia="Segoe UI"/>
          <w:b/>
          <w:bCs/>
          <w:color w:val="0F1115"/>
          <w:sz w:val="20"/>
          <w:szCs w:val="20"/>
          <w:shd w:val="clear" w:color="auto" w:fill="FFFFFF"/>
        </w:rPr>
      </w:pPr>
      <w:r w:rsidRPr="00A02ED1">
        <w:rPr>
          <w:rFonts w:eastAsia="Segoe UI"/>
          <w:b/>
          <w:bCs/>
          <w:color w:val="0F1115"/>
          <w:sz w:val="20"/>
          <w:szCs w:val="20"/>
          <w:shd w:val="clear" w:color="auto" w:fill="FFFFFF"/>
        </w:rPr>
        <w:t>Publisher’s note</w:t>
      </w:r>
    </w:p>
    <w:p w14:paraId="2F5BB955" w14:textId="23B5458C" w:rsidR="00A02ED1" w:rsidRPr="00A02ED1" w:rsidRDefault="00A02ED1" w:rsidP="00A02ED1">
      <w:pPr>
        <w:widowControl w:val="0"/>
        <w:snapToGrid w:val="0"/>
        <w:ind w:firstLineChars="0" w:firstLine="0"/>
        <w:rPr>
          <w:rFonts w:eastAsia="Segoe UI"/>
          <w:color w:val="0F1115"/>
          <w:sz w:val="20"/>
          <w:szCs w:val="20"/>
          <w:shd w:val="clear" w:color="auto" w:fill="FFFFFF"/>
        </w:rPr>
      </w:pPr>
      <w:r w:rsidRPr="00A02ED1">
        <w:rPr>
          <w:rFonts w:eastAsia="Segoe UI"/>
          <w:color w:val="0F1115"/>
          <w:sz w:val="20"/>
          <w:szCs w:val="20"/>
          <w:shd w:val="clear" w:color="auto" w:fill="FFFFFF"/>
        </w:rPr>
        <w:t>Bio-Byword Scientific Publishing remains neutral with regard to jurisdictional claims in published maps and institutional affiliations</w:t>
      </w:r>
    </w:p>
    <w:sectPr w:rsidR="00A02ED1" w:rsidRPr="00A02ED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825A" w14:textId="77777777" w:rsidR="008B7407" w:rsidRDefault="008B7407">
      <w:pPr>
        <w:ind w:firstLine="480"/>
      </w:pPr>
      <w:r>
        <w:separator/>
      </w:r>
    </w:p>
  </w:endnote>
  <w:endnote w:type="continuationSeparator" w:id="0">
    <w:p w14:paraId="49815DDC" w14:textId="77777777" w:rsidR="008B7407" w:rsidRDefault="008B740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embedRegular r:id="rId1" w:fontKey="{DA838F5F-821D-4E84-9D78-9DA96D68C7BD}"/>
    <w:embedItalic r:id="rId2" w:fontKey="{8E58F2C9-F85A-4AE8-8AB0-39A469EB36B7}"/>
    <w:embedBoldItalic r:id="rId3" w:fontKey="{BBEF8F7D-BF51-485D-998A-A630F2B38939}"/>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2ACE" w14:textId="77777777" w:rsidR="008B7407" w:rsidRDefault="008B7407">
      <w:pPr>
        <w:ind w:firstLine="480"/>
      </w:pPr>
      <w:r>
        <w:separator/>
      </w:r>
    </w:p>
  </w:footnote>
  <w:footnote w:type="continuationSeparator" w:id="0">
    <w:p w14:paraId="300D5DE6" w14:textId="77777777" w:rsidR="008B7407" w:rsidRDefault="008B7407">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2335848"/>
    <w:rsid w:val="00336643"/>
    <w:rsid w:val="00605785"/>
    <w:rsid w:val="008B7407"/>
    <w:rsid w:val="00A02ED1"/>
    <w:rsid w:val="00AB730B"/>
    <w:rsid w:val="00D83FF6"/>
    <w:rsid w:val="00DB2747"/>
    <w:rsid w:val="00F6231A"/>
    <w:rsid w:val="2D541EEA"/>
    <w:rsid w:val="32335848"/>
    <w:rsid w:val="3A8B353F"/>
    <w:rsid w:val="3BB80364"/>
    <w:rsid w:val="4B7E2762"/>
    <w:rsid w:val="506972BF"/>
    <w:rsid w:val="5C54682D"/>
    <w:rsid w:val="6AC32542"/>
    <w:rsid w:val="76922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A9BDC"/>
  <w15:docId w15:val="{601A1DA8-C716-4A5C-86AA-6BAB6188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Chars="200" w:firstLine="200"/>
      <w:jc w:val="both"/>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5879</Words>
  <Characters>33515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2026-07-24T08:41:00Z</dcterms:created>
  <dcterms:modified xsi:type="dcterms:W3CDTF">2026-07-24T08:41:00Z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F8F489CB76AF4A3D817E4909938AAFFF_11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e739b1eb-8271-4243-aa96-8d5a6d22c8ea</vt:lpwstr>
  </property>
</Properties>
</file>