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72D35" w14:textId="77777777" w:rsidR="00AF7938" w:rsidRDefault="00791719" w:rsidP="004E5DC3">
      <w:pPr>
        <w:snapToGrid w:val="0"/>
        <w:jc w:val="left"/>
        <w:rPr>
          <w:b/>
          <w:bCs/>
          <w:sz w:val="44"/>
          <w:szCs w:val="44"/>
        </w:rPr>
      </w:pPr>
      <w:r>
        <w:rPr>
          <w:b/>
          <w:bCs/>
          <w:sz w:val="44"/>
          <w:szCs w:val="44"/>
        </w:rPr>
        <w:t xml:space="preserve">One </w:t>
      </w:r>
      <w:r>
        <w:rPr>
          <w:rFonts w:hint="eastAsia"/>
          <w:b/>
          <w:bCs/>
          <w:sz w:val="44"/>
          <w:szCs w:val="44"/>
        </w:rPr>
        <w:t>C</w:t>
      </w:r>
      <w:r>
        <w:rPr>
          <w:b/>
          <w:bCs/>
          <w:sz w:val="44"/>
          <w:szCs w:val="44"/>
        </w:rPr>
        <w:t xml:space="preserve">ase of </w:t>
      </w:r>
      <w:r>
        <w:rPr>
          <w:rFonts w:hint="eastAsia"/>
          <w:b/>
          <w:bCs/>
          <w:sz w:val="44"/>
          <w:szCs w:val="44"/>
        </w:rPr>
        <w:t>U</w:t>
      </w:r>
      <w:r>
        <w:rPr>
          <w:b/>
          <w:bCs/>
          <w:sz w:val="44"/>
          <w:szCs w:val="44"/>
        </w:rPr>
        <w:t xml:space="preserve">ndifferentiated </w:t>
      </w:r>
      <w:r>
        <w:rPr>
          <w:rFonts w:hint="eastAsia"/>
          <w:b/>
          <w:bCs/>
          <w:sz w:val="44"/>
          <w:szCs w:val="44"/>
        </w:rPr>
        <w:t>E</w:t>
      </w:r>
      <w:r>
        <w:rPr>
          <w:b/>
          <w:bCs/>
          <w:sz w:val="44"/>
          <w:szCs w:val="44"/>
        </w:rPr>
        <w:t xml:space="preserve">mbryonal </w:t>
      </w:r>
      <w:r>
        <w:rPr>
          <w:rFonts w:hint="eastAsia"/>
          <w:b/>
          <w:bCs/>
          <w:sz w:val="44"/>
          <w:szCs w:val="44"/>
        </w:rPr>
        <w:t>T</w:t>
      </w:r>
      <w:r>
        <w:rPr>
          <w:b/>
          <w:bCs/>
          <w:sz w:val="44"/>
          <w:szCs w:val="44"/>
        </w:rPr>
        <w:t xml:space="preserve">umor of </w:t>
      </w:r>
      <w:r>
        <w:rPr>
          <w:rFonts w:hint="eastAsia"/>
          <w:b/>
          <w:bCs/>
          <w:sz w:val="44"/>
          <w:szCs w:val="44"/>
        </w:rPr>
        <w:t>A</w:t>
      </w:r>
      <w:r>
        <w:rPr>
          <w:b/>
          <w:bCs/>
          <w:sz w:val="44"/>
          <w:szCs w:val="44"/>
        </w:rPr>
        <w:t xml:space="preserve">dult </w:t>
      </w:r>
      <w:r>
        <w:rPr>
          <w:rFonts w:hint="eastAsia"/>
          <w:b/>
          <w:bCs/>
          <w:sz w:val="44"/>
          <w:szCs w:val="44"/>
        </w:rPr>
        <w:t>L</w:t>
      </w:r>
      <w:r>
        <w:rPr>
          <w:b/>
          <w:bCs/>
          <w:sz w:val="44"/>
          <w:szCs w:val="44"/>
        </w:rPr>
        <w:t>iver</w:t>
      </w:r>
    </w:p>
    <w:p w14:paraId="301E37E0" w14:textId="77777777" w:rsidR="00AF7938" w:rsidRDefault="00791719" w:rsidP="004E5DC3">
      <w:pPr>
        <w:snapToGrid w:val="0"/>
        <w:rPr>
          <w:b/>
          <w:bCs/>
          <w:szCs w:val="24"/>
        </w:rPr>
      </w:pPr>
      <w:proofErr w:type="spellStart"/>
      <w:r>
        <w:rPr>
          <w:b/>
          <w:bCs/>
          <w:szCs w:val="24"/>
        </w:rPr>
        <w:t>Dingfeng</w:t>
      </w:r>
      <w:proofErr w:type="spellEnd"/>
      <w:r>
        <w:rPr>
          <w:b/>
          <w:bCs/>
          <w:szCs w:val="24"/>
        </w:rPr>
        <w:t xml:space="preserve"> Liu, Chao Jiang, Xiaohui Wang</w:t>
      </w:r>
    </w:p>
    <w:p w14:paraId="12525C54" w14:textId="1DABC8CB" w:rsidR="00AF7938" w:rsidRDefault="00791719" w:rsidP="004E5DC3">
      <w:pPr>
        <w:snapToGrid w:val="0"/>
        <w:rPr>
          <w:szCs w:val="24"/>
        </w:rPr>
      </w:pPr>
      <w:r>
        <w:rPr>
          <w:szCs w:val="24"/>
        </w:rPr>
        <w:t>The First Affiliated Hospital of Hunan Normal Universit</w:t>
      </w:r>
      <w:r>
        <w:rPr>
          <w:szCs w:val="24"/>
        </w:rPr>
        <w:t>y</w:t>
      </w:r>
      <w:r w:rsidR="00200B03">
        <w:rPr>
          <w:szCs w:val="24"/>
        </w:rPr>
        <w:t xml:space="preserve"> </w:t>
      </w:r>
      <w:r>
        <w:rPr>
          <w:rFonts w:hint="eastAsia"/>
          <w:szCs w:val="24"/>
        </w:rPr>
        <w:t>(</w:t>
      </w:r>
      <w:r>
        <w:rPr>
          <w:szCs w:val="24"/>
        </w:rPr>
        <w:t>Hunan Provincial People</w:t>
      </w:r>
      <w:r>
        <w:rPr>
          <w:szCs w:val="24"/>
        </w:rPr>
        <w:t>’</w:t>
      </w:r>
      <w:r>
        <w:rPr>
          <w:szCs w:val="24"/>
        </w:rPr>
        <w:t>s Hospital</w:t>
      </w:r>
      <w:r>
        <w:rPr>
          <w:rFonts w:hint="eastAsia"/>
          <w:szCs w:val="24"/>
        </w:rPr>
        <w:t>)</w:t>
      </w:r>
      <w:r>
        <w:rPr>
          <w:szCs w:val="24"/>
        </w:rPr>
        <w:t>, Changsha 415005, Hunan, China</w:t>
      </w:r>
    </w:p>
    <w:p w14:paraId="7CACAEB8" w14:textId="77777777" w:rsidR="00AF7938" w:rsidRDefault="00AF7938" w:rsidP="00200B03">
      <w:pPr>
        <w:snapToGrid w:val="0"/>
        <w:rPr>
          <w:szCs w:val="24"/>
        </w:rPr>
      </w:pPr>
    </w:p>
    <w:p w14:paraId="5F668AF3" w14:textId="77777777" w:rsidR="00200B03" w:rsidRPr="004E5DC3" w:rsidRDefault="00200B03" w:rsidP="00200B03">
      <w:pPr>
        <w:snapToGrid w:val="0"/>
        <w:rPr>
          <w:sz w:val="20"/>
          <w:szCs w:val="20"/>
        </w:rPr>
      </w:pPr>
      <w:r w:rsidRPr="004E5DC3">
        <w:rPr>
          <w:b/>
          <w:bCs/>
          <w:sz w:val="20"/>
          <w:szCs w:val="20"/>
        </w:rPr>
        <w:t xml:space="preserve">Copyright: </w:t>
      </w:r>
      <w:r w:rsidRPr="004E5DC3">
        <w:rPr>
          <w:sz w:val="20"/>
          <w:szCs w:val="20"/>
        </w:rPr>
        <w:t>© 2026 Author(s). This is an open-access article distributed under the terms of the Creative Commons Attribution License (CC BY 4.0), permitting distribution and reproduction in any medium, provided the original work is cited.</w:t>
      </w:r>
    </w:p>
    <w:p w14:paraId="3A55F3B3" w14:textId="77777777" w:rsidR="00200B03" w:rsidRDefault="00200B03" w:rsidP="004E5DC3">
      <w:pPr>
        <w:snapToGrid w:val="0"/>
        <w:rPr>
          <w:szCs w:val="24"/>
        </w:rPr>
      </w:pPr>
    </w:p>
    <w:p w14:paraId="07B7CF7E" w14:textId="2F6F2051" w:rsidR="00AF7938" w:rsidRDefault="00791719" w:rsidP="004E5DC3">
      <w:pPr>
        <w:snapToGrid w:val="0"/>
        <w:rPr>
          <w:rFonts w:eastAsia="KaiTi"/>
          <w:color w:val="000000" w:themeColor="text1"/>
          <w:szCs w:val="24"/>
        </w:rPr>
      </w:pPr>
      <w:r>
        <w:rPr>
          <w:rFonts w:eastAsia="KaiTi"/>
          <w:b/>
          <w:bCs/>
          <w:color w:val="000000" w:themeColor="text1"/>
          <w:szCs w:val="24"/>
        </w:rPr>
        <w:t>A</w:t>
      </w:r>
      <w:r>
        <w:rPr>
          <w:rFonts w:eastAsia="KaiTi"/>
          <w:b/>
          <w:bCs/>
          <w:color w:val="000000" w:themeColor="text1"/>
          <w:szCs w:val="24"/>
        </w:rPr>
        <w:t>bstract:</w:t>
      </w:r>
      <w:r>
        <w:rPr>
          <w:rFonts w:eastAsia="KaiTi"/>
          <w:color w:val="000000" w:themeColor="text1"/>
          <w:szCs w:val="24"/>
        </w:rPr>
        <w:t xml:space="preserve"> Undifferentiated embryonal sarcoma of the liver (UESL) is rare in adults, and its clinical manifestations, laboratory tests, and imaging findings lack specificity. Diagnosis relies on pathological diagnosis. This article reports a </w:t>
      </w:r>
      <w:r w:rsidR="00200B03">
        <w:rPr>
          <w:rFonts w:eastAsia="KaiTi"/>
          <w:color w:val="000000" w:themeColor="text1"/>
          <w:szCs w:val="24"/>
        </w:rPr>
        <w:t>55-year-old</w:t>
      </w:r>
      <w:r>
        <w:rPr>
          <w:rFonts w:eastAsia="KaiTi"/>
          <w:color w:val="000000" w:themeColor="text1"/>
          <w:szCs w:val="24"/>
        </w:rPr>
        <w:t xml:space="preserve"> male patient with UESL who was admitted to the hospital due to right upper abdominal pain for 3 months. He had no history of chronic hepatitis or cirrhosis, and the tumor marker was only elevated CA-125. CT showed a huge cystic solid exogenous mass in the right lobe of the liver. The patient underwent right </w:t>
      </w:r>
      <w:proofErr w:type="spellStart"/>
      <w:r>
        <w:rPr>
          <w:rFonts w:eastAsia="KaiTi"/>
          <w:color w:val="000000" w:themeColor="text1"/>
          <w:szCs w:val="24"/>
        </w:rPr>
        <w:t>hemihepatectomy</w:t>
      </w:r>
      <w:proofErr w:type="spellEnd"/>
      <w:r>
        <w:rPr>
          <w:rFonts w:eastAsia="KaiTi"/>
          <w:color w:val="000000" w:themeColor="text1"/>
          <w:szCs w:val="24"/>
        </w:rPr>
        <w:t xml:space="preserve"> due to tumor rupture and bleeding. Postoperative pathology confirmed UESL, and genetic testing revealed FGFR2 amplification and TP53 mutation. This disease needs to be differentiated fro</w:t>
      </w:r>
      <w:r>
        <w:rPr>
          <w:rFonts w:eastAsia="KaiTi"/>
          <w:color w:val="000000" w:themeColor="text1"/>
          <w:szCs w:val="24"/>
        </w:rPr>
        <w:t>m hepatocellular carcinoma and liver abscess. Surgical resection is the preferred treatment, and postoperative combined chemotherapy can effectively improve prognosis.</w:t>
      </w:r>
    </w:p>
    <w:p w14:paraId="319FD7FC" w14:textId="77777777" w:rsidR="00AF7938" w:rsidRDefault="00791719" w:rsidP="004E5DC3">
      <w:pPr>
        <w:snapToGrid w:val="0"/>
        <w:rPr>
          <w:rFonts w:eastAsia="KaiTi"/>
          <w:color w:val="000000" w:themeColor="text1"/>
          <w:szCs w:val="24"/>
        </w:rPr>
      </w:pPr>
      <w:r>
        <w:rPr>
          <w:rFonts w:eastAsia="KaiTi"/>
          <w:b/>
          <w:bCs/>
          <w:color w:val="000000" w:themeColor="text1"/>
          <w:szCs w:val="24"/>
        </w:rPr>
        <w:t>Keywords</w:t>
      </w:r>
      <w:r w:rsidRPr="004E5DC3">
        <w:rPr>
          <w:rFonts w:eastAsia="KaiTi"/>
          <w:b/>
          <w:bCs/>
          <w:color w:val="000000" w:themeColor="text1"/>
          <w:szCs w:val="24"/>
        </w:rPr>
        <w:t>:</w:t>
      </w:r>
      <w:r>
        <w:rPr>
          <w:rFonts w:eastAsia="KaiTi"/>
          <w:color w:val="000000" w:themeColor="text1"/>
          <w:szCs w:val="24"/>
        </w:rPr>
        <w:t xml:space="preserve"> Adult undifferentiated embryonal liver tumors; Case report</w:t>
      </w:r>
      <w:r>
        <w:rPr>
          <w:rFonts w:eastAsia="KaiTi" w:hint="eastAsia"/>
          <w:color w:val="000000" w:themeColor="text1"/>
          <w:szCs w:val="24"/>
        </w:rPr>
        <w:t xml:space="preserve">; </w:t>
      </w:r>
      <w:r>
        <w:rPr>
          <w:rFonts w:eastAsia="KaiTi"/>
          <w:color w:val="000000" w:themeColor="text1"/>
          <w:szCs w:val="24"/>
        </w:rPr>
        <w:t>Hepatic cystic solid mass</w:t>
      </w:r>
    </w:p>
    <w:p w14:paraId="5C2DB5C3" w14:textId="77777777" w:rsidR="00AF7938" w:rsidRDefault="00AF7938" w:rsidP="004E5DC3">
      <w:pPr>
        <w:snapToGrid w:val="0"/>
        <w:rPr>
          <w:rFonts w:eastAsia="KaiTi"/>
          <w:color w:val="000000" w:themeColor="text1"/>
          <w:szCs w:val="24"/>
        </w:rPr>
      </w:pPr>
    </w:p>
    <w:p w14:paraId="60A2E429" w14:textId="226DF907" w:rsidR="00AF7938" w:rsidRPr="004E5DC3" w:rsidRDefault="00200B03" w:rsidP="00200B03">
      <w:pPr>
        <w:snapToGrid w:val="0"/>
        <w:rPr>
          <w:rFonts w:eastAsia="Microsoft YaHei"/>
          <w:b/>
          <w:bCs/>
          <w:color w:val="000000" w:themeColor="text1"/>
          <w:szCs w:val="24"/>
        </w:rPr>
      </w:pPr>
      <w:r w:rsidRPr="004E5DC3">
        <w:rPr>
          <w:rFonts w:eastAsia="Microsoft YaHei"/>
          <w:b/>
          <w:bCs/>
          <w:color w:val="000000" w:themeColor="text1"/>
          <w:szCs w:val="24"/>
        </w:rPr>
        <w:t>Online publication:</w:t>
      </w:r>
    </w:p>
    <w:p w14:paraId="3D7B9E52" w14:textId="77777777" w:rsidR="00200B03" w:rsidRDefault="00200B03" w:rsidP="004E5DC3">
      <w:pPr>
        <w:snapToGrid w:val="0"/>
        <w:rPr>
          <w:rFonts w:eastAsia="Microsoft YaHei"/>
          <w:color w:val="000000" w:themeColor="text1"/>
          <w:szCs w:val="24"/>
        </w:rPr>
      </w:pPr>
    </w:p>
    <w:p w14:paraId="6417EF6E" w14:textId="77777777" w:rsidR="00AF7938" w:rsidRDefault="00791719" w:rsidP="004E5DC3">
      <w:pPr>
        <w:snapToGrid w:val="0"/>
        <w:jc w:val="left"/>
        <w:rPr>
          <w:b/>
          <w:bCs/>
          <w:szCs w:val="24"/>
        </w:rPr>
      </w:pPr>
      <w:r>
        <w:rPr>
          <w:rFonts w:hint="eastAsia"/>
          <w:b/>
          <w:bCs/>
          <w:szCs w:val="24"/>
        </w:rPr>
        <w:t xml:space="preserve">1. </w:t>
      </w:r>
      <w:r>
        <w:rPr>
          <w:b/>
          <w:bCs/>
          <w:szCs w:val="24"/>
        </w:rPr>
        <w:t>Introduction</w:t>
      </w:r>
    </w:p>
    <w:p w14:paraId="05493671" w14:textId="3B00DE8E" w:rsidR="00AF7938" w:rsidRDefault="00791719" w:rsidP="004E5DC3">
      <w:pPr>
        <w:snapToGrid w:val="0"/>
        <w:rPr>
          <w:szCs w:val="24"/>
        </w:rPr>
      </w:pPr>
      <w:r>
        <w:rPr>
          <w:szCs w:val="24"/>
        </w:rPr>
        <w:t>Undifferentiated embryonal sarcoma of the liver (UESL) is the third most common liver malignancy in children, accounting for approximately 9</w:t>
      </w:r>
      <w:r w:rsidR="00200B03">
        <w:rPr>
          <w:szCs w:val="24"/>
        </w:rPr>
        <w:t>–</w:t>
      </w:r>
      <w:r>
        <w:rPr>
          <w:szCs w:val="24"/>
        </w:rPr>
        <w:t xml:space="preserve">15% of liver tumors in children and extremely rare in adults. According to literature records, there were </w:t>
      </w:r>
      <w:r w:rsidR="00200B03">
        <w:rPr>
          <w:szCs w:val="24"/>
        </w:rPr>
        <w:t>fewer</w:t>
      </w:r>
      <w:r>
        <w:rPr>
          <w:szCs w:val="24"/>
        </w:rPr>
        <w:t xml:space="preserve"> than 90 cases of undifferentiated embryonal sarcoma of the adult liver reported globally between 1973 and 2019</w:t>
      </w:r>
      <w:r w:rsidR="00200B03">
        <w:rPr>
          <w:szCs w:val="24"/>
        </w:rPr>
        <w:t xml:space="preserve"> </w:t>
      </w:r>
      <w:r>
        <w:rPr>
          <w:szCs w:val="24"/>
          <w:vertAlign w:val="superscript"/>
        </w:rPr>
        <w:t>[1,2]</w:t>
      </w:r>
      <w:r>
        <w:rPr>
          <w:szCs w:val="24"/>
        </w:rPr>
        <w:t xml:space="preserve">. The clinical manifestations, laboratory tests, and imaging examinations of UESL do not have specificity, and pathological examination is necessary for a definitive diagnosis </w:t>
      </w:r>
      <w:r>
        <w:rPr>
          <w:szCs w:val="24"/>
          <w:vertAlign w:val="superscript"/>
        </w:rPr>
        <w:t>[3,4]</w:t>
      </w:r>
      <w:r>
        <w:rPr>
          <w:szCs w:val="24"/>
        </w:rPr>
        <w:t>. Currently, surgical resection is the most effective treatment method, and postoperative combination chemotherapy or adjuvant therapy can significantly prolong the survival of patients</w:t>
      </w:r>
      <w:r w:rsidR="00200B03">
        <w:rPr>
          <w:szCs w:val="24"/>
        </w:rPr>
        <w:t xml:space="preserve"> </w:t>
      </w:r>
      <w:r>
        <w:rPr>
          <w:szCs w:val="24"/>
          <w:vertAlign w:val="superscript"/>
        </w:rPr>
        <w:t>[5,6]</w:t>
      </w:r>
      <w:r>
        <w:rPr>
          <w:szCs w:val="24"/>
        </w:rPr>
        <w:t>. This study reports a confirmed adult patient with UESL</w:t>
      </w:r>
      <w:r>
        <w:rPr>
          <w:szCs w:val="24"/>
        </w:rPr>
        <w:t xml:space="preserve"> and summarizes the relevant clinical data and differentiation points as follows.</w:t>
      </w:r>
    </w:p>
    <w:p w14:paraId="64BA3A9B" w14:textId="77777777" w:rsidR="00AF7938" w:rsidRDefault="00AF7938" w:rsidP="004E5DC3">
      <w:pPr>
        <w:snapToGrid w:val="0"/>
        <w:rPr>
          <w:szCs w:val="24"/>
        </w:rPr>
      </w:pPr>
    </w:p>
    <w:p w14:paraId="576736EE" w14:textId="77777777" w:rsidR="00AF7938" w:rsidRDefault="00791719" w:rsidP="004E5DC3">
      <w:pPr>
        <w:snapToGrid w:val="0"/>
        <w:rPr>
          <w:b/>
          <w:bCs/>
          <w:szCs w:val="24"/>
        </w:rPr>
      </w:pPr>
      <w:r>
        <w:rPr>
          <w:rFonts w:hint="eastAsia"/>
          <w:b/>
          <w:bCs/>
          <w:szCs w:val="24"/>
        </w:rPr>
        <w:t>2</w:t>
      </w:r>
      <w:r>
        <w:rPr>
          <w:b/>
          <w:bCs/>
          <w:szCs w:val="24"/>
        </w:rPr>
        <w:t>. Case data</w:t>
      </w:r>
    </w:p>
    <w:p w14:paraId="2DB33482" w14:textId="6F56F24A" w:rsidR="00AF7938" w:rsidRDefault="00791719" w:rsidP="004E5DC3">
      <w:pPr>
        <w:snapToGrid w:val="0"/>
        <w:rPr>
          <w:szCs w:val="24"/>
        </w:rPr>
      </w:pPr>
      <w:r>
        <w:rPr>
          <w:szCs w:val="24"/>
        </w:rPr>
        <w:t xml:space="preserve">The patient is a </w:t>
      </w:r>
      <w:r w:rsidR="00200B03">
        <w:rPr>
          <w:szCs w:val="24"/>
        </w:rPr>
        <w:t>55-year-old</w:t>
      </w:r>
      <w:r>
        <w:rPr>
          <w:szCs w:val="24"/>
        </w:rPr>
        <w:t xml:space="preserve"> male who was hospitalized for “right upper abdominal pain for over 3 months”. </w:t>
      </w:r>
      <w:r w:rsidR="00200B03">
        <w:rPr>
          <w:szCs w:val="24"/>
        </w:rPr>
        <w:t>His clinical manifestation is paroxysmal upper right abdominal distension and pain, without symptoms such as fever, chills, jaundice, nausea,</w:t>
      </w:r>
      <w:r>
        <w:rPr>
          <w:szCs w:val="24"/>
        </w:rPr>
        <w:t xml:space="preserve"> and vomiting; Physical examination revealed deep tenderness in the upper right abdomen, with an enlarged liver palpable below the xiphoid process. There was percussion pain in the liver area, but no other positive signs were observed. The laboratory test results showed that hemoglobin was 89</w:t>
      </w:r>
      <w:r w:rsidR="00200B03">
        <w:rPr>
          <w:szCs w:val="24"/>
        </w:rPr>
        <w:t xml:space="preserve"> </w:t>
      </w:r>
      <w:r>
        <w:rPr>
          <w:szCs w:val="24"/>
        </w:rPr>
        <w:t>g/L, albumin was 31.20</w:t>
      </w:r>
      <w:r w:rsidR="00200B03">
        <w:rPr>
          <w:szCs w:val="24"/>
        </w:rPr>
        <w:t xml:space="preserve"> </w:t>
      </w:r>
      <w:r>
        <w:rPr>
          <w:szCs w:val="24"/>
        </w:rPr>
        <w:t>g/L, globulin was 17.30</w:t>
      </w:r>
      <w:r w:rsidR="00200B03">
        <w:rPr>
          <w:szCs w:val="24"/>
        </w:rPr>
        <w:t xml:space="preserve"> </w:t>
      </w:r>
      <w:r>
        <w:rPr>
          <w:szCs w:val="24"/>
        </w:rPr>
        <w:t>g/L, and carbohydrate antigen was 187.12</w:t>
      </w:r>
      <w:r w:rsidR="00200B03">
        <w:rPr>
          <w:szCs w:val="24"/>
        </w:rPr>
        <w:t xml:space="preserve"> </w:t>
      </w:r>
      <w:r>
        <w:rPr>
          <w:szCs w:val="24"/>
        </w:rPr>
        <w:t>U/ml. The levels of aspartate aminotransferase, alanine aminotransferase, bilirubin, and other tumor markers were normal</w:t>
      </w:r>
      <w:r w:rsidR="00200B03">
        <w:rPr>
          <w:szCs w:val="24"/>
        </w:rPr>
        <w:t xml:space="preserve"> </w:t>
      </w:r>
      <w:r>
        <w:rPr>
          <w:szCs w:val="24"/>
        </w:rPr>
        <w:t xml:space="preserve">(See </w:t>
      </w:r>
      <w:r>
        <w:rPr>
          <w:b/>
          <w:bCs/>
          <w:szCs w:val="24"/>
        </w:rPr>
        <w:t>Table 1</w:t>
      </w:r>
      <w:r>
        <w:rPr>
          <w:szCs w:val="24"/>
        </w:rPr>
        <w:t xml:space="preserve">). Enhanced CT scan of the upper abdomen shows a huge exogenous, multilocular cystic solid mixed density mass in the right lobe of the liver (see </w:t>
      </w:r>
      <w:r>
        <w:rPr>
          <w:b/>
          <w:bCs/>
          <w:szCs w:val="24"/>
        </w:rPr>
        <w:t xml:space="preserve">Figure </w:t>
      </w:r>
      <w:r>
        <w:rPr>
          <w:rFonts w:hint="eastAsia"/>
          <w:b/>
          <w:bCs/>
          <w:szCs w:val="24"/>
        </w:rPr>
        <w:t>1</w:t>
      </w:r>
      <w:r>
        <w:rPr>
          <w:szCs w:val="24"/>
        </w:rPr>
        <w:t xml:space="preserve">). In order to clarify the diagnosis, liver biopsy was performed, and the pathological diagnosis was considered </w:t>
      </w:r>
      <w:r>
        <w:rPr>
          <w:szCs w:val="24"/>
        </w:rPr>
        <w:t xml:space="preserve">“malignant spindle cell mesenchymal tumor”. Due to tumor rupture and bleeding, an open right </w:t>
      </w:r>
      <w:proofErr w:type="spellStart"/>
      <w:r>
        <w:rPr>
          <w:szCs w:val="24"/>
        </w:rPr>
        <w:t>hemihepatectomy</w:t>
      </w:r>
      <w:proofErr w:type="spellEnd"/>
      <w:r>
        <w:rPr>
          <w:szCs w:val="24"/>
        </w:rPr>
        <w:t xml:space="preserve"> was performed. During the operation, a soft and </w:t>
      </w:r>
      <w:r w:rsidR="00200B03">
        <w:rPr>
          <w:szCs w:val="24"/>
        </w:rPr>
        <w:t>tofu-like</w:t>
      </w:r>
      <w:r>
        <w:rPr>
          <w:szCs w:val="24"/>
        </w:rPr>
        <w:t xml:space="preserve"> mass with a diameter of approximately 25cm was observed to adhere to the diaphragm (see </w:t>
      </w:r>
      <w:r>
        <w:rPr>
          <w:b/>
          <w:bCs/>
          <w:szCs w:val="24"/>
        </w:rPr>
        <w:t xml:space="preserve">Figure </w:t>
      </w:r>
      <w:r>
        <w:rPr>
          <w:rFonts w:hint="eastAsia"/>
          <w:b/>
          <w:bCs/>
          <w:szCs w:val="24"/>
        </w:rPr>
        <w:t>2</w:t>
      </w:r>
      <w:r>
        <w:rPr>
          <w:szCs w:val="24"/>
        </w:rPr>
        <w:t xml:space="preserve">). Postoperative routine pathological examination combined with immunohistochemistry confirmed the diagnosis of undifferentiated embryonal sarcoma of the liver </w:t>
      </w:r>
      <w:r>
        <w:rPr>
          <w:szCs w:val="24"/>
        </w:rPr>
        <w:lastRenderedPageBreak/>
        <w:t>(</w:t>
      </w:r>
      <w:r>
        <w:rPr>
          <w:b/>
          <w:bCs/>
          <w:szCs w:val="24"/>
        </w:rPr>
        <w:t xml:space="preserve">Figure </w:t>
      </w:r>
      <w:r>
        <w:rPr>
          <w:rFonts w:hint="eastAsia"/>
          <w:b/>
          <w:bCs/>
          <w:szCs w:val="24"/>
        </w:rPr>
        <w:t>3</w:t>
      </w:r>
      <w:r>
        <w:rPr>
          <w:b/>
          <w:bCs/>
          <w:szCs w:val="24"/>
        </w:rPr>
        <w:t xml:space="preserve"> </w:t>
      </w:r>
      <w:r>
        <w:rPr>
          <w:szCs w:val="24"/>
        </w:rPr>
        <w:t xml:space="preserve">and </w:t>
      </w:r>
      <w:r>
        <w:rPr>
          <w:b/>
          <w:bCs/>
          <w:szCs w:val="24"/>
        </w:rPr>
        <w:t xml:space="preserve">Figure </w:t>
      </w:r>
      <w:r>
        <w:rPr>
          <w:rFonts w:hint="eastAsia"/>
          <w:b/>
          <w:bCs/>
          <w:szCs w:val="24"/>
        </w:rPr>
        <w:t>4</w:t>
      </w:r>
      <w:r>
        <w:rPr>
          <w:szCs w:val="24"/>
        </w:rPr>
        <w:t xml:space="preserve">). After postoperative genetic testing, FGFR2 amplification and TP53 mutation were found. Based on the results of the genetic testing, the next step of treatment was carried out. (See </w:t>
      </w:r>
      <w:r>
        <w:rPr>
          <w:b/>
          <w:bCs/>
          <w:szCs w:val="24"/>
        </w:rPr>
        <w:t xml:space="preserve">Figure </w:t>
      </w:r>
      <w:r>
        <w:rPr>
          <w:rFonts w:hint="eastAsia"/>
          <w:b/>
          <w:bCs/>
          <w:szCs w:val="24"/>
        </w:rPr>
        <w:t>5</w:t>
      </w:r>
      <w:r>
        <w:rPr>
          <w:szCs w:val="24"/>
        </w:rPr>
        <w:t>).</w:t>
      </w:r>
    </w:p>
    <w:p w14:paraId="4EF23638" w14:textId="77777777" w:rsidR="00AF7938" w:rsidRDefault="00AF7938" w:rsidP="004E5DC3">
      <w:pPr>
        <w:snapToGrid w:val="0"/>
        <w:rPr>
          <w:szCs w:val="24"/>
        </w:rPr>
      </w:pPr>
    </w:p>
    <w:p w14:paraId="3D16D7C3" w14:textId="77777777" w:rsidR="00AF7938" w:rsidRDefault="00791719" w:rsidP="004E5DC3">
      <w:pPr>
        <w:snapToGrid w:val="0"/>
        <w:rPr>
          <w:b/>
          <w:bCs/>
          <w:szCs w:val="24"/>
        </w:rPr>
      </w:pPr>
      <w:r>
        <w:rPr>
          <w:b/>
          <w:bCs/>
          <w:szCs w:val="24"/>
        </w:rPr>
        <w:t>Table 1</w:t>
      </w:r>
      <w:r>
        <w:rPr>
          <w:rFonts w:hint="eastAsia"/>
          <w:b/>
          <w:bCs/>
          <w:szCs w:val="24"/>
        </w:rPr>
        <w:t>.</w:t>
      </w:r>
      <w:r>
        <w:t xml:space="preserve"> </w:t>
      </w:r>
      <w:r w:rsidRPr="004E5DC3">
        <w:rPr>
          <w:szCs w:val="24"/>
        </w:rPr>
        <w:t>Laboratory tests</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550"/>
        <w:gridCol w:w="4088"/>
      </w:tblGrid>
      <w:tr w:rsidR="00AF7938" w14:paraId="4FCAC48E" w14:textId="77777777" w:rsidTr="004E5DC3">
        <w:tc>
          <w:tcPr>
            <w:tcW w:w="2879" w:type="pct"/>
            <w:tcBorders>
              <w:top w:val="single" w:sz="4" w:space="0" w:color="auto"/>
              <w:bottom w:val="single" w:sz="4" w:space="0" w:color="auto"/>
            </w:tcBorders>
          </w:tcPr>
          <w:p w14:paraId="30603061" w14:textId="77777777" w:rsidR="00AF7938" w:rsidRDefault="00791719" w:rsidP="004E5DC3">
            <w:pPr>
              <w:autoSpaceDE w:val="0"/>
              <w:autoSpaceDN w:val="0"/>
              <w:adjustRightInd w:val="0"/>
              <w:snapToGrid w:val="0"/>
              <w:rPr>
                <w:rFonts w:eastAsiaTheme="minorEastAsia"/>
                <w:b/>
                <w:bCs/>
                <w:szCs w:val="24"/>
              </w:rPr>
            </w:pPr>
            <w:r>
              <w:rPr>
                <w:b/>
                <w:bCs/>
                <w:szCs w:val="24"/>
              </w:rPr>
              <w:t>Inspection items</w:t>
            </w:r>
          </w:p>
        </w:tc>
        <w:tc>
          <w:tcPr>
            <w:tcW w:w="2121" w:type="pct"/>
            <w:tcBorders>
              <w:top w:val="single" w:sz="4" w:space="0" w:color="auto"/>
              <w:bottom w:val="single" w:sz="4" w:space="0" w:color="auto"/>
            </w:tcBorders>
          </w:tcPr>
          <w:p w14:paraId="752CB939" w14:textId="77777777" w:rsidR="00AF7938" w:rsidRDefault="00791719" w:rsidP="004E5DC3">
            <w:pPr>
              <w:autoSpaceDE w:val="0"/>
              <w:autoSpaceDN w:val="0"/>
              <w:adjustRightInd w:val="0"/>
              <w:snapToGrid w:val="0"/>
              <w:jc w:val="center"/>
              <w:rPr>
                <w:b/>
                <w:bCs/>
                <w:szCs w:val="24"/>
              </w:rPr>
            </w:pPr>
            <w:r>
              <w:rPr>
                <w:b/>
                <w:bCs/>
                <w:szCs w:val="24"/>
              </w:rPr>
              <w:t>Case 1</w:t>
            </w:r>
          </w:p>
        </w:tc>
      </w:tr>
      <w:tr w:rsidR="00AF7938" w14:paraId="1EDDD99E" w14:textId="77777777" w:rsidTr="004E5DC3">
        <w:tc>
          <w:tcPr>
            <w:tcW w:w="2879" w:type="pct"/>
            <w:tcBorders>
              <w:top w:val="single" w:sz="4" w:space="0" w:color="auto"/>
            </w:tcBorders>
          </w:tcPr>
          <w:p w14:paraId="30E35760" w14:textId="77777777" w:rsidR="00AF7938" w:rsidRDefault="00791719" w:rsidP="004E5DC3">
            <w:pPr>
              <w:autoSpaceDE w:val="0"/>
              <w:autoSpaceDN w:val="0"/>
              <w:adjustRightInd w:val="0"/>
              <w:snapToGrid w:val="0"/>
              <w:rPr>
                <w:szCs w:val="24"/>
              </w:rPr>
            </w:pPr>
            <w:r>
              <w:rPr>
                <w:szCs w:val="24"/>
              </w:rPr>
              <w:t>Hb</w:t>
            </w:r>
            <w:r>
              <w:rPr>
                <w:rFonts w:hint="eastAsia"/>
                <w:szCs w:val="24"/>
              </w:rPr>
              <w:t>,</w:t>
            </w:r>
            <w:r>
              <w:rPr>
                <w:szCs w:val="24"/>
              </w:rPr>
              <w:t xml:space="preserve"> g/L</w:t>
            </w:r>
          </w:p>
        </w:tc>
        <w:tc>
          <w:tcPr>
            <w:tcW w:w="2121" w:type="pct"/>
            <w:tcBorders>
              <w:top w:val="single" w:sz="4" w:space="0" w:color="auto"/>
            </w:tcBorders>
          </w:tcPr>
          <w:p w14:paraId="1C9BC4E9" w14:textId="77777777" w:rsidR="00AF7938" w:rsidRDefault="00791719" w:rsidP="004E5DC3">
            <w:pPr>
              <w:autoSpaceDE w:val="0"/>
              <w:autoSpaceDN w:val="0"/>
              <w:adjustRightInd w:val="0"/>
              <w:snapToGrid w:val="0"/>
              <w:jc w:val="center"/>
              <w:rPr>
                <w:szCs w:val="24"/>
              </w:rPr>
            </w:pPr>
            <w:r>
              <w:rPr>
                <w:szCs w:val="24"/>
              </w:rPr>
              <w:t>89</w:t>
            </w:r>
          </w:p>
        </w:tc>
      </w:tr>
      <w:tr w:rsidR="00AF7938" w14:paraId="2A06E27C" w14:textId="77777777" w:rsidTr="004E5DC3">
        <w:tc>
          <w:tcPr>
            <w:tcW w:w="2879" w:type="pct"/>
          </w:tcPr>
          <w:p w14:paraId="3FF23400" w14:textId="77777777" w:rsidR="00AF7938" w:rsidRDefault="00791719" w:rsidP="004E5DC3">
            <w:pPr>
              <w:autoSpaceDE w:val="0"/>
              <w:autoSpaceDN w:val="0"/>
              <w:adjustRightInd w:val="0"/>
              <w:snapToGrid w:val="0"/>
              <w:rPr>
                <w:szCs w:val="24"/>
              </w:rPr>
            </w:pPr>
            <w:r>
              <w:rPr>
                <w:szCs w:val="24"/>
              </w:rPr>
              <w:t>WBC</w:t>
            </w:r>
            <w:r>
              <w:rPr>
                <w:rFonts w:hint="eastAsia"/>
                <w:szCs w:val="24"/>
              </w:rPr>
              <w:t>,</w:t>
            </w:r>
            <w:r>
              <w:rPr>
                <w:szCs w:val="24"/>
              </w:rPr>
              <w:t xml:space="preserve"> 10</w:t>
            </w:r>
            <w:r>
              <w:rPr>
                <w:szCs w:val="24"/>
                <w:vertAlign w:val="superscript"/>
              </w:rPr>
              <w:t>9</w:t>
            </w:r>
            <w:r>
              <w:rPr>
                <w:szCs w:val="24"/>
              </w:rPr>
              <w:t>/L</w:t>
            </w:r>
          </w:p>
        </w:tc>
        <w:tc>
          <w:tcPr>
            <w:tcW w:w="2121" w:type="pct"/>
          </w:tcPr>
          <w:p w14:paraId="49C1C748" w14:textId="77777777" w:rsidR="00AF7938" w:rsidRDefault="00791719" w:rsidP="004E5DC3">
            <w:pPr>
              <w:autoSpaceDE w:val="0"/>
              <w:autoSpaceDN w:val="0"/>
              <w:adjustRightInd w:val="0"/>
              <w:snapToGrid w:val="0"/>
              <w:jc w:val="center"/>
              <w:rPr>
                <w:szCs w:val="24"/>
              </w:rPr>
            </w:pPr>
            <w:r>
              <w:rPr>
                <w:szCs w:val="24"/>
              </w:rPr>
              <w:t>4.20</w:t>
            </w:r>
          </w:p>
        </w:tc>
      </w:tr>
      <w:tr w:rsidR="00AF7938" w14:paraId="5C6BCCB8" w14:textId="77777777" w:rsidTr="004E5DC3">
        <w:tc>
          <w:tcPr>
            <w:tcW w:w="2879" w:type="pct"/>
          </w:tcPr>
          <w:p w14:paraId="652B73E7" w14:textId="77777777" w:rsidR="00AF7938" w:rsidRDefault="00791719" w:rsidP="004E5DC3">
            <w:pPr>
              <w:autoSpaceDE w:val="0"/>
              <w:autoSpaceDN w:val="0"/>
              <w:adjustRightInd w:val="0"/>
              <w:snapToGrid w:val="0"/>
              <w:rPr>
                <w:szCs w:val="24"/>
              </w:rPr>
            </w:pPr>
            <w:r>
              <w:rPr>
                <w:szCs w:val="24"/>
              </w:rPr>
              <w:t>PLT</w:t>
            </w:r>
            <w:r>
              <w:rPr>
                <w:rFonts w:hint="eastAsia"/>
                <w:szCs w:val="24"/>
              </w:rPr>
              <w:t>,</w:t>
            </w:r>
            <w:r>
              <w:rPr>
                <w:szCs w:val="24"/>
              </w:rPr>
              <w:t xml:space="preserve"> 10</w:t>
            </w:r>
            <w:r>
              <w:rPr>
                <w:szCs w:val="24"/>
                <w:vertAlign w:val="superscript"/>
              </w:rPr>
              <w:t>9</w:t>
            </w:r>
            <w:r>
              <w:rPr>
                <w:szCs w:val="24"/>
              </w:rPr>
              <w:t xml:space="preserve">/L </w:t>
            </w:r>
          </w:p>
        </w:tc>
        <w:tc>
          <w:tcPr>
            <w:tcW w:w="2121" w:type="pct"/>
          </w:tcPr>
          <w:p w14:paraId="4F0A6259" w14:textId="77777777" w:rsidR="00AF7938" w:rsidRDefault="00791719" w:rsidP="004E5DC3">
            <w:pPr>
              <w:autoSpaceDE w:val="0"/>
              <w:autoSpaceDN w:val="0"/>
              <w:adjustRightInd w:val="0"/>
              <w:snapToGrid w:val="0"/>
              <w:jc w:val="center"/>
              <w:rPr>
                <w:szCs w:val="24"/>
              </w:rPr>
            </w:pPr>
            <w:r>
              <w:rPr>
                <w:szCs w:val="24"/>
              </w:rPr>
              <w:t>309</w:t>
            </w:r>
          </w:p>
        </w:tc>
      </w:tr>
      <w:tr w:rsidR="00AF7938" w14:paraId="7CA1355A" w14:textId="77777777" w:rsidTr="004E5DC3">
        <w:tc>
          <w:tcPr>
            <w:tcW w:w="2879" w:type="pct"/>
          </w:tcPr>
          <w:p w14:paraId="2E998743" w14:textId="77777777" w:rsidR="00AF7938" w:rsidRDefault="00791719" w:rsidP="004E5DC3">
            <w:pPr>
              <w:autoSpaceDE w:val="0"/>
              <w:autoSpaceDN w:val="0"/>
              <w:adjustRightInd w:val="0"/>
              <w:snapToGrid w:val="0"/>
              <w:rPr>
                <w:szCs w:val="24"/>
              </w:rPr>
            </w:pPr>
            <w:r>
              <w:rPr>
                <w:szCs w:val="24"/>
              </w:rPr>
              <w:t>AST, U/L</w:t>
            </w:r>
          </w:p>
        </w:tc>
        <w:tc>
          <w:tcPr>
            <w:tcW w:w="2121" w:type="pct"/>
          </w:tcPr>
          <w:p w14:paraId="52E6D5B4" w14:textId="77777777" w:rsidR="00AF7938" w:rsidRDefault="00791719" w:rsidP="004E5DC3">
            <w:pPr>
              <w:autoSpaceDE w:val="0"/>
              <w:autoSpaceDN w:val="0"/>
              <w:adjustRightInd w:val="0"/>
              <w:snapToGrid w:val="0"/>
              <w:jc w:val="center"/>
              <w:rPr>
                <w:szCs w:val="24"/>
              </w:rPr>
            </w:pPr>
            <w:r>
              <w:rPr>
                <w:szCs w:val="24"/>
              </w:rPr>
              <w:t>15.5</w:t>
            </w:r>
          </w:p>
        </w:tc>
      </w:tr>
      <w:tr w:rsidR="00AF7938" w14:paraId="383DEBAA" w14:textId="77777777" w:rsidTr="004E5DC3">
        <w:tc>
          <w:tcPr>
            <w:tcW w:w="2879" w:type="pct"/>
          </w:tcPr>
          <w:p w14:paraId="4F88AB2A" w14:textId="77777777" w:rsidR="00AF7938" w:rsidRDefault="00791719" w:rsidP="004E5DC3">
            <w:pPr>
              <w:autoSpaceDE w:val="0"/>
              <w:autoSpaceDN w:val="0"/>
              <w:adjustRightInd w:val="0"/>
              <w:snapToGrid w:val="0"/>
              <w:rPr>
                <w:b/>
                <w:bCs/>
                <w:szCs w:val="24"/>
              </w:rPr>
            </w:pPr>
            <w:r>
              <w:rPr>
                <w:szCs w:val="24"/>
              </w:rPr>
              <w:t>ALT, U/L</w:t>
            </w:r>
          </w:p>
        </w:tc>
        <w:tc>
          <w:tcPr>
            <w:tcW w:w="2121" w:type="pct"/>
          </w:tcPr>
          <w:p w14:paraId="491B52A2" w14:textId="77777777" w:rsidR="00AF7938" w:rsidRDefault="00791719" w:rsidP="004E5DC3">
            <w:pPr>
              <w:autoSpaceDE w:val="0"/>
              <w:autoSpaceDN w:val="0"/>
              <w:adjustRightInd w:val="0"/>
              <w:snapToGrid w:val="0"/>
              <w:jc w:val="center"/>
              <w:rPr>
                <w:szCs w:val="24"/>
              </w:rPr>
            </w:pPr>
            <w:r>
              <w:rPr>
                <w:szCs w:val="24"/>
              </w:rPr>
              <w:t>23.7</w:t>
            </w:r>
          </w:p>
        </w:tc>
      </w:tr>
      <w:tr w:rsidR="00AF7938" w14:paraId="35802BB2" w14:textId="77777777" w:rsidTr="004E5DC3">
        <w:tc>
          <w:tcPr>
            <w:tcW w:w="2879" w:type="pct"/>
          </w:tcPr>
          <w:p w14:paraId="3A86B84B" w14:textId="77777777" w:rsidR="00AF7938" w:rsidRDefault="00791719" w:rsidP="004E5DC3">
            <w:pPr>
              <w:autoSpaceDE w:val="0"/>
              <w:autoSpaceDN w:val="0"/>
              <w:adjustRightInd w:val="0"/>
              <w:snapToGrid w:val="0"/>
              <w:rPr>
                <w:b/>
                <w:bCs/>
                <w:szCs w:val="24"/>
              </w:rPr>
            </w:pPr>
            <w:r>
              <w:rPr>
                <w:szCs w:val="24"/>
              </w:rPr>
              <w:t>GGT, U/L</w:t>
            </w:r>
          </w:p>
        </w:tc>
        <w:tc>
          <w:tcPr>
            <w:tcW w:w="2121" w:type="pct"/>
          </w:tcPr>
          <w:p w14:paraId="5D58DF6C" w14:textId="77777777" w:rsidR="00AF7938" w:rsidRDefault="00791719" w:rsidP="004E5DC3">
            <w:pPr>
              <w:autoSpaceDE w:val="0"/>
              <w:autoSpaceDN w:val="0"/>
              <w:adjustRightInd w:val="0"/>
              <w:snapToGrid w:val="0"/>
              <w:jc w:val="center"/>
              <w:rPr>
                <w:szCs w:val="24"/>
              </w:rPr>
            </w:pPr>
            <w:r>
              <w:rPr>
                <w:szCs w:val="24"/>
              </w:rPr>
              <w:t>47.7</w:t>
            </w:r>
          </w:p>
        </w:tc>
      </w:tr>
      <w:tr w:rsidR="00AF7938" w14:paraId="3291858A" w14:textId="77777777" w:rsidTr="004E5DC3">
        <w:tc>
          <w:tcPr>
            <w:tcW w:w="2879" w:type="pct"/>
          </w:tcPr>
          <w:p w14:paraId="11191000" w14:textId="77777777" w:rsidR="00AF7938" w:rsidRDefault="00791719" w:rsidP="004E5DC3">
            <w:pPr>
              <w:autoSpaceDE w:val="0"/>
              <w:autoSpaceDN w:val="0"/>
              <w:adjustRightInd w:val="0"/>
              <w:snapToGrid w:val="0"/>
              <w:rPr>
                <w:szCs w:val="24"/>
              </w:rPr>
            </w:pPr>
            <w:r>
              <w:rPr>
                <w:szCs w:val="24"/>
              </w:rPr>
              <w:t>TBIL</w:t>
            </w:r>
            <w:r>
              <w:rPr>
                <w:rFonts w:hint="eastAsia"/>
                <w:szCs w:val="24"/>
              </w:rPr>
              <w:t>,</w:t>
            </w:r>
            <w:r>
              <w:rPr>
                <w:szCs w:val="24"/>
              </w:rPr>
              <w:t xml:space="preserve"> </w:t>
            </w:r>
            <w:proofErr w:type="spellStart"/>
            <w:r>
              <w:rPr>
                <w:szCs w:val="24"/>
              </w:rPr>
              <w:t>umol</w:t>
            </w:r>
            <w:proofErr w:type="spellEnd"/>
            <w:r>
              <w:rPr>
                <w:szCs w:val="24"/>
              </w:rPr>
              <w:t>/L</w:t>
            </w:r>
          </w:p>
        </w:tc>
        <w:tc>
          <w:tcPr>
            <w:tcW w:w="2121" w:type="pct"/>
          </w:tcPr>
          <w:p w14:paraId="09879CA8" w14:textId="77777777" w:rsidR="00AF7938" w:rsidRDefault="00791719" w:rsidP="004E5DC3">
            <w:pPr>
              <w:autoSpaceDE w:val="0"/>
              <w:autoSpaceDN w:val="0"/>
              <w:adjustRightInd w:val="0"/>
              <w:snapToGrid w:val="0"/>
              <w:jc w:val="center"/>
              <w:rPr>
                <w:szCs w:val="24"/>
              </w:rPr>
            </w:pPr>
            <w:r>
              <w:rPr>
                <w:szCs w:val="24"/>
              </w:rPr>
              <w:t>13.11</w:t>
            </w:r>
          </w:p>
        </w:tc>
      </w:tr>
      <w:tr w:rsidR="00AF7938" w14:paraId="3D376748" w14:textId="77777777" w:rsidTr="004E5DC3">
        <w:tc>
          <w:tcPr>
            <w:tcW w:w="2879" w:type="pct"/>
          </w:tcPr>
          <w:p w14:paraId="13BCD4EE" w14:textId="77777777" w:rsidR="00AF7938" w:rsidRDefault="00791719" w:rsidP="004E5DC3">
            <w:pPr>
              <w:autoSpaceDE w:val="0"/>
              <w:autoSpaceDN w:val="0"/>
              <w:adjustRightInd w:val="0"/>
              <w:snapToGrid w:val="0"/>
              <w:rPr>
                <w:szCs w:val="24"/>
              </w:rPr>
            </w:pPr>
            <w:r>
              <w:rPr>
                <w:szCs w:val="24"/>
              </w:rPr>
              <w:t>ALB</w:t>
            </w:r>
            <w:r>
              <w:rPr>
                <w:rFonts w:hint="eastAsia"/>
                <w:szCs w:val="24"/>
              </w:rPr>
              <w:t>,</w:t>
            </w:r>
            <w:r>
              <w:rPr>
                <w:szCs w:val="24"/>
              </w:rPr>
              <w:t xml:space="preserve"> g/L</w:t>
            </w:r>
          </w:p>
        </w:tc>
        <w:tc>
          <w:tcPr>
            <w:tcW w:w="2121" w:type="pct"/>
          </w:tcPr>
          <w:p w14:paraId="4E41611D" w14:textId="77777777" w:rsidR="00AF7938" w:rsidRDefault="00791719" w:rsidP="004E5DC3">
            <w:pPr>
              <w:autoSpaceDE w:val="0"/>
              <w:autoSpaceDN w:val="0"/>
              <w:adjustRightInd w:val="0"/>
              <w:snapToGrid w:val="0"/>
              <w:jc w:val="center"/>
              <w:rPr>
                <w:szCs w:val="24"/>
              </w:rPr>
            </w:pPr>
            <w:r>
              <w:rPr>
                <w:szCs w:val="24"/>
              </w:rPr>
              <w:t>31.20</w:t>
            </w:r>
          </w:p>
        </w:tc>
      </w:tr>
      <w:tr w:rsidR="00AF7938" w14:paraId="3F339294" w14:textId="77777777" w:rsidTr="004E5DC3">
        <w:tc>
          <w:tcPr>
            <w:tcW w:w="2879" w:type="pct"/>
          </w:tcPr>
          <w:p w14:paraId="11821584" w14:textId="77777777" w:rsidR="00AF7938" w:rsidRDefault="00791719" w:rsidP="004E5DC3">
            <w:pPr>
              <w:autoSpaceDE w:val="0"/>
              <w:autoSpaceDN w:val="0"/>
              <w:adjustRightInd w:val="0"/>
              <w:snapToGrid w:val="0"/>
              <w:rPr>
                <w:rFonts w:eastAsiaTheme="minorEastAsia"/>
                <w:szCs w:val="24"/>
              </w:rPr>
            </w:pPr>
            <w:r>
              <w:rPr>
                <w:rFonts w:eastAsia="SimSun"/>
                <w:szCs w:val="24"/>
              </w:rPr>
              <w:t>PT</w:t>
            </w:r>
            <w:r>
              <w:rPr>
                <w:szCs w:val="24"/>
              </w:rPr>
              <w:t>, s</w:t>
            </w:r>
          </w:p>
        </w:tc>
        <w:tc>
          <w:tcPr>
            <w:tcW w:w="2121" w:type="pct"/>
          </w:tcPr>
          <w:p w14:paraId="4680330F" w14:textId="77777777" w:rsidR="00AF7938" w:rsidRDefault="00791719" w:rsidP="004E5DC3">
            <w:pPr>
              <w:autoSpaceDE w:val="0"/>
              <w:autoSpaceDN w:val="0"/>
              <w:adjustRightInd w:val="0"/>
              <w:snapToGrid w:val="0"/>
              <w:jc w:val="center"/>
              <w:rPr>
                <w:szCs w:val="24"/>
              </w:rPr>
            </w:pPr>
            <w:r>
              <w:rPr>
                <w:szCs w:val="24"/>
              </w:rPr>
              <w:t>11</w:t>
            </w:r>
          </w:p>
        </w:tc>
      </w:tr>
      <w:tr w:rsidR="00AF7938" w14:paraId="20D9D7F1" w14:textId="77777777" w:rsidTr="004E5DC3">
        <w:tc>
          <w:tcPr>
            <w:tcW w:w="2879" w:type="pct"/>
          </w:tcPr>
          <w:p w14:paraId="388B0039" w14:textId="77777777" w:rsidR="00AF7938" w:rsidRDefault="00791719" w:rsidP="004E5DC3">
            <w:pPr>
              <w:autoSpaceDE w:val="0"/>
              <w:autoSpaceDN w:val="0"/>
              <w:adjustRightInd w:val="0"/>
              <w:snapToGrid w:val="0"/>
              <w:rPr>
                <w:b/>
                <w:bCs/>
                <w:szCs w:val="24"/>
              </w:rPr>
            </w:pPr>
            <w:r>
              <w:rPr>
                <w:szCs w:val="24"/>
              </w:rPr>
              <w:t>CRE</w:t>
            </w:r>
            <w:r>
              <w:rPr>
                <w:rFonts w:hint="eastAsia"/>
                <w:szCs w:val="24"/>
              </w:rPr>
              <w:t>,</w:t>
            </w:r>
            <w:r>
              <w:rPr>
                <w:szCs w:val="24"/>
              </w:rPr>
              <w:t xml:space="preserve"> </w:t>
            </w:r>
            <w:proofErr w:type="spellStart"/>
            <w:r>
              <w:rPr>
                <w:szCs w:val="24"/>
              </w:rPr>
              <w:t>umol</w:t>
            </w:r>
            <w:proofErr w:type="spellEnd"/>
            <w:r>
              <w:rPr>
                <w:szCs w:val="24"/>
              </w:rPr>
              <w:t>/L</w:t>
            </w:r>
          </w:p>
        </w:tc>
        <w:tc>
          <w:tcPr>
            <w:tcW w:w="2121" w:type="pct"/>
          </w:tcPr>
          <w:p w14:paraId="479456FC" w14:textId="77777777" w:rsidR="00AF7938" w:rsidRDefault="00791719" w:rsidP="004E5DC3">
            <w:pPr>
              <w:autoSpaceDE w:val="0"/>
              <w:autoSpaceDN w:val="0"/>
              <w:adjustRightInd w:val="0"/>
              <w:snapToGrid w:val="0"/>
              <w:jc w:val="center"/>
              <w:rPr>
                <w:szCs w:val="24"/>
              </w:rPr>
            </w:pPr>
            <w:r>
              <w:rPr>
                <w:szCs w:val="24"/>
              </w:rPr>
              <w:t>59.7</w:t>
            </w:r>
          </w:p>
        </w:tc>
      </w:tr>
      <w:tr w:rsidR="00AF7938" w14:paraId="0CB67336" w14:textId="77777777" w:rsidTr="004E5DC3">
        <w:tc>
          <w:tcPr>
            <w:tcW w:w="2879" w:type="pct"/>
          </w:tcPr>
          <w:p w14:paraId="603DFC96" w14:textId="77777777" w:rsidR="00AF7938" w:rsidRDefault="00791719" w:rsidP="004E5DC3">
            <w:pPr>
              <w:autoSpaceDE w:val="0"/>
              <w:autoSpaceDN w:val="0"/>
              <w:adjustRightInd w:val="0"/>
              <w:snapToGrid w:val="0"/>
              <w:rPr>
                <w:szCs w:val="24"/>
              </w:rPr>
            </w:pPr>
            <w:r>
              <w:rPr>
                <w:szCs w:val="24"/>
              </w:rPr>
              <w:t>CEA, ng/ml</w:t>
            </w:r>
          </w:p>
        </w:tc>
        <w:tc>
          <w:tcPr>
            <w:tcW w:w="2121" w:type="pct"/>
          </w:tcPr>
          <w:p w14:paraId="450FDDA2" w14:textId="77777777" w:rsidR="00AF7938" w:rsidRDefault="00791719" w:rsidP="004E5DC3">
            <w:pPr>
              <w:autoSpaceDE w:val="0"/>
              <w:autoSpaceDN w:val="0"/>
              <w:adjustRightInd w:val="0"/>
              <w:snapToGrid w:val="0"/>
              <w:jc w:val="center"/>
              <w:rPr>
                <w:szCs w:val="24"/>
              </w:rPr>
            </w:pPr>
            <w:r>
              <w:rPr>
                <w:szCs w:val="24"/>
              </w:rPr>
              <w:t>1.88</w:t>
            </w:r>
          </w:p>
        </w:tc>
      </w:tr>
      <w:tr w:rsidR="00AF7938" w14:paraId="240E5DCF" w14:textId="77777777" w:rsidTr="004E5DC3">
        <w:tc>
          <w:tcPr>
            <w:tcW w:w="2879" w:type="pct"/>
          </w:tcPr>
          <w:p w14:paraId="4E6E8C8C" w14:textId="77777777" w:rsidR="00AF7938" w:rsidRDefault="00791719" w:rsidP="004E5DC3">
            <w:pPr>
              <w:autoSpaceDE w:val="0"/>
              <w:autoSpaceDN w:val="0"/>
              <w:adjustRightInd w:val="0"/>
              <w:snapToGrid w:val="0"/>
              <w:rPr>
                <w:szCs w:val="24"/>
              </w:rPr>
            </w:pPr>
            <w:r>
              <w:rPr>
                <w:szCs w:val="24"/>
              </w:rPr>
              <w:t>AFP, ng/ml</w:t>
            </w:r>
          </w:p>
        </w:tc>
        <w:tc>
          <w:tcPr>
            <w:tcW w:w="2121" w:type="pct"/>
          </w:tcPr>
          <w:p w14:paraId="0212BDF7" w14:textId="77777777" w:rsidR="00AF7938" w:rsidRDefault="00791719" w:rsidP="004E5DC3">
            <w:pPr>
              <w:autoSpaceDE w:val="0"/>
              <w:autoSpaceDN w:val="0"/>
              <w:adjustRightInd w:val="0"/>
              <w:snapToGrid w:val="0"/>
              <w:jc w:val="center"/>
              <w:rPr>
                <w:szCs w:val="24"/>
              </w:rPr>
            </w:pPr>
            <w:r>
              <w:rPr>
                <w:szCs w:val="24"/>
              </w:rPr>
              <w:t>3.74</w:t>
            </w:r>
          </w:p>
        </w:tc>
      </w:tr>
      <w:tr w:rsidR="00AF7938" w14:paraId="2735F672" w14:textId="77777777" w:rsidTr="004E5DC3">
        <w:tc>
          <w:tcPr>
            <w:tcW w:w="2879" w:type="pct"/>
          </w:tcPr>
          <w:p w14:paraId="5631A711" w14:textId="77777777" w:rsidR="00AF7938" w:rsidRDefault="00791719" w:rsidP="004E5DC3">
            <w:pPr>
              <w:autoSpaceDE w:val="0"/>
              <w:autoSpaceDN w:val="0"/>
              <w:adjustRightInd w:val="0"/>
              <w:snapToGrid w:val="0"/>
              <w:rPr>
                <w:szCs w:val="24"/>
              </w:rPr>
            </w:pPr>
            <w:r>
              <w:rPr>
                <w:szCs w:val="24"/>
              </w:rPr>
              <w:t>CA-199, u/ml</w:t>
            </w:r>
          </w:p>
        </w:tc>
        <w:tc>
          <w:tcPr>
            <w:tcW w:w="2121" w:type="pct"/>
          </w:tcPr>
          <w:p w14:paraId="49E311FD" w14:textId="77777777" w:rsidR="00AF7938" w:rsidRDefault="00791719" w:rsidP="004E5DC3">
            <w:pPr>
              <w:autoSpaceDE w:val="0"/>
              <w:autoSpaceDN w:val="0"/>
              <w:adjustRightInd w:val="0"/>
              <w:snapToGrid w:val="0"/>
              <w:jc w:val="center"/>
              <w:rPr>
                <w:szCs w:val="24"/>
              </w:rPr>
            </w:pPr>
            <w:r>
              <w:rPr>
                <w:szCs w:val="24"/>
              </w:rPr>
              <w:t>2.79</w:t>
            </w:r>
          </w:p>
        </w:tc>
      </w:tr>
      <w:tr w:rsidR="00AF7938" w14:paraId="2738BEC3" w14:textId="77777777" w:rsidTr="004E5DC3">
        <w:tc>
          <w:tcPr>
            <w:tcW w:w="2879" w:type="pct"/>
          </w:tcPr>
          <w:p w14:paraId="5C3C3D97" w14:textId="77777777" w:rsidR="00AF7938" w:rsidRDefault="00791719" w:rsidP="004E5DC3">
            <w:pPr>
              <w:autoSpaceDE w:val="0"/>
              <w:autoSpaceDN w:val="0"/>
              <w:adjustRightInd w:val="0"/>
              <w:snapToGrid w:val="0"/>
              <w:rPr>
                <w:rFonts w:eastAsiaTheme="minorEastAsia"/>
                <w:szCs w:val="24"/>
              </w:rPr>
            </w:pPr>
            <w:r>
              <w:rPr>
                <w:szCs w:val="24"/>
              </w:rPr>
              <w:t>CA-</w:t>
            </w:r>
            <w:proofErr w:type="gramStart"/>
            <w:r>
              <w:rPr>
                <w:szCs w:val="24"/>
              </w:rPr>
              <w:t>125,u</w:t>
            </w:r>
            <w:proofErr w:type="gramEnd"/>
            <w:r>
              <w:rPr>
                <w:szCs w:val="24"/>
              </w:rPr>
              <w:t>/ml</w:t>
            </w:r>
          </w:p>
        </w:tc>
        <w:tc>
          <w:tcPr>
            <w:tcW w:w="2121" w:type="pct"/>
          </w:tcPr>
          <w:p w14:paraId="0E13C351" w14:textId="77777777" w:rsidR="00AF7938" w:rsidRDefault="00791719" w:rsidP="004E5DC3">
            <w:pPr>
              <w:autoSpaceDE w:val="0"/>
              <w:autoSpaceDN w:val="0"/>
              <w:adjustRightInd w:val="0"/>
              <w:snapToGrid w:val="0"/>
              <w:jc w:val="center"/>
              <w:rPr>
                <w:rFonts w:eastAsiaTheme="minorEastAsia"/>
                <w:szCs w:val="24"/>
              </w:rPr>
            </w:pPr>
            <w:r>
              <w:rPr>
                <w:szCs w:val="24"/>
              </w:rPr>
              <w:t>187.12</w:t>
            </w:r>
          </w:p>
        </w:tc>
      </w:tr>
      <w:tr w:rsidR="00AF7938" w14:paraId="719C96BB" w14:textId="77777777" w:rsidTr="004E5DC3">
        <w:tc>
          <w:tcPr>
            <w:tcW w:w="2879" w:type="pct"/>
          </w:tcPr>
          <w:p w14:paraId="46FB0B7E" w14:textId="77777777" w:rsidR="00AF7938" w:rsidRDefault="00791719" w:rsidP="004E5DC3">
            <w:pPr>
              <w:autoSpaceDE w:val="0"/>
              <w:autoSpaceDN w:val="0"/>
              <w:adjustRightInd w:val="0"/>
              <w:snapToGrid w:val="0"/>
              <w:rPr>
                <w:rFonts w:eastAsiaTheme="minorEastAsia"/>
                <w:szCs w:val="24"/>
              </w:rPr>
            </w:pPr>
            <w:r>
              <w:rPr>
                <w:szCs w:val="24"/>
              </w:rPr>
              <w:t>HCV Antibody</w:t>
            </w:r>
          </w:p>
        </w:tc>
        <w:tc>
          <w:tcPr>
            <w:tcW w:w="2121" w:type="pct"/>
          </w:tcPr>
          <w:p w14:paraId="27F4B3A5" w14:textId="77777777" w:rsidR="00AF7938" w:rsidRDefault="00791719" w:rsidP="004E5DC3">
            <w:pPr>
              <w:autoSpaceDE w:val="0"/>
              <w:autoSpaceDN w:val="0"/>
              <w:adjustRightInd w:val="0"/>
              <w:snapToGrid w:val="0"/>
              <w:jc w:val="center"/>
              <w:rPr>
                <w:rFonts w:eastAsiaTheme="minorEastAsia"/>
                <w:szCs w:val="24"/>
              </w:rPr>
            </w:pPr>
            <w:r>
              <w:rPr>
                <w:szCs w:val="24"/>
              </w:rPr>
              <w:t>Negative</w:t>
            </w:r>
          </w:p>
        </w:tc>
      </w:tr>
      <w:tr w:rsidR="00AF7938" w14:paraId="27E7968F" w14:textId="77777777" w:rsidTr="004E5DC3">
        <w:tc>
          <w:tcPr>
            <w:tcW w:w="2879" w:type="pct"/>
            <w:tcBorders>
              <w:bottom w:val="single" w:sz="4" w:space="0" w:color="auto"/>
            </w:tcBorders>
          </w:tcPr>
          <w:p w14:paraId="1F4F8350" w14:textId="77777777" w:rsidR="00AF7938" w:rsidRDefault="00791719" w:rsidP="004E5DC3">
            <w:pPr>
              <w:autoSpaceDE w:val="0"/>
              <w:autoSpaceDN w:val="0"/>
              <w:adjustRightInd w:val="0"/>
              <w:snapToGrid w:val="0"/>
              <w:rPr>
                <w:szCs w:val="24"/>
              </w:rPr>
            </w:pPr>
            <w:r>
              <w:rPr>
                <w:szCs w:val="24"/>
              </w:rPr>
              <w:t>HBsAg</w:t>
            </w:r>
          </w:p>
        </w:tc>
        <w:tc>
          <w:tcPr>
            <w:tcW w:w="2121" w:type="pct"/>
            <w:tcBorders>
              <w:bottom w:val="single" w:sz="4" w:space="0" w:color="auto"/>
            </w:tcBorders>
          </w:tcPr>
          <w:p w14:paraId="486D65CF" w14:textId="77777777" w:rsidR="00AF7938" w:rsidRDefault="00791719" w:rsidP="004E5DC3">
            <w:pPr>
              <w:autoSpaceDE w:val="0"/>
              <w:autoSpaceDN w:val="0"/>
              <w:adjustRightInd w:val="0"/>
              <w:snapToGrid w:val="0"/>
              <w:jc w:val="center"/>
              <w:rPr>
                <w:szCs w:val="24"/>
              </w:rPr>
            </w:pPr>
            <w:r>
              <w:rPr>
                <w:szCs w:val="24"/>
              </w:rPr>
              <w:t>Negative</w:t>
            </w:r>
          </w:p>
        </w:tc>
      </w:tr>
    </w:tbl>
    <w:p w14:paraId="41B71D3F" w14:textId="77777777" w:rsidR="00200B03" w:rsidRDefault="00200B03" w:rsidP="00200B03">
      <w:pPr>
        <w:snapToGrid w:val="0"/>
        <w:rPr>
          <w:szCs w:val="24"/>
        </w:rPr>
      </w:pPr>
    </w:p>
    <w:p w14:paraId="27330850" w14:textId="614371F5" w:rsidR="00200B03" w:rsidRDefault="00200B03" w:rsidP="004E5DC3">
      <w:pPr>
        <w:snapToGrid w:val="0"/>
        <w:jc w:val="center"/>
        <w:rPr>
          <w:szCs w:val="24"/>
        </w:rPr>
      </w:pPr>
      <w:r>
        <w:rPr>
          <w:noProof/>
          <w:szCs w:val="24"/>
        </w:rPr>
        <w:drawing>
          <wp:inline distT="0" distB="0" distL="0" distR="0" wp14:anchorId="7377A88E" wp14:editId="1268F81B">
            <wp:extent cx="2198545" cy="1661020"/>
            <wp:effectExtent l="0" t="0" r="0" b="0"/>
            <wp:docPr id="515892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51464"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09586" cy="1669361"/>
                    </a:xfrm>
                    <a:prstGeom prst="rect">
                      <a:avLst/>
                    </a:prstGeom>
                  </pic:spPr>
                </pic:pic>
              </a:graphicData>
            </a:graphic>
          </wp:inline>
        </w:drawing>
      </w:r>
    </w:p>
    <w:p w14:paraId="7C901B49" w14:textId="449EEFC7" w:rsidR="00200B03" w:rsidRDefault="00200B03" w:rsidP="004E5DC3">
      <w:pPr>
        <w:snapToGrid w:val="0"/>
        <w:jc w:val="center"/>
        <w:rPr>
          <w:szCs w:val="24"/>
        </w:rPr>
      </w:pPr>
      <w:r w:rsidRPr="004E5DC3">
        <w:rPr>
          <w:b/>
          <w:bCs/>
          <w:sz w:val="20"/>
          <w:szCs w:val="20"/>
        </w:rPr>
        <w:t xml:space="preserve">Figure </w:t>
      </w:r>
      <w:r w:rsidRPr="004E5DC3">
        <w:rPr>
          <w:rFonts w:hint="eastAsia"/>
          <w:b/>
          <w:bCs/>
          <w:sz w:val="20"/>
          <w:szCs w:val="20"/>
        </w:rPr>
        <w:t>1.</w:t>
      </w:r>
      <w:r w:rsidRPr="004E5DC3">
        <w:rPr>
          <w:sz w:val="20"/>
          <w:szCs w:val="20"/>
        </w:rPr>
        <w:t xml:space="preserve"> CT shows a huge cystic solid mass in the right lobe of the liver</w:t>
      </w:r>
      <w:r w:rsidRPr="004E5DC3">
        <w:rPr>
          <w:sz w:val="20"/>
          <w:szCs w:val="20"/>
        </w:rPr>
        <w:t>.</w:t>
      </w:r>
    </w:p>
    <w:p w14:paraId="41867EB7" w14:textId="77777777" w:rsidR="00200B03" w:rsidRDefault="00200B03" w:rsidP="00200B03">
      <w:pPr>
        <w:snapToGrid w:val="0"/>
        <w:rPr>
          <w:szCs w:val="24"/>
        </w:rPr>
      </w:pPr>
    </w:p>
    <w:p w14:paraId="79F2A673" w14:textId="5FF22F14" w:rsidR="00200B03" w:rsidRDefault="00200B03" w:rsidP="004E5DC3">
      <w:pPr>
        <w:snapToGrid w:val="0"/>
        <w:jc w:val="center"/>
        <w:rPr>
          <w:szCs w:val="24"/>
        </w:rPr>
      </w:pPr>
      <w:r>
        <w:rPr>
          <w:noProof/>
          <w:szCs w:val="24"/>
        </w:rPr>
        <w:drawing>
          <wp:inline distT="0" distB="0" distL="0" distR="0" wp14:anchorId="690501FB" wp14:editId="675C51D8">
            <wp:extent cx="1912690" cy="1966476"/>
            <wp:effectExtent l="0" t="0" r="0" b="0"/>
            <wp:docPr id="11934166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73848"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25985" cy="1980145"/>
                    </a:xfrm>
                    <a:prstGeom prst="rect">
                      <a:avLst/>
                    </a:prstGeom>
                  </pic:spPr>
                </pic:pic>
              </a:graphicData>
            </a:graphic>
          </wp:inline>
        </w:drawing>
      </w:r>
    </w:p>
    <w:p w14:paraId="7D0CE0E1" w14:textId="3D43CFAD" w:rsidR="00200B03" w:rsidRPr="004E5DC3" w:rsidRDefault="00200B03" w:rsidP="004E5DC3">
      <w:pPr>
        <w:snapToGrid w:val="0"/>
        <w:jc w:val="center"/>
        <w:rPr>
          <w:sz w:val="20"/>
          <w:szCs w:val="20"/>
        </w:rPr>
      </w:pPr>
      <w:r w:rsidRPr="004E5DC3">
        <w:rPr>
          <w:b/>
          <w:bCs/>
          <w:sz w:val="20"/>
          <w:szCs w:val="20"/>
        </w:rPr>
        <w:t xml:space="preserve">Figure </w:t>
      </w:r>
      <w:r w:rsidRPr="004E5DC3">
        <w:rPr>
          <w:rFonts w:hint="eastAsia"/>
          <w:b/>
          <w:bCs/>
          <w:sz w:val="20"/>
          <w:szCs w:val="20"/>
        </w:rPr>
        <w:t>2.</w:t>
      </w:r>
      <w:r w:rsidRPr="004E5DC3">
        <w:rPr>
          <w:rFonts w:hint="eastAsia"/>
          <w:sz w:val="20"/>
          <w:szCs w:val="20"/>
        </w:rPr>
        <w:t xml:space="preserve"> </w:t>
      </w:r>
      <w:r w:rsidRPr="004E5DC3">
        <w:rPr>
          <w:sz w:val="20"/>
          <w:szCs w:val="20"/>
        </w:rPr>
        <w:t>Surgical resection of tumor specimen</w:t>
      </w:r>
      <w:r w:rsidRPr="004E5DC3">
        <w:rPr>
          <w:sz w:val="20"/>
          <w:szCs w:val="20"/>
        </w:rPr>
        <w:t>.</w:t>
      </w:r>
    </w:p>
    <w:p w14:paraId="0F3BE4F2" w14:textId="77777777" w:rsidR="00200B03" w:rsidRDefault="00200B03" w:rsidP="004E5DC3">
      <w:pPr>
        <w:snapToGrid w:val="0"/>
        <w:rPr>
          <w:szCs w:val="24"/>
        </w:rPr>
      </w:pPr>
    </w:p>
    <w:p w14:paraId="23245769" w14:textId="67D15948" w:rsidR="00200B03" w:rsidRDefault="00200B03" w:rsidP="004E5DC3">
      <w:pPr>
        <w:snapToGrid w:val="0"/>
        <w:jc w:val="center"/>
        <w:rPr>
          <w:szCs w:val="24"/>
        </w:rPr>
      </w:pPr>
      <w:r>
        <w:rPr>
          <w:noProof/>
          <w:szCs w:val="24"/>
        </w:rPr>
        <w:lastRenderedPageBreak/>
        <w:drawing>
          <wp:inline distT="0" distB="0" distL="0" distR="0" wp14:anchorId="45484374" wp14:editId="493E7B3E">
            <wp:extent cx="1974548" cy="1476463"/>
            <wp:effectExtent l="0" t="0" r="6985" b="0"/>
            <wp:docPr id="14932709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39455" name="图片 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93562" cy="1490681"/>
                    </a:xfrm>
                    <a:prstGeom prst="rect">
                      <a:avLst/>
                    </a:prstGeom>
                  </pic:spPr>
                </pic:pic>
              </a:graphicData>
            </a:graphic>
          </wp:inline>
        </w:drawing>
      </w:r>
    </w:p>
    <w:p w14:paraId="481715AD" w14:textId="5073897D" w:rsidR="00200B03" w:rsidRDefault="00200B03" w:rsidP="004E5DC3">
      <w:pPr>
        <w:snapToGrid w:val="0"/>
        <w:jc w:val="center"/>
        <w:rPr>
          <w:szCs w:val="24"/>
        </w:rPr>
      </w:pPr>
      <w:r w:rsidRPr="004E5DC3">
        <w:rPr>
          <w:b/>
          <w:bCs/>
          <w:sz w:val="20"/>
          <w:szCs w:val="20"/>
        </w:rPr>
        <w:t xml:space="preserve">Figure </w:t>
      </w:r>
      <w:r w:rsidRPr="004E5DC3">
        <w:rPr>
          <w:rFonts w:hint="eastAsia"/>
          <w:b/>
          <w:bCs/>
          <w:sz w:val="20"/>
          <w:szCs w:val="20"/>
        </w:rPr>
        <w:t>3.</w:t>
      </w:r>
      <w:r w:rsidRPr="004E5DC3">
        <w:rPr>
          <w:sz w:val="20"/>
          <w:szCs w:val="20"/>
        </w:rPr>
        <w:t xml:space="preserve"> HE staining shows visible mitosis, with tumor giant cells visible</w:t>
      </w:r>
      <w:r w:rsidRPr="004E5DC3">
        <w:rPr>
          <w:sz w:val="20"/>
          <w:szCs w:val="20"/>
        </w:rPr>
        <w:t>.</w:t>
      </w:r>
    </w:p>
    <w:p w14:paraId="57B786A9" w14:textId="77777777" w:rsidR="00AF7938" w:rsidRDefault="00AF7938" w:rsidP="00200B03">
      <w:pPr>
        <w:snapToGrid w:val="0"/>
        <w:jc w:val="center"/>
        <w:rPr>
          <w:szCs w:val="24"/>
        </w:rPr>
      </w:pPr>
    </w:p>
    <w:p w14:paraId="65120327" w14:textId="51E4420D" w:rsidR="00200B03" w:rsidRDefault="00200B03" w:rsidP="00200B03">
      <w:pPr>
        <w:snapToGrid w:val="0"/>
        <w:jc w:val="center"/>
        <w:rPr>
          <w:szCs w:val="24"/>
        </w:rPr>
      </w:pPr>
      <w:r>
        <w:rPr>
          <w:noProof/>
          <w:szCs w:val="24"/>
        </w:rPr>
        <w:drawing>
          <wp:inline distT="0" distB="0" distL="0" distR="0" wp14:anchorId="3CC6C990" wp14:editId="21DA7DEF">
            <wp:extent cx="1859221" cy="1803633"/>
            <wp:effectExtent l="0" t="0" r="8255" b="6350"/>
            <wp:docPr id="18286767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508688"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5147" cy="1828784"/>
                    </a:xfrm>
                    <a:prstGeom prst="rect">
                      <a:avLst/>
                    </a:prstGeom>
                  </pic:spPr>
                </pic:pic>
              </a:graphicData>
            </a:graphic>
          </wp:inline>
        </w:drawing>
      </w:r>
    </w:p>
    <w:p w14:paraId="73657A79" w14:textId="6858B436" w:rsidR="00200B03" w:rsidRPr="004E5DC3" w:rsidRDefault="00200B03" w:rsidP="00200B03">
      <w:pPr>
        <w:snapToGrid w:val="0"/>
        <w:jc w:val="center"/>
        <w:rPr>
          <w:sz w:val="20"/>
          <w:szCs w:val="20"/>
        </w:rPr>
      </w:pPr>
      <w:r w:rsidRPr="004E5DC3">
        <w:rPr>
          <w:b/>
          <w:bCs/>
          <w:sz w:val="20"/>
          <w:szCs w:val="20"/>
        </w:rPr>
        <w:t xml:space="preserve">Figure </w:t>
      </w:r>
      <w:r w:rsidRPr="004E5DC3">
        <w:rPr>
          <w:rFonts w:hint="eastAsia"/>
          <w:b/>
          <w:bCs/>
          <w:sz w:val="20"/>
          <w:szCs w:val="20"/>
        </w:rPr>
        <w:t>4.</w:t>
      </w:r>
      <w:r w:rsidRPr="004E5DC3">
        <w:rPr>
          <w:sz w:val="20"/>
          <w:szCs w:val="20"/>
        </w:rPr>
        <w:t xml:space="preserve"> Special Stained PAS (+) and D-PAD (+)</w:t>
      </w:r>
      <w:r w:rsidRPr="004E5DC3">
        <w:rPr>
          <w:sz w:val="20"/>
          <w:szCs w:val="20"/>
        </w:rPr>
        <w:t>.</w:t>
      </w:r>
    </w:p>
    <w:p w14:paraId="4FB4D17F" w14:textId="77777777" w:rsidR="00200B03" w:rsidRDefault="00200B03" w:rsidP="004E5DC3">
      <w:pPr>
        <w:snapToGrid w:val="0"/>
        <w:jc w:val="center"/>
        <w:rPr>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00B03" w14:paraId="1C8B622A" w14:textId="77777777" w:rsidTr="004E5DC3">
        <w:tc>
          <w:tcPr>
            <w:tcW w:w="5000" w:type="pct"/>
          </w:tcPr>
          <w:p w14:paraId="13657153" w14:textId="77777777" w:rsidR="00200B03" w:rsidRDefault="00200B03" w:rsidP="004E5DC3">
            <w:pPr>
              <w:snapToGrid w:val="0"/>
              <w:jc w:val="center"/>
              <w:rPr>
                <w:szCs w:val="24"/>
              </w:rPr>
            </w:pPr>
            <w:r>
              <w:rPr>
                <w:noProof/>
                <w:szCs w:val="24"/>
              </w:rPr>
              <w:drawing>
                <wp:inline distT="0" distB="0" distL="0" distR="0" wp14:anchorId="7BB5C923" wp14:editId="07F2360F">
                  <wp:extent cx="5080635" cy="2811780"/>
                  <wp:effectExtent l="0" t="0" r="12065" b="7620"/>
                  <wp:docPr id="8344689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080635" cy="2811780"/>
                          </a:xfrm>
                          <a:prstGeom prst="rect">
                            <a:avLst/>
                          </a:prstGeom>
                        </pic:spPr>
                      </pic:pic>
                    </a:graphicData>
                  </a:graphic>
                </wp:inline>
              </w:drawing>
            </w:r>
          </w:p>
          <w:p w14:paraId="35B930A1" w14:textId="77777777" w:rsidR="00200B03" w:rsidRDefault="00200B03" w:rsidP="00B14B91">
            <w:pPr>
              <w:snapToGrid w:val="0"/>
              <w:rPr>
                <w:szCs w:val="24"/>
              </w:rPr>
            </w:pPr>
          </w:p>
        </w:tc>
      </w:tr>
      <w:tr w:rsidR="00200B03" w14:paraId="317BF6BF" w14:textId="77777777" w:rsidTr="004E5DC3">
        <w:tc>
          <w:tcPr>
            <w:tcW w:w="5000" w:type="pct"/>
          </w:tcPr>
          <w:p w14:paraId="2A419849" w14:textId="582073FF" w:rsidR="00200B03" w:rsidRDefault="00200B03" w:rsidP="004E5DC3">
            <w:pPr>
              <w:snapToGrid w:val="0"/>
              <w:jc w:val="center"/>
              <w:rPr>
                <w:szCs w:val="24"/>
              </w:rPr>
            </w:pPr>
            <w:r w:rsidRPr="004E5DC3">
              <w:rPr>
                <w:b/>
                <w:bCs/>
                <w:sz w:val="20"/>
                <w:szCs w:val="20"/>
              </w:rPr>
              <w:t xml:space="preserve">Figure </w:t>
            </w:r>
            <w:r w:rsidRPr="004E5DC3">
              <w:rPr>
                <w:rFonts w:hint="eastAsia"/>
                <w:b/>
                <w:bCs/>
                <w:sz w:val="20"/>
                <w:szCs w:val="20"/>
              </w:rPr>
              <w:t>5.</w:t>
            </w:r>
            <w:r w:rsidRPr="004E5DC3">
              <w:rPr>
                <w:sz w:val="20"/>
                <w:szCs w:val="20"/>
              </w:rPr>
              <w:t xml:space="preserve"> Genetic testing results</w:t>
            </w:r>
            <w:r>
              <w:rPr>
                <w:sz w:val="20"/>
                <w:szCs w:val="20"/>
              </w:rPr>
              <w:t>.</w:t>
            </w:r>
          </w:p>
        </w:tc>
      </w:tr>
    </w:tbl>
    <w:p w14:paraId="3C9F9779" w14:textId="77777777" w:rsidR="00200B03" w:rsidRDefault="00200B03" w:rsidP="004E5DC3">
      <w:pPr>
        <w:snapToGrid w:val="0"/>
        <w:rPr>
          <w:szCs w:val="24"/>
        </w:rPr>
      </w:pPr>
    </w:p>
    <w:p w14:paraId="6ED5A232" w14:textId="77777777" w:rsidR="00AF7938" w:rsidRDefault="00791719" w:rsidP="004E5DC3">
      <w:pPr>
        <w:snapToGrid w:val="0"/>
        <w:rPr>
          <w:b/>
          <w:bCs/>
          <w:szCs w:val="24"/>
        </w:rPr>
      </w:pPr>
      <w:r>
        <w:rPr>
          <w:rFonts w:hint="eastAsia"/>
          <w:b/>
          <w:bCs/>
          <w:szCs w:val="24"/>
        </w:rPr>
        <w:t>3</w:t>
      </w:r>
      <w:r>
        <w:rPr>
          <w:b/>
          <w:bCs/>
          <w:szCs w:val="24"/>
        </w:rPr>
        <w:t>. Discussion</w:t>
      </w:r>
    </w:p>
    <w:p w14:paraId="14BC4FC1" w14:textId="6C234479" w:rsidR="00AF7938" w:rsidRDefault="00791719" w:rsidP="004E5DC3">
      <w:pPr>
        <w:snapToGrid w:val="0"/>
        <w:rPr>
          <w:szCs w:val="24"/>
        </w:rPr>
      </w:pPr>
      <w:r>
        <w:rPr>
          <w:szCs w:val="24"/>
        </w:rPr>
        <w:t xml:space="preserve">The clinical manifestations of UESL are atypical, often manifested as abdominal pain, fatigue, nausea, vomiting, weight loss, </w:t>
      </w:r>
      <w:proofErr w:type="spellStart"/>
      <w:r>
        <w:rPr>
          <w:szCs w:val="24"/>
        </w:rPr>
        <w:t>etc</w:t>
      </w:r>
      <w:proofErr w:type="spellEnd"/>
      <w:r>
        <w:rPr>
          <w:szCs w:val="24"/>
        </w:rPr>
        <w:t>; Tumor markers (AFP, CA199, CEA, etc.) are usually negative</w:t>
      </w:r>
      <w:r w:rsidR="00200B03">
        <w:rPr>
          <w:szCs w:val="24"/>
        </w:rPr>
        <w:t xml:space="preserve"> </w:t>
      </w:r>
      <w:r>
        <w:rPr>
          <w:szCs w:val="24"/>
          <w:vertAlign w:val="superscript"/>
        </w:rPr>
        <w:t>[7]</w:t>
      </w:r>
      <w:r>
        <w:rPr>
          <w:szCs w:val="24"/>
        </w:rPr>
        <w:t xml:space="preserve">; Ultrasound often presents as a large solid echo accompanied by many small, irregular </w:t>
      </w:r>
      <w:proofErr w:type="spellStart"/>
      <w:r w:rsidR="00200B03">
        <w:rPr>
          <w:szCs w:val="24"/>
        </w:rPr>
        <w:t>hypoechoes</w:t>
      </w:r>
      <w:proofErr w:type="spellEnd"/>
      <w:r w:rsidR="00200B03">
        <w:rPr>
          <w:szCs w:val="24"/>
        </w:rPr>
        <w:t xml:space="preserve"> </w:t>
      </w:r>
      <w:r>
        <w:rPr>
          <w:szCs w:val="24"/>
          <w:vertAlign w:val="superscript"/>
        </w:rPr>
        <w:t>[8]</w:t>
      </w:r>
      <w:r>
        <w:rPr>
          <w:szCs w:val="24"/>
        </w:rPr>
        <w:t xml:space="preserve">. CT often presents as a large </w:t>
      </w:r>
      <w:r w:rsidR="00200B03">
        <w:rPr>
          <w:szCs w:val="24"/>
        </w:rPr>
        <w:t>cystic-solid</w:t>
      </w:r>
      <w:r>
        <w:rPr>
          <w:szCs w:val="24"/>
        </w:rPr>
        <w:t xml:space="preserve"> mass in the liver, with clear boundaries, uneven density, and internal septa </w:t>
      </w:r>
      <w:r>
        <w:rPr>
          <w:szCs w:val="24"/>
          <w:vertAlign w:val="superscript"/>
        </w:rPr>
        <w:t>[9]</w:t>
      </w:r>
      <w:r>
        <w:rPr>
          <w:szCs w:val="24"/>
        </w:rPr>
        <w:t xml:space="preserve">. Histologically, UESL shows solid/irregular tumor structures. The high cell size, necrosis, high mitotic index, frequent atypical mitosis, and apoptotic bodies of highly polymorphic tumor cells are important microscopic features of this tumor. Cytologically, UESL is rich in </w:t>
      </w:r>
      <w:r w:rsidR="00200B03">
        <w:rPr>
          <w:szCs w:val="24"/>
        </w:rPr>
        <w:t>spindle-shaped or star-shaped</w:t>
      </w:r>
      <w:r>
        <w:rPr>
          <w:szCs w:val="24"/>
        </w:rPr>
        <w:t xml:space="preserve"> cells, with blurred boundaries and inconspicuous nucleoli. Multinucleated giant cells, abnormal cell nuclei, and eosinophilic transparent spheres are important diagnostic clues for UESL. Immunohistochemical studies do not have specificity for the histogenesis of UESL; There are </w:t>
      </w:r>
      <w:r>
        <w:rPr>
          <w:szCs w:val="24"/>
        </w:rPr>
        <w:lastRenderedPageBreak/>
        <w:t>currently no individual biomarkers that can diagnose this cancer</w:t>
      </w:r>
      <w:r w:rsidR="00200B03">
        <w:rPr>
          <w:szCs w:val="24"/>
        </w:rPr>
        <w:t xml:space="preserve"> </w:t>
      </w:r>
      <w:r>
        <w:rPr>
          <w:szCs w:val="24"/>
          <w:vertAlign w:val="superscript"/>
        </w:rPr>
        <w:t>[10]</w:t>
      </w:r>
      <w:r>
        <w:rPr>
          <w:szCs w:val="24"/>
        </w:rPr>
        <w:t>. UESL needs to be differentiated from hepatocellular carcinoma</w:t>
      </w:r>
      <w:r w:rsidR="00200B03">
        <w:rPr>
          <w:szCs w:val="24"/>
        </w:rPr>
        <w:t xml:space="preserve"> </w:t>
      </w:r>
      <w:r>
        <w:rPr>
          <w:szCs w:val="24"/>
          <w:vertAlign w:val="superscript"/>
        </w:rPr>
        <w:t>[11]</w:t>
      </w:r>
      <w:r>
        <w:rPr>
          <w:szCs w:val="24"/>
        </w:rPr>
        <w:t xml:space="preserve">. Typical hepatocellular carcinoma is more common in high-risk populations with a history of hepatitis and cirrhosis. Clinical manifestations include liver pain, nausea and vomiting, fatigue, weight loss, etc. Tumor markers such as </w:t>
      </w:r>
      <w:r w:rsidR="00200B03">
        <w:rPr>
          <w:szCs w:val="24"/>
        </w:rPr>
        <w:t>alpha-fetoprotein</w:t>
      </w:r>
      <w:r>
        <w:rPr>
          <w:szCs w:val="24"/>
        </w:rPr>
        <w:t xml:space="preserve"> and abnormal prothrombin are usually elevated, and enhanced CT or MRI often show a “fast in, fast out” characteristic</w:t>
      </w:r>
      <w:r w:rsidR="00200B03">
        <w:rPr>
          <w:szCs w:val="24"/>
        </w:rPr>
        <w:t xml:space="preserve"> </w:t>
      </w:r>
      <w:r>
        <w:rPr>
          <w:szCs w:val="24"/>
          <w:vertAlign w:val="superscript"/>
        </w:rPr>
        <w:t>[12]</w:t>
      </w:r>
      <w:r>
        <w:rPr>
          <w:szCs w:val="24"/>
        </w:rPr>
        <w:t>.  This case has no history of hepatitis or cirrhosis, and its clinical manifestations are similar to hepatocellular carcinoma. The tumor marker CA125 is elevated, AFP and abnormal prothrombin are normal, and the imaging manifestation is an exogenous, multilocular cystic solid mixed density mass, which is different from typical hepatocellular carcinoma. Although UESL is common in children with liver malignancies and does not have typical clinical features, for adult patients with negative indicators of hepa</w:t>
      </w:r>
      <w:r>
        <w:rPr>
          <w:szCs w:val="24"/>
        </w:rPr>
        <w:t>titis and cirrhosis, normal AFP tumor markers, and no relevant medical history, in the case of positive immune markers, imaging examination reveals a huge cystic solid mass in the liver with multiple septa, with or without bleeding foci, and dynamic enhancement of the cyst wall, septa, and solid parts showing gradual delayed enhancement. When considering conventional liver malignancies, the possibility of rare adult UESL should not be ruled out</w:t>
      </w:r>
      <w:r w:rsidR="00200B03">
        <w:rPr>
          <w:szCs w:val="24"/>
        </w:rPr>
        <w:t xml:space="preserve"> </w:t>
      </w:r>
      <w:r>
        <w:rPr>
          <w:szCs w:val="24"/>
          <w:vertAlign w:val="superscript"/>
        </w:rPr>
        <w:t>[13]</w:t>
      </w:r>
      <w:r>
        <w:rPr>
          <w:szCs w:val="24"/>
        </w:rPr>
        <w:t xml:space="preserve">. </w:t>
      </w:r>
    </w:p>
    <w:p w14:paraId="174C4EB2" w14:textId="58842C30" w:rsidR="00AF7938" w:rsidRDefault="00791719" w:rsidP="004E5DC3">
      <w:pPr>
        <w:snapToGrid w:val="0"/>
        <w:ind w:firstLineChars="200" w:firstLine="480"/>
        <w:rPr>
          <w:szCs w:val="24"/>
        </w:rPr>
      </w:pPr>
      <w:r>
        <w:rPr>
          <w:szCs w:val="24"/>
        </w:rPr>
        <w:t>UESL should be differentiated from liver abscesses</w:t>
      </w:r>
      <w:r w:rsidR="00200B03">
        <w:rPr>
          <w:szCs w:val="24"/>
        </w:rPr>
        <w:t xml:space="preserve"> </w:t>
      </w:r>
      <w:r>
        <w:rPr>
          <w:szCs w:val="24"/>
          <w:vertAlign w:val="superscript"/>
        </w:rPr>
        <w:t>[14]</w:t>
      </w:r>
      <w:r>
        <w:rPr>
          <w:szCs w:val="24"/>
        </w:rPr>
        <w:t>. Liver abscesses often have a history of diabetes. The clinical manifestations are right upper abdominal pain with fever and chills, and the liver area percussion pain is positive; Laboratory tests showed elevated white blood cells and CRP levels, as well as abnormal liver function; On CT, it often appears as a circular low-density lesion with unclear boundaries. During enhancement, there may be enhancement of the lesion’s internal septum and small abscess walls, and there may be patchy weak enhancement ar</w:t>
      </w:r>
      <w:r>
        <w:rPr>
          <w:szCs w:val="24"/>
        </w:rPr>
        <w:t>eas around the abscess walls. In this case, there were no obvious systemic inflammatory manifestations such as fever and chills. White blood cells and CRP were not high, transaminase and bilirubin were not high, and CT findings were significantly different from abscesses.</w:t>
      </w:r>
    </w:p>
    <w:p w14:paraId="6573C340" w14:textId="6A83E00E" w:rsidR="00AF7938" w:rsidRDefault="00791719" w:rsidP="004E5DC3">
      <w:pPr>
        <w:snapToGrid w:val="0"/>
        <w:ind w:firstLineChars="200" w:firstLine="480"/>
        <w:rPr>
          <w:szCs w:val="24"/>
        </w:rPr>
      </w:pPr>
      <w:r>
        <w:rPr>
          <w:szCs w:val="24"/>
        </w:rPr>
        <w:t>Surgical resection is the main treatment for UESL, and postoperative combined adjuvant chemotherapy can significantly improve median survival</w:t>
      </w:r>
      <w:r w:rsidR="00200B03">
        <w:rPr>
          <w:szCs w:val="24"/>
        </w:rPr>
        <w:t xml:space="preserve"> </w:t>
      </w:r>
      <w:r>
        <w:rPr>
          <w:szCs w:val="24"/>
          <w:vertAlign w:val="superscript"/>
        </w:rPr>
        <w:t>[15,16]</w:t>
      </w:r>
      <w:r>
        <w:rPr>
          <w:szCs w:val="24"/>
        </w:rPr>
        <w:t>. For unresectable, refractory, and recurrent UESL, liver transplantation is an effective and safe alternative treatment option</w:t>
      </w:r>
      <w:r w:rsidR="00200B03">
        <w:rPr>
          <w:szCs w:val="24"/>
        </w:rPr>
        <w:t xml:space="preserve"> </w:t>
      </w:r>
      <w:r>
        <w:rPr>
          <w:szCs w:val="24"/>
          <w:vertAlign w:val="superscript"/>
        </w:rPr>
        <w:t>[13,16]</w:t>
      </w:r>
      <w:r>
        <w:rPr>
          <w:szCs w:val="24"/>
        </w:rPr>
        <w:t>. Although the survival rate and duration of patients with UESL have been low and short in the past, with the continuous improvement of modern multimodal treatment methods, the 5-year overall survival rate of some UESL patients is higher than 70%, and some patients can even be cured</w:t>
      </w:r>
      <w:r>
        <w:rPr>
          <w:rFonts w:hint="eastAsia"/>
          <w:szCs w:val="24"/>
        </w:rPr>
        <w:t xml:space="preserve"> </w:t>
      </w:r>
      <w:r>
        <w:rPr>
          <w:szCs w:val="24"/>
          <w:vertAlign w:val="superscript"/>
        </w:rPr>
        <w:t>[17]</w:t>
      </w:r>
      <w:r>
        <w:rPr>
          <w:szCs w:val="24"/>
        </w:rPr>
        <w:t>. Therefore, accurately distinguishing UESL from other liver malignancies is of great significance for clinical decision-making and patient survival prognosis.</w:t>
      </w:r>
    </w:p>
    <w:p w14:paraId="25165E1F" w14:textId="77777777" w:rsidR="00AF7938" w:rsidRDefault="00AF7938" w:rsidP="004E5DC3">
      <w:pPr>
        <w:snapToGrid w:val="0"/>
        <w:ind w:firstLineChars="200" w:firstLine="480"/>
        <w:rPr>
          <w:szCs w:val="24"/>
        </w:rPr>
      </w:pPr>
    </w:p>
    <w:p w14:paraId="66258601" w14:textId="77777777" w:rsidR="00AF7938" w:rsidRDefault="00791719" w:rsidP="004E5DC3">
      <w:pPr>
        <w:snapToGrid w:val="0"/>
        <w:rPr>
          <w:b/>
          <w:bCs/>
          <w:szCs w:val="24"/>
        </w:rPr>
      </w:pPr>
      <w:r>
        <w:rPr>
          <w:rFonts w:hint="eastAsia"/>
          <w:b/>
          <w:bCs/>
          <w:szCs w:val="24"/>
        </w:rPr>
        <w:t>4. Conclusion</w:t>
      </w:r>
    </w:p>
    <w:p w14:paraId="4892BDCA" w14:textId="15987CC8" w:rsidR="00AF7938" w:rsidRDefault="00791719" w:rsidP="004E5DC3">
      <w:pPr>
        <w:snapToGrid w:val="0"/>
        <w:rPr>
          <w:szCs w:val="24"/>
        </w:rPr>
      </w:pPr>
      <w:r>
        <w:rPr>
          <w:szCs w:val="24"/>
        </w:rPr>
        <w:t>The clinical incidence rate of UESL is extremely low, and its clinical manifestations, imaging</w:t>
      </w:r>
      <w:r w:rsidR="00200B03">
        <w:rPr>
          <w:szCs w:val="24"/>
        </w:rPr>
        <w:t>, and tumor markers lack typical characteristics, which can easily be misdiagnosed as other liver space-occupying</w:t>
      </w:r>
      <w:r>
        <w:rPr>
          <w:szCs w:val="24"/>
        </w:rPr>
        <w:t xml:space="preserve"> lesions. For liver cystic solid masses with no history of hepatitis, normal AFP, but elevated CA125, caution should be taken against this disease. The core treatment plan for complete surgical resection, combined with personalized comprehensive interventions such as chemotherapy and targeted therapy based on genetic testing results, can effectively improve the long-term survival of patients.</w:t>
      </w:r>
    </w:p>
    <w:p w14:paraId="4087B7AA" w14:textId="77777777" w:rsidR="00AF7938" w:rsidRDefault="00AF7938" w:rsidP="004E5DC3">
      <w:pPr>
        <w:snapToGrid w:val="0"/>
        <w:rPr>
          <w:szCs w:val="24"/>
        </w:rPr>
      </w:pPr>
    </w:p>
    <w:p w14:paraId="319DC0F6" w14:textId="77777777" w:rsidR="00AF7938" w:rsidRDefault="00791719" w:rsidP="004E5DC3">
      <w:pPr>
        <w:snapToGrid w:val="0"/>
        <w:rPr>
          <w:b/>
          <w:bCs/>
        </w:rPr>
      </w:pPr>
      <w:bookmarkStart w:id="0" w:name="_Hlk181689731"/>
      <w:r>
        <w:rPr>
          <w:b/>
          <w:bCs/>
        </w:rPr>
        <w:t>Disclosure statement</w:t>
      </w:r>
    </w:p>
    <w:p w14:paraId="0C006CCB" w14:textId="77777777" w:rsidR="00AF7938" w:rsidRDefault="00791719" w:rsidP="004E5DC3">
      <w:pPr>
        <w:snapToGrid w:val="0"/>
      </w:pPr>
      <w:r>
        <w:t xml:space="preserve">The authors declare no conflict of interest. </w:t>
      </w:r>
    </w:p>
    <w:bookmarkEnd w:id="0"/>
    <w:p w14:paraId="075A6FE8" w14:textId="77777777" w:rsidR="00AF7938" w:rsidRDefault="00AF7938" w:rsidP="004E5DC3">
      <w:pPr>
        <w:snapToGrid w:val="0"/>
        <w:rPr>
          <w:b/>
          <w:bCs/>
          <w:szCs w:val="24"/>
        </w:rPr>
      </w:pPr>
    </w:p>
    <w:p w14:paraId="3383C7B0" w14:textId="77777777" w:rsidR="00AF7938" w:rsidRDefault="00791719" w:rsidP="004E5DC3">
      <w:pPr>
        <w:snapToGrid w:val="0"/>
        <w:rPr>
          <w:b/>
          <w:bCs/>
          <w:szCs w:val="24"/>
        </w:rPr>
      </w:pPr>
      <w:r>
        <w:rPr>
          <w:b/>
          <w:bCs/>
          <w:szCs w:val="24"/>
        </w:rPr>
        <w:t>References</w:t>
      </w:r>
    </w:p>
    <w:p w14:paraId="7611E407" w14:textId="77777777" w:rsidR="00200B03" w:rsidRDefault="00200B03" w:rsidP="00200B03">
      <w:pPr>
        <w:snapToGrid w:val="0"/>
        <w:ind w:left="709" w:hanging="709"/>
        <w:rPr>
          <w:szCs w:val="24"/>
          <w:lang w:val="en-MY"/>
        </w:rPr>
      </w:pPr>
      <w:r w:rsidRPr="00200B03">
        <w:rPr>
          <w:szCs w:val="24"/>
          <w:lang w:val="en-MY"/>
        </w:rPr>
        <w:t xml:space="preserve">[1] </w:t>
      </w:r>
      <w:r>
        <w:rPr>
          <w:szCs w:val="24"/>
          <w:lang w:val="en-MY"/>
        </w:rPr>
        <w:tab/>
      </w:r>
      <w:r w:rsidRPr="00200B03">
        <w:rPr>
          <w:szCs w:val="24"/>
          <w:lang w:val="en-MY"/>
        </w:rPr>
        <w:t>Pu T, Chen J, Guo Q, et al., 2021, Surgical Diagnosis and Treatment of Adult Huge Undifferentiated Embryonal Sarcoma of the Liver. Zhonghua Wai Ke Za Zhi, 59: 848–853.</w:t>
      </w:r>
    </w:p>
    <w:p w14:paraId="46277E98" w14:textId="77777777" w:rsidR="00200B03" w:rsidRDefault="00200B03" w:rsidP="00200B03">
      <w:pPr>
        <w:snapToGrid w:val="0"/>
        <w:ind w:left="709" w:hanging="709"/>
        <w:rPr>
          <w:szCs w:val="24"/>
          <w:lang w:val="en-MY"/>
        </w:rPr>
      </w:pPr>
      <w:r w:rsidRPr="00200B03">
        <w:rPr>
          <w:szCs w:val="24"/>
          <w:lang w:val="en-MY"/>
        </w:rPr>
        <w:t xml:space="preserve">[2] </w:t>
      </w:r>
      <w:r>
        <w:rPr>
          <w:szCs w:val="24"/>
          <w:lang w:val="en-MY"/>
        </w:rPr>
        <w:tab/>
      </w:r>
      <w:r w:rsidRPr="00200B03">
        <w:rPr>
          <w:szCs w:val="24"/>
          <w:lang w:val="en-MY"/>
        </w:rPr>
        <w:t>Gerson G, Valença J, Cavalcante J, et al., 2019, Undifferentiated Embryonal Sarcoma of the Liver in Elderly: Case Report and Review of the Literature. Indian Journal of Pathology and Microbiology, 62: 129–131.</w:t>
      </w:r>
    </w:p>
    <w:p w14:paraId="2A9C919F" w14:textId="77777777" w:rsidR="00200B03" w:rsidRDefault="00200B03" w:rsidP="00200B03">
      <w:pPr>
        <w:snapToGrid w:val="0"/>
        <w:ind w:left="709" w:hanging="709"/>
        <w:rPr>
          <w:szCs w:val="24"/>
          <w:lang w:val="en-MY"/>
        </w:rPr>
      </w:pPr>
      <w:r w:rsidRPr="00200B03">
        <w:rPr>
          <w:szCs w:val="24"/>
          <w:lang w:val="en-MY"/>
        </w:rPr>
        <w:lastRenderedPageBreak/>
        <w:t xml:space="preserve">[3] </w:t>
      </w:r>
      <w:r>
        <w:rPr>
          <w:szCs w:val="24"/>
          <w:lang w:val="en-MY"/>
        </w:rPr>
        <w:tab/>
      </w:r>
      <w:r w:rsidRPr="00200B03">
        <w:rPr>
          <w:szCs w:val="24"/>
          <w:lang w:val="en-MY"/>
        </w:rPr>
        <w:t>Zhang C, Jia C, Xu C, et al., 2020, Undifferentiated Embryonal Sarcoma of the Liver: Clinical Characteristics and Outcomes. World Journal of Clinical Cases, 8: 4763–4767.</w:t>
      </w:r>
    </w:p>
    <w:p w14:paraId="7253F8AE" w14:textId="77777777" w:rsidR="00200B03" w:rsidRDefault="00200B03" w:rsidP="00200B03">
      <w:pPr>
        <w:snapToGrid w:val="0"/>
        <w:ind w:left="709" w:hanging="709"/>
        <w:rPr>
          <w:szCs w:val="24"/>
          <w:lang w:val="en-MY"/>
        </w:rPr>
      </w:pPr>
      <w:r w:rsidRPr="00200B03">
        <w:rPr>
          <w:szCs w:val="24"/>
          <w:lang w:val="en-MY"/>
        </w:rPr>
        <w:t xml:space="preserve">[4] </w:t>
      </w:r>
      <w:r>
        <w:rPr>
          <w:szCs w:val="24"/>
          <w:lang w:val="en-MY"/>
        </w:rPr>
        <w:tab/>
      </w:r>
      <w:r w:rsidRPr="00200B03">
        <w:rPr>
          <w:szCs w:val="24"/>
          <w:lang w:val="en-MY"/>
        </w:rPr>
        <w:t xml:space="preserve">Putra J, </w:t>
      </w:r>
      <w:proofErr w:type="spellStart"/>
      <w:r w:rsidRPr="00200B03">
        <w:rPr>
          <w:szCs w:val="24"/>
          <w:lang w:val="en-MY"/>
        </w:rPr>
        <w:t>Ornvold</w:t>
      </w:r>
      <w:proofErr w:type="spellEnd"/>
      <w:r w:rsidRPr="00200B03">
        <w:rPr>
          <w:szCs w:val="24"/>
          <w:lang w:val="en-MY"/>
        </w:rPr>
        <w:t xml:space="preserve"> K, 2015, Undifferentiated Embryonal Sarcoma of the Liver: A Concise Review. Archives of Pathology &amp; Laboratory Medicine, 139(2): 269–273.</w:t>
      </w:r>
    </w:p>
    <w:p w14:paraId="36373CED" w14:textId="77777777" w:rsidR="00200B03" w:rsidRDefault="00200B03" w:rsidP="00200B03">
      <w:pPr>
        <w:snapToGrid w:val="0"/>
        <w:ind w:left="709" w:hanging="709"/>
        <w:rPr>
          <w:szCs w:val="24"/>
          <w:lang w:val="en-MY"/>
        </w:rPr>
      </w:pPr>
      <w:r w:rsidRPr="00200B03">
        <w:rPr>
          <w:szCs w:val="24"/>
          <w:lang w:val="en-MY"/>
        </w:rPr>
        <w:t xml:space="preserve">[5] </w:t>
      </w:r>
      <w:r>
        <w:rPr>
          <w:szCs w:val="24"/>
          <w:lang w:val="en-MY"/>
        </w:rPr>
        <w:tab/>
      </w:r>
      <w:r w:rsidRPr="00200B03">
        <w:rPr>
          <w:szCs w:val="24"/>
          <w:lang w:val="en-MY"/>
        </w:rPr>
        <w:t>Ziogas I, Zamora I, Lovvorn H, et al., 2021, Undifferentiated Embryonal Sarcoma of the Liver in Children Versus Adults: A National Cancer Database Analysis. Cancers (Basel), 13(12): 2918.</w:t>
      </w:r>
    </w:p>
    <w:p w14:paraId="30FEE3F0" w14:textId="77777777" w:rsidR="00200B03" w:rsidRDefault="00200B03" w:rsidP="00200B03">
      <w:pPr>
        <w:snapToGrid w:val="0"/>
        <w:ind w:left="709" w:hanging="709"/>
        <w:rPr>
          <w:szCs w:val="24"/>
          <w:lang w:val="en-MY"/>
        </w:rPr>
      </w:pPr>
      <w:r w:rsidRPr="00200B03">
        <w:rPr>
          <w:szCs w:val="24"/>
          <w:lang w:val="en-MY"/>
        </w:rPr>
        <w:t xml:space="preserve">[6] </w:t>
      </w:r>
      <w:r>
        <w:rPr>
          <w:szCs w:val="24"/>
          <w:lang w:val="en-MY"/>
        </w:rPr>
        <w:tab/>
      </w:r>
      <w:r w:rsidRPr="00200B03">
        <w:rPr>
          <w:szCs w:val="24"/>
          <w:lang w:val="en-MY"/>
        </w:rPr>
        <w:t>Cao W, Qiu B, 2012, A Case of Undifferentiated Embryonal Sarcoma of the Adult Liver and Literature Analysis. Chinese Journal of Clinical Physicians (Electronic Edition), 6(17): 5360–5361.</w:t>
      </w:r>
    </w:p>
    <w:p w14:paraId="571CA6A5" w14:textId="77777777" w:rsidR="00200B03" w:rsidRDefault="00200B03" w:rsidP="00200B03">
      <w:pPr>
        <w:snapToGrid w:val="0"/>
        <w:ind w:left="709" w:hanging="709"/>
        <w:rPr>
          <w:szCs w:val="24"/>
          <w:lang w:val="en-MY"/>
        </w:rPr>
      </w:pPr>
      <w:r w:rsidRPr="00200B03">
        <w:rPr>
          <w:szCs w:val="24"/>
          <w:lang w:val="en-MY"/>
        </w:rPr>
        <w:t xml:space="preserve">[7] </w:t>
      </w:r>
      <w:r>
        <w:rPr>
          <w:szCs w:val="24"/>
          <w:lang w:val="en-MY"/>
        </w:rPr>
        <w:tab/>
      </w:r>
      <w:r w:rsidRPr="00200B03">
        <w:rPr>
          <w:szCs w:val="24"/>
          <w:lang w:val="en-MY"/>
        </w:rPr>
        <w:t>Wu M, Yu K, Shu J, 2020, One Case of Undifferentiated Embryonal Sarcoma of the Adult Liver. Chinese Journal of Modern Medicine, 22(12): 80–81.</w:t>
      </w:r>
    </w:p>
    <w:p w14:paraId="05B5829D" w14:textId="77777777" w:rsidR="00200B03" w:rsidRDefault="00200B03" w:rsidP="00200B03">
      <w:pPr>
        <w:snapToGrid w:val="0"/>
        <w:ind w:left="709" w:hanging="709"/>
        <w:rPr>
          <w:szCs w:val="24"/>
          <w:lang w:val="en-MY"/>
        </w:rPr>
      </w:pPr>
      <w:r w:rsidRPr="00200B03">
        <w:rPr>
          <w:szCs w:val="24"/>
          <w:lang w:val="en-MY"/>
        </w:rPr>
        <w:t xml:space="preserve">[8] </w:t>
      </w:r>
      <w:r>
        <w:rPr>
          <w:szCs w:val="24"/>
          <w:lang w:val="en-MY"/>
        </w:rPr>
        <w:tab/>
      </w:r>
      <w:r w:rsidRPr="00200B03">
        <w:rPr>
          <w:szCs w:val="24"/>
          <w:lang w:val="en-MY"/>
        </w:rPr>
        <w:t>Xu X, Luo B, 2013, Ultrasound Findings of Undifferentiated Embryonal Sarcoma in Adult Liver: A Case Report. Chinese Medical Imaging Technology, 29(8): 1408.</w:t>
      </w:r>
    </w:p>
    <w:p w14:paraId="4C21DFFF" w14:textId="77777777" w:rsidR="00200B03" w:rsidRDefault="00200B03" w:rsidP="00200B03">
      <w:pPr>
        <w:snapToGrid w:val="0"/>
        <w:ind w:left="709" w:hanging="709"/>
        <w:rPr>
          <w:szCs w:val="24"/>
          <w:lang w:val="en-MY"/>
        </w:rPr>
      </w:pPr>
      <w:r w:rsidRPr="00200B03">
        <w:rPr>
          <w:szCs w:val="24"/>
          <w:lang w:val="en-MY"/>
        </w:rPr>
        <w:t>[9]</w:t>
      </w:r>
      <w:r>
        <w:rPr>
          <w:szCs w:val="24"/>
          <w:lang w:val="en-MY"/>
        </w:rPr>
        <w:tab/>
      </w:r>
      <w:r w:rsidRPr="00200B03">
        <w:rPr>
          <w:szCs w:val="24"/>
          <w:lang w:val="en-MY"/>
        </w:rPr>
        <w:t>Qiu G, Liao W, Wen Z, et al., 2021, Imaging Manifestations of Undifferentiated Embryonal Sarcoma in Adult Liver. CT Theory and Applications, 30: 114–123.</w:t>
      </w:r>
    </w:p>
    <w:p w14:paraId="42BD59C7" w14:textId="77777777" w:rsidR="00200B03" w:rsidRDefault="00200B03" w:rsidP="00200B03">
      <w:pPr>
        <w:snapToGrid w:val="0"/>
        <w:ind w:left="709" w:hanging="709"/>
        <w:rPr>
          <w:szCs w:val="24"/>
          <w:lang w:val="en-MY"/>
        </w:rPr>
      </w:pPr>
      <w:r w:rsidRPr="00200B03">
        <w:rPr>
          <w:szCs w:val="24"/>
          <w:lang w:val="en-MY"/>
        </w:rPr>
        <w:t xml:space="preserve">[10] </w:t>
      </w:r>
      <w:r>
        <w:rPr>
          <w:szCs w:val="24"/>
          <w:lang w:val="en-MY"/>
        </w:rPr>
        <w:tab/>
      </w:r>
      <w:r w:rsidRPr="00200B03">
        <w:rPr>
          <w:szCs w:val="24"/>
          <w:lang w:val="en-MY"/>
        </w:rPr>
        <w:t>Martins-Filho S, Putra J, 2020, Hepatic Mesenchymal Hamartoma and Undifferentiated Embryonal Sarcoma of the Liver: A Pathologic Review. Hepatic Oncology, 7(2): Hep19.</w:t>
      </w:r>
    </w:p>
    <w:p w14:paraId="4A17D00B" w14:textId="77777777" w:rsidR="00200B03" w:rsidRDefault="00200B03" w:rsidP="00200B03">
      <w:pPr>
        <w:snapToGrid w:val="0"/>
        <w:ind w:left="709" w:hanging="709"/>
        <w:rPr>
          <w:szCs w:val="24"/>
          <w:lang w:val="en-MY"/>
        </w:rPr>
      </w:pPr>
      <w:r w:rsidRPr="00200B03">
        <w:rPr>
          <w:szCs w:val="24"/>
          <w:lang w:val="en-MY"/>
        </w:rPr>
        <w:t xml:space="preserve">[11] </w:t>
      </w:r>
      <w:r>
        <w:rPr>
          <w:szCs w:val="24"/>
          <w:lang w:val="en-MY"/>
        </w:rPr>
        <w:tab/>
      </w:r>
      <w:r w:rsidRPr="00200B03">
        <w:rPr>
          <w:szCs w:val="24"/>
          <w:lang w:val="en-MY"/>
        </w:rPr>
        <w:t>Liu S, Yang Y, Li B, 2025, Misdiagnosed as Hepatocellular Carcinoma in One Case of Undifferentiated Embryonal Sarcoma of the Adult Liver. Chinese Journal of CT and MRI, 23(9): 209–211.</w:t>
      </w:r>
    </w:p>
    <w:p w14:paraId="13ADA5B5" w14:textId="77777777" w:rsidR="00200B03" w:rsidRDefault="00200B03" w:rsidP="00200B03">
      <w:pPr>
        <w:snapToGrid w:val="0"/>
        <w:ind w:left="709" w:hanging="709"/>
        <w:rPr>
          <w:szCs w:val="24"/>
          <w:lang w:val="en-MY"/>
        </w:rPr>
      </w:pPr>
      <w:r w:rsidRPr="00200B03">
        <w:rPr>
          <w:szCs w:val="24"/>
          <w:lang w:val="en-MY"/>
        </w:rPr>
        <w:t xml:space="preserve">[12] </w:t>
      </w:r>
      <w:r>
        <w:rPr>
          <w:szCs w:val="24"/>
          <w:lang w:val="en-MY"/>
        </w:rPr>
        <w:tab/>
      </w:r>
      <w:r w:rsidRPr="00200B03">
        <w:rPr>
          <w:szCs w:val="24"/>
          <w:lang w:val="en-MY"/>
        </w:rPr>
        <w:t>Department of Medical Administration, National Health Commission of the People's Republic of China, 2024, Diagnosis and Treatment Guidelines for Primary Liver Cancer (2024 Edition). Liver Cancer Electronic Journal, 11: 1–26.</w:t>
      </w:r>
    </w:p>
    <w:p w14:paraId="2FA864C2" w14:textId="77777777" w:rsidR="00200B03" w:rsidRDefault="00200B03" w:rsidP="00200B03">
      <w:pPr>
        <w:snapToGrid w:val="0"/>
        <w:ind w:left="709" w:hanging="709"/>
        <w:rPr>
          <w:szCs w:val="24"/>
          <w:lang w:val="en-MY"/>
        </w:rPr>
      </w:pPr>
      <w:r w:rsidRPr="00200B03">
        <w:rPr>
          <w:szCs w:val="24"/>
          <w:lang w:val="en-MY"/>
        </w:rPr>
        <w:t xml:space="preserve">[13] </w:t>
      </w:r>
      <w:r>
        <w:rPr>
          <w:szCs w:val="24"/>
          <w:lang w:val="en-MY"/>
        </w:rPr>
        <w:tab/>
      </w:r>
      <w:r w:rsidRPr="00200B03">
        <w:rPr>
          <w:szCs w:val="24"/>
          <w:lang w:val="en-MY"/>
        </w:rPr>
        <w:t>Lin W, Wu K, Chen C, et al., 2024, Treatment of Undifferentiated Embryonal Sarcoma of the Liver in Children. Cancers (Basel), 16(5): 897.</w:t>
      </w:r>
    </w:p>
    <w:p w14:paraId="004C39CA" w14:textId="77777777" w:rsidR="00200B03" w:rsidRDefault="00200B03" w:rsidP="00200B03">
      <w:pPr>
        <w:snapToGrid w:val="0"/>
        <w:ind w:left="709" w:hanging="709"/>
        <w:rPr>
          <w:szCs w:val="24"/>
          <w:lang w:val="en-MY"/>
        </w:rPr>
      </w:pPr>
      <w:r w:rsidRPr="00200B03">
        <w:rPr>
          <w:szCs w:val="24"/>
          <w:lang w:val="en-MY"/>
        </w:rPr>
        <w:t xml:space="preserve">[14] </w:t>
      </w:r>
      <w:r>
        <w:rPr>
          <w:szCs w:val="24"/>
          <w:lang w:val="en-MY"/>
        </w:rPr>
        <w:tab/>
      </w:r>
      <w:r w:rsidRPr="00200B03">
        <w:rPr>
          <w:szCs w:val="24"/>
          <w:lang w:val="en-MY"/>
        </w:rPr>
        <w:t xml:space="preserve">Lou J, Li G, </w:t>
      </w:r>
      <w:proofErr w:type="spellStart"/>
      <w:r w:rsidRPr="00200B03">
        <w:rPr>
          <w:szCs w:val="24"/>
          <w:lang w:val="en-MY"/>
        </w:rPr>
        <w:t>Lv</w:t>
      </w:r>
      <w:proofErr w:type="spellEnd"/>
      <w:r w:rsidRPr="00200B03">
        <w:rPr>
          <w:szCs w:val="24"/>
          <w:lang w:val="en-MY"/>
        </w:rPr>
        <w:t xml:space="preserve"> J, et al., 2026, One Case of Undifferentiated Embryonal Sarcoma of the Liver Misdiagnosed as Liver Abscess and Literature Review. Chinese Journal of CT and MRI, 24: 199–201.</w:t>
      </w:r>
    </w:p>
    <w:p w14:paraId="7AC68E10" w14:textId="77777777" w:rsidR="00200B03" w:rsidRDefault="00200B03" w:rsidP="00200B03">
      <w:pPr>
        <w:snapToGrid w:val="0"/>
        <w:ind w:left="709" w:hanging="709"/>
        <w:rPr>
          <w:szCs w:val="24"/>
          <w:lang w:val="en-MY"/>
        </w:rPr>
      </w:pPr>
      <w:r w:rsidRPr="00200B03">
        <w:rPr>
          <w:szCs w:val="24"/>
          <w:lang w:val="en-MY"/>
        </w:rPr>
        <w:t xml:space="preserve">[15] </w:t>
      </w:r>
      <w:r>
        <w:rPr>
          <w:szCs w:val="24"/>
          <w:lang w:val="en-MY"/>
        </w:rPr>
        <w:tab/>
      </w:r>
      <w:r w:rsidRPr="00200B03">
        <w:rPr>
          <w:szCs w:val="24"/>
          <w:lang w:val="en-MY"/>
        </w:rPr>
        <w:t xml:space="preserve">Lenze F, </w:t>
      </w:r>
      <w:proofErr w:type="spellStart"/>
      <w:r w:rsidRPr="00200B03">
        <w:rPr>
          <w:szCs w:val="24"/>
          <w:lang w:val="en-MY"/>
        </w:rPr>
        <w:t>Birkfellner</w:t>
      </w:r>
      <w:proofErr w:type="spellEnd"/>
      <w:r w:rsidRPr="00200B03">
        <w:rPr>
          <w:szCs w:val="24"/>
          <w:lang w:val="en-MY"/>
        </w:rPr>
        <w:t xml:space="preserve"> T, Lenz P, et al., 2008, Undifferentiated Embryonal Sarcoma of the Liver in Adults. Cancer, 112: 2274–2282.</w:t>
      </w:r>
    </w:p>
    <w:p w14:paraId="749EA35E" w14:textId="77777777" w:rsidR="00200B03" w:rsidRDefault="00200B03" w:rsidP="00200B03">
      <w:pPr>
        <w:snapToGrid w:val="0"/>
        <w:ind w:left="709" w:hanging="709"/>
        <w:rPr>
          <w:szCs w:val="24"/>
          <w:lang w:val="en-MY"/>
        </w:rPr>
      </w:pPr>
      <w:r w:rsidRPr="00200B03">
        <w:rPr>
          <w:szCs w:val="24"/>
          <w:lang w:val="en-MY"/>
        </w:rPr>
        <w:t xml:space="preserve">[16] </w:t>
      </w:r>
      <w:r>
        <w:rPr>
          <w:szCs w:val="24"/>
          <w:lang w:val="en-MY"/>
        </w:rPr>
        <w:tab/>
      </w:r>
      <w:r w:rsidRPr="00200B03">
        <w:rPr>
          <w:szCs w:val="24"/>
          <w:lang w:val="en-MY"/>
        </w:rPr>
        <w:t>Wu Z, Wei Y, Cai Z, et al., 2020, Long-Term Survival Outcomes of Undifferentiated Embryonal Sarcoma of the Liver: A Pooled Analysis of 308 Patients. ANZ Journal of Surgery, 90: 1615–1620.</w:t>
      </w:r>
    </w:p>
    <w:p w14:paraId="77EC054F" w14:textId="1D81EC54" w:rsidR="00200B03" w:rsidRPr="00200B03" w:rsidRDefault="00200B03" w:rsidP="004E5DC3">
      <w:pPr>
        <w:snapToGrid w:val="0"/>
        <w:ind w:left="709" w:hanging="709"/>
        <w:rPr>
          <w:szCs w:val="24"/>
          <w:lang w:val="en-MY"/>
        </w:rPr>
      </w:pPr>
      <w:r w:rsidRPr="00200B03">
        <w:rPr>
          <w:szCs w:val="24"/>
          <w:lang w:val="en-MY"/>
        </w:rPr>
        <w:t xml:space="preserve">[17] </w:t>
      </w:r>
      <w:r>
        <w:rPr>
          <w:szCs w:val="24"/>
          <w:lang w:val="en-MY"/>
        </w:rPr>
        <w:tab/>
      </w:r>
      <w:r w:rsidRPr="00200B03">
        <w:rPr>
          <w:szCs w:val="24"/>
          <w:lang w:val="en-MY"/>
        </w:rPr>
        <w:t xml:space="preserve">Capozza M, Ruggiero A, Maurizi P, et al., 2019, Undifferentiated Embryonal Sarcoma of the Liver (UESL) in Adolescents: An Unexpected Diagnosis. Journal of </w:t>
      </w:r>
      <w:proofErr w:type="spellStart"/>
      <w:r w:rsidRPr="00200B03">
        <w:rPr>
          <w:szCs w:val="24"/>
          <w:lang w:val="en-MY"/>
        </w:rPr>
        <w:t>Pediatric</w:t>
      </w:r>
      <w:proofErr w:type="spellEnd"/>
      <w:r w:rsidRPr="00200B03">
        <w:rPr>
          <w:szCs w:val="24"/>
          <w:lang w:val="en-MY"/>
        </w:rPr>
        <w:t xml:space="preserve"> </w:t>
      </w:r>
      <w:proofErr w:type="spellStart"/>
      <w:r w:rsidRPr="00200B03">
        <w:rPr>
          <w:szCs w:val="24"/>
          <w:lang w:val="en-MY"/>
        </w:rPr>
        <w:t>Hematology</w:t>
      </w:r>
      <w:proofErr w:type="spellEnd"/>
      <w:r w:rsidRPr="00200B03">
        <w:rPr>
          <w:szCs w:val="24"/>
          <w:lang w:val="en-MY"/>
        </w:rPr>
        <w:t>/Oncology, 41: e132–e134.</w:t>
      </w:r>
    </w:p>
    <w:p w14:paraId="5D477FE8" w14:textId="77777777" w:rsidR="00200B03" w:rsidRDefault="00200B03" w:rsidP="00200B03">
      <w:pPr>
        <w:snapToGrid w:val="0"/>
        <w:rPr>
          <w:szCs w:val="24"/>
        </w:rPr>
      </w:pPr>
    </w:p>
    <w:p w14:paraId="00C15E53" w14:textId="77777777" w:rsidR="00200B03" w:rsidRPr="004E5DC3" w:rsidRDefault="00200B03" w:rsidP="00200B03">
      <w:pPr>
        <w:snapToGrid w:val="0"/>
        <w:rPr>
          <w:b/>
          <w:bCs/>
          <w:sz w:val="20"/>
          <w:szCs w:val="20"/>
        </w:rPr>
      </w:pPr>
      <w:r w:rsidRPr="004E5DC3">
        <w:rPr>
          <w:b/>
          <w:bCs/>
          <w:sz w:val="20"/>
          <w:szCs w:val="20"/>
        </w:rPr>
        <w:t>Publisher’s note</w:t>
      </w:r>
    </w:p>
    <w:p w14:paraId="154C395F" w14:textId="77777777" w:rsidR="00200B03" w:rsidRPr="004E5DC3" w:rsidRDefault="00200B03" w:rsidP="00200B03">
      <w:pPr>
        <w:snapToGrid w:val="0"/>
        <w:rPr>
          <w:sz w:val="20"/>
          <w:szCs w:val="20"/>
        </w:rPr>
      </w:pPr>
      <w:r w:rsidRPr="004E5DC3">
        <w:rPr>
          <w:sz w:val="20"/>
          <w:szCs w:val="20"/>
        </w:rPr>
        <w:t>Bio-Byword Scientific Publishing remains neutral with regard to jurisdictional claims in published maps and institutional affiliations</w:t>
      </w:r>
    </w:p>
    <w:p w14:paraId="57F902EB" w14:textId="77777777" w:rsidR="00200B03" w:rsidRDefault="00200B03" w:rsidP="004E5DC3">
      <w:pPr>
        <w:snapToGrid w:val="0"/>
        <w:rPr>
          <w:szCs w:val="24"/>
        </w:rPr>
      </w:pPr>
    </w:p>
    <w:sectPr w:rsidR="00200B03" w:rsidSect="004E5DC3">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楷体_GB2312">
    <w:altName w:val="KaiTi"/>
    <w:charset w:val="00"/>
    <w:family w:val="auto"/>
    <w:pitch w:val="default"/>
  </w:font>
  <w:font w:name="KaiTi">
    <w:charset w:val="86"/>
    <w:family w:val="modern"/>
    <w:pitch w:val="fixed"/>
    <w:sig w:usb0="800002BF" w:usb1="38CF7CFA"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saveSubset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p2zdzz0zspweeea0c52d5hpe52exzzzft5&quot;&gt;My EndNote Library&lt;record-ids&gt;&lt;item&gt;2&lt;/item&gt;&lt;item&gt;4&lt;/item&gt;&lt;item&gt;6&lt;/item&gt;&lt;item&gt;7&lt;/item&gt;&lt;item&gt;8&lt;/item&gt;&lt;item&gt;9&lt;/item&gt;&lt;item&gt;20&lt;/item&gt;&lt;item&gt;21&lt;/item&gt;&lt;item&gt;32&lt;/item&gt;&lt;item&gt;34&lt;/item&gt;&lt;item&gt;37&lt;/item&gt;&lt;item&gt;39&lt;/item&gt;&lt;item&gt;42&lt;/item&gt;&lt;item&gt;43&lt;/item&gt;&lt;item&gt;44&lt;/item&gt;&lt;item&gt;45&lt;/item&gt;&lt;/record-ids&gt;&lt;/item&gt;&lt;/Libraries&gt;"/>
    <w:docVar w:name="EN.UseJSCitationFormat" w:val="False"/>
  </w:docVars>
  <w:rsids>
    <w:rsidRoot w:val="00FB2A76"/>
    <w:rsid w:val="00015B81"/>
    <w:rsid w:val="00033F0C"/>
    <w:rsid w:val="000354CB"/>
    <w:rsid w:val="00054E9A"/>
    <w:rsid w:val="0006488B"/>
    <w:rsid w:val="00076581"/>
    <w:rsid w:val="0008709D"/>
    <w:rsid w:val="00092A96"/>
    <w:rsid w:val="00132834"/>
    <w:rsid w:val="00162B5D"/>
    <w:rsid w:val="001B6A68"/>
    <w:rsid w:val="001C33F4"/>
    <w:rsid w:val="001F09BE"/>
    <w:rsid w:val="00200B03"/>
    <w:rsid w:val="00207D25"/>
    <w:rsid w:val="002247C3"/>
    <w:rsid w:val="002629C6"/>
    <w:rsid w:val="00310044"/>
    <w:rsid w:val="00330148"/>
    <w:rsid w:val="00345ECB"/>
    <w:rsid w:val="0036256B"/>
    <w:rsid w:val="003A08C3"/>
    <w:rsid w:val="003D0551"/>
    <w:rsid w:val="003F6E67"/>
    <w:rsid w:val="00444223"/>
    <w:rsid w:val="0044495F"/>
    <w:rsid w:val="00444E48"/>
    <w:rsid w:val="00480941"/>
    <w:rsid w:val="00497CB9"/>
    <w:rsid w:val="004E5DC3"/>
    <w:rsid w:val="004E7EE0"/>
    <w:rsid w:val="0051066E"/>
    <w:rsid w:val="00520E79"/>
    <w:rsid w:val="00534A6C"/>
    <w:rsid w:val="0053732E"/>
    <w:rsid w:val="00580E0D"/>
    <w:rsid w:val="0059760B"/>
    <w:rsid w:val="005D33BC"/>
    <w:rsid w:val="005F0A65"/>
    <w:rsid w:val="00612094"/>
    <w:rsid w:val="00615865"/>
    <w:rsid w:val="0063483B"/>
    <w:rsid w:val="00657C40"/>
    <w:rsid w:val="006747CB"/>
    <w:rsid w:val="00681145"/>
    <w:rsid w:val="006828AB"/>
    <w:rsid w:val="006C22F2"/>
    <w:rsid w:val="006D7810"/>
    <w:rsid w:val="00710860"/>
    <w:rsid w:val="00712CEF"/>
    <w:rsid w:val="00756E01"/>
    <w:rsid w:val="00772EB2"/>
    <w:rsid w:val="0077456F"/>
    <w:rsid w:val="0078009F"/>
    <w:rsid w:val="00791719"/>
    <w:rsid w:val="007B77A3"/>
    <w:rsid w:val="007D4862"/>
    <w:rsid w:val="007E5DE6"/>
    <w:rsid w:val="00873F53"/>
    <w:rsid w:val="008A2D49"/>
    <w:rsid w:val="008C30F4"/>
    <w:rsid w:val="008C5BDB"/>
    <w:rsid w:val="008E0E0B"/>
    <w:rsid w:val="008F57EE"/>
    <w:rsid w:val="00932B9C"/>
    <w:rsid w:val="00935F49"/>
    <w:rsid w:val="00945457"/>
    <w:rsid w:val="00981BA0"/>
    <w:rsid w:val="00986947"/>
    <w:rsid w:val="00A12AC8"/>
    <w:rsid w:val="00A13BD3"/>
    <w:rsid w:val="00A45456"/>
    <w:rsid w:val="00A9675E"/>
    <w:rsid w:val="00AA4F2A"/>
    <w:rsid w:val="00AB5EC0"/>
    <w:rsid w:val="00AC4453"/>
    <w:rsid w:val="00AD451E"/>
    <w:rsid w:val="00AF75E0"/>
    <w:rsid w:val="00AF7938"/>
    <w:rsid w:val="00B24DDE"/>
    <w:rsid w:val="00B27FE6"/>
    <w:rsid w:val="00B32848"/>
    <w:rsid w:val="00B73DD7"/>
    <w:rsid w:val="00B75E97"/>
    <w:rsid w:val="00B952B2"/>
    <w:rsid w:val="00BA1F56"/>
    <w:rsid w:val="00BB38A9"/>
    <w:rsid w:val="00C12CCD"/>
    <w:rsid w:val="00C33559"/>
    <w:rsid w:val="00C4304D"/>
    <w:rsid w:val="00C462C7"/>
    <w:rsid w:val="00C51C65"/>
    <w:rsid w:val="00CA2C92"/>
    <w:rsid w:val="00CB64EB"/>
    <w:rsid w:val="00CE3264"/>
    <w:rsid w:val="00D14C26"/>
    <w:rsid w:val="00D25C56"/>
    <w:rsid w:val="00D55B86"/>
    <w:rsid w:val="00D766D8"/>
    <w:rsid w:val="00D95CE4"/>
    <w:rsid w:val="00DC7484"/>
    <w:rsid w:val="00DE03F5"/>
    <w:rsid w:val="00DE1B2E"/>
    <w:rsid w:val="00E75787"/>
    <w:rsid w:val="00E8310D"/>
    <w:rsid w:val="00EA46EA"/>
    <w:rsid w:val="00EF5CA2"/>
    <w:rsid w:val="00F12439"/>
    <w:rsid w:val="00F25344"/>
    <w:rsid w:val="00F43A86"/>
    <w:rsid w:val="00F96697"/>
    <w:rsid w:val="00FA0147"/>
    <w:rsid w:val="00FB2A76"/>
    <w:rsid w:val="00FF749A"/>
    <w:rsid w:val="03E17DD0"/>
    <w:rsid w:val="0C950E37"/>
    <w:rsid w:val="12E7368D"/>
    <w:rsid w:val="134651D5"/>
    <w:rsid w:val="179B61C9"/>
    <w:rsid w:val="3BCA0268"/>
    <w:rsid w:val="432B1489"/>
    <w:rsid w:val="4E167B74"/>
    <w:rsid w:val="56A100E9"/>
    <w:rsid w:val="69F10D61"/>
    <w:rsid w:val="6B8D5235"/>
    <w:rsid w:val="7AD41E50"/>
    <w:rsid w:val="7EEA7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AB2CD"/>
  <w15:docId w15:val="{E41A8181-4DF8-4F75-9B84-671B9E10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eastAsia="楷体_GB2312"/>
      <w:kern w:val="2"/>
      <w:sz w:val="24"/>
      <w:szCs w:val="1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qFormat/>
    <w:pPr>
      <w:jc w:val="left"/>
    </w:p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themeColor="hyperlink"/>
      <w:u w:val="single"/>
    </w:rPr>
  </w:style>
  <w:style w:type="character" w:styleId="CommentReference">
    <w:name w:val="annotation reference"/>
    <w:basedOn w:val="DefaultParagraphFont"/>
    <w:uiPriority w:val="99"/>
    <w:semiHidden/>
    <w:unhideWhenUsed/>
    <w:qFormat/>
    <w:rPr>
      <w:sz w:val="21"/>
      <w:szCs w:val="21"/>
    </w:rPr>
  </w:style>
  <w:style w:type="paragraph" w:customStyle="1" w:styleId="EndNoteBibliographyTitle">
    <w:name w:val="EndNote Bibliography Title"/>
    <w:basedOn w:val="Normal"/>
    <w:link w:val="EndNoteBibliographyTitle0"/>
    <w:qFormat/>
    <w:pPr>
      <w:jc w:val="center"/>
    </w:pPr>
  </w:style>
  <w:style w:type="character" w:customStyle="1" w:styleId="EndNoteBibliographyTitle0">
    <w:name w:val="EndNote Bibliography Title 字符"/>
    <w:basedOn w:val="DefaultParagraphFont"/>
    <w:link w:val="EndNoteBibliographyTitle"/>
    <w:qFormat/>
    <w:rPr>
      <w:rFonts w:eastAsia="楷体_GB2312"/>
      <w:kern w:val="2"/>
      <w:sz w:val="24"/>
      <w:szCs w:val="10"/>
    </w:rPr>
  </w:style>
  <w:style w:type="paragraph" w:customStyle="1" w:styleId="EndNoteBibliography">
    <w:name w:val="EndNote Bibliography"/>
    <w:basedOn w:val="Normal"/>
    <w:link w:val="EndNoteBibliography0"/>
    <w:qFormat/>
  </w:style>
  <w:style w:type="character" w:customStyle="1" w:styleId="EndNoteBibliography0">
    <w:name w:val="EndNote Bibliography 字符"/>
    <w:basedOn w:val="DefaultParagraphFont"/>
    <w:link w:val="EndNoteBibliography"/>
    <w:qFormat/>
    <w:rPr>
      <w:rFonts w:eastAsia="楷体_GB2312"/>
      <w:kern w:val="2"/>
      <w:sz w:val="24"/>
      <w:szCs w:val="10"/>
    </w:rPr>
  </w:style>
  <w:style w:type="character" w:customStyle="1" w:styleId="HeaderChar">
    <w:name w:val="Header Char"/>
    <w:basedOn w:val="DefaultParagraphFont"/>
    <w:link w:val="Header"/>
    <w:uiPriority w:val="99"/>
    <w:qFormat/>
    <w:rPr>
      <w:rFonts w:eastAsia="楷体_GB2312"/>
      <w:kern w:val="2"/>
      <w:sz w:val="18"/>
      <w:szCs w:val="18"/>
    </w:rPr>
  </w:style>
  <w:style w:type="character" w:customStyle="1" w:styleId="FooterChar">
    <w:name w:val="Footer Char"/>
    <w:basedOn w:val="DefaultParagraphFont"/>
    <w:link w:val="Footer"/>
    <w:uiPriority w:val="99"/>
    <w:qFormat/>
    <w:rPr>
      <w:rFonts w:eastAsia="楷体_GB2312"/>
      <w:kern w:val="2"/>
      <w:sz w:val="18"/>
      <w:szCs w:val="18"/>
    </w:rPr>
  </w:style>
  <w:style w:type="character" w:customStyle="1" w:styleId="1">
    <w:name w:val="未处理的提及1"/>
    <w:basedOn w:val="DefaultParagraphFont"/>
    <w:uiPriority w:val="99"/>
    <w:semiHidden/>
    <w:unhideWhenUsed/>
    <w:qFormat/>
    <w:rPr>
      <w:color w:val="605E5C"/>
      <w:shd w:val="clear" w:color="auto" w:fill="E1DFDD"/>
    </w:rPr>
  </w:style>
  <w:style w:type="paragraph" w:styleId="Revision">
    <w:name w:val="Revision"/>
    <w:hidden/>
    <w:uiPriority w:val="99"/>
    <w:unhideWhenUsed/>
    <w:rsid w:val="00200B03"/>
    <w:rPr>
      <w:rFonts w:eastAsia="楷体_GB2312"/>
      <w:kern w:val="2"/>
      <w:sz w:val="24"/>
      <w:szCs w:val="1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CF4F-643F-4B52-979D-CD3CC5AFD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1892</Words>
  <Characters>10790</Characters>
  <Application>Microsoft Office Word</Application>
  <DocSecurity>0</DocSecurity>
  <Lines>89</Lines>
  <Paragraphs>25</Paragraphs>
  <ScaleCrop>false</ScaleCrop>
  <Company/>
  <LinksUpToDate>false</LinksUpToDate>
  <CharactersWithSpaces>12657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鼎峰 刘</dc:creator>
  <cp:lastModifiedBy>Acer NB1</cp:lastModifiedBy>
  <cp:revision>2</cp:revision>
  <dcterms:created xsi:type="dcterms:W3CDTF">2026-07-30T03:13:00Z</dcterms:created>
  <dcterms:modified xsi:type="dcterms:W3CDTF">2026-07-30T03:13:00Z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177b8e11e35cdeedc2c5936269ade477d06d44f3d6f879ee5ef8dad223f2122b</vt:lpwstr>
  </property>
  <property fmtid="{D5CDD505-2E9C-101B-9397-08002B2CF9AE}" pid="3" name="KSOProductBuildVer">
    <vt:lpwstr>2052-12.1.0.26884</vt:lpwstr>
  </property>
  <property fmtid="{D5CDD505-2E9C-101B-9397-08002B2CF9AE}" pid="4" name="ICV">
    <vt:lpwstr>A491703BFFDF46BFA1D42E072D8698F0_13</vt:lpwstr>
  </property>
  <property fmtid="{D5CDD505-2E9C-101B-9397-08002B2CF9AE}" pid="5" name="KSOTemplateDocerSaveRecord">
    <vt:lpwstr>eyJoZGlkIjoiZTBiYjBjMzJlZDA2ZWE2YWNmMzQyN2E2MGVlZTcxZjkiLCJ1c2VySWQiOiI2MTA5NTIyOTYifQ==</vt:lpwstr>
  </property>
</Properties>
</file>