
<file path=[Content_Types].xml><?xml version="1.0" encoding="utf-8"?>
<Types xmlns="http://schemas.openxmlformats.org/package/2006/content-types">
  <Default Extension="bin" ContentType="application/vnd.openxmlformats-officedocument.oleObject"/>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4D4BA" w14:textId="77777777" w:rsidR="00830537" w:rsidRDefault="00B97722" w:rsidP="00E80D6D">
      <w:pPr>
        <w:snapToGrid w:val="0"/>
        <w:jc w:val="left"/>
        <w:rPr>
          <w:rFonts w:ascii="Times New Roman" w:hAnsi="Times New Roman" w:cs="Times New Roman"/>
          <w:b/>
          <w:bCs/>
          <w:snapToGrid w:val="0"/>
          <w:sz w:val="44"/>
          <w:szCs w:val="44"/>
        </w:rPr>
      </w:pPr>
      <w:r>
        <w:rPr>
          <w:rFonts w:ascii="Times New Roman" w:hAnsi="Times New Roman" w:cs="Times New Roman"/>
          <w:b/>
          <w:bCs/>
          <w:snapToGrid w:val="0"/>
          <w:sz w:val="44"/>
          <w:szCs w:val="44"/>
        </w:rPr>
        <w:t xml:space="preserve">A Study on the Correlation between Levels of 25-Hydroxyvitamin D and Parathyroid Hormone and the Degree of Skeletal Development in Children </w:t>
      </w:r>
    </w:p>
    <w:p w14:paraId="12C18E0F" w14:textId="77777777" w:rsidR="00830537" w:rsidRDefault="00B97722" w:rsidP="00E80D6D">
      <w:pPr>
        <w:snapToGrid w:val="0"/>
        <w:rPr>
          <w:rFonts w:ascii="Times New Roman" w:hAnsi="Times New Roman" w:cs="Times New Roman"/>
          <w:b/>
          <w:bCs/>
          <w:snapToGrid w:val="0"/>
          <w:sz w:val="24"/>
        </w:rPr>
      </w:pPr>
      <w:r>
        <w:rPr>
          <w:rFonts w:ascii="Times New Roman" w:hAnsi="Times New Roman" w:cs="Times New Roman"/>
          <w:b/>
          <w:bCs/>
          <w:snapToGrid w:val="0"/>
          <w:sz w:val="24"/>
        </w:rPr>
        <w:t>Yong</w:t>
      </w:r>
      <w:r>
        <w:rPr>
          <w:rFonts w:ascii="Times New Roman" w:hAnsi="Times New Roman" w:cs="Times New Roman" w:hint="eastAsia"/>
          <w:b/>
          <w:bCs/>
          <w:snapToGrid w:val="0"/>
          <w:sz w:val="24"/>
        </w:rPr>
        <w:t xml:space="preserve"> </w:t>
      </w:r>
      <w:r>
        <w:rPr>
          <w:rFonts w:ascii="Times New Roman" w:hAnsi="Times New Roman" w:cs="Times New Roman"/>
          <w:b/>
          <w:bCs/>
          <w:snapToGrid w:val="0"/>
          <w:sz w:val="24"/>
        </w:rPr>
        <w:t xml:space="preserve">Gao, </w:t>
      </w:r>
      <w:proofErr w:type="spellStart"/>
      <w:r>
        <w:rPr>
          <w:rFonts w:ascii="Times New Roman" w:hAnsi="Times New Roman" w:cs="Times New Roman"/>
          <w:b/>
          <w:bCs/>
          <w:snapToGrid w:val="0"/>
          <w:sz w:val="24"/>
        </w:rPr>
        <w:t>Xuebing</w:t>
      </w:r>
      <w:proofErr w:type="spellEnd"/>
      <w:r>
        <w:rPr>
          <w:rFonts w:ascii="Times New Roman" w:hAnsi="Times New Roman" w:cs="Times New Roman" w:hint="eastAsia"/>
          <w:b/>
          <w:bCs/>
          <w:snapToGrid w:val="0"/>
          <w:sz w:val="24"/>
        </w:rPr>
        <w:t xml:space="preserve"> </w:t>
      </w:r>
      <w:r>
        <w:rPr>
          <w:rFonts w:ascii="Times New Roman" w:hAnsi="Times New Roman" w:cs="Times New Roman"/>
          <w:b/>
          <w:bCs/>
          <w:snapToGrid w:val="0"/>
          <w:sz w:val="24"/>
        </w:rPr>
        <w:t xml:space="preserve">Zhang, </w:t>
      </w:r>
      <w:proofErr w:type="spellStart"/>
      <w:r>
        <w:rPr>
          <w:rFonts w:ascii="Times New Roman" w:hAnsi="Times New Roman" w:cs="Times New Roman"/>
          <w:b/>
          <w:bCs/>
          <w:snapToGrid w:val="0"/>
          <w:sz w:val="24"/>
        </w:rPr>
        <w:t>Caisu</w:t>
      </w:r>
      <w:proofErr w:type="spellEnd"/>
      <w:r>
        <w:rPr>
          <w:rFonts w:ascii="Times New Roman" w:hAnsi="Times New Roman" w:cs="Times New Roman" w:hint="eastAsia"/>
          <w:b/>
          <w:bCs/>
          <w:snapToGrid w:val="0"/>
          <w:sz w:val="24"/>
        </w:rPr>
        <w:t xml:space="preserve"> </w:t>
      </w:r>
      <w:r>
        <w:rPr>
          <w:rFonts w:ascii="Times New Roman" w:hAnsi="Times New Roman" w:cs="Times New Roman"/>
          <w:b/>
          <w:bCs/>
          <w:snapToGrid w:val="0"/>
          <w:sz w:val="24"/>
        </w:rPr>
        <w:t>Qin</w:t>
      </w:r>
      <w:r>
        <w:rPr>
          <w:rFonts w:ascii="Times New Roman" w:hAnsi="Times New Roman" w:cs="Times New Roman"/>
          <w:b/>
          <w:bCs/>
          <w:snapToGrid w:val="0"/>
          <w:sz w:val="24"/>
        </w:rPr>
        <w:t>*</w:t>
      </w:r>
    </w:p>
    <w:p w14:paraId="2673888D" w14:textId="3A732E5C" w:rsidR="00830537" w:rsidRDefault="00B97722" w:rsidP="00E80D6D">
      <w:pPr>
        <w:snapToGrid w:val="0"/>
        <w:rPr>
          <w:rFonts w:ascii="Times New Roman" w:hAnsi="Times New Roman" w:cs="Times New Roman"/>
          <w:snapToGrid w:val="0"/>
          <w:sz w:val="24"/>
        </w:rPr>
      </w:pPr>
      <w:r>
        <w:rPr>
          <w:rFonts w:ascii="Times New Roman" w:hAnsi="Times New Roman" w:cs="Times New Roman"/>
          <w:snapToGrid w:val="0"/>
          <w:sz w:val="24"/>
        </w:rPr>
        <w:t>The First People</w:t>
      </w:r>
      <w:r w:rsidR="009E22F3">
        <w:rPr>
          <w:rFonts w:ascii="Times New Roman" w:hAnsi="Times New Roman" w:cs="Times New Roman"/>
          <w:snapToGrid w:val="0"/>
          <w:sz w:val="24"/>
        </w:rPr>
        <w:t>’</w:t>
      </w:r>
      <w:r>
        <w:rPr>
          <w:rFonts w:ascii="Times New Roman" w:hAnsi="Times New Roman" w:cs="Times New Roman"/>
          <w:snapToGrid w:val="0"/>
          <w:sz w:val="24"/>
        </w:rPr>
        <w:t>s Hospital of Lanzhou New Area, Lanzhou</w:t>
      </w:r>
      <w:r>
        <w:rPr>
          <w:rFonts w:ascii="Times New Roman" w:hAnsi="Times New Roman" w:cs="Times New Roman" w:hint="eastAsia"/>
          <w:snapToGrid w:val="0"/>
          <w:sz w:val="24"/>
        </w:rPr>
        <w:t xml:space="preserve"> </w:t>
      </w:r>
      <w:r>
        <w:rPr>
          <w:rFonts w:ascii="Times New Roman" w:hAnsi="Times New Roman" w:cs="Times New Roman"/>
          <w:snapToGrid w:val="0"/>
          <w:sz w:val="24"/>
        </w:rPr>
        <w:t>730070, Gansu</w:t>
      </w:r>
      <w:r>
        <w:rPr>
          <w:rFonts w:ascii="Times New Roman" w:hAnsi="Times New Roman" w:cs="Times New Roman" w:hint="eastAsia"/>
          <w:snapToGrid w:val="0"/>
          <w:sz w:val="24"/>
        </w:rPr>
        <w:t>, China</w:t>
      </w:r>
      <w:r>
        <w:rPr>
          <w:rFonts w:ascii="Times New Roman" w:hAnsi="Times New Roman" w:cs="Times New Roman"/>
          <w:snapToGrid w:val="0"/>
          <w:sz w:val="24"/>
        </w:rPr>
        <w:t xml:space="preserve"> </w:t>
      </w:r>
    </w:p>
    <w:p w14:paraId="394A5E6B" w14:textId="77777777" w:rsidR="00830537" w:rsidRDefault="00B97722" w:rsidP="00E80D6D">
      <w:pPr>
        <w:snapToGrid w:val="0"/>
        <w:rPr>
          <w:rFonts w:ascii="Times New Roman" w:hAnsi="Times New Roman"/>
          <w:b/>
          <w:bCs/>
          <w:i/>
          <w:iCs/>
          <w:sz w:val="24"/>
        </w:rPr>
      </w:pPr>
      <w:r>
        <w:rPr>
          <w:rFonts w:ascii="Times New Roman" w:hAnsi="Times New Roman"/>
          <w:b/>
          <w:bCs/>
          <w:i/>
          <w:iCs/>
          <w:sz w:val="24"/>
        </w:rPr>
        <w:t>*Author to whom correspondence should be addressed.</w:t>
      </w:r>
    </w:p>
    <w:p w14:paraId="7514F680" w14:textId="77777777" w:rsidR="00830537" w:rsidRDefault="00830537" w:rsidP="00E80D6D">
      <w:pPr>
        <w:snapToGrid w:val="0"/>
        <w:rPr>
          <w:rFonts w:ascii="Times New Roman" w:hAnsi="Times New Roman" w:cs="Times New Roman"/>
          <w:snapToGrid w:val="0"/>
          <w:sz w:val="24"/>
        </w:rPr>
      </w:pPr>
    </w:p>
    <w:p w14:paraId="5C9BAAF0" w14:textId="77777777" w:rsidR="009E22F3" w:rsidRPr="00E80D6D" w:rsidRDefault="009E22F3" w:rsidP="009E22F3">
      <w:pPr>
        <w:snapToGrid w:val="0"/>
        <w:rPr>
          <w:rFonts w:ascii="Times New Roman" w:hAnsi="Times New Roman" w:cs="Times New Roman"/>
          <w:snapToGrid w:val="0"/>
          <w:sz w:val="20"/>
          <w:szCs w:val="20"/>
        </w:rPr>
      </w:pPr>
      <w:r w:rsidRPr="00E80D6D">
        <w:rPr>
          <w:rFonts w:ascii="Times New Roman" w:hAnsi="Times New Roman" w:cs="Times New Roman"/>
          <w:b/>
          <w:bCs/>
          <w:snapToGrid w:val="0"/>
          <w:sz w:val="20"/>
          <w:szCs w:val="20"/>
        </w:rPr>
        <w:t xml:space="preserve">Copyright: </w:t>
      </w:r>
      <w:r w:rsidRPr="00E80D6D">
        <w:rPr>
          <w:rFonts w:ascii="Times New Roman" w:hAnsi="Times New Roman" w:cs="Times New Roman"/>
          <w:snapToGrid w:val="0"/>
          <w:sz w:val="20"/>
          <w:szCs w:val="20"/>
        </w:rPr>
        <w:t>© 2026 Author(s). This is an open-access article distributed under the terms of the Creative Commons Attribution License (CC BY 4.0), permitting distribution and reproduction in any medium, provided the original work is cited.</w:t>
      </w:r>
    </w:p>
    <w:p w14:paraId="40417F37" w14:textId="77777777" w:rsidR="00830537" w:rsidRDefault="00830537" w:rsidP="00E80D6D">
      <w:pPr>
        <w:snapToGrid w:val="0"/>
        <w:rPr>
          <w:rFonts w:ascii="Times New Roman" w:hAnsi="Times New Roman" w:cs="Times New Roman"/>
          <w:snapToGrid w:val="0"/>
          <w:sz w:val="24"/>
        </w:rPr>
      </w:pPr>
    </w:p>
    <w:p w14:paraId="2BBA3E6B" w14:textId="71C95ECE" w:rsidR="00830537" w:rsidRDefault="00B97722" w:rsidP="00E80D6D">
      <w:pPr>
        <w:snapToGrid w:val="0"/>
        <w:rPr>
          <w:rFonts w:ascii="Times New Roman" w:hAnsi="Times New Roman" w:cs="Times New Roman"/>
          <w:snapToGrid w:val="0"/>
          <w:sz w:val="24"/>
        </w:rPr>
      </w:pPr>
      <w:r>
        <w:rPr>
          <w:rFonts w:ascii="Times New Roman" w:hAnsi="Times New Roman" w:cs="Times New Roman"/>
          <w:b/>
          <w:bCs/>
          <w:snapToGrid w:val="0"/>
          <w:sz w:val="24"/>
        </w:rPr>
        <w:t>A</w:t>
      </w:r>
      <w:r>
        <w:rPr>
          <w:rFonts w:ascii="Times New Roman" w:hAnsi="Times New Roman" w:cs="Times New Roman"/>
          <w:b/>
          <w:bCs/>
          <w:snapToGrid w:val="0"/>
          <w:sz w:val="24"/>
        </w:rPr>
        <w:t xml:space="preserve">bstract: </w:t>
      </w:r>
      <w:r>
        <w:rPr>
          <w:rFonts w:ascii="Times New Roman" w:hAnsi="Times New Roman" w:cs="Times New Roman"/>
          <w:i/>
          <w:iCs/>
          <w:snapToGrid w:val="0"/>
          <w:sz w:val="24"/>
        </w:rPr>
        <w:t>Objective:</w:t>
      </w:r>
      <w:r>
        <w:rPr>
          <w:rFonts w:ascii="Times New Roman" w:hAnsi="Times New Roman" w:cs="Times New Roman"/>
          <w:snapToGrid w:val="0"/>
          <w:sz w:val="24"/>
        </w:rPr>
        <w:t xml:space="preserve"> To analyze the correlation between 25-hydroxyvitamin D (25(OH)D) and parathyroid hormone (PTH) levels and bone development in children. </w:t>
      </w:r>
      <w:r>
        <w:rPr>
          <w:rFonts w:ascii="Times New Roman" w:hAnsi="Times New Roman" w:cs="Times New Roman"/>
          <w:i/>
          <w:iCs/>
          <w:snapToGrid w:val="0"/>
          <w:sz w:val="24"/>
        </w:rPr>
        <w:t>Methods</w:t>
      </w:r>
      <w:r>
        <w:rPr>
          <w:rFonts w:ascii="Times New Roman" w:hAnsi="Times New Roman" w:cs="Times New Roman"/>
          <w:i/>
          <w:iCs/>
          <w:snapToGrid w:val="0"/>
          <w:sz w:val="24"/>
        </w:rPr>
        <w:t>:</w:t>
      </w:r>
      <w:r>
        <w:rPr>
          <w:rFonts w:ascii="Times New Roman" w:hAnsi="Times New Roman" w:cs="Times New Roman"/>
          <w:snapToGrid w:val="0"/>
          <w:sz w:val="24"/>
        </w:rPr>
        <w:t xml:space="preserve"> 85 healthy children who underwent routine physical examination in our hospital from January 2022 to December 2023 were selected as the research objects. All children received bone mineral density measurement. According to the results, they were divided into </w:t>
      </w:r>
      <w:r w:rsidR="009E22F3">
        <w:rPr>
          <w:rFonts w:ascii="Times New Roman" w:hAnsi="Times New Roman" w:cs="Times New Roman"/>
          <w:snapToGrid w:val="0"/>
          <w:sz w:val="24"/>
        </w:rPr>
        <w:t xml:space="preserve">the normal skeletal development group (Z value -1–1) and the </w:t>
      </w:r>
      <w:r>
        <w:rPr>
          <w:rFonts w:ascii="Times New Roman" w:hAnsi="Times New Roman" w:cs="Times New Roman"/>
          <w:snapToGrid w:val="0"/>
          <w:sz w:val="24"/>
        </w:rPr>
        <w:t xml:space="preserve">skeletal dysplasia group (Z value &lt; -1). The clinical general data and laboratory examination results of the two groups were compared. </w:t>
      </w:r>
      <w:r w:rsidR="009E22F3">
        <w:rPr>
          <w:rFonts w:ascii="Times New Roman" w:hAnsi="Times New Roman" w:cs="Times New Roman"/>
          <w:snapToGrid w:val="0"/>
          <w:sz w:val="24"/>
        </w:rPr>
        <w:t>A multivariate logistic</w:t>
      </w:r>
      <w:r>
        <w:rPr>
          <w:rFonts w:ascii="Times New Roman" w:hAnsi="Times New Roman" w:cs="Times New Roman"/>
          <w:snapToGrid w:val="0"/>
          <w:sz w:val="24"/>
        </w:rPr>
        <w:t xml:space="preserve"> regression model was used to analyze the influencing factors of children</w:t>
      </w:r>
      <w:r w:rsidR="009E22F3">
        <w:rPr>
          <w:rFonts w:ascii="Times New Roman" w:hAnsi="Times New Roman" w:cs="Times New Roman"/>
          <w:snapToGrid w:val="0"/>
          <w:sz w:val="24"/>
        </w:rPr>
        <w:t>’</w:t>
      </w:r>
      <w:r>
        <w:rPr>
          <w:rFonts w:ascii="Times New Roman" w:hAnsi="Times New Roman" w:cs="Times New Roman"/>
          <w:snapToGrid w:val="0"/>
          <w:sz w:val="24"/>
        </w:rPr>
        <w:t>s skeletal development.</w:t>
      </w:r>
      <w:r>
        <w:rPr>
          <w:rFonts w:ascii="Times New Roman" w:hAnsi="Times New Roman" w:cs="Times New Roman"/>
          <w:snapToGrid w:val="0"/>
          <w:sz w:val="24"/>
        </w:rPr>
        <w:t xml:space="preserve"> </w:t>
      </w:r>
      <w:r>
        <w:rPr>
          <w:rFonts w:ascii="Times New Roman" w:hAnsi="Times New Roman" w:cs="Times New Roman"/>
          <w:i/>
          <w:iCs/>
          <w:snapToGrid w:val="0"/>
          <w:sz w:val="24"/>
        </w:rPr>
        <w:t>Results</w:t>
      </w:r>
      <w:r>
        <w:rPr>
          <w:rFonts w:ascii="Times New Roman" w:hAnsi="Times New Roman" w:cs="Times New Roman"/>
          <w:i/>
          <w:iCs/>
          <w:snapToGrid w:val="0"/>
          <w:sz w:val="24"/>
        </w:rPr>
        <w:t>:</w:t>
      </w:r>
      <w:r>
        <w:rPr>
          <w:rFonts w:ascii="Times New Roman" w:hAnsi="Times New Roman" w:cs="Times New Roman"/>
          <w:snapToGrid w:val="0"/>
          <w:sz w:val="24"/>
        </w:rPr>
        <w:t xml:space="preserve"> The level of 25 (OH) D in the skeletal dysplasia group was lower than that in the normal skeletal development group, and the level of PTH was higher than that in the normal skeletal development group. There were differences in body mass index (BMI), exercise frequency, eating habits, 25 (OH) D</w:t>
      </w:r>
      <w:r w:rsidR="009E22F3">
        <w:rPr>
          <w:rFonts w:ascii="Times New Roman" w:hAnsi="Times New Roman" w:cs="Times New Roman"/>
          <w:snapToGrid w:val="0"/>
          <w:sz w:val="24"/>
        </w:rPr>
        <w:t>,</w:t>
      </w:r>
      <w:r>
        <w:rPr>
          <w:rFonts w:ascii="Times New Roman" w:hAnsi="Times New Roman" w:cs="Times New Roman"/>
          <w:snapToGrid w:val="0"/>
          <w:sz w:val="24"/>
        </w:rPr>
        <w:t xml:space="preserve"> and PTH between the two groups (</w:t>
      </w:r>
      <w:r w:rsidR="009E22F3">
        <w:rPr>
          <w:rFonts w:ascii="Times New Roman" w:hAnsi="Times New Roman" w:cs="Times New Roman"/>
          <w:i/>
          <w:iCs/>
          <w:snapToGrid w:val="0"/>
          <w:sz w:val="24"/>
        </w:rPr>
        <w:t>p</w:t>
      </w:r>
      <w:r w:rsidR="009E22F3">
        <w:rPr>
          <w:rFonts w:ascii="Times New Roman" w:hAnsi="Times New Roman" w:cs="Times New Roman"/>
          <w:snapToGrid w:val="0"/>
          <w:sz w:val="24"/>
        </w:rPr>
        <w:t xml:space="preserve"> </w:t>
      </w:r>
      <w:r>
        <w:rPr>
          <w:rFonts w:ascii="Times New Roman" w:hAnsi="Times New Roman" w:cs="Times New Roman"/>
          <w:snapToGrid w:val="0"/>
          <w:sz w:val="24"/>
        </w:rPr>
        <w:t xml:space="preserve">&lt; 0.05). Multivariate logistic regression analysis showed that it was a risk factor for children with skeletal dysplasia (OR &gt; 1). </w:t>
      </w:r>
      <w:r>
        <w:rPr>
          <w:rFonts w:ascii="Times New Roman" w:hAnsi="Times New Roman" w:cs="Times New Roman"/>
          <w:i/>
          <w:iCs/>
          <w:snapToGrid w:val="0"/>
          <w:sz w:val="24"/>
        </w:rPr>
        <w:t>Conclusion</w:t>
      </w:r>
      <w:r>
        <w:rPr>
          <w:rFonts w:ascii="Times New Roman" w:hAnsi="Times New Roman" w:cs="Times New Roman"/>
          <w:i/>
          <w:iCs/>
          <w:snapToGrid w:val="0"/>
          <w:sz w:val="24"/>
        </w:rPr>
        <w:t>:</w:t>
      </w:r>
      <w:r>
        <w:rPr>
          <w:rFonts w:ascii="Times New Roman" w:hAnsi="Times New Roman" w:cs="Times New Roman"/>
          <w:i/>
          <w:iCs/>
          <w:snapToGrid w:val="0"/>
          <w:sz w:val="24"/>
        </w:rPr>
        <w:t xml:space="preserve"> </w:t>
      </w:r>
      <w:r>
        <w:rPr>
          <w:rFonts w:ascii="Times New Roman" w:hAnsi="Times New Roman" w:cs="Times New Roman"/>
          <w:snapToGrid w:val="0"/>
          <w:sz w:val="24"/>
        </w:rPr>
        <w:t>The degree of skeletal development in children is correlated with 25 (OH) D and PTH levels. According to the changes of the above indicators, it can guide the clinical supervision of children</w:t>
      </w:r>
      <w:r w:rsidR="009E22F3">
        <w:rPr>
          <w:rFonts w:ascii="Times New Roman" w:hAnsi="Times New Roman" w:cs="Times New Roman"/>
          <w:snapToGrid w:val="0"/>
          <w:sz w:val="24"/>
        </w:rPr>
        <w:t>’</w:t>
      </w:r>
      <w:r>
        <w:rPr>
          <w:rFonts w:ascii="Times New Roman" w:hAnsi="Times New Roman" w:cs="Times New Roman"/>
          <w:snapToGrid w:val="0"/>
          <w:sz w:val="24"/>
        </w:rPr>
        <w:t>s body mass, establish good diet and exercise habits, and promote the normal development of children</w:t>
      </w:r>
      <w:r w:rsidR="009E22F3">
        <w:rPr>
          <w:rFonts w:ascii="Times New Roman" w:hAnsi="Times New Roman" w:cs="Times New Roman"/>
          <w:snapToGrid w:val="0"/>
          <w:sz w:val="24"/>
        </w:rPr>
        <w:t>’</w:t>
      </w:r>
      <w:r>
        <w:rPr>
          <w:rFonts w:ascii="Times New Roman" w:hAnsi="Times New Roman" w:cs="Times New Roman"/>
          <w:snapToGrid w:val="0"/>
          <w:sz w:val="24"/>
        </w:rPr>
        <w:t>s bones.</w:t>
      </w:r>
    </w:p>
    <w:p w14:paraId="22F955C1" w14:textId="77777777" w:rsidR="00830537" w:rsidRDefault="00B97722" w:rsidP="00E80D6D">
      <w:pPr>
        <w:snapToGrid w:val="0"/>
        <w:rPr>
          <w:rFonts w:ascii="Times New Roman" w:hAnsi="Times New Roman" w:cs="Times New Roman"/>
          <w:snapToGrid w:val="0"/>
          <w:sz w:val="24"/>
        </w:rPr>
      </w:pPr>
      <w:r>
        <w:rPr>
          <w:rFonts w:ascii="Times New Roman" w:hAnsi="Times New Roman" w:cs="Times New Roman"/>
          <w:b/>
          <w:bCs/>
          <w:snapToGrid w:val="0"/>
          <w:sz w:val="24"/>
        </w:rPr>
        <w:t>Keywords:</w:t>
      </w:r>
      <w:r>
        <w:rPr>
          <w:rFonts w:ascii="Times New Roman" w:hAnsi="Times New Roman" w:cs="Times New Roman"/>
          <w:snapToGrid w:val="0"/>
          <w:sz w:val="24"/>
        </w:rPr>
        <w:t xml:space="preserve"> 25-hydroxyvitamin D; </w:t>
      </w:r>
      <w:r>
        <w:rPr>
          <w:rFonts w:ascii="Times New Roman" w:hAnsi="Times New Roman" w:cs="Times New Roman" w:hint="eastAsia"/>
          <w:snapToGrid w:val="0"/>
          <w:sz w:val="24"/>
        </w:rPr>
        <w:t>P</w:t>
      </w:r>
      <w:r>
        <w:rPr>
          <w:rFonts w:ascii="Times New Roman" w:hAnsi="Times New Roman" w:cs="Times New Roman"/>
          <w:snapToGrid w:val="0"/>
          <w:sz w:val="24"/>
        </w:rPr>
        <w:t xml:space="preserve">arathyroid hormone; </w:t>
      </w:r>
      <w:r>
        <w:rPr>
          <w:rFonts w:ascii="Times New Roman" w:hAnsi="Times New Roman" w:cs="Times New Roman" w:hint="eastAsia"/>
          <w:snapToGrid w:val="0"/>
          <w:sz w:val="24"/>
        </w:rPr>
        <w:t>C</w:t>
      </w:r>
      <w:r>
        <w:rPr>
          <w:rFonts w:ascii="Times New Roman" w:hAnsi="Times New Roman" w:cs="Times New Roman"/>
          <w:snapToGrid w:val="0"/>
          <w:sz w:val="24"/>
        </w:rPr>
        <w:t xml:space="preserve">hildren; </w:t>
      </w:r>
      <w:r>
        <w:rPr>
          <w:rFonts w:ascii="Times New Roman" w:hAnsi="Times New Roman" w:cs="Times New Roman" w:hint="eastAsia"/>
          <w:snapToGrid w:val="0"/>
          <w:sz w:val="24"/>
        </w:rPr>
        <w:t>B</w:t>
      </w:r>
      <w:r>
        <w:rPr>
          <w:rFonts w:ascii="Times New Roman" w:hAnsi="Times New Roman" w:cs="Times New Roman"/>
          <w:snapToGrid w:val="0"/>
          <w:sz w:val="24"/>
        </w:rPr>
        <w:t>one development</w:t>
      </w:r>
    </w:p>
    <w:p w14:paraId="525BA082" w14:textId="77777777" w:rsidR="00830537" w:rsidRDefault="00830537" w:rsidP="009E22F3">
      <w:pPr>
        <w:snapToGrid w:val="0"/>
        <w:rPr>
          <w:rFonts w:ascii="Times New Roman" w:hAnsi="Times New Roman" w:cs="Times New Roman"/>
          <w:sz w:val="24"/>
        </w:rPr>
      </w:pPr>
    </w:p>
    <w:p w14:paraId="6C8082C2" w14:textId="656B4DF3" w:rsidR="009E22F3" w:rsidRPr="00E80D6D" w:rsidRDefault="009E22F3" w:rsidP="009E22F3">
      <w:pPr>
        <w:snapToGrid w:val="0"/>
        <w:rPr>
          <w:rFonts w:ascii="Times New Roman" w:hAnsi="Times New Roman" w:cs="Times New Roman"/>
          <w:b/>
          <w:bCs/>
          <w:sz w:val="24"/>
        </w:rPr>
      </w:pPr>
      <w:r w:rsidRPr="00E80D6D">
        <w:rPr>
          <w:rFonts w:ascii="Times New Roman" w:hAnsi="Times New Roman" w:cs="Times New Roman"/>
          <w:b/>
          <w:bCs/>
          <w:sz w:val="24"/>
        </w:rPr>
        <w:t>Online publication:</w:t>
      </w:r>
    </w:p>
    <w:p w14:paraId="348AD5BE" w14:textId="77777777" w:rsidR="009E22F3" w:rsidRDefault="009E22F3" w:rsidP="00E80D6D">
      <w:pPr>
        <w:snapToGrid w:val="0"/>
        <w:rPr>
          <w:rFonts w:ascii="Times New Roman" w:hAnsi="Times New Roman" w:cs="Times New Roman"/>
          <w:sz w:val="24"/>
        </w:rPr>
      </w:pPr>
    </w:p>
    <w:p w14:paraId="20297B70" w14:textId="77777777" w:rsidR="00830537" w:rsidRDefault="00B97722" w:rsidP="00E80D6D">
      <w:pPr>
        <w:snapToGrid w:val="0"/>
        <w:rPr>
          <w:rFonts w:ascii="Times New Roman" w:hAnsi="Times New Roman" w:cs="Times New Roman"/>
          <w:b/>
          <w:bCs/>
          <w:sz w:val="24"/>
        </w:rPr>
      </w:pPr>
      <w:r>
        <w:rPr>
          <w:rFonts w:ascii="Times New Roman" w:hAnsi="Times New Roman" w:cs="Times New Roman" w:hint="eastAsia"/>
          <w:b/>
          <w:bCs/>
          <w:sz w:val="24"/>
        </w:rPr>
        <w:t>1. Introduction</w:t>
      </w:r>
    </w:p>
    <w:p w14:paraId="727133DA" w14:textId="7CE9C371" w:rsidR="00830537" w:rsidRDefault="00B97722" w:rsidP="00E80D6D">
      <w:pPr>
        <w:snapToGrid w:val="0"/>
        <w:rPr>
          <w:rFonts w:ascii="Times New Roman" w:hAnsi="Times New Roman" w:cs="Times New Roman"/>
          <w:sz w:val="24"/>
        </w:rPr>
      </w:pPr>
      <w:r>
        <w:rPr>
          <w:rFonts w:ascii="Times New Roman" w:hAnsi="Times New Roman" w:cs="Times New Roman"/>
          <w:sz w:val="24"/>
        </w:rPr>
        <w:t xml:space="preserve">During skeletal development, osteoblasts and osteoclasts facilitate bone resorption, maintaining a balance between bone formation and bone destruction. In childhood, bone formation is crucial for skeletal development. Deficiencies in certain elements or diseases can lead to bone loss or increased bone resorption, resulting in deterioration of the bone microstructure, bone pain, bone deformities, and other clinical symptoms </w:t>
      </w:r>
      <w:r>
        <w:rPr>
          <w:rFonts w:ascii="Times New Roman" w:hAnsi="Times New Roman" w:cs="Times New Roman"/>
          <w:sz w:val="24"/>
          <w:vertAlign w:val="superscript"/>
        </w:rPr>
        <w:t>[1]</w:t>
      </w:r>
      <w:r>
        <w:rPr>
          <w:rFonts w:ascii="Times New Roman" w:hAnsi="Times New Roman" w:cs="Times New Roman"/>
          <w:sz w:val="24"/>
        </w:rPr>
        <w:t xml:space="preserve">. Currently, factors such as the natural environment and genetic predisposition are common influences on skeletal development. Studies have shown </w:t>
      </w:r>
      <w:r>
        <w:rPr>
          <w:rFonts w:ascii="Times New Roman" w:hAnsi="Times New Roman" w:cs="Times New Roman"/>
          <w:sz w:val="24"/>
        </w:rPr>
        <w:t>that 25-hydroxyvitamin D (25(OH)D), a fat-soluble vitamin, enhances calcium and phosphorus absorption, while parathyroid hormone (PTH) increases osteoclast activity and number, thereby elevating blood calcium levels</w:t>
      </w:r>
      <w:r w:rsidR="009E22F3">
        <w:rPr>
          <w:rFonts w:ascii="Times New Roman" w:hAnsi="Times New Roman" w:cs="Times New Roman"/>
          <w:sz w:val="24"/>
        </w:rPr>
        <w:t xml:space="preserve"> </w:t>
      </w:r>
      <w:r w:rsidR="009E22F3">
        <w:rPr>
          <w:rFonts w:ascii="Times New Roman" w:hAnsi="Times New Roman" w:cs="Times New Roman"/>
          <w:sz w:val="24"/>
          <w:vertAlign w:val="superscript"/>
        </w:rPr>
        <w:t>[2]</w:t>
      </w:r>
      <w:r>
        <w:rPr>
          <w:rFonts w:ascii="Times New Roman" w:hAnsi="Times New Roman" w:cs="Times New Roman"/>
          <w:sz w:val="24"/>
        </w:rPr>
        <w:t>. Both levels impact the normal development of children</w:t>
      </w:r>
      <w:r w:rsidR="009E22F3">
        <w:rPr>
          <w:rFonts w:ascii="Times New Roman" w:hAnsi="Times New Roman" w:cs="Times New Roman"/>
          <w:sz w:val="24"/>
        </w:rPr>
        <w:t>’</w:t>
      </w:r>
      <w:r>
        <w:rPr>
          <w:rFonts w:ascii="Times New Roman" w:hAnsi="Times New Roman" w:cs="Times New Roman"/>
          <w:sz w:val="24"/>
        </w:rPr>
        <w:t xml:space="preserve">s skeletons </w:t>
      </w:r>
      <w:r>
        <w:rPr>
          <w:rFonts w:ascii="Times New Roman" w:hAnsi="Times New Roman" w:cs="Times New Roman"/>
          <w:sz w:val="24"/>
          <w:vertAlign w:val="superscript"/>
        </w:rPr>
        <w:t>[3]</w:t>
      </w:r>
      <w:r>
        <w:rPr>
          <w:rFonts w:ascii="Times New Roman" w:hAnsi="Times New Roman" w:cs="Times New Roman"/>
          <w:sz w:val="24"/>
        </w:rPr>
        <w:t>. Bone mineral density (BMD) is a primary indicator for assessing skeletal development. Recent studies suggest</w:t>
      </w:r>
      <w:r>
        <w:rPr>
          <w:rFonts w:ascii="Times New Roman" w:hAnsi="Times New Roman" w:cs="Times New Roman"/>
          <w:sz w:val="24"/>
        </w:rPr>
        <w:t xml:space="preserve"> a certain correlation between 25(OH)D, PTH, and skeletal development</w:t>
      </w:r>
      <w:r w:rsidR="009E22F3">
        <w:rPr>
          <w:rFonts w:ascii="Times New Roman" w:hAnsi="Times New Roman" w:cs="Times New Roman"/>
          <w:sz w:val="24"/>
        </w:rPr>
        <w:t xml:space="preserve"> </w:t>
      </w:r>
      <w:r w:rsidR="009E22F3">
        <w:rPr>
          <w:rFonts w:ascii="Times New Roman" w:hAnsi="Times New Roman" w:cs="Times New Roman"/>
          <w:sz w:val="24"/>
          <w:vertAlign w:val="superscript"/>
        </w:rPr>
        <w:t>[4]</w:t>
      </w:r>
      <w:r>
        <w:rPr>
          <w:rFonts w:ascii="Times New Roman" w:hAnsi="Times New Roman" w:cs="Times New Roman"/>
          <w:sz w:val="24"/>
        </w:rPr>
        <w:t>. To further understand and analyze this, this article examines the BMD measurement results of 85 healthy children who underwent physical examinations between 2022 and 2023, exploring their skeletal development status. The findings are reported as follows:</w:t>
      </w:r>
    </w:p>
    <w:p w14:paraId="7BDF2CED" w14:textId="77777777" w:rsidR="00830537" w:rsidRDefault="00830537" w:rsidP="00E80D6D">
      <w:pPr>
        <w:snapToGrid w:val="0"/>
        <w:rPr>
          <w:rFonts w:ascii="Times New Roman" w:hAnsi="Times New Roman" w:cs="Times New Roman"/>
          <w:sz w:val="24"/>
        </w:rPr>
      </w:pPr>
    </w:p>
    <w:p w14:paraId="3BCB6E51" w14:textId="77777777" w:rsidR="00830537" w:rsidRDefault="00B97722" w:rsidP="00E80D6D">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w:t>
      </w:r>
      <w:r>
        <w:rPr>
          <w:rFonts w:ascii="Times New Roman" w:hAnsi="Times New Roman" w:cs="Times New Roman"/>
          <w:b/>
          <w:bCs/>
          <w:sz w:val="24"/>
        </w:rPr>
        <w:t xml:space="preserve"> Materials and </w:t>
      </w:r>
      <w:r>
        <w:rPr>
          <w:rFonts w:ascii="Times New Roman" w:hAnsi="Times New Roman" w:cs="Times New Roman" w:hint="eastAsia"/>
          <w:b/>
          <w:bCs/>
          <w:sz w:val="24"/>
        </w:rPr>
        <w:t>m</w:t>
      </w:r>
      <w:r>
        <w:rPr>
          <w:rFonts w:ascii="Times New Roman" w:hAnsi="Times New Roman" w:cs="Times New Roman"/>
          <w:b/>
          <w:bCs/>
          <w:sz w:val="24"/>
        </w:rPr>
        <w:t xml:space="preserve">ethods </w:t>
      </w:r>
    </w:p>
    <w:p w14:paraId="0653FAC3" w14:textId="77777777" w:rsidR="00830537" w:rsidRDefault="00B97722" w:rsidP="00E80D6D">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.1</w:t>
      </w:r>
      <w:r>
        <w:rPr>
          <w:rFonts w:ascii="Times New Roman" w:hAnsi="Times New Roman" w:cs="Times New Roman"/>
          <w:b/>
          <w:bCs/>
          <w:sz w:val="24"/>
        </w:rPr>
        <w:t>.</w:t>
      </w:r>
      <w:r>
        <w:rPr>
          <w:rFonts w:ascii="Times New Roman" w:hAnsi="Times New Roman" w:cs="Times New Roman"/>
          <w:b/>
          <w:bCs/>
          <w:sz w:val="24"/>
        </w:rPr>
        <w:t xml:space="preserve"> General </w:t>
      </w:r>
      <w:r>
        <w:rPr>
          <w:rFonts w:ascii="Times New Roman" w:hAnsi="Times New Roman" w:cs="Times New Roman" w:hint="eastAsia"/>
          <w:b/>
          <w:bCs/>
          <w:sz w:val="24"/>
        </w:rPr>
        <w:t>i</w:t>
      </w:r>
      <w:r>
        <w:rPr>
          <w:rFonts w:ascii="Times New Roman" w:hAnsi="Times New Roman" w:cs="Times New Roman"/>
          <w:b/>
          <w:bCs/>
          <w:sz w:val="24"/>
        </w:rPr>
        <w:t xml:space="preserve">nformation </w:t>
      </w:r>
    </w:p>
    <w:p w14:paraId="5EC7BC71" w14:textId="2EFBC86D" w:rsidR="00830537" w:rsidRDefault="00B97722" w:rsidP="00E80D6D">
      <w:pPr>
        <w:snapToGrid w:val="0"/>
        <w:rPr>
          <w:rFonts w:ascii="Times New Roman" w:hAnsi="Times New Roman" w:cs="Times New Roman"/>
          <w:sz w:val="24"/>
        </w:rPr>
      </w:pPr>
      <w:r>
        <w:rPr>
          <w:rFonts w:ascii="Times New Roman" w:hAnsi="Times New Roman" w:cs="Times New Roman"/>
          <w:sz w:val="24"/>
        </w:rPr>
        <w:t xml:space="preserve">Eighty-five healthy children who underwent routine physical examinations at our outpatient clinic </w:t>
      </w:r>
      <w:r>
        <w:rPr>
          <w:rFonts w:ascii="Times New Roman" w:hAnsi="Times New Roman" w:cs="Times New Roman"/>
          <w:sz w:val="24"/>
        </w:rPr>
        <w:lastRenderedPageBreak/>
        <w:t>from January 2022 to December 2023 were selected as the study subjects. This study was approved by the hospital</w:t>
      </w:r>
      <w:r w:rsidR="009E22F3">
        <w:rPr>
          <w:rFonts w:ascii="Times New Roman" w:hAnsi="Times New Roman" w:cs="Times New Roman"/>
          <w:sz w:val="24"/>
        </w:rPr>
        <w:t>’</w:t>
      </w:r>
      <w:r>
        <w:rPr>
          <w:rFonts w:ascii="Times New Roman" w:hAnsi="Times New Roman" w:cs="Times New Roman"/>
          <w:sz w:val="24"/>
        </w:rPr>
        <w:t xml:space="preserve">s ethics committee and conducted with the consent and voluntary participation of the guardians. </w:t>
      </w:r>
    </w:p>
    <w:p w14:paraId="10CD341C" w14:textId="77777777" w:rsidR="009E22F3" w:rsidRDefault="009E22F3" w:rsidP="009E22F3">
      <w:pPr>
        <w:snapToGrid w:val="0"/>
        <w:rPr>
          <w:rFonts w:ascii="Times New Roman" w:hAnsi="Times New Roman" w:cs="Times New Roman"/>
          <w:sz w:val="24"/>
        </w:rPr>
      </w:pPr>
    </w:p>
    <w:p w14:paraId="1CD71F4B" w14:textId="77777777" w:rsidR="009E22F3" w:rsidRPr="00E80D6D" w:rsidRDefault="009E22F3" w:rsidP="009E22F3">
      <w:pPr>
        <w:snapToGrid w:val="0"/>
        <w:rPr>
          <w:rFonts w:ascii="Times New Roman" w:hAnsi="Times New Roman" w:cs="Times New Roman"/>
          <w:b/>
          <w:bCs/>
          <w:sz w:val="24"/>
        </w:rPr>
      </w:pPr>
      <w:r w:rsidRPr="00E80D6D">
        <w:rPr>
          <w:rFonts w:ascii="Times New Roman" w:hAnsi="Times New Roman" w:cs="Times New Roman"/>
          <w:b/>
          <w:bCs/>
          <w:sz w:val="24"/>
        </w:rPr>
        <w:t xml:space="preserve">2.1.1. </w:t>
      </w:r>
      <w:r w:rsidR="00B97722" w:rsidRPr="00E80D6D">
        <w:rPr>
          <w:rFonts w:ascii="Times New Roman" w:hAnsi="Times New Roman" w:cs="Times New Roman"/>
          <w:b/>
          <w:bCs/>
          <w:sz w:val="24"/>
        </w:rPr>
        <w:t>Inclusion criteria</w:t>
      </w:r>
    </w:p>
    <w:p w14:paraId="291C34BF" w14:textId="4732F8C0" w:rsidR="009E22F3" w:rsidRDefault="009E22F3" w:rsidP="009E22F3">
      <w:pPr>
        <w:snapToGrid w:val="0"/>
        <w:ind w:left="709" w:hanging="709"/>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sidR="00B97722">
        <w:rPr>
          <w:rFonts w:ascii="Times New Roman" w:hAnsi="Times New Roman" w:cs="Times New Roman"/>
          <w:sz w:val="24"/>
        </w:rPr>
        <w:t>Aged 3</w:t>
      </w:r>
      <w:r>
        <w:rPr>
          <w:rFonts w:ascii="Times New Roman" w:hAnsi="Times New Roman" w:cs="Times New Roman"/>
          <w:sz w:val="24"/>
        </w:rPr>
        <w:t>–</w:t>
      </w:r>
      <w:r w:rsidR="00B97722">
        <w:rPr>
          <w:rFonts w:ascii="Times New Roman" w:hAnsi="Times New Roman" w:cs="Times New Roman"/>
          <w:sz w:val="24"/>
        </w:rPr>
        <w:t>14 years</w:t>
      </w:r>
    </w:p>
    <w:p w14:paraId="2A5CCE29" w14:textId="36CDCF78" w:rsidR="009E22F3" w:rsidRDefault="009E22F3" w:rsidP="009E22F3">
      <w:pPr>
        <w:snapToGrid w:val="0"/>
        <w:ind w:left="709" w:hanging="709"/>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sidR="00B97722">
        <w:rPr>
          <w:rFonts w:ascii="Times New Roman" w:hAnsi="Times New Roman" w:cs="Times New Roman"/>
          <w:sz w:val="24"/>
        </w:rPr>
        <w:t xml:space="preserve">Complete data available; </w:t>
      </w:r>
    </w:p>
    <w:p w14:paraId="2F951E55" w14:textId="109CF913" w:rsidR="00830537" w:rsidRDefault="009E22F3" w:rsidP="00E80D6D">
      <w:pPr>
        <w:snapToGrid w:val="0"/>
        <w:ind w:left="709" w:hanging="709"/>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sidR="00B97722">
        <w:rPr>
          <w:rFonts w:ascii="Times New Roman" w:hAnsi="Times New Roman" w:cs="Times New Roman"/>
          <w:sz w:val="24"/>
        </w:rPr>
        <w:t>Able to communicate normally.</w:t>
      </w:r>
    </w:p>
    <w:p w14:paraId="7EFB8746" w14:textId="77777777" w:rsidR="009E22F3" w:rsidRDefault="009E22F3" w:rsidP="009E22F3">
      <w:pPr>
        <w:snapToGrid w:val="0"/>
        <w:ind w:firstLineChars="200" w:firstLine="480"/>
        <w:rPr>
          <w:rFonts w:ascii="Times New Roman" w:hAnsi="Times New Roman" w:cs="Times New Roman"/>
          <w:sz w:val="24"/>
        </w:rPr>
      </w:pPr>
    </w:p>
    <w:p w14:paraId="6A368BE5" w14:textId="77777777" w:rsidR="009E22F3" w:rsidRPr="00E80D6D" w:rsidRDefault="009E22F3" w:rsidP="009E22F3">
      <w:pPr>
        <w:snapToGrid w:val="0"/>
        <w:rPr>
          <w:rFonts w:ascii="Times New Roman" w:hAnsi="Times New Roman" w:cs="Times New Roman"/>
          <w:b/>
          <w:bCs/>
          <w:sz w:val="24"/>
        </w:rPr>
      </w:pPr>
      <w:r w:rsidRPr="00E80D6D">
        <w:rPr>
          <w:rFonts w:ascii="Times New Roman" w:hAnsi="Times New Roman" w:cs="Times New Roman"/>
          <w:b/>
          <w:bCs/>
          <w:sz w:val="24"/>
        </w:rPr>
        <w:t xml:space="preserve">2.1.2. </w:t>
      </w:r>
      <w:r w:rsidR="00B97722" w:rsidRPr="00E80D6D">
        <w:rPr>
          <w:rFonts w:ascii="Times New Roman" w:hAnsi="Times New Roman" w:cs="Times New Roman"/>
          <w:b/>
          <w:bCs/>
          <w:sz w:val="24"/>
        </w:rPr>
        <w:t>Exclusion criteria</w:t>
      </w:r>
    </w:p>
    <w:p w14:paraId="37DC7626" w14:textId="77C85370" w:rsidR="009E22F3" w:rsidRDefault="009E22F3" w:rsidP="009E22F3">
      <w:pPr>
        <w:snapToGrid w:val="0"/>
        <w:ind w:left="709" w:hanging="709"/>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sidR="00B97722">
        <w:rPr>
          <w:rFonts w:ascii="Times New Roman" w:hAnsi="Times New Roman" w:cs="Times New Roman"/>
          <w:sz w:val="24"/>
        </w:rPr>
        <w:t>Long-term use of medications affecting skeletal development;</w:t>
      </w:r>
    </w:p>
    <w:p w14:paraId="0D027855" w14:textId="5B35E433" w:rsidR="009E22F3" w:rsidRDefault="009E22F3" w:rsidP="009E22F3">
      <w:pPr>
        <w:snapToGrid w:val="0"/>
        <w:ind w:left="709" w:hanging="709"/>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sidR="00B97722">
        <w:rPr>
          <w:rFonts w:ascii="Times New Roman" w:hAnsi="Times New Roman" w:cs="Times New Roman"/>
          <w:sz w:val="24"/>
        </w:rPr>
        <w:t>Congenital skeletal dysplasia;</w:t>
      </w:r>
    </w:p>
    <w:p w14:paraId="71852539" w14:textId="3D8063C0" w:rsidR="009E22F3" w:rsidRDefault="009E22F3" w:rsidP="009E22F3">
      <w:pPr>
        <w:snapToGrid w:val="0"/>
        <w:ind w:left="709" w:hanging="709"/>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sidR="00B97722">
        <w:rPr>
          <w:rFonts w:ascii="Times New Roman" w:hAnsi="Times New Roman" w:cs="Times New Roman"/>
          <w:sz w:val="24"/>
        </w:rPr>
        <w:t>Presence of other major diseases;</w:t>
      </w:r>
    </w:p>
    <w:p w14:paraId="06B97035" w14:textId="017F93D2" w:rsidR="00830537" w:rsidRDefault="009E22F3" w:rsidP="00E80D6D">
      <w:pPr>
        <w:snapToGrid w:val="0"/>
        <w:ind w:left="709" w:hanging="709"/>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ab/>
      </w:r>
      <w:r w:rsidR="00B97722">
        <w:rPr>
          <w:rFonts w:ascii="Times New Roman" w:hAnsi="Times New Roman" w:cs="Times New Roman"/>
          <w:sz w:val="24"/>
        </w:rPr>
        <w:t xml:space="preserve">Withdrawal from the study midway. </w:t>
      </w:r>
    </w:p>
    <w:p w14:paraId="1312661E" w14:textId="77777777" w:rsidR="00830537" w:rsidRDefault="00830537" w:rsidP="00E80D6D">
      <w:pPr>
        <w:snapToGrid w:val="0"/>
        <w:rPr>
          <w:rFonts w:ascii="Times New Roman" w:hAnsi="Times New Roman" w:cs="Times New Roman"/>
          <w:sz w:val="24"/>
        </w:rPr>
      </w:pPr>
    </w:p>
    <w:p w14:paraId="43E43D9A" w14:textId="77777777" w:rsidR="00830537" w:rsidRDefault="00B97722" w:rsidP="00E80D6D">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.2</w:t>
      </w:r>
      <w:r>
        <w:rPr>
          <w:rFonts w:ascii="Times New Roman" w:hAnsi="Times New Roman" w:cs="Times New Roman" w:hint="eastAsia"/>
          <w:b/>
          <w:bCs/>
          <w:sz w:val="24"/>
        </w:rPr>
        <w:t>.</w:t>
      </w:r>
      <w:r>
        <w:rPr>
          <w:rFonts w:ascii="Times New Roman" w:hAnsi="Times New Roman" w:cs="Times New Roman"/>
          <w:b/>
          <w:bCs/>
          <w:sz w:val="24"/>
        </w:rPr>
        <w:t xml:space="preserve"> Methods </w:t>
      </w:r>
    </w:p>
    <w:p w14:paraId="261C1955" w14:textId="77777777" w:rsidR="00830537" w:rsidRDefault="00B97722" w:rsidP="00E80D6D">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.2.1</w:t>
      </w:r>
      <w:r>
        <w:rPr>
          <w:rFonts w:ascii="Times New Roman" w:hAnsi="Times New Roman" w:cs="Times New Roman" w:hint="eastAsia"/>
          <w:b/>
          <w:bCs/>
          <w:sz w:val="24"/>
        </w:rPr>
        <w:t>.</w:t>
      </w:r>
      <w:r>
        <w:rPr>
          <w:rFonts w:ascii="Times New Roman" w:hAnsi="Times New Roman" w:cs="Times New Roman"/>
          <w:b/>
          <w:bCs/>
          <w:sz w:val="24"/>
        </w:rPr>
        <w:t xml:space="preserve"> Survey </w:t>
      </w:r>
      <w:r>
        <w:rPr>
          <w:rFonts w:ascii="Times New Roman" w:hAnsi="Times New Roman" w:cs="Times New Roman" w:hint="eastAsia"/>
          <w:b/>
          <w:bCs/>
          <w:sz w:val="24"/>
        </w:rPr>
        <w:t>m</w:t>
      </w:r>
      <w:r>
        <w:rPr>
          <w:rFonts w:ascii="Times New Roman" w:hAnsi="Times New Roman" w:cs="Times New Roman"/>
          <w:b/>
          <w:bCs/>
          <w:sz w:val="24"/>
        </w:rPr>
        <w:t xml:space="preserve">ethods </w:t>
      </w:r>
    </w:p>
    <w:p w14:paraId="1F04AA4C" w14:textId="77777777" w:rsidR="00830537" w:rsidRDefault="00B97722" w:rsidP="00E80D6D">
      <w:pPr>
        <w:snapToGrid w:val="0"/>
        <w:rPr>
          <w:rFonts w:ascii="Times New Roman" w:hAnsi="Times New Roman" w:cs="Times New Roman"/>
          <w:sz w:val="24"/>
        </w:rPr>
      </w:pPr>
      <w:r>
        <w:rPr>
          <w:rFonts w:ascii="Times New Roman" w:hAnsi="Times New Roman" w:cs="Times New Roman"/>
          <w:sz w:val="24"/>
        </w:rPr>
        <w:t xml:space="preserve">A self-designed general information survey form was used to collect basic data on the children, including gender, age, height, and body mass; lifestyle factors (exercise frequency, sleep patterns); dietary habits (whether picky eaters, dietary preferences); and laboratory indicators: 25(OH)D, PTH levels, and BMD. </w:t>
      </w:r>
    </w:p>
    <w:p w14:paraId="1105E5FA" w14:textId="77777777" w:rsidR="00830537" w:rsidRDefault="00830537" w:rsidP="00E80D6D">
      <w:pPr>
        <w:snapToGrid w:val="0"/>
        <w:rPr>
          <w:rFonts w:ascii="Times New Roman" w:hAnsi="Times New Roman" w:cs="Times New Roman"/>
          <w:sz w:val="24"/>
        </w:rPr>
      </w:pPr>
    </w:p>
    <w:p w14:paraId="2A545C6C" w14:textId="77777777" w:rsidR="00830537" w:rsidRDefault="00B97722" w:rsidP="00E80D6D">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.2.2</w:t>
      </w:r>
      <w:r>
        <w:rPr>
          <w:rFonts w:ascii="Times New Roman" w:hAnsi="Times New Roman" w:cs="Times New Roman"/>
          <w:b/>
          <w:bCs/>
          <w:sz w:val="24"/>
        </w:rPr>
        <w:t>.</w:t>
      </w:r>
      <w:r>
        <w:rPr>
          <w:rFonts w:ascii="Times New Roman" w:hAnsi="Times New Roman" w:cs="Times New Roman"/>
          <w:b/>
          <w:bCs/>
          <w:sz w:val="24"/>
        </w:rPr>
        <w:t xml:space="preserve"> Relevant </w:t>
      </w:r>
      <w:r>
        <w:rPr>
          <w:rFonts w:ascii="Times New Roman" w:hAnsi="Times New Roman" w:cs="Times New Roman" w:hint="eastAsia"/>
          <w:b/>
          <w:bCs/>
          <w:sz w:val="24"/>
        </w:rPr>
        <w:t>d</w:t>
      </w:r>
      <w:r>
        <w:rPr>
          <w:rFonts w:ascii="Times New Roman" w:hAnsi="Times New Roman" w:cs="Times New Roman"/>
          <w:b/>
          <w:bCs/>
          <w:sz w:val="24"/>
        </w:rPr>
        <w:t xml:space="preserve">efinitions </w:t>
      </w:r>
    </w:p>
    <w:p w14:paraId="511C247A" w14:textId="77777777" w:rsidR="009E22F3" w:rsidRDefault="00B97722" w:rsidP="009E22F3">
      <w:pPr>
        <w:snapToGrid w:val="0"/>
        <w:ind w:left="709" w:hanging="709"/>
        <w:rPr>
          <w:rFonts w:ascii="Times New Roman" w:hAnsi="Times New Roman" w:cs="Times New Roman"/>
          <w:sz w:val="24"/>
        </w:rPr>
      </w:pPr>
      <w:r>
        <w:rPr>
          <w:rFonts w:ascii="Times New Roman" w:hAnsi="Times New Roman" w:cs="Times New Roman"/>
          <w:sz w:val="24"/>
        </w:rPr>
        <w:t xml:space="preserve">(1) </w:t>
      </w:r>
      <w:r w:rsidR="009E22F3">
        <w:rPr>
          <w:rFonts w:ascii="Times New Roman" w:hAnsi="Times New Roman" w:cs="Times New Roman"/>
          <w:sz w:val="24"/>
        </w:rPr>
        <w:tab/>
      </w:r>
      <w:r>
        <w:rPr>
          <w:rFonts w:ascii="Times New Roman" w:hAnsi="Times New Roman" w:cs="Times New Roman"/>
          <w:sz w:val="24"/>
        </w:rPr>
        <w:t>Height and weight measurement</w:t>
      </w:r>
    </w:p>
    <w:p w14:paraId="6E4012C0" w14:textId="1E0A165D" w:rsidR="009E22F3" w:rsidRDefault="009E22F3" w:rsidP="00E80D6D">
      <w:pPr>
        <w:snapToGrid w:val="0"/>
        <w:ind w:left="709" w:hanging="709"/>
        <w:rPr>
          <w:rFonts w:ascii="Times New Roman" w:hAnsi="Times New Roman" w:cs="Times New Roman"/>
          <w:sz w:val="24"/>
        </w:rPr>
      </w:pPr>
      <w:r>
        <w:rPr>
          <w:rFonts w:ascii="Times New Roman" w:hAnsi="Times New Roman" w:cs="Times New Roman"/>
          <w:sz w:val="24"/>
        </w:rPr>
        <w:tab/>
      </w:r>
      <w:r w:rsidR="00B97722">
        <w:rPr>
          <w:rFonts w:ascii="Times New Roman" w:hAnsi="Times New Roman" w:cs="Times New Roman"/>
          <w:sz w:val="24"/>
        </w:rPr>
        <w:t>Height and weight were measured using a standard stadiometer. Children stood barefoot with their eyes level, and readings were taken in centimeters. Three measurements were taken and averaged. Body mass was measured with shoes and outerwear removed, recorded in kilograms (kg) to two decimal places, and averaged over three measurements. Body mass index (BMI) was calculated as weight/height², and BMI Z-scores (BMI-Z) were computed based on the World Health Organization</w:t>
      </w:r>
      <w:r>
        <w:rPr>
          <w:rFonts w:ascii="Times New Roman" w:hAnsi="Times New Roman" w:cs="Times New Roman"/>
          <w:sz w:val="24"/>
        </w:rPr>
        <w:t>’</w:t>
      </w:r>
      <w:r w:rsidR="00B97722">
        <w:rPr>
          <w:rFonts w:ascii="Times New Roman" w:hAnsi="Times New Roman" w:cs="Times New Roman"/>
          <w:sz w:val="24"/>
        </w:rPr>
        <w:t xml:space="preserve">s child growth reference standards </w:t>
      </w:r>
      <w:r w:rsidR="00B97722">
        <w:rPr>
          <w:rFonts w:ascii="Times New Roman" w:hAnsi="Times New Roman" w:cs="Times New Roman"/>
          <w:sz w:val="24"/>
          <w:vertAlign w:val="superscript"/>
        </w:rPr>
        <w:t>[5]</w:t>
      </w:r>
      <w:r w:rsidR="00B97722">
        <w:rPr>
          <w:rFonts w:ascii="Times New Roman" w:hAnsi="Times New Roman" w:cs="Times New Roman"/>
          <w:sz w:val="24"/>
        </w:rPr>
        <w:t xml:space="preserve">. A score of 1 &lt; BMI-Z ≤ 2 indicated overweight/obesity. </w:t>
      </w:r>
    </w:p>
    <w:p w14:paraId="413FE92F" w14:textId="77777777" w:rsidR="009E22F3" w:rsidRDefault="00B97722" w:rsidP="009E22F3">
      <w:pPr>
        <w:snapToGrid w:val="0"/>
        <w:ind w:left="709" w:hanging="709"/>
        <w:rPr>
          <w:rFonts w:ascii="Times New Roman" w:hAnsi="Times New Roman" w:cs="Times New Roman"/>
          <w:sz w:val="24"/>
        </w:rPr>
      </w:pPr>
      <w:r>
        <w:rPr>
          <w:rFonts w:ascii="Times New Roman" w:hAnsi="Times New Roman" w:cs="Times New Roman"/>
          <w:sz w:val="24"/>
        </w:rPr>
        <w:t xml:space="preserve">(2) </w:t>
      </w:r>
      <w:r w:rsidR="009E22F3">
        <w:rPr>
          <w:rFonts w:ascii="Times New Roman" w:hAnsi="Times New Roman" w:cs="Times New Roman"/>
          <w:sz w:val="24"/>
        </w:rPr>
        <w:tab/>
      </w:r>
      <w:r>
        <w:rPr>
          <w:rFonts w:ascii="Times New Roman" w:hAnsi="Times New Roman" w:cs="Times New Roman"/>
          <w:sz w:val="24"/>
        </w:rPr>
        <w:t>Lifestyle</w:t>
      </w:r>
    </w:p>
    <w:p w14:paraId="4AFEF59B" w14:textId="230C8B6A" w:rsidR="009E22F3" w:rsidRDefault="009E22F3" w:rsidP="00E80D6D">
      <w:pPr>
        <w:snapToGrid w:val="0"/>
        <w:ind w:left="709" w:hanging="709"/>
        <w:rPr>
          <w:rFonts w:ascii="Times New Roman" w:hAnsi="Times New Roman" w:cs="Times New Roman"/>
          <w:sz w:val="24"/>
        </w:rPr>
      </w:pPr>
      <w:r>
        <w:rPr>
          <w:rFonts w:ascii="Times New Roman" w:hAnsi="Times New Roman" w:cs="Times New Roman"/>
          <w:sz w:val="24"/>
        </w:rPr>
        <w:tab/>
      </w:r>
      <w:r w:rsidR="00B97722">
        <w:rPr>
          <w:rFonts w:ascii="Times New Roman" w:hAnsi="Times New Roman" w:cs="Times New Roman"/>
          <w:sz w:val="24"/>
        </w:rPr>
        <w:t>Exercise frequency of moderate intensity lasting over one hour, including running and swimming, was categorized as frequent (≥</w:t>
      </w:r>
      <w:r>
        <w:rPr>
          <w:rFonts w:ascii="Times New Roman" w:hAnsi="Times New Roman" w:cs="Times New Roman"/>
          <w:sz w:val="24"/>
        </w:rPr>
        <w:t xml:space="preserve"> </w:t>
      </w:r>
      <w:r w:rsidR="00B97722">
        <w:rPr>
          <w:rFonts w:ascii="Times New Roman" w:hAnsi="Times New Roman" w:cs="Times New Roman"/>
          <w:sz w:val="24"/>
        </w:rPr>
        <w:t>5 times/week), moderate (2</w:t>
      </w:r>
      <w:r>
        <w:rPr>
          <w:rFonts w:ascii="Times New Roman" w:hAnsi="Times New Roman" w:cs="Times New Roman"/>
          <w:sz w:val="24"/>
        </w:rPr>
        <w:t>–</w:t>
      </w:r>
      <w:r w:rsidR="00B97722">
        <w:rPr>
          <w:rFonts w:ascii="Times New Roman" w:hAnsi="Times New Roman" w:cs="Times New Roman"/>
          <w:sz w:val="24"/>
        </w:rPr>
        <w:t>4 times/week), or infrequent (≤</w:t>
      </w:r>
      <w:r>
        <w:rPr>
          <w:rFonts w:ascii="Times New Roman" w:hAnsi="Times New Roman" w:cs="Times New Roman"/>
          <w:sz w:val="24"/>
        </w:rPr>
        <w:t xml:space="preserve"> </w:t>
      </w:r>
      <w:r w:rsidR="00B97722">
        <w:rPr>
          <w:rFonts w:ascii="Times New Roman" w:hAnsi="Times New Roman" w:cs="Times New Roman"/>
          <w:sz w:val="24"/>
        </w:rPr>
        <w:t>1 time/week). Dietary habits, based on the intake of vegetables, fruits, meat, eggs, milk, and soy products, were classified as regular (≥</w:t>
      </w:r>
      <w:r>
        <w:rPr>
          <w:rFonts w:ascii="Times New Roman" w:hAnsi="Times New Roman" w:cs="Times New Roman"/>
          <w:sz w:val="24"/>
        </w:rPr>
        <w:t xml:space="preserve"> </w:t>
      </w:r>
      <w:r w:rsidR="00B97722">
        <w:rPr>
          <w:rFonts w:ascii="Times New Roman" w:hAnsi="Times New Roman" w:cs="Times New Roman"/>
          <w:sz w:val="24"/>
        </w:rPr>
        <w:t>6 times/week) or occasional (≤</w:t>
      </w:r>
      <w:r>
        <w:rPr>
          <w:rFonts w:ascii="Times New Roman" w:hAnsi="Times New Roman" w:cs="Times New Roman"/>
          <w:sz w:val="24"/>
        </w:rPr>
        <w:t xml:space="preserve"> </w:t>
      </w:r>
      <w:r w:rsidR="00B97722">
        <w:rPr>
          <w:rFonts w:ascii="Times New Roman" w:hAnsi="Times New Roman" w:cs="Times New Roman"/>
          <w:sz w:val="24"/>
        </w:rPr>
        <w:t>5 times/week).</w:t>
      </w:r>
    </w:p>
    <w:p w14:paraId="12431721" w14:textId="325B347E" w:rsidR="00830537" w:rsidRDefault="00B97722" w:rsidP="00E80D6D">
      <w:pPr>
        <w:snapToGrid w:val="0"/>
        <w:ind w:left="709" w:hanging="709"/>
        <w:rPr>
          <w:rFonts w:ascii="Times New Roman" w:hAnsi="Times New Roman" w:cs="Times New Roman"/>
          <w:sz w:val="24"/>
        </w:rPr>
      </w:pPr>
      <w:r>
        <w:rPr>
          <w:rFonts w:ascii="Times New Roman" w:hAnsi="Times New Roman" w:cs="Times New Roman"/>
          <w:sz w:val="24"/>
        </w:rPr>
        <w:t xml:space="preserve">(3) </w:t>
      </w:r>
      <w:r w:rsidR="009E22F3">
        <w:rPr>
          <w:rFonts w:ascii="Times New Roman" w:hAnsi="Times New Roman" w:cs="Times New Roman"/>
          <w:sz w:val="24"/>
        </w:rPr>
        <w:tab/>
      </w:r>
      <w:r>
        <w:rPr>
          <w:rFonts w:ascii="Times New Roman" w:hAnsi="Times New Roman" w:cs="Times New Roman"/>
          <w:sz w:val="24"/>
        </w:rPr>
        <w:t>Laboratory indicators: 25(OH)D and PTH levels: Four milliliters of venous blood were drawn in the morning on an empty stomach, allowed to clot, and then centrifuged at 3000 r/min for 10 minutes. The supernatant was stored in a -25</w:t>
      </w:r>
      <w:r w:rsidR="009E22F3">
        <w:rPr>
          <w:rFonts w:ascii="Times New Roman" w:hAnsi="Times New Roman" w:cs="Times New Roman"/>
          <w:sz w:val="24"/>
        </w:rPr>
        <w:t xml:space="preserve"> ℃</w:t>
      </w:r>
      <w:r>
        <w:rPr>
          <w:rFonts w:ascii="Times New Roman" w:hAnsi="Times New Roman" w:cs="Times New Roman"/>
          <w:sz w:val="24"/>
        </w:rPr>
        <w:t xml:space="preserve"> refrigerator and measured within 2 hours using an electrochemiluminescence assay (Roche COBAS E601). Criteria for determination: 25(OH)D ≥ 30 ng/ml indicated sufficiency, while levels below this range indicated deficiency/insufficiency; PTH: normal range for children was 15</w:t>
      </w:r>
      <w:r w:rsidR="009E22F3">
        <w:rPr>
          <w:rFonts w:ascii="Times New Roman" w:hAnsi="Times New Roman" w:cs="Times New Roman"/>
          <w:sz w:val="24"/>
        </w:rPr>
        <w:t>–</w:t>
      </w:r>
      <w:r>
        <w:rPr>
          <w:rFonts w:ascii="Times New Roman" w:hAnsi="Times New Roman" w:cs="Times New Roman"/>
          <w:sz w:val="24"/>
        </w:rPr>
        <w:t xml:space="preserve">65 </w:t>
      </w:r>
      <w:proofErr w:type="spellStart"/>
      <w:r>
        <w:rPr>
          <w:rFonts w:ascii="Times New Roman" w:hAnsi="Times New Roman" w:cs="Times New Roman"/>
          <w:sz w:val="24"/>
        </w:rPr>
        <w:t>pg</w:t>
      </w:r>
      <w:proofErr w:type="spellEnd"/>
      <w:r>
        <w:rPr>
          <w:rFonts w:ascii="Times New Roman" w:hAnsi="Times New Roman" w:cs="Times New Roman"/>
          <w:sz w:val="24"/>
        </w:rPr>
        <w:t xml:space="preserve">/ml. BMD: Measured at the distal one-third of the medial aspect of the left tibia using a dedicated ultrasound bone densitometer (OSTEOKJ3000+), with data recorded. Criteria for determination: BMD Z-scores between -1 and +1 were considered the parameter confidence interval, with 0 as the standard value. Scores between 0 and +1 indicated above standard, while scores between -1 and 0 indicated below standard. </w:t>
      </w:r>
    </w:p>
    <w:p w14:paraId="32DB15BF" w14:textId="77777777" w:rsidR="00830537" w:rsidRDefault="00830537" w:rsidP="00E80D6D">
      <w:pPr>
        <w:snapToGrid w:val="0"/>
        <w:rPr>
          <w:rFonts w:ascii="Times New Roman" w:hAnsi="Times New Roman" w:cs="Times New Roman"/>
          <w:sz w:val="24"/>
        </w:rPr>
      </w:pPr>
    </w:p>
    <w:p w14:paraId="19DE022D" w14:textId="77777777" w:rsidR="00830537" w:rsidRDefault="00B97722" w:rsidP="00E80D6D">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.2.3</w:t>
      </w:r>
      <w:r>
        <w:rPr>
          <w:rFonts w:ascii="Times New Roman" w:hAnsi="Times New Roman" w:cs="Times New Roman" w:hint="eastAsia"/>
          <w:b/>
          <w:bCs/>
          <w:sz w:val="24"/>
        </w:rPr>
        <w:t>.</w:t>
      </w:r>
      <w:r>
        <w:rPr>
          <w:rFonts w:ascii="Times New Roman" w:hAnsi="Times New Roman" w:cs="Times New Roman"/>
          <w:b/>
          <w:bCs/>
          <w:sz w:val="24"/>
        </w:rPr>
        <w:t xml:space="preserve"> Observation </w:t>
      </w:r>
      <w:r>
        <w:rPr>
          <w:rFonts w:ascii="Times New Roman" w:hAnsi="Times New Roman" w:cs="Times New Roman" w:hint="eastAsia"/>
          <w:b/>
          <w:bCs/>
          <w:sz w:val="24"/>
        </w:rPr>
        <w:t>i</w:t>
      </w:r>
      <w:r>
        <w:rPr>
          <w:rFonts w:ascii="Times New Roman" w:hAnsi="Times New Roman" w:cs="Times New Roman"/>
          <w:b/>
          <w:bCs/>
          <w:sz w:val="24"/>
        </w:rPr>
        <w:t xml:space="preserve">ndicators </w:t>
      </w:r>
    </w:p>
    <w:p w14:paraId="75063E41" w14:textId="6FF98BAE" w:rsidR="00830537" w:rsidRDefault="00B97722" w:rsidP="00E80D6D">
      <w:pPr>
        <w:snapToGrid w:val="0"/>
        <w:rPr>
          <w:rFonts w:ascii="Times New Roman" w:hAnsi="Times New Roman" w:cs="Times New Roman"/>
          <w:sz w:val="24"/>
        </w:rPr>
      </w:pPr>
      <w:r>
        <w:rPr>
          <w:rFonts w:ascii="Times New Roman" w:hAnsi="Times New Roman" w:cs="Times New Roman"/>
          <w:sz w:val="24"/>
        </w:rPr>
        <w:t xml:space="preserve">A Z-score between -1 and 1 was defined as normal skeletal development, while a Z-score &lt; -1 indicated skeletal dysplasia. General data and laboratory results were compared between the two </w:t>
      </w:r>
      <w:r>
        <w:rPr>
          <w:rFonts w:ascii="Times New Roman" w:hAnsi="Times New Roman" w:cs="Times New Roman"/>
          <w:sz w:val="24"/>
        </w:rPr>
        <w:lastRenderedPageBreak/>
        <w:t>groups to understand the correlation between children</w:t>
      </w:r>
      <w:r w:rsidR="009E22F3">
        <w:rPr>
          <w:rFonts w:ascii="Times New Roman" w:hAnsi="Times New Roman" w:cs="Times New Roman"/>
          <w:sz w:val="24"/>
        </w:rPr>
        <w:t>’</w:t>
      </w:r>
      <w:r>
        <w:rPr>
          <w:rFonts w:ascii="Times New Roman" w:hAnsi="Times New Roman" w:cs="Times New Roman"/>
          <w:sz w:val="24"/>
        </w:rPr>
        <w:t xml:space="preserve">s skeletal development and 25(OH)D and PTH levels. </w:t>
      </w:r>
    </w:p>
    <w:p w14:paraId="0B8F2F83" w14:textId="77777777" w:rsidR="00830537" w:rsidRDefault="00830537" w:rsidP="00E80D6D">
      <w:pPr>
        <w:snapToGrid w:val="0"/>
        <w:rPr>
          <w:rFonts w:ascii="Times New Roman" w:hAnsi="Times New Roman" w:cs="Times New Roman"/>
          <w:sz w:val="24"/>
        </w:rPr>
      </w:pPr>
    </w:p>
    <w:p w14:paraId="0F1E7DA6" w14:textId="77777777" w:rsidR="00830537" w:rsidRDefault="00B97722" w:rsidP="00E80D6D">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.3</w:t>
      </w:r>
      <w:r>
        <w:rPr>
          <w:rFonts w:ascii="Times New Roman" w:hAnsi="Times New Roman" w:cs="Times New Roman" w:hint="eastAsia"/>
          <w:b/>
          <w:bCs/>
          <w:sz w:val="24"/>
        </w:rPr>
        <w:t>.</w:t>
      </w:r>
      <w:r>
        <w:rPr>
          <w:rFonts w:ascii="Times New Roman" w:hAnsi="Times New Roman" w:cs="Times New Roman"/>
          <w:b/>
          <w:bCs/>
          <w:sz w:val="24"/>
        </w:rPr>
        <w:t xml:space="preserve"> Statistical </w:t>
      </w:r>
      <w:r>
        <w:rPr>
          <w:rFonts w:ascii="Times New Roman" w:hAnsi="Times New Roman" w:cs="Times New Roman" w:hint="eastAsia"/>
          <w:b/>
          <w:bCs/>
          <w:sz w:val="24"/>
        </w:rPr>
        <w:t>a</w:t>
      </w:r>
      <w:r>
        <w:rPr>
          <w:rFonts w:ascii="Times New Roman" w:hAnsi="Times New Roman" w:cs="Times New Roman"/>
          <w:b/>
          <w:bCs/>
          <w:sz w:val="24"/>
        </w:rPr>
        <w:t xml:space="preserve">nalysis </w:t>
      </w:r>
    </w:p>
    <w:p w14:paraId="1FC7009B" w14:textId="07DBABBC" w:rsidR="00830537" w:rsidRDefault="00B97722" w:rsidP="00E80D6D">
      <w:pPr>
        <w:snapToGrid w:val="0"/>
        <w:rPr>
          <w:rFonts w:ascii="Times New Roman" w:hAnsi="Times New Roman" w:cs="Times New Roman"/>
          <w:sz w:val="24"/>
        </w:rPr>
      </w:pPr>
      <w:r>
        <w:rPr>
          <w:rFonts w:ascii="Times New Roman" w:hAnsi="Times New Roman" w:cs="Times New Roman"/>
          <w:sz w:val="24"/>
        </w:rPr>
        <w:t xml:space="preserve">SPSS 22.0 statistical software was used. Continuous variables were expressed as mean ± standard deviation and compared using </w:t>
      </w:r>
      <w:r>
        <w:rPr>
          <w:rFonts w:ascii="Times New Roman" w:hAnsi="Times New Roman" w:cs="Times New Roman"/>
          <w:i/>
          <w:iCs/>
          <w:sz w:val="24"/>
        </w:rPr>
        <w:t>t</w:t>
      </w:r>
      <w:r>
        <w:rPr>
          <w:rFonts w:ascii="Times New Roman" w:hAnsi="Times New Roman" w:cs="Times New Roman"/>
          <w:sz w:val="24"/>
        </w:rPr>
        <w:t>-tests. Categorical variables were expressed as percentages and compared using χ</w:t>
      </w:r>
      <w:r w:rsidR="009E22F3">
        <w:rPr>
          <w:rFonts w:ascii="Times New Roman" w:hAnsi="Times New Roman" w:cs="Times New Roman"/>
          <w:sz w:val="24"/>
          <w:vertAlign w:val="superscript"/>
        </w:rPr>
        <w:t>2</w:t>
      </w:r>
      <w:r>
        <w:rPr>
          <w:rFonts w:ascii="Times New Roman" w:hAnsi="Times New Roman" w:cs="Times New Roman"/>
          <w:sz w:val="24"/>
        </w:rPr>
        <w:t xml:space="preserve"> tests. Multivariate logistic regression analysis was used to identify factors influencing children</w:t>
      </w:r>
      <w:r w:rsidR="009E22F3">
        <w:rPr>
          <w:rFonts w:ascii="Times New Roman" w:hAnsi="Times New Roman" w:cs="Times New Roman"/>
          <w:sz w:val="24"/>
        </w:rPr>
        <w:t>’</w:t>
      </w:r>
      <w:r>
        <w:rPr>
          <w:rFonts w:ascii="Times New Roman" w:hAnsi="Times New Roman" w:cs="Times New Roman"/>
          <w:sz w:val="24"/>
        </w:rPr>
        <w:t xml:space="preserve">s skeletal development; </w:t>
      </w:r>
      <w:r w:rsidR="009E22F3">
        <w:rPr>
          <w:rFonts w:ascii="Times New Roman" w:hAnsi="Times New Roman" w:cs="Times New Roman"/>
          <w:i/>
          <w:iCs/>
          <w:sz w:val="24"/>
        </w:rPr>
        <w:t>p</w:t>
      </w:r>
      <w:r>
        <w:rPr>
          <w:rFonts w:ascii="Times New Roman" w:hAnsi="Times New Roman" w:cs="Times New Roman"/>
          <w:sz w:val="24"/>
        </w:rPr>
        <w:t xml:space="preserve"> &lt; 0.05 was considered statistically significant.</w:t>
      </w:r>
    </w:p>
    <w:p w14:paraId="306EEFBC" w14:textId="77777777" w:rsidR="00830537" w:rsidRDefault="00830537" w:rsidP="00E80D6D">
      <w:pPr>
        <w:snapToGrid w:val="0"/>
        <w:rPr>
          <w:rFonts w:ascii="Times New Roman" w:hAnsi="Times New Roman" w:cs="Times New Roman"/>
          <w:sz w:val="24"/>
        </w:rPr>
      </w:pPr>
    </w:p>
    <w:p w14:paraId="2AEFC655" w14:textId="77777777" w:rsidR="00830537" w:rsidRDefault="00B97722" w:rsidP="00E80D6D">
      <w:pPr>
        <w:snapToGrid w:val="0"/>
        <w:rPr>
          <w:rFonts w:ascii="Times New Roman" w:hAnsi="Times New Roman" w:cs="Times New Roman"/>
          <w:b/>
          <w:bCs/>
          <w:sz w:val="24"/>
        </w:rPr>
      </w:pPr>
      <w:r>
        <w:rPr>
          <w:rFonts w:ascii="Times New Roman" w:hAnsi="Times New Roman" w:cs="Times New Roman" w:hint="eastAsia"/>
          <w:b/>
          <w:bCs/>
          <w:sz w:val="24"/>
        </w:rPr>
        <w:t>3.</w:t>
      </w:r>
      <w:r>
        <w:rPr>
          <w:rFonts w:ascii="Times New Roman" w:hAnsi="Times New Roman" w:cs="Times New Roman"/>
          <w:b/>
          <w:bCs/>
          <w:sz w:val="24"/>
        </w:rPr>
        <w:t xml:space="preserve"> Results </w:t>
      </w:r>
    </w:p>
    <w:p w14:paraId="4B9865D9" w14:textId="77777777" w:rsidR="00830537" w:rsidRDefault="00B97722" w:rsidP="00E80D6D">
      <w:pPr>
        <w:snapToGrid w:val="0"/>
        <w:rPr>
          <w:rFonts w:ascii="Times New Roman" w:hAnsi="Times New Roman" w:cs="Times New Roman"/>
          <w:b/>
          <w:bCs/>
          <w:sz w:val="24"/>
        </w:rPr>
      </w:pPr>
      <w:r>
        <w:rPr>
          <w:rFonts w:ascii="Times New Roman" w:hAnsi="Times New Roman" w:cs="Times New Roman" w:hint="eastAsia"/>
          <w:b/>
          <w:bCs/>
          <w:sz w:val="24"/>
        </w:rPr>
        <w:t>3</w:t>
      </w:r>
      <w:r>
        <w:rPr>
          <w:rFonts w:ascii="Times New Roman" w:hAnsi="Times New Roman" w:cs="Times New Roman"/>
          <w:b/>
          <w:bCs/>
          <w:sz w:val="24"/>
        </w:rPr>
        <w:t>.1</w:t>
      </w:r>
      <w:r>
        <w:rPr>
          <w:rFonts w:ascii="Times New Roman" w:hAnsi="Times New Roman" w:cs="Times New Roman" w:hint="eastAsia"/>
          <w:b/>
          <w:bCs/>
          <w:sz w:val="24"/>
        </w:rPr>
        <w:t>.</w:t>
      </w:r>
      <w:r>
        <w:rPr>
          <w:rFonts w:ascii="Times New Roman" w:hAnsi="Times New Roman" w:cs="Times New Roman"/>
          <w:b/>
          <w:bCs/>
          <w:sz w:val="24"/>
        </w:rPr>
        <w:t xml:space="preserve"> BMD </w:t>
      </w:r>
      <w:r>
        <w:rPr>
          <w:rFonts w:ascii="Times New Roman" w:hAnsi="Times New Roman" w:cs="Times New Roman" w:hint="eastAsia"/>
          <w:b/>
          <w:bCs/>
          <w:sz w:val="24"/>
        </w:rPr>
        <w:t>m</w:t>
      </w:r>
      <w:r>
        <w:rPr>
          <w:rFonts w:ascii="Times New Roman" w:hAnsi="Times New Roman" w:cs="Times New Roman"/>
          <w:b/>
          <w:bCs/>
          <w:sz w:val="24"/>
        </w:rPr>
        <w:t xml:space="preserve">easurement </w:t>
      </w:r>
      <w:r>
        <w:rPr>
          <w:rFonts w:ascii="Times New Roman" w:hAnsi="Times New Roman" w:cs="Times New Roman" w:hint="eastAsia"/>
          <w:b/>
          <w:bCs/>
          <w:sz w:val="24"/>
        </w:rPr>
        <w:t>r</w:t>
      </w:r>
      <w:r>
        <w:rPr>
          <w:rFonts w:ascii="Times New Roman" w:hAnsi="Times New Roman" w:cs="Times New Roman"/>
          <w:b/>
          <w:bCs/>
          <w:sz w:val="24"/>
        </w:rPr>
        <w:t xml:space="preserve">esults </w:t>
      </w:r>
    </w:p>
    <w:p w14:paraId="30880DCD" w14:textId="77777777" w:rsidR="00830537" w:rsidRDefault="00B97722" w:rsidP="00E80D6D">
      <w:pPr>
        <w:snapToGrid w:val="0"/>
        <w:rPr>
          <w:rFonts w:ascii="Times New Roman" w:hAnsi="Times New Roman" w:cs="Times New Roman"/>
          <w:sz w:val="24"/>
        </w:rPr>
      </w:pPr>
      <w:r>
        <w:rPr>
          <w:rFonts w:ascii="Times New Roman" w:hAnsi="Times New Roman" w:cs="Times New Roman"/>
          <w:sz w:val="24"/>
        </w:rPr>
        <w:t xml:space="preserve">Among the 85 healthy children who underwent BMD examinations, 36.47% (31/85) showed skeletal dysplasia and were included in the skeletal dysplasia group, while 63.53% (54/85) had normal skeletal development and were classified as the normal skeletal development group. </w:t>
      </w:r>
    </w:p>
    <w:p w14:paraId="6E862E63" w14:textId="77777777" w:rsidR="00830537" w:rsidRDefault="00830537" w:rsidP="00E80D6D">
      <w:pPr>
        <w:snapToGrid w:val="0"/>
        <w:rPr>
          <w:rFonts w:ascii="Times New Roman" w:hAnsi="Times New Roman" w:cs="Times New Roman"/>
          <w:sz w:val="24"/>
        </w:rPr>
      </w:pPr>
    </w:p>
    <w:p w14:paraId="2CAE7FA8" w14:textId="77777777" w:rsidR="00830537" w:rsidRDefault="00B97722" w:rsidP="00E80D6D">
      <w:pPr>
        <w:snapToGrid w:val="0"/>
        <w:rPr>
          <w:rFonts w:ascii="Times New Roman" w:hAnsi="Times New Roman" w:cs="Times New Roman"/>
          <w:b/>
          <w:bCs/>
          <w:sz w:val="24"/>
        </w:rPr>
      </w:pPr>
      <w:r>
        <w:rPr>
          <w:rFonts w:ascii="Times New Roman" w:hAnsi="Times New Roman" w:cs="Times New Roman" w:hint="eastAsia"/>
          <w:b/>
          <w:bCs/>
          <w:sz w:val="24"/>
        </w:rPr>
        <w:t>3</w:t>
      </w:r>
      <w:r>
        <w:rPr>
          <w:rFonts w:ascii="Times New Roman" w:hAnsi="Times New Roman" w:cs="Times New Roman"/>
          <w:b/>
          <w:bCs/>
          <w:sz w:val="24"/>
        </w:rPr>
        <w:t>.2</w:t>
      </w:r>
      <w:r>
        <w:rPr>
          <w:rFonts w:ascii="Times New Roman" w:hAnsi="Times New Roman" w:cs="Times New Roman" w:hint="eastAsia"/>
          <w:b/>
          <w:bCs/>
          <w:sz w:val="24"/>
        </w:rPr>
        <w:t>.</w:t>
      </w:r>
      <w:r>
        <w:rPr>
          <w:rFonts w:ascii="Times New Roman" w:hAnsi="Times New Roman" w:cs="Times New Roman"/>
          <w:b/>
          <w:bCs/>
          <w:sz w:val="24"/>
        </w:rPr>
        <w:t xml:space="preserve"> Comparison of </w:t>
      </w:r>
      <w:r>
        <w:rPr>
          <w:rFonts w:ascii="Times New Roman" w:hAnsi="Times New Roman" w:cs="Times New Roman" w:hint="eastAsia"/>
          <w:b/>
          <w:bCs/>
          <w:sz w:val="24"/>
        </w:rPr>
        <w:t>g</w:t>
      </w:r>
      <w:r>
        <w:rPr>
          <w:rFonts w:ascii="Times New Roman" w:hAnsi="Times New Roman" w:cs="Times New Roman"/>
          <w:b/>
          <w:bCs/>
          <w:sz w:val="24"/>
        </w:rPr>
        <w:t xml:space="preserve">eneral </w:t>
      </w:r>
      <w:r>
        <w:rPr>
          <w:rFonts w:ascii="Times New Roman" w:hAnsi="Times New Roman" w:cs="Times New Roman" w:hint="eastAsia"/>
          <w:b/>
          <w:bCs/>
          <w:sz w:val="24"/>
        </w:rPr>
        <w:t>d</w:t>
      </w:r>
      <w:r>
        <w:rPr>
          <w:rFonts w:ascii="Times New Roman" w:hAnsi="Times New Roman" w:cs="Times New Roman"/>
          <w:b/>
          <w:bCs/>
          <w:sz w:val="24"/>
        </w:rPr>
        <w:t xml:space="preserve">ata between the </w:t>
      </w:r>
      <w:r>
        <w:rPr>
          <w:rFonts w:ascii="Times New Roman" w:hAnsi="Times New Roman" w:cs="Times New Roman" w:hint="eastAsia"/>
          <w:b/>
          <w:bCs/>
          <w:sz w:val="24"/>
        </w:rPr>
        <w:t>n</w:t>
      </w:r>
      <w:r>
        <w:rPr>
          <w:rFonts w:ascii="Times New Roman" w:hAnsi="Times New Roman" w:cs="Times New Roman"/>
          <w:b/>
          <w:bCs/>
          <w:sz w:val="24"/>
        </w:rPr>
        <w:t xml:space="preserve">ormal </w:t>
      </w:r>
      <w:r>
        <w:rPr>
          <w:rFonts w:ascii="Times New Roman" w:hAnsi="Times New Roman" w:cs="Times New Roman" w:hint="eastAsia"/>
          <w:b/>
          <w:bCs/>
          <w:sz w:val="24"/>
        </w:rPr>
        <w:t>s</w:t>
      </w:r>
      <w:r>
        <w:rPr>
          <w:rFonts w:ascii="Times New Roman" w:hAnsi="Times New Roman" w:cs="Times New Roman"/>
          <w:b/>
          <w:bCs/>
          <w:sz w:val="24"/>
        </w:rPr>
        <w:t xml:space="preserve">keletal </w:t>
      </w:r>
      <w:r>
        <w:rPr>
          <w:rFonts w:ascii="Times New Roman" w:hAnsi="Times New Roman" w:cs="Times New Roman" w:hint="eastAsia"/>
          <w:b/>
          <w:bCs/>
          <w:sz w:val="24"/>
        </w:rPr>
        <w:t>d</w:t>
      </w:r>
      <w:r>
        <w:rPr>
          <w:rFonts w:ascii="Times New Roman" w:hAnsi="Times New Roman" w:cs="Times New Roman"/>
          <w:b/>
          <w:bCs/>
          <w:sz w:val="24"/>
        </w:rPr>
        <w:t xml:space="preserve">evelopment </w:t>
      </w:r>
      <w:r>
        <w:rPr>
          <w:rFonts w:ascii="Times New Roman" w:hAnsi="Times New Roman" w:cs="Times New Roman" w:hint="eastAsia"/>
          <w:b/>
          <w:bCs/>
          <w:sz w:val="24"/>
        </w:rPr>
        <w:t>g</w:t>
      </w:r>
      <w:r>
        <w:rPr>
          <w:rFonts w:ascii="Times New Roman" w:hAnsi="Times New Roman" w:cs="Times New Roman"/>
          <w:b/>
          <w:bCs/>
          <w:sz w:val="24"/>
        </w:rPr>
        <w:t xml:space="preserve">roup and the </w:t>
      </w:r>
      <w:r>
        <w:rPr>
          <w:rFonts w:ascii="Times New Roman" w:hAnsi="Times New Roman" w:cs="Times New Roman" w:hint="eastAsia"/>
          <w:b/>
          <w:bCs/>
          <w:sz w:val="24"/>
        </w:rPr>
        <w:t>s</w:t>
      </w:r>
      <w:r>
        <w:rPr>
          <w:rFonts w:ascii="Times New Roman" w:hAnsi="Times New Roman" w:cs="Times New Roman"/>
          <w:b/>
          <w:bCs/>
          <w:sz w:val="24"/>
        </w:rPr>
        <w:t xml:space="preserve">keletal </w:t>
      </w:r>
      <w:r>
        <w:rPr>
          <w:rFonts w:ascii="Times New Roman" w:hAnsi="Times New Roman" w:cs="Times New Roman" w:hint="eastAsia"/>
          <w:b/>
          <w:bCs/>
          <w:sz w:val="24"/>
        </w:rPr>
        <w:t>d</w:t>
      </w:r>
      <w:r>
        <w:rPr>
          <w:rFonts w:ascii="Times New Roman" w:hAnsi="Times New Roman" w:cs="Times New Roman"/>
          <w:b/>
          <w:bCs/>
          <w:sz w:val="24"/>
        </w:rPr>
        <w:t xml:space="preserve">ysplasia </w:t>
      </w:r>
      <w:r>
        <w:rPr>
          <w:rFonts w:ascii="Times New Roman" w:hAnsi="Times New Roman" w:cs="Times New Roman" w:hint="eastAsia"/>
          <w:b/>
          <w:bCs/>
          <w:sz w:val="24"/>
        </w:rPr>
        <w:t>g</w:t>
      </w:r>
      <w:r>
        <w:rPr>
          <w:rFonts w:ascii="Times New Roman" w:hAnsi="Times New Roman" w:cs="Times New Roman"/>
          <w:b/>
          <w:bCs/>
          <w:sz w:val="24"/>
        </w:rPr>
        <w:t xml:space="preserve">roup </w:t>
      </w:r>
    </w:p>
    <w:p w14:paraId="3D6414E4" w14:textId="115800B9" w:rsidR="00830537" w:rsidRDefault="00B97722" w:rsidP="00E80D6D">
      <w:pPr>
        <w:snapToGrid w:val="0"/>
        <w:rPr>
          <w:rFonts w:ascii="Times New Roman" w:hAnsi="Times New Roman" w:cs="Times New Roman"/>
          <w:sz w:val="24"/>
        </w:rPr>
      </w:pPr>
      <w:r>
        <w:rPr>
          <w:rFonts w:ascii="Times New Roman" w:hAnsi="Times New Roman" w:cs="Times New Roman"/>
          <w:sz w:val="24"/>
        </w:rPr>
        <w:t>Significant differences were observed between the two groups in terms of BMI, exercise frequency, dietary habits, 25(OH)D, and PTH levels (</w:t>
      </w:r>
      <w:r w:rsidR="009E22F3">
        <w:rPr>
          <w:rFonts w:ascii="Times New Roman" w:hAnsi="Times New Roman" w:cs="Times New Roman"/>
          <w:i/>
          <w:iCs/>
          <w:sz w:val="24"/>
        </w:rPr>
        <w:t>p</w:t>
      </w:r>
      <w:r>
        <w:rPr>
          <w:rFonts w:ascii="Times New Roman" w:hAnsi="Times New Roman" w:cs="Times New Roman"/>
          <w:sz w:val="24"/>
        </w:rPr>
        <w:t xml:space="preserve"> &lt; 0.05), as shown in</w:t>
      </w:r>
      <w:r>
        <w:rPr>
          <w:rFonts w:ascii="Times New Roman" w:hAnsi="Times New Roman" w:cs="Times New Roman"/>
          <w:b/>
          <w:bCs/>
          <w:sz w:val="24"/>
        </w:rPr>
        <w:t xml:space="preserve"> Table 1</w:t>
      </w:r>
      <w:r>
        <w:rPr>
          <w:rFonts w:ascii="Times New Roman" w:hAnsi="Times New Roman" w:cs="Times New Roman"/>
          <w:sz w:val="24"/>
        </w:rPr>
        <w:t xml:space="preserve">. </w:t>
      </w:r>
    </w:p>
    <w:p w14:paraId="438245E5" w14:textId="77777777" w:rsidR="00830537" w:rsidRDefault="00830537" w:rsidP="00E80D6D">
      <w:pPr>
        <w:snapToGrid w:val="0"/>
        <w:rPr>
          <w:rFonts w:ascii="Times New Roman" w:hAnsi="Times New Roman" w:cs="Times New Roman"/>
          <w:sz w:val="24"/>
        </w:rPr>
      </w:pPr>
    </w:p>
    <w:p w14:paraId="77C03E93" w14:textId="77777777" w:rsidR="00830537" w:rsidRDefault="00B97722" w:rsidP="00E80D6D">
      <w:pPr>
        <w:snapToGrid w:val="0"/>
        <w:rPr>
          <w:rFonts w:ascii="Times New Roman" w:hAnsi="Times New Roman" w:cs="Times New Roman"/>
          <w:sz w:val="24"/>
        </w:rPr>
      </w:pPr>
      <w:r>
        <w:rPr>
          <w:rFonts w:ascii="Times New Roman" w:hAnsi="Times New Roman" w:cs="Times New Roman"/>
          <w:b/>
          <w:bCs/>
          <w:sz w:val="24"/>
        </w:rPr>
        <w:t>Table 1</w:t>
      </w:r>
      <w:r>
        <w:rPr>
          <w:rFonts w:ascii="Times New Roman" w:hAnsi="Times New Roman" w:cs="Times New Roman"/>
          <w:b/>
          <w:bCs/>
          <w:sz w:val="24"/>
        </w:rPr>
        <w:t>.</w:t>
      </w:r>
      <w:r>
        <w:rPr>
          <w:rFonts w:ascii="Times New Roman" w:hAnsi="Times New Roman" w:cs="Times New Roman"/>
          <w:sz w:val="24"/>
        </w:rPr>
        <w:t xml:space="preserve"> Comparison of </w:t>
      </w:r>
      <w:r>
        <w:rPr>
          <w:rFonts w:ascii="Times New Roman" w:hAnsi="Times New Roman" w:cs="Times New Roman" w:hint="eastAsia"/>
          <w:sz w:val="24"/>
        </w:rPr>
        <w:t>g</w:t>
      </w:r>
      <w:r>
        <w:rPr>
          <w:rFonts w:ascii="Times New Roman" w:hAnsi="Times New Roman" w:cs="Times New Roman"/>
          <w:sz w:val="24"/>
        </w:rPr>
        <w:t xml:space="preserve">eneral </w:t>
      </w:r>
      <w:r>
        <w:rPr>
          <w:rFonts w:ascii="Times New Roman" w:hAnsi="Times New Roman" w:cs="Times New Roman" w:hint="eastAsia"/>
          <w:sz w:val="24"/>
        </w:rPr>
        <w:t>d</w:t>
      </w:r>
      <w:r>
        <w:rPr>
          <w:rFonts w:ascii="Times New Roman" w:hAnsi="Times New Roman" w:cs="Times New Roman"/>
          <w:sz w:val="24"/>
        </w:rPr>
        <w:t xml:space="preserve">ata between the </w:t>
      </w:r>
      <w:r>
        <w:rPr>
          <w:rFonts w:ascii="Times New Roman" w:hAnsi="Times New Roman" w:cs="Times New Roman" w:hint="eastAsia"/>
          <w:sz w:val="24"/>
        </w:rPr>
        <w:t>n</w:t>
      </w:r>
      <w:r>
        <w:rPr>
          <w:rFonts w:ascii="Times New Roman" w:hAnsi="Times New Roman" w:cs="Times New Roman"/>
          <w:sz w:val="24"/>
        </w:rPr>
        <w:t xml:space="preserve">ormal </w:t>
      </w:r>
      <w:r>
        <w:rPr>
          <w:rFonts w:ascii="Times New Roman" w:hAnsi="Times New Roman" w:cs="Times New Roman" w:hint="eastAsia"/>
          <w:sz w:val="24"/>
        </w:rPr>
        <w:t>s</w:t>
      </w:r>
      <w:r>
        <w:rPr>
          <w:rFonts w:ascii="Times New Roman" w:hAnsi="Times New Roman" w:cs="Times New Roman"/>
          <w:sz w:val="24"/>
        </w:rPr>
        <w:t xml:space="preserve">keletal </w:t>
      </w:r>
      <w:r>
        <w:rPr>
          <w:rFonts w:ascii="Times New Roman" w:hAnsi="Times New Roman" w:cs="Times New Roman" w:hint="eastAsia"/>
          <w:sz w:val="24"/>
        </w:rPr>
        <w:t>d</w:t>
      </w:r>
      <w:r>
        <w:rPr>
          <w:rFonts w:ascii="Times New Roman" w:hAnsi="Times New Roman" w:cs="Times New Roman"/>
          <w:sz w:val="24"/>
        </w:rPr>
        <w:t xml:space="preserve">evelopment </w:t>
      </w:r>
      <w:r>
        <w:rPr>
          <w:rFonts w:ascii="Times New Roman" w:hAnsi="Times New Roman" w:cs="Times New Roman" w:hint="eastAsia"/>
          <w:sz w:val="24"/>
        </w:rPr>
        <w:t>g</w:t>
      </w:r>
      <w:r>
        <w:rPr>
          <w:rFonts w:ascii="Times New Roman" w:hAnsi="Times New Roman" w:cs="Times New Roman"/>
          <w:sz w:val="24"/>
        </w:rPr>
        <w:t xml:space="preserve">roup and the </w:t>
      </w:r>
      <w:r>
        <w:rPr>
          <w:rFonts w:ascii="Times New Roman" w:hAnsi="Times New Roman" w:cs="Times New Roman" w:hint="eastAsia"/>
          <w:sz w:val="24"/>
        </w:rPr>
        <w:t>s</w:t>
      </w:r>
      <w:r>
        <w:rPr>
          <w:rFonts w:ascii="Times New Roman" w:hAnsi="Times New Roman" w:cs="Times New Roman"/>
          <w:sz w:val="24"/>
        </w:rPr>
        <w:t xml:space="preserve">keletal </w:t>
      </w:r>
      <w:r>
        <w:rPr>
          <w:rFonts w:ascii="Times New Roman" w:hAnsi="Times New Roman" w:cs="Times New Roman" w:hint="eastAsia"/>
          <w:sz w:val="24"/>
        </w:rPr>
        <w:t>d</w:t>
      </w:r>
      <w:r>
        <w:rPr>
          <w:rFonts w:ascii="Times New Roman" w:hAnsi="Times New Roman" w:cs="Times New Roman"/>
          <w:sz w:val="24"/>
        </w:rPr>
        <w:t xml:space="preserve">ysplasia </w:t>
      </w:r>
      <w:r>
        <w:rPr>
          <w:rFonts w:ascii="Times New Roman" w:hAnsi="Times New Roman" w:cs="Times New Roman" w:hint="eastAsia"/>
          <w:sz w:val="24"/>
        </w:rPr>
        <w:t>g</w:t>
      </w:r>
      <w:r>
        <w:rPr>
          <w:rFonts w:ascii="Times New Roman" w:hAnsi="Times New Roman" w:cs="Times New Roman"/>
          <w:sz w:val="24"/>
        </w:rPr>
        <w:t>roup</w:t>
      </w:r>
    </w:p>
    <w:tbl>
      <w:tblPr>
        <w:tblStyle w:val="TableGrid"/>
        <w:tblW w:w="5110" w:type="pct"/>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2688"/>
        <w:gridCol w:w="2062"/>
        <w:gridCol w:w="332"/>
        <w:gridCol w:w="1699"/>
        <w:gridCol w:w="1627"/>
        <w:gridCol w:w="660"/>
        <w:gridCol w:w="782"/>
      </w:tblGrid>
      <w:tr w:rsidR="00830537" w14:paraId="43508973" w14:textId="77777777" w:rsidTr="00E80D6D">
        <w:trPr>
          <w:tblHeader/>
          <w:jc w:val="center"/>
        </w:trPr>
        <w:tc>
          <w:tcPr>
            <w:tcW w:w="2418" w:type="pct"/>
            <w:gridSpan w:val="2"/>
            <w:tcBorders>
              <w:top w:val="single" w:sz="4" w:space="0" w:color="auto"/>
              <w:left w:val="nil"/>
              <w:bottom w:val="nil"/>
              <w:right w:val="nil"/>
            </w:tcBorders>
            <w:tcMar>
              <w:top w:w="-1" w:type="dxa"/>
              <w:left w:w="-1" w:type="dxa"/>
              <w:bottom w:w="-1" w:type="dxa"/>
              <w:right w:w="-1" w:type="dxa"/>
            </w:tcMar>
            <w:vAlign w:val="center"/>
          </w:tcPr>
          <w:p w14:paraId="252D8C2F" w14:textId="77777777" w:rsidR="00830537" w:rsidRDefault="00B97722" w:rsidP="00E80D6D">
            <w:pPr>
              <w:snapToGrid w:val="0"/>
              <w:jc w:val="left"/>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General information</w:t>
            </w:r>
          </w:p>
        </w:tc>
        <w:tc>
          <w:tcPr>
            <w:tcW w:w="181" w:type="pct"/>
            <w:tcBorders>
              <w:top w:val="single" w:sz="4" w:space="0" w:color="auto"/>
              <w:left w:val="nil"/>
              <w:bottom w:val="nil"/>
              <w:right w:val="nil"/>
            </w:tcBorders>
            <w:tcMar>
              <w:top w:w="-1" w:type="dxa"/>
              <w:left w:w="-1" w:type="dxa"/>
              <w:bottom w:w="-1" w:type="dxa"/>
              <w:right w:w="-1" w:type="dxa"/>
            </w:tcMar>
            <w:vAlign w:val="center"/>
          </w:tcPr>
          <w:p w14:paraId="5F67A770" w14:textId="77777777" w:rsidR="00830537" w:rsidRDefault="00B97722" w:rsidP="009E22F3">
            <w:pPr>
              <w:snapToGrid w:val="0"/>
              <w:jc w:val="center"/>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n</w:t>
            </w:r>
          </w:p>
        </w:tc>
        <w:tc>
          <w:tcPr>
            <w:tcW w:w="869" w:type="pct"/>
            <w:tcBorders>
              <w:top w:val="single" w:sz="4" w:space="0" w:color="auto"/>
              <w:left w:val="nil"/>
              <w:bottom w:val="nil"/>
              <w:right w:val="nil"/>
            </w:tcBorders>
            <w:tcMar>
              <w:top w:w="-1" w:type="dxa"/>
              <w:left w:w="-1" w:type="dxa"/>
              <w:bottom w:w="-1" w:type="dxa"/>
              <w:right w:w="-1" w:type="dxa"/>
            </w:tcMar>
            <w:vAlign w:val="center"/>
          </w:tcPr>
          <w:p w14:paraId="268F4EA7" w14:textId="05860CD9" w:rsidR="00830537" w:rsidRDefault="00B97722" w:rsidP="009E22F3">
            <w:pPr>
              <w:snapToGrid w:val="0"/>
              <w:jc w:val="center"/>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Dysplastic bone group (n</w:t>
            </w:r>
            <w:r w:rsidR="009E22F3">
              <w:rPr>
                <w:rFonts w:ascii="Times New Roman" w:eastAsia="Segoe UI" w:hAnsi="Times New Roman" w:cs="Times New Roman"/>
                <w:b/>
                <w:color w:val="0F1115"/>
                <w:sz w:val="24"/>
                <w:shd w:val="clear" w:color="auto" w:fill="FFFFFF"/>
              </w:rPr>
              <w:t xml:space="preserve"> </w:t>
            </w:r>
            <w:r>
              <w:rPr>
                <w:rFonts w:ascii="Times New Roman" w:eastAsia="Segoe UI" w:hAnsi="Times New Roman" w:cs="Times New Roman"/>
                <w:b/>
                <w:color w:val="0F1115"/>
                <w:sz w:val="24"/>
                <w:shd w:val="clear" w:color="auto" w:fill="FFFFFF"/>
              </w:rPr>
              <w:t>=</w:t>
            </w:r>
            <w:r w:rsidR="009E22F3">
              <w:rPr>
                <w:rFonts w:ascii="Times New Roman" w:eastAsia="Segoe UI" w:hAnsi="Times New Roman" w:cs="Times New Roman"/>
                <w:b/>
                <w:color w:val="0F1115"/>
                <w:sz w:val="24"/>
                <w:shd w:val="clear" w:color="auto" w:fill="FFFFFF"/>
              </w:rPr>
              <w:t xml:space="preserve"> </w:t>
            </w:r>
            <w:r>
              <w:rPr>
                <w:rFonts w:ascii="Times New Roman" w:eastAsia="Segoe UI" w:hAnsi="Times New Roman" w:cs="Times New Roman"/>
                <w:b/>
                <w:color w:val="0F1115"/>
                <w:sz w:val="24"/>
                <w:shd w:val="clear" w:color="auto" w:fill="FFFFFF"/>
              </w:rPr>
              <w:t>31)</w:t>
            </w:r>
          </w:p>
        </w:tc>
        <w:tc>
          <w:tcPr>
            <w:tcW w:w="832" w:type="pct"/>
            <w:tcBorders>
              <w:top w:val="single" w:sz="4" w:space="0" w:color="auto"/>
              <w:left w:val="nil"/>
              <w:bottom w:val="nil"/>
              <w:right w:val="nil"/>
            </w:tcBorders>
            <w:tcMar>
              <w:top w:w="-1" w:type="dxa"/>
              <w:left w:w="-1" w:type="dxa"/>
              <w:bottom w:w="-1" w:type="dxa"/>
              <w:right w:w="-1" w:type="dxa"/>
            </w:tcMar>
            <w:vAlign w:val="center"/>
          </w:tcPr>
          <w:p w14:paraId="62C923C6" w14:textId="1C348685" w:rsidR="00830537" w:rsidRDefault="00B97722" w:rsidP="009E22F3">
            <w:pPr>
              <w:snapToGrid w:val="0"/>
              <w:jc w:val="center"/>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Normal bone group (n</w:t>
            </w:r>
            <w:r w:rsidR="009E22F3">
              <w:rPr>
                <w:rFonts w:ascii="Times New Roman" w:eastAsia="Segoe UI" w:hAnsi="Times New Roman" w:cs="Times New Roman"/>
                <w:b/>
                <w:color w:val="0F1115"/>
                <w:sz w:val="24"/>
                <w:shd w:val="clear" w:color="auto" w:fill="FFFFFF"/>
              </w:rPr>
              <w:t xml:space="preserve"> </w:t>
            </w:r>
            <w:r>
              <w:rPr>
                <w:rFonts w:ascii="Times New Roman" w:eastAsia="Segoe UI" w:hAnsi="Times New Roman" w:cs="Times New Roman"/>
                <w:b/>
                <w:color w:val="0F1115"/>
                <w:sz w:val="24"/>
                <w:shd w:val="clear" w:color="auto" w:fill="FFFFFF"/>
              </w:rPr>
              <w:t>=</w:t>
            </w:r>
            <w:r w:rsidR="009E22F3">
              <w:rPr>
                <w:rFonts w:ascii="Times New Roman" w:eastAsia="Segoe UI" w:hAnsi="Times New Roman" w:cs="Times New Roman"/>
                <w:b/>
                <w:color w:val="0F1115"/>
                <w:sz w:val="24"/>
                <w:shd w:val="clear" w:color="auto" w:fill="FFFFFF"/>
              </w:rPr>
              <w:t xml:space="preserve"> </w:t>
            </w:r>
            <w:r>
              <w:rPr>
                <w:rFonts w:ascii="Times New Roman" w:eastAsia="Segoe UI" w:hAnsi="Times New Roman" w:cs="Times New Roman"/>
                <w:b/>
                <w:color w:val="0F1115"/>
                <w:sz w:val="24"/>
                <w:shd w:val="clear" w:color="auto" w:fill="FFFFFF"/>
              </w:rPr>
              <w:t>54)</w:t>
            </w:r>
          </w:p>
        </w:tc>
        <w:tc>
          <w:tcPr>
            <w:tcW w:w="297" w:type="pct"/>
            <w:tcBorders>
              <w:top w:val="single" w:sz="4" w:space="0" w:color="auto"/>
              <w:left w:val="nil"/>
              <w:bottom w:val="nil"/>
              <w:right w:val="nil"/>
            </w:tcBorders>
            <w:tcMar>
              <w:top w:w="-1" w:type="dxa"/>
              <w:left w:w="-1" w:type="dxa"/>
              <w:bottom w:w="-1" w:type="dxa"/>
              <w:right w:w="-1" w:type="dxa"/>
            </w:tcMar>
            <w:vAlign w:val="center"/>
          </w:tcPr>
          <w:p w14:paraId="596E4B3B" w14:textId="7820803C" w:rsidR="00830537" w:rsidRPr="00E80D6D" w:rsidRDefault="00B97722" w:rsidP="009E22F3">
            <w:pPr>
              <w:snapToGrid w:val="0"/>
              <w:jc w:val="center"/>
              <w:rPr>
                <w:rFonts w:ascii="Times New Roman" w:eastAsia="Segoe UI" w:hAnsi="Times New Roman" w:cs="Times New Roman"/>
                <w:b/>
                <w:sz w:val="24"/>
                <w:vertAlign w:val="superscript"/>
              </w:rPr>
            </w:pPr>
            <w:r>
              <w:rPr>
                <w:rFonts w:ascii="Times New Roman" w:eastAsia="Segoe UI" w:hAnsi="Times New Roman" w:cs="Times New Roman"/>
                <w:b/>
                <w:color w:val="0F1115"/>
                <w:sz w:val="24"/>
                <w:shd w:val="clear" w:color="auto" w:fill="FFFFFF"/>
              </w:rPr>
              <w:t>χ</w:t>
            </w:r>
            <w:r w:rsidR="009E22F3">
              <w:rPr>
                <w:rFonts w:ascii="Times New Roman" w:eastAsia="Segoe UI" w:hAnsi="Times New Roman" w:cs="Times New Roman"/>
                <w:b/>
                <w:color w:val="0F1115"/>
                <w:sz w:val="24"/>
                <w:shd w:val="clear" w:color="auto" w:fill="FFFFFF"/>
                <w:vertAlign w:val="superscript"/>
              </w:rPr>
              <w:t>2</w:t>
            </w:r>
          </w:p>
        </w:tc>
        <w:tc>
          <w:tcPr>
            <w:tcW w:w="404" w:type="pct"/>
            <w:tcBorders>
              <w:top w:val="single" w:sz="4" w:space="0" w:color="auto"/>
              <w:left w:val="nil"/>
              <w:bottom w:val="nil"/>
              <w:right w:val="nil"/>
            </w:tcBorders>
            <w:tcMar>
              <w:top w:w="-1" w:type="dxa"/>
              <w:left w:w="-1" w:type="dxa"/>
              <w:bottom w:w="-1" w:type="dxa"/>
              <w:right w:w="-1" w:type="dxa"/>
            </w:tcMar>
            <w:vAlign w:val="center"/>
          </w:tcPr>
          <w:p w14:paraId="7748EA46" w14:textId="11E4857F" w:rsidR="00830537" w:rsidRDefault="009E22F3" w:rsidP="009E22F3">
            <w:pPr>
              <w:snapToGrid w:val="0"/>
              <w:jc w:val="center"/>
              <w:rPr>
                <w:rFonts w:ascii="Times New Roman" w:eastAsia="Segoe UI" w:hAnsi="Times New Roman" w:cs="Times New Roman"/>
                <w:b/>
                <w:sz w:val="24"/>
              </w:rPr>
            </w:pPr>
            <w:r>
              <w:rPr>
                <w:rFonts w:ascii="Times New Roman" w:eastAsia="Segoe UI" w:hAnsi="Times New Roman" w:cs="Times New Roman"/>
                <w:b/>
                <w:i/>
                <w:iCs/>
                <w:color w:val="0F1115"/>
                <w:sz w:val="24"/>
                <w:shd w:val="clear" w:color="auto" w:fill="FFFFFF"/>
              </w:rPr>
              <w:t>p</w:t>
            </w:r>
          </w:p>
        </w:tc>
      </w:tr>
      <w:tr w:rsidR="00830537" w14:paraId="40F7820A" w14:textId="77777777" w:rsidTr="00E80D6D">
        <w:trPr>
          <w:jc w:val="center"/>
        </w:trPr>
        <w:tc>
          <w:tcPr>
            <w:tcW w:w="1371" w:type="pct"/>
            <w:tcBorders>
              <w:top w:val="single" w:sz="4" w:space="0" w:color="auto"/>
              <w:left w:val="nil"/>
              <w:bottom w:val="nil"/>
              <w:right w:val="nil"/>
            </w:tcBorders>
            <w:tcMar>
              <w:top w:w="-1" w:type="dxa"/>
              <w:left w:w="-1" w:type="dxa"/>
              <w:bottom w:w="-1" w:type="dxa"/>
              <w:right w:w="-1" w:type="dxa"/>
            </w:tcMar>
            <w:vAlign w:val="center"/>
          </w:tcPr>
          <w:p w14:paraId="03B5CABC" w14:textId="77777777" w:rsidR="00830537" w:rsidRDefault="00B97722" w:rsidP="00E80D6D">
            <w:pPr>
              <w:snapToGrid w:val="0"/>
              <w:jc w:val="left"/>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Gender (n)</w:t>
            </w:r>
          </w:p>
        </w:tc>
        <w:tc>
          <w:tcPr>
            <w:tcW w:w="1047" w:type="pct"/>
            <w:tcBorders>
              <w:top w:val="single" w:sz="4" w:space="0" w:color="auto"/>
              <w:left w:val="nil"/>
              <w:bottom w:val="nil"/>
              <w:right w:val="nil"/>
            </w:tcBorders>
            <w:tcMar>
              <w:top w:w="-1" w:type="dxa"/>
              <w:left w:w="-1" w:type="dxa"/>
              <w:bottom w:w="-1" w:type="dxa"/>
              <w:right w:w="-1" w:type="dxa"/>
            </w:tcMar>
            <w:vAlign w:val="center"/>
          </w:tcPr>
          <w:p w14:paraId="702F4C7C" w14:textId="77777777"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Male</w:t>
            </w:r>
          </w:p>
        </w:tc>
        <w:tc>
          <w:tcPr>
            <w:tcW w:w="181" w:type="pct"/>
            <w:tcBorders>
              <w:top w:val="single" w:sz="4" w:space="0" w:color="auto"/>
              <w:left w:val="nil"/>
              <w:bottom w:val="nil"/>
              <w:right w:val="nil"/>
            </w:tcBorders>
            <w:tcMar>
              <w:top w:w="-1" w:type="dxa"/>
              <w:left w:w="-1" w:type="dxa"/>
              <w:bottom w:w="-1" w:type="dxa"/>
              <w:right w:w="-1" w:type="dxa"/>
            </w:tcMar>
            <w:vAlign w:val="center"/>
          </w:tcPr>
          <w:p w14:paraId="6196281B"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45</w:t>
            </w:r>
          </w:p>
        </w:tc>
        <w:tc>
          <w:tcPr>
            <w:tcW w:w="869" w:type="pct"/>
            <w:tcBorders>
              <w:top w:val="single" w:sz="4" w:space="0" w:color="auto"/>
              <w:left w:val="nil"/>
              <w:bottom w:val="nil"/>
              <w:right w:val="nil"/>
            </w:tcBorders>
            <w:tcMar>
              <w:top w:w="-1" w:type="dxa"/>
              <w:left w:w="-1" w:type="dxa"/>
              <w:bottom w:w="-1" w:type="dxa"/>
              <w:right w:w="-1" w:type="dxa"/>
            </w:tcMar>
            <w:vAlign w:val="center"/>
          </w:tcPr>
          <w:p w14:paraId="588D85C6"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18</w:t>
            </w:r>
          </w:p>
        </w:tc>
        <w:tc>
          <w:tcPr>
            <w:tcW w:w="832" w:type="pct"/>
            <w:tcBorders>
              <w:top w:val="single" w:sz="4" w:space="0" w:color="auto"/>
              <w:left w:val="nil"/>
              <w:bottom w:val="nil"/>
              <w:right w:val="nil"/>
            </w:tcBorders>
            <w:tcMar>
              <w:top w:w="-1" w:type="dxa"/>
              <w:left w:w="-1" w:type="dxa"/>
              <w:bottom w:w="-1" w:type="dxa"/>
              <w:right w:w="-1" w:type="dxa"/>
            </w:tcMar>
            <w:vAlign w:val="center"/>
          </w:tcPr>
          <w:p w14:paraId="4851E155"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27</w:t>
            </w:r>
          </w:p>
        </w:tc>
        <w:tc>
          <w:tcPr>
            <w:tcW w:w="297" w:type="pct"/>
            <w:tcBorders>
              <w:top w:val="single" w:sz="4" w:space="0" w:color="auto"/>
              <w:left w:val="nil"/>
              <w:bottom w:val="nil"/>
              <w:right w:val="nil"/>
            </w:tcBorders>
            <w:tcMar>
              <w:top w:w="-1" w:type="dxa"/>
              <w:left w:w="-1" w:type="dxa"/>
              <w:bottom w:w="-1" w:type="dxa"/>
              <w:right w:w="-1" w:type="dxa"/>
            </w:tcMar>
            <w:vAlign w:val="center"/>
          </w:tcPr>
          <w:p w14:paraId="083E6302" w14:textId="77777777"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0.514</w:t>
            </w:r>
          </w:p>
        </w:tc>
        <w:tc>
          <w:tcPr>
            <w:tcW w:w="404" w:type="pct"/>
            <w:tcBorders>
              <w:top w:val="single" w:sz="4" w:space="0" w:color="auto"/>
              <w:left w:val="nil"/>
              <w:bottom w:val="nil"/>
              <w:right w:val="nil"/>
            </w:tcBorders>
            <w:tcMar>
              <w:top w:w="-1" w:type="dxa"/>
              <w:left w:w="-1" w:type="dxa"/>
              <w:bottom w:w="-1" w:type="dxa"/>
              <w:right w:w="-1" w:type="dxa"/>
            </w:tcMar>
            <w:vAlign w:val="center"/>
          </w:tcPr>
          <w:p w14:paraId="5C68F122" w14:textId="77777777"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0.473</w:t>
            </w:r>
          </w:p>
        </w:tc>
      </w:tr>
      <w:tr w:rsidR="00830537" w14:paraId="2A3C7977" w14:textId="77777777" w:rsidTr="00E80D6D">
        <w:trPr>
          <w:jc w:val="center"/>
        </w:trPr>
        <w:tc>
          <w:tcPr>
            <w:tcW w:w="1371" w:type="pct"/>
            <w:tcBorders>
              <w:top w:val="nil"/>
              <w:left w:val="nil"/>
              <w:bottom w:val="nil"/>
              <w:right w:val="nil"/>
            </w:tcBorders>
            <w:tcMar>
              <w:top w:w="-1" w:type="dxa"/>
              <w:left w:w="-1" w:type="dxa"/>
              <w:bottom w:w="-1" w:type="dxa"/>
              <w:right w:w="-1" w:type="dxa"/>
            </w:tcMar>
            <w:vAlign w:val="center"/>
          </w:tcPr>
          <w:p w14:paraId="7244878E" w14:textId="77777777" w:rsidR="00830537" w:rsidRDefault="00830537" w:rsidP="00E80D6D">
            <w:pPr>
              <w:snapToGrid w:val="0"/>
              <w:jc w:val="left"/>
              <w:rPr>
                <w:rFonts w:ascii="Times New Roman" w:eastAsia="Segoe UI" w:hAnsi="Times New Roman" w:cs="Times New Roman"/>
                <w:sz w:val="24"/>
              </w:rPr>
            </w:pPr>
          </w:p>
        </w:tc>
        <w:tc>
          <w:tcPr>
            <w:tcW w:w="1047" w:type="pct"/>
            <w:tcBorders>
              <w:top w:val="nil"/>
              <w:left w:val="nil"/>
              <w:bottom w:val="nil"/>
              <w:right w:val="nil"/>
            </w:tcBorders>
            <w:tcMar>
              <w:top w:w="-1" w:type="dxa"/>
              <w:left w:w="-1" w:type="dxa"/>
              <w:bottom w:w="-1" w:type="dxa"/>
              <w:right w:w="-1" w:type="dxa"/>
            </w:tcMar>
            <w:vAlign w:val="center"/>
          </w:tcPr>
          <w:p w14:paraId="4A114F31" w14:textId="77777777"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Female</w:t>
            </w:r>
          </w:p>
        </w:tc>
        <w:tc>
          <w:tcPr>
            <w:tcW w:w="181" w:type="pct"/>
            <w:tcBorders>
              <w:top w:val="nil"/>
              <w:left w:val="nil"/>
              <w:bottom w:val="nil"/>
              <w:right w:val="nil"/>
            </w:tcBorders>
            <w:tcMar>
              <w:top w:w="-1" w:type="dxa"/>
              <w:left w:w="-1" w:type="dxa"/>
              <w:bottom w:w="-1" w:type="dxa"/>
              <w:right w:w="-1" w:type="dxa"/>
            </w:tcMar>
            <w:vAlign w:val="center"/>
          </w:tcPr>
          <w:p w14:paraId="1517E757"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40</w:t>
            </w:r>
          </w:p>
        </w:tc>
        <w:tc>
          <w:tcPr>
            <w:tcW w:w="869" w:type="pct"/>
            <w:tcBorders>
              <w:top w:val="nil"/>
              <w:left w:val="nil"/>
              <w:bottom w:val="nil"/>
              <w:right w:val="nil"/>
            </w:tcBorders>
            <w:tcMar>
              <w:top w:w="-1" w:type="dxa"/>
              <w:left w:w="-1" w:type="dxa"/>
              <w:bottom w:w="-1" w:type="dxa"/>
              <w:right w:w="-1" w:type="dxa"/>
            </w:tcMar>
            <w:vAlign w:val="center"/>
          </w:tcPr>
          <w:p w14:paraId="5112B498"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13</w:t>
            </w:r>
          </w:p>
        </w:tc>
        <w:tc>
          <w:tcPr>
            <w:tcW w:w="832" w:type="pct"/>
            <w:tcBorders>
              <w:top w:val="nil"/>
              <w:left w:val="nil"/>
              <w:bottom w:val="nil"/>
              <w:right w:val="nil"/>
            </w:tcBorders>
            <w:tcMar>
              <w:top w:w="-1" w:type="dxa"/>
              <w:left w:w="-1" w:type="dxa"/>
              <w:bottom w:w="-1" w:type="dxa"/>
              <w:right w:w="-1" w:type="dxa"/>
            </w:tcMar>
            <w:vAlign w:val="center"/>
          </w:tcPr>
          <w:p w14:paraId="55A709B4"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27</w:t>
            </w:r>
          </w:p>
        </w:tc>
        <w:tc>
          <w:tcPr>
            <w:tcW w:w="297" w:type="pct"/>
            <w:tcBorders>
              <w:top w:val="nil"/>
              <w:left w:val="nil"/>
              <w:bottom w:val="nil"/>
              <w:right w:val="nil"/>
            </w:tcBorders>
            <w:tcMar>
              <w:top w:w="-1" w:type="dxa"/>
              <w:left w:w="-1" w:type="dxa"/>
              <w:bottom w:w="-1" w:type="dxa"/>
              <w:right w:w="-1" w:type="dxa"/>
            </w:tcMar>
            <w:vAlign w:val="center"/>
          </w:tcPr>
          <w:p w14:paraId="042C1A1B" w14:textId="77777777" w:rsidR="00830537" w:rsidRDefault="00830537" w:rsidP="009E22F3">
            <w:pPr>
              <w:snapToGrid w:val="0"/>
              <w:jc w:val="center"/>
              <w:rPr>
                <w:rFonts w:ascii="Times New Roman" w:eastAsia="Segoe UI" w:hAnsi="Times New Roman" w:cs="Times New Roman"/>
                <w:sz w:val="24"/>
              </w:rPr>
            </w:pPr>
          </w:p>
        </w:tc>
        <w:tc>
          <w:tcPr>
            <w:tcW w:w="404" w:type="pct"/>
            <w:tcBorders>
              <w:top w:val="nil"/>
              <w:left w:val="nil"/>
              <w:bottom w:val="nil"/>
              <w:right w:val="nil"/>
            </w:tcBorders>
            <w:tcMar>
              <w:top w:w="-1" w:type="dxa"/>
              <w:left w:w="-1" w:type="dxa"/>
              <w:bottom w:w="-1" w:type="dxa"/>
              <w:right w:w="-1" w:type="dxa"/>
            </w:tcMar>
            <w:vAlign w:val="center"/>
          </w:tcPr>
          <w:p w14:paraId="2AF23DE0" w14:textId="77777777" w:rsidR="00830537" w:rsidRDefault="00830537" w:rsidP="009E22F3">
            <w:pPr>
              <w:snapToGrid w:val="0"/>
              <w:jc w:val="center"/>
              <w:rPr>
                <w:rFonts w:ascii="Times New Roman" w:eastAsia="Segoe UI" w:hAnsi="Times New Roman" w:cs="Times New Roman"/>
                <w:sz w:val="24"/>
              </w:rPr>
            </w:pPr>
          </w:p>
        </w:tc>
      </w:tr>
      <w:tr w:rsidR="00830537" w14:paraId="51C4ED30" w14:textId="77777777" w:rsidTr="00E80D6D">
        <w:trPr>
          <w:jc w:val="center"/>
        </w:trPr>
        <w:tc>
          <w:tcPr>
            <w:tcW w:w="1371" w:type="pct"/>
            <w:tcBorders>
              <w:top w:val="nil"/>
              <w:left w:val="nil"/>
              <w:bottom w:val="nil"/>
              <w:right w:val="nil"/>
            </w:tcBorders>
            <w:tcMar>
              <w:top w:w="-1" w:type="dxa"/>
              <w:left w:w="-1" w:type="dxa"/>
              <w:bottom w:w="-1" w:type="dxa"/>
              <w:right w:w="-1" w:type="dxa"/>
            </w:tcMar>
            <w:vAlign w:val="center"/>
          </w:tcPr>
          <w:p w14:paraId="6D0CA1D2" w14:textId="77777777" w:rsidR="00830537" w:rsidRDefault="00B97722" w:rsidP="00E80D6D">
            <w:pPr>
              <w:snapToGrid w:val="0"/>
              <w:jc w:val="left"/>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Age (years)</w:t>
            </w:r>
          </w:p>
        </w:tc>
        <w:tc>
          <w:tcPr>
            <w:tcW w:w="1047" w:type="pct"/>
            <w:tcBorders>
              <w:top w:val="nil"/>
              <w:left w:val="nil"/>
              <w:bottom w:val="nil"/>
              <w:right w:val="nil"/>
            </w:tcBorders>
            <w:tcMar>
              <w:top w:w="-1" w:type="dxa"/>
              <w:left w:w="-1" w:type="dxa"/>
              <w:bottom w:w="-1" w:type="dxa"/>
              <w:right w:w="-1" w:type="dxa"/>
            </w:tcMar>
            <w:vAlign w:val="center"/>
          </w:tcPr>
          <w:p w14:paraId="18A8DC18" w14:textId="3091A486"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w:t>
            </w:r>
            <w:r w:rsidR="009E22F3">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5</w:t>
            </w:r>
          </w:p>
        </w:tc>
        <w:tc>
          <w:tcPr>
            <w:tcW w:w="181" w:type="pct"/>
            <w:tcBorders>
              <w:top w:val="nil"/>
              <w:left w:val="nil"/>
              <w:bottom w:val="nil"/>
              <w:right w:val="nil"/>
            </w:tcBorders>
            <w:tcMar>
              <w:top w:w="-1" w:type="dxa"/>
              <w:left w:w="-1" w:type="dxa"/>
              <w:bottom w:w="-1" w:type="dxa"/>
              <w:right w:w="-1" w:type="dxa"/>
            </w:tcMar>
            <w:vAlign w:val="center"/>
          </w:tcPr>
          <w:p w14:paraId="2110404A"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42</w:t>
            </w:r>
          </w:p>
        </w:tc>
        <w:tc>
          <w:tcPr>
            <w:tcW w:w="869" w:type="pct"/>
            <w:tcBorders>
              <w:top w:val="nil"/>
              <w:left w:val="nil"/>
              <w:bottom w:val="nil"/>
              <w:right w:val="nil"/>
            </w:tcBorders>
            <w:tcMar>
              <w:top w:w="-1" w:type="dxa"/>
              <w:left w:w="-1" w:type="dxa"/>
              <w:bottom w:w="-1" w:type="dxa"/>
              <w:right w:w="-1" w:type="dxa"/>
            </w:tcMar>
            <w:vAlign w:val="center"/>
          </w:tcPr>
          <w:p w14:paraId="077F19DF"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16</w:t>
            </w:r>
          </w:p>
        </w:tc>
        <w:tc>
          <w:tcPr>
            <w:tcW w:w="832" w:type="pct"/>
            <w:tcBorders>
              <w:top w:val="nil"/>
              <w:left w:val="nil"/>
              <w:bottom w:val="nil"/>
              <w:right w:val="nil"/>
            </w:tcBorders>
            <w:tcMar>
              <w:top w:w="-1" w:type="dxa"/>
              <w:left w:w="-1" w:type="dxa"/>
              <w:bottom w:w="-1" w:type="dxa"/>
              <w:right w:w="-1" w:type="dxa"/>
            </w:tcMar>
            <w:vAlign w:val="center"/>
          </w:tcPr>
          <w:p w14:paraId="32104253"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26</w:t>
            </w:r>
          </w:p>
        </w:tc>
        <w:tc>
          <w:tcPr>
            <w:tcW w:w="297" w:type="pct"/>
            <w:tcBorders>
              <w:top w:val="nil"/>
              <w:left w:val="nil"/>
              <w:bottom w:val="nil"/>
              <w:right w:val="nil"/>
            </w:tcBorders>
            <w:tcMar>
              <w:top w:w="-1" w:type="dxa"/>
              <w:left w:w="-1" w:type="dxa"/>
              <w:bottom w:w="-1" w:type="dxa"/>
              <w:right w:w="-1" w:type="dxa"/>
            </w:tcMar>
            <w:vAlign w:val="center"/>
          </w:tcPr>
          <w:p w14:paraId="34CD3A7A" w14:textId="77777777"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1.893</w:t>
            </w:r>
          </w:p>
        </w:tc>
        <w:tc>
          <w:tcPr>
            <w:tcW w:w="404" w:type="pct"/>
            <w:tcBorders>
              <w:top w:val="nil"/>
              <w:left w:val="nil"/>
              <w:bottom w:val="nil"/>
              <w:right w:val="nil"/>
            </w:tcBorders>
            <w:tcMar>
              <w:top w:w="-1" w:type="dxa"/>
              <w:left w:w="-1" w:type="dxa"/>
              <w:bottom w:w="-1" w:type="dxa"/>
              <w:right w:w="-1" w:type="dxa"/>
            </w:tcMar>
            <w:vAlign w:val="center"/>
          </w:tcPr>
          <w:p w14:paraId="4049295F" w14:textId="77777777"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0.388</w:t>
            </w:r>
          </w:p>
        </w:tc>
      </w:tr>
      <w:tr w:rsidR="00830537" w14:paraId="5AB5203C" w14:textId="77777777" w:rsidTr="00E80D6D">
        <w:trPr>
          <w:jc w:val="center"/>
        </w:trPr>
        <w:tc>
          <w:tcPr>
            <w:tcW w:w="1371" w:type="pct"/>
            <w:tcBorders>
              <w:top w:val="nil"/>
              <w:left w:val="nil"/>
              <w:bottom w:val="nil"/>
              <w:right w:val="nil"/>
            </w:tcBorders>
            <w:tcMar>
              <w:top w:w="-1" w:type="dxa"/>
              <w:left w:w="-1" w:type="dxa"/>
              <w:bottom w:w="-1" w:type="dxa"/>
              <w:right w:w="-1" w:type="dxa"/>
            </w:tcMar>
            <w:vAlign w:val="center"/>
          </w:tcPr>
          <w:p w14:paraId="0ACC35D0" w14:textId="77777777" w:rsidR="00830537" w:rsidRDefault="00830537" w:rsidP="00E80D6D">
            <w:pPr>
              <w:snapToGrid w:val="0"/>
              <w:jc w:val="left"/>
              <w:rPr>
                <w:rFonts w:ascii="Times New Roman" w:eastAsia="Segoe UI" w:hAnsi="Times New Roman" w:cs="Times New Roman"/>
                <w:sz w:val="24"/>
              </w:rPr>
            </w:pPr>
          </w:p>
        </w:tc>
        <w:tc>
          <w:tcPr>
            <w:tcW w:w="1047" w:type="pct"/>
            <w:tcBorders>
              <w:top w:val="nil"/>
              <w:left w:val="nil"/>
              <w:bottom w:val="nil"/>
              <w:right w:val="nil"/>
            </w:tcBorders>
            <w:tcMar>
              <w:top w:w="-1" w:type="dxa"/>
              <w:left w:w="-1" w:type="dxa"/>
              <w:bottom w:w="-1" w:type="dxa"/>
              <w:right w:w="-1" w:type="dxa"/>
            </w:tcMar>
            <w:vAlign w:val="center"/>
          </w:tcPr>
          <w:p w14:paraId="57392B34" w14:textId="06E20AD1"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6</w:t>
            </w:r>
            <w:r w:rsidR="009E22F3">
              <w:rPr>
                <w:rFonts w:ascii="Times New Roman" w:eastAsia="Segoe UI"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10</w:t>
            </w:r>
          </w:p>
        </w:tc>
        <w:tc>
          <w:tcPr>
            <w:tcW w:w="181" w:type="pct"/>
            <w:tcBorders>
              <w:top w:val="nil"/>
              <w:left w:val="nil"/>
              <w:bottom w:val="nil"/>
              <w:right w:val="nil"/>
            </w:tcBorders>
            <w:tcMar>
              <w:top w:w="-1" w:type="dxa"/>
              <w:left w:w="-1" w:type="dxa"/>
              <w:bottom w:w="-1" w:type="dxa"/>
              <w:right w:w="-1" w:type="dxa"/>
            </w:tcMar>
            <w:vAlign w:val="center"/>
          </w:tcPr>
          <w:p w14:paraId="473B3E09"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17</w:t>
            </w:r>
          </w:p>
        </w:tc>
        <w:tc>
          <w:tcPr>
            <w:tcW w:w="869" w:type="pct"/>
            <w:tcBorders>
              <w:top w:val="nil"/>
              <w:left w:val="nil"/>
              <w:bottom w:val="nil"/>
              <w:right w:val="nil"/>
            </w:tcBorders>
            <w:tcMar>
              <w:top w:w="-1" w:type="dxa"/>
              <w:left w:w="-1" w:type="dxa"/>
              <w:bottom w:w="-1" w:type="dxa"/>
              <w:right w:w="-1" w:type="dxa"/>
            </w:tcMar>
            <w:vAlign w:val="center"/>
          </w:tcPr>
          <w:p w14:paraId="46C7B86F"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8</w:t>
            </w:r>
          </w:p>
        </w:tc>
        <w:tc>
          <w:tcPr>
            <w:tcW w:w="832" w:type="pct"/>
            <w:tcBorders>
              <w:top w:val="nil"/>
              <w:left w:val="nil"/>
              <w:bottom w:val="nil"/>
              <w:right w:val="nil"/>
            </w:tcBorders>
            <w:tcMar>
              <w:top w:w="-1" w:type="dxa"/>
              <w:left w:w="-1" w:type="dxa"/>
              <w:bottom w:w="-1" w:type="dxa"/>
              <w:right w:w="-1" w:type="dxa"/>
            </w:tcMar>
            <w:vAlign w:val="center"/>
          </w:tcPr>
          <w:p w14:paraId="76FB5A01"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9</w:t>
            </w:r>
          </w:p>
        </w:tc>
        <w:tc>
          <w:tcPr>
            <w:tcW w:w="297" w:type="pct"/>
            <w:tcBorders>
              <w:top w:val="nil"/>
              <w:left w:val="nil"/>
              <w:bottom w:val="nil"/>
              <w:right w:val="nil"/>
            </w:tcBorders>
            <w:tcMar>
              <w:top w:w="-1" w:type="dxa"/>
              <w:left w:w="-1" w:type="dxa"/>
              <w:bottom w:w="-1" w:type="dxa"/>
              <w:right w:w="-1" w:type="dxa"/>
            </w:tcMar>
            <w:vAlign w:val="center"/>
          </w:tcPr>
          <w:p w14:paraId="23B8D6D8" w14:textId="77777777" w:rsidR="00830537" w:rsidRDefault="00830537" w:rsidP="009E22F3">
            <w:pPr>
              <w:snapToGrid w:val="0"/>
              <w:jc w:val="center"/>
              <w:rPr>
                <w:rFonts w:ascii="Times New Roman" w:eastAsia="Segoe UI" w:hAnsi="Times New Roman" w:cs="Times New Roman"/>
                <w:sz w:val="24"/>
              </w:rPr>
            </w:pPr>
          </w:p>
        </w:tc>
        <w:tc>
          <w:tcPr>
            <w:tcW w:w="404" w:type="pct"/>
            <w:tcBorders>
              <w:top w:val="nil"/>
              <w:left w:val="nil"/>
              <w:bottom w:val="nil"/>
              <w:right w:val="nil"/>
            </w:tcBorders>
            <w:tcMar>
              <w:top w:w="-1" w:type="dxa"/>
              <w:left w:w="-1" w:type="dxa"/>
              <w:bottom w:w="-1" w:type="dxa"/>
              <w:right w:w="-1" w:type="dxa"/>
            </w:tcMar>
            <w:vAlign w:val="center"/>
          </w:tcPr>
          <w:p w14:paraId="0516E753" w14:textId="77777777" w:rsidR="00830537" w:rsidRDefault="00830537" w:rsidP="009E22F3">
            <w:pPr>
              <w:snapToGrid w:val="0"/>
              <w:jc w:val="center"/>
              <w:rPr>
                <w:rFonts w:ascii="Times New Roman" w:eastAsia="Segoe UI" w:hAnsi="Times New Roman" w:cs="Times New Roman"/>
                <w:sz w:val="24"/>
              </w:rPr>
            </w:pPr>
          </w:p>
        </w:tc>
      </w:tr>
      <w:tr w:rsidR="00830537" w14:paraId="3080C22B" w14:textId="77777777" w:rsidTr="00E80D6D">
        <w:trPr>
          <w:jc w:val="center"/>
        </w:trPr>
        <w:tc>
          <w:tcPr>
            <w:tcW w:w="1371" w:type="pct"/>
            <w:tcBorders>
              <w:top w:val="nil"/>
              <w:left w:val="nil"/>
              <w:bottom w:val="nil"/>
              <w:right w:val="nil"/>
            </w:tcBorders>
            <w:tcMar>
              <w:top w:w="-1" w:type="dxa"/>
              <w:left w:w="-1" w:type="dxa"/>
              <w:bottom w:w="-1" w:type="dxa"/>
              <w:right w:w="-1" w:type="dxa"/>
            </w:tcMar>
            <w:vAlign w:val="center"/>
          </w:tcPr>
          <w:p w14:paraId="71A289C4" w14:textId="77777777" w:rsidR="00830537" w:rsidRDefault="00830537" w:rsidP="00E80D6D">
            <w:pPr>
              <w:snapToGrid w:val="0"/>
              <w:jc w:val="left"/>
              <w:rPr>
                <w:rFonts w:ascii="Times New Roman" w:eastAsia="Segoe UI" w:hAnsi="Times New Roman" w:cs="Times New Roman"/>
                <w:sz w:val="24"/>
              </w:rPr>
            </w:pPr>
          </w:p>
        </w:tc>
        <w:tc>
          <w:tcPr>
            <w:tcW w:w="1047" w:type="pct"/>
            <w:tcBorders>
              <w:top w:val="nil"/>
              <w:left w:val="nil"/>
              <w:bottom w:val="nil"/>
              <w:right w:val="nil"/>
            </w:tcBorders>
            <w:tcMar>
              <w:top w:w="-1" w:type="dxa"/>
              <w:left w:w="-1" w:type="dxa"/>
              <w:bottom w:w="-1" w:type="dxa"/>
              <w:right w:w="-1" w:type="dxa"/>
            </w:tcMar>
            <w:vAlign w:val="center"/>
          </w:tcPr>
          <w:p w14:paraId="038C1A98" w14:textId="578142C1"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w:t>
            </w:r>
            <w:r w:rsidR="009E22F3">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11</w:t>
            </w:r>
          </w:p>
        </w:tc>
        <w:tc>
          <w:tcPr>
            <w:tcW w:w="181" w:type="pct"/>
            <w:tcBorders>
              <w:top w:val="nil"/>
              <w:left w:val="nil"/>
              <w:bottom w:val="nil"/>
              <w:right w:val="nil"/>
            </w:tcBorders>
            <w:tcMar>
              <w:top w:w="-1" w:type="dxa"/>
              <w:left w:w="-1" w:type="dxa"/>
              <w:bottom w:w="-1" w:type="dxa"/>
              <w:right w:w="-1" w:type="dxa"/>
            </w:tcMar>
            <w:vAlign w:val="center"/>
          </w:tcPr>
          <w:p w14:paraId="30E4EC65"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26</w:t>
            </w:r>
          </w:p>
        </w:tc>
        <w:tc>
          <w:tcPr>
            <w:tcW w:w="869" w:type="pct"/>
            <w:tcBorders>
              <w:top w:val="nil"/>
              <w:left w:val="nil"/>
              <w:bottom w:val="nil"/>
              <w:right w:val="nil"/>
            </w:tcBorders>
            <w:tcMar>
              <w:top w:w="-1" w:type="dxa"/>
              <w:left w:w="-1" w:type="dxa"/>
              <w:bottom w:w="-1" w:type="dxa"/>
              <w:right w:w="-1" w:type="dxa"/>
            </w:tcMar>
            <w:vAlign w:val="center"/>
          </w:tcPr>
          <w:p w14:paraId="594DBADA"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7</w:t>
            </w:r>
          </w:p>
        </w:tc>
        <w:tc>
          <w:tcPr>
            <w:tcW w:w="832" w:type="pct"/>
            <w:tcBorders>
              <w:top w:val="nil"/>
              <w:left w:val="nil"/>
              <w:bottom w:val="nil"/>
              <w:right w:val="nil"/>
            </w:tcBorders>
            <w:tcMar>
              <w:top w:w="-1" w:type="dxa"/>
              <w:left w:w="-1" w:type="dxa"/>
              <w:bottom w:w="-1" w:type="dxa"/>
              <w:right w:w="-1" w:type="dxa"/>
            </w:tcMar>
            <w:vAlign w:val="center"/>
          </w:tcPr>
          <w:p w14:paraId="16062712"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19</w:t>
            </w:r>
          </w:p>
        </w:tc>
        <w:tc>
          <w:tcPr>
            <w:tcW w:w="297" w:type="pct"/>
            <w:tcBorders>
              <w:top w:val="nil"/>
              <w:left w:val="nil"/>
              <w:bottom w:val="nil"/>
              <w:right w:val="nil"/>
            </w:tcBorders>
            <w:tcMar>
              <w:top w:w="-1" w:type="dxa"/>
              <w:left w:w="-1" w:type="dxa"/>
              <w:bottom w:w="-1" w:type="dxa"/>
              <w:right w:w="-1" w:type="dxa"/>
            </w:tcMar>
            <w:vAlign w:val="center"/>
          </w:tcPr>
          <w:p w14:paraId="0515AA45" w14:textId="77777777" w:rsidR="00830537" w:rsidRDefault="00830537" w:rsidP="009E22F3">
            <w:pPr>
              <w:snapToGrid w:val="0"/>
              <w:jc w:val="center"/>
              <w:rPr>
                <w:rFonts w:ascii="Times New Roman" w:eastAsia="Segoe UI" w:hAnsi="Times New Roman" w:cs="Times New Roman"/>
                <w:sz w:val="24"/>
              </w:rPr>
            </w:pPr>
          </w:p>
        </w:tc>
        <w:tc>
          <w:tcPr>
            <w:tcW w:w="404" w:type="pct"/>
            <w:tcBorders>
              <w:top w:val="nil"/>
              <w:left w:val="nil"/>
              <w:bottom w:val="nil"/>
              <w:right w:val="nil"/>
            </w:tcBorders>
            <w:tcMar>
              <w:top w:w="-1" w:type="dxa"/>
              <w:left w:w="-1" w:type="dxa"/>
              <w:bottom w:w="-1" w:type="dxa"/>
              <w:right w:w="-1" w:type="dxa"/>
            </w:tcMar>
            <w:vAlign w:val="center"/>
          </w:tcPr>
          <w:p w14:paraId="2B31CC8B" w14:textId="77777777" w:rsidR="00830537" w:rsidRDefault="00830537" w:rsidP="009E22F3">
            <w:pPr>
              <w:snapToGrid w:val="0"/>
              <w:jc w:val="center"/>
              <w:rPr>
                <w:rFonts w:ascii="Times New Roman" w:eastAsia="Segoe UI" w:hAnsi="Times New Roman" w:cs="Times New Roman"/>
                <w:sz w:val="24"/>
              </w:rPr>
            </w:pPr>
          </w:p>
        </w:tc>
      </w:tr>
      <w:tr w:rsidR="00830537" w14:paraId="7C1ABC8B" w14:textId="77777777" w:rsidTr="00E80D6D">
        <w:trPr>
          <w:jc w:val="center"/>
        </w:trPr>
        <w:tc>
          <w:tcPr>
            <w:tcW w:w="1371" w:type="pct"/>
            <w:tcBorders>
              <w:top w:val="nil"/>
              <w:left w:val="nil"/>
              <w:bottom w:val="nil"/>
              <w:right w:val="nil"/>
            </w:tcBorders>
            <w:tcMar>
              <w:top w:w="-1" w:type="dxa"/>
              <w:left w:w="-1" w:type="dxa"/>
              <w:bottom w:w="-1" w:type="dxa"/>
              <w:right w:w="-1" w:type="dxa"/>
            </w:tcMar>
            <w:vAlign w:val="center"/>
          </w:tcPr>
          <w:p w14:paraId="56A5C502" w14:textId="77777777" w:rsidR="00830537" w:rsidRDefault="00B97722" w:rsidP="00E80D6D">
            <w:pPr>
              <w:snapToGrid w:val="0"/>
              <w:jc w:val="left"/>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BMI (kg/m²)</w:t>
            </w:r>
          </w:p>
        </w:tc>
        <w:tc>
          <w:tcPr>
            <w:tcW w:w="1047" w:type="pct"/>
            <w:tcBorders>
              <w:top w:val="nil"/>
              <w:left w:val="nil"/>
              <w:bottom w:val="nil"/>
              <w:right w:val="nil"/>
            </w:tcBorders>
            <w:tcMar>
              <w:top w:w="-1" w:type="dxa"/>
              <w:left w:w="-1" w:type="dxa"/>
              <w:bottom w:w="-1" w:type="dxa"/>
              <w:right w:w="-1" w:type="dxa"/>
            </w:tcMar>
            <w:vAlign w:val="center"/>
          </w:tcPr>
          <w:p w14:paraId="3083D251" w14:textId="77777777"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Normal</w:t>
            </w:r>
          </w:p>
        </w:tc>
        <w:tc>
          <w:tcPr>
            <w:tcW w:w="181" w:type="pct"/>
            <w:tcBorders>
              <w:top w:val="nil"/>
              <w:left w:val="nil"/>
              <w:bottom w:val="nil"/>
              <w:right w:val="nil"/>
            </w:tcBorders>
            <w:tcMar>
              <w:top w:w="-1" w:type="dxa"/>
              <w:left w:w="-1" w:type="dxa"/>
              <w:bottom w:w="-1" w:type="dxa"/>
              <w:right w:w="-1" w:type="dxa"/>
            </w:tcMar>
            <w:vAlign w:val="center"/>
          </w:tcPr>
          <w:p w14:paraId="4C28392E"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53</w:t>
            </w:r>
          </w:p>
        </w:tc>
        <w:tc>
          <w:tcPr>
            <w:tcW w:w="869" w:type="pct"/>
            <w:tcBorders>
              <w:top w:val="nil"/>
              <w:left w:val="nil"/>
              <w:bottom w:val="nil"/>
              <w:right w:val="nil"/>
            </w:tcBorders>
            <w:tcMar>
              <w:top w:w="-1" w:type="dxa"/>
              <w:left w:w="-1" w:type="dxa"/>
              <w:bottom w:w="-1" w:type="dxa"/>
              <w:right w:w="-1" w:type="dxa"/>
            </w:tcMar>
            <w:vAlign w:val="center"/>
          </w:tcPr>
          <w:p w14:paraId="3E2665B0"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9</w:t>
            </w:r>
          </w:p>
        </w:tc>
        <w:tc>
          <w:tcPr>
            <w:tcW w:w="832" w:type="pct"/>
            <w:tcBorders>
              <w:top w:val="nil"/>
              <w:left w:val="nil"/>
              <w:bottom w:val="nil"/>
              <w:right w:val="nil"/>
            </w:tcBorders>
            <w:tcMar>
              <w:top w:w="-1" w:type="dxa"/>
              <w:left w:w="-1" w:type="dxa"/>
              <w:bottom w:w="-1" w:type="dxa"/>
              <w:right w:w="-1" w:type="dxa"/>
            </w:tcMar>
            <w:vAlign w:val="center"/>
          </w:tcPr>
          <w:p w14:paraId="6217F1D1"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44</w:t>
            </w:r>
          </w:p>
        </w:tc>
        <w:tc>
          <w:tcPr>
            <w:tcW w:w="297" w:type="pct"/>
            <w:tcBorders>
              <w:top w:val="nil"/>
              <w:left w:val="nil"/>
              <w:bottom w:val="nil"/>
              <w:right w:val="nil"/>
            </w:tcBorders>
            <w:tcMar>
              <w:top w:w="-1" w:type="dxa"/>
              <w:left w:w="-1" w:type="dxa"/>
              <w:bottom w:w="-1" w:type="dxa"/>
              <w:right w:w="-1" w:type="dxa"/>
            </w:tcMar>
            <w:vAlign w:val="center"/>
          </w:tcPr>
          <w:p w14:paraId="4BA4D9CF" w14:textId="77777777"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23.080</w:t>
            </w:r>
          </w:p>
        </w:tc>
        <w:tc>
          <w:tcPr>
            <w:tcW w:w="404" w:type="pct"/>
            <w:tcBorders>
              <w:top w:val="nil"/>
              <w:left w:val="nil"/>
              <w:bottom w:val="nil"/>
              <w:right w:val="nil"/>
            </w:tcBorders>
            <w:tcMar>
              <w:top w:w="-1" w:type="dxa"/>
              <w:left w:w="-1" w:type="dxa"/>
              <w:bottom w:w="-1" w:type="dxa"/>
              <w:right w:w="-1" w:type="dxa"/>
            </w:tcMar>
            <w:vAlign w:val="center"/>
          </w:tcPr>
          <w:p w14:paraId="0E44AFD8" w14:textId="4F6FFC09"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&lt;</w:t>
            </w:r>
            <w:r w:rsidR="009E22F3">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0.001</w:t>
            </w:r>
          </w:p>
        </w:tc>
      </w:tr>
      <w:tr w:rsidR="00830537" w14:paraId="14D0431D" w14:textId="77777777" w:rsidTr="00E80D6D">
        <w:trPr>
          <w:jc w:val="center"/>
        </w:trPr>
        <w:tc>
          <w:tcPr>
            <w:tcW w:w="1371" w:type="pct"/>
            <w:tcBorders>
              <w:top w:val="nil"/>
              <w:left w:val="nil"/>
              <w:bottom w:val="nil"/>
              <w:right w:val="nil"/>
            </w:tcBorders>
            <w:tcMar>
              <w:top w:w="-1" w:type="dxa"/>
              <w:left w:w="-1" w:type="dxa"/>
              <w:bottom w:w="-1" w:type="dxa"/>
              <w:right w:w="-1" w:type="dxa"/>
            </w:tcMar>
            <w:vAlign w:val="center"/>
          </w:tcPr>
          <w:p w14:paraId="28C020DA" w14:textId="77777777" w:rsidR="00830537" w:rsidRDefault="00830537" w:rsidP="00E80D6D">
            <w:pPr>
              <w:snapToGrid w:val="0"/>
              <w:jc w:val="left"/>
              <w:rPr>
                <w:rFonts w:ascii="Times New Roman" w:eastAsia="Segoe UI" w:hAnsi="Times New Roman" w:cs="Times New Roman"/>
                <w:sz w:val="24"/>
              </w:rPr>
            </w:pPr>
          </w:p>
        </w:tc>
        <w:tc>
          <w:tcPr>
            <w:tcW w:w="1047" w:type="pct"/>
            <w:tcBorders>
              <w:top w:val="nil"/>
              <w:left w:val="nil"/>
              <w:bottom w:val="nil"/>
              <w:right w:val="nil"/>
            </w:tcBorders>
            <w:tcMar>
              <w:top w:w="-1" w:type="dxa"/>
              <w:left w:w="-1" w:type="dxa"/>
              <w:bottom w:w="-1" w:type="dxa"/>
              <w:right w:w="-1" w:type="dxa"/>
            </w:tcMar>
            <w:vAlign w:val="center"/>
          </w:tcPr>
          <w:p w14:paraId="6DB90483" w14:textId="77777777"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Overweight/Obesity</w:t>
            </w:r>
          </w:p>
        </w:tc>
        <w:tc>
          <w:tcPr>
            <w:tcW w:w="181" w:type="pct"/>
            <w:tcBorders>
              <w:top w:val="nil"/>
              <w:left w:val="nil"/>
              <w:bottom w:val="nil"/>
              <w:right w:val="nil"/>
            </w:tcBorders>
            <w:tcMar>
              <w:top w:w="-1" w:type="dxa"/>
              <w:left w:w="-1" w:type="dxa"/>
              <w:bottom w:w="-1" w:type="dxa"/>
              <w:right w:w="-1" w:type="dxa"/>
            </w:tcMar>
            <w:vAlign w:val="center"/>
          </w:tcPr>
          <w:p w14:paraId="6DEF1411"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32</w:t>
            </w:r>
          </w:p>
        </w:tc>
        <w:tc>
          <w:tcPr>
            <w:tcW w:w="869" w:type="pct"/>
            <w:tcBorders>
              <w:top w:val="nil"/>
              <w:left w:val="nil"/>
              <w:bottom w:val="nil"/>
              <w:right w:val="nil"/>
            </w:tcBorders>
            <w:tcMar>
              <w:top w:w="-1" w:type="dxa"/>
              <w:left w:w="-1" w:type="dxa"/>
              <w:bottom w:w="-1" w:type="dxa"/>
              <w:right w:w="-1" w:type="dxa"/>
            </w:tcMar>
            <w:vAlign w:val="center"/>
          </w:tcPr>
          <w:p w14:paraId="07E1C165"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22</w:t>
            </w:r>
          </w:p>
        </w:tc>
        <w:tc>
          <w:tcPr>
            <w:tcW w:w="832" w:type="pct"/>
            <w:tcBorders>
              <w:top w:val="nil"/>
              <w:left w:val="nil"/>
              <w:bottom w:val="nil"/>
              <w:right w:val="nil"/>
            </w:tcBorders>
            <w:tcMar>
              <w:top w:w="-1" w:type="dxa"/>
              <w:left w:w="-1" w:type="dxa"/>
              <w:bottom w:w="-1" w:type="dxa"/>
              <w:right w:w="-1" w:type="dxa"/>
            </w:tcMar>
            <w:vAlign w:val="center"/>
          </w:tcPr>
          <w:p w14:paraId="7AC504D9"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10</w:t>
            </w:r>
          </w:p>
        </w:tc>
        <w:tc>
          <w:tcPr>
            <w:tcW w:w="297" w:type="pct"/>
            <w:tcBorders>
              <w:top w:val="nil"/>
              <w:left w:val="nil"/>
              <w:bottom w:val="nil"/>
              <w:right w:val="nil"/>
            </w:tcBorders>
            <w:tcMar>
              <w:top w:w="-1" w:type="dxa"/>
              <w:left w:w="-1" w:type="dxa"/>
              <w:bottom w:w="-1" w:type="dxa"/>
              <w:right w:w="-1" w:type="dxa"/>
            </w:tcMar>
            <w:vAlign w:val="center"/>
          </w:tcPr>
          <w:p w14:paraId="7357EBC5" w14:textId="77777777" w:rsidR="00830537" w:rsidRDefault="00830537" w:rsidP="009E22F3">
            <w:pPr>
              <w:snapToGrid w:val="0"/>
              <w:jc w:val="center"/>
              <w:rPr>
                <w:rFonts w:ascii="Times New Roman" w:eastAsia="Segoe UI" w:hAnsi="Times New Roman" w:cs="Times New Roman"/>
                <w:sz w:val="24"/>
              </w:rPr>
            </w:pPr>
          </w:p>
        </w:tc>
        <w:tc>
          <w:tcPr>
            <w:tcW w:w="404" w:type="pct"/>
            <w:tcBorders>
              <w:top w:val="nil"/>
              <w:left w:val="nil"/>
              <w:bottom w:val="nil"/>
              <w:right w:val="nil"/>
            </w:tcBorders>
            <w:tcMar>
              <w:top w:w="-1" w:type="dxa"/>
              <w:left w:w="-1" w:type="dxa"/>
              <w:bottom w:w="-1" w:type="dxa"/>
              <w:right w:w="-1" w:type="dxa"/>
            </w:tcMar>
            <w:vAlign w:val="center"/>
          </w:tcPr>
          <w:p w14:paraId="0EFCD6FC" w14:textId="77777777" w:rsidR="00830537" w:rsidRDefault="00830537" w:rsidP="009E22F3">
            <w:pPr>
              <w:snapToGrid w:val="0"/>
              <w:jc w:val="center"/>
              <w:rPr>
                <w:rFonts w:ascii="Times New Roman" w:eastAsia="Segoe UI" w:hAnsi="Times New Roman" w:cs="Times New Roman"/>
                <w:sz w:val="24"/>
              </w:rPr>
            </w:pPr>
          </w:p>
        </w:tc>
      </w:tr>
      <w:tr w:rsidR="00830537" w14:paraId="1B94C2F9" w14:textId="77777777" w:rsidTr="00E80D6D">
        <w:trPr>
          <w:jc w:val="center"/>
        </w:trPr>
        <w:tc>
          <w:tcPr>
            <w:tcW w:w="1371" w:type="pct"/>
            <w:tcBorders>
              <w:top w:val="nil"/>
              <w:left w:val="nil"/>
              <w:bottom w:val="nil"/>
              <w:right w:val="nil"/>
            </w:tcBorders>
            <w:tcMar>
              <w:top w:w="-1" w:type="dxa"/>
              <w:left w:w="-1" w:type="dxa"/>
              <w:bottom w:w="-1" w:type="dxa"/>
              <w:right w:w="-1" w:type="dxa"/>
            </w:tcMar>
            <w:vAlign w:val="center"/>
          </w:tcPr>
          <w:p w14:paraId="14AB608B" w14:textId="77777777" w:rsidR="00830537" w:rsidRDefault="00B97722" w:rsidP="00E80D6D">
            <w:pPr>
              <w:snapToGrid w:val="0"/>
              <w:jc w:val="left"/>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Exercise frequency (times/week)</w:t>
            </w:r>
          </w:p>
        </w:tc>
        <w:tc>
          <w:tcPr>
            <w:tcW w:w="1047" w:type="pct"/>
            <w:tcBorders>
              <w:top w:val="nil"/>
              <w:left w:val="nil"/>
              <w:bottom w:val="nil"/>
              <w:right w:val="nil"/>
            </w:tcBorders>
            <w:tcMar>
              <w:top w:w="-1" w:type="dxa"/>
              <w:left w:w="-1" w:type="dxa"/>
              <w:bottom w:w="-1" w:type="dxa"/>
              <w:right w:w="-1" w:type="dxa"/>
            </w:tcMar>
            <w:vAlign w:val="center"/>
          </w:tcPr>
          <w:p w14:paraId="0DA36008" w14:textId="77777777"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Frequent</w:t>
            </w:r>
          </w:p>
        </w:tc>
        <w:tc>
          <w:tcPr>
            <w:tcW w:w="181" w:type="pct"/>
            <w:tcBorders>
              <w:top w:val="nil"/>
              <w:left w:val="nil"/>
              <w:bottom w:val="nil"/>
              <w:right w:val="nil"/>
            </w:tcBorders>
            <w:tcMar>
              <w:top w:w="-1" w:type="dxa"/>
              <w:left w:w="-1" w:type="dxa"/>
              <w:bottom w:w="-1" w:type="dxa"/>
              <w:right w:w="-1" w:type="dxa"/>
            </w:tcMar>
            <w:vAlign w:val="center"/>
          </w:tcPr>
          <w:p w14:paraId="4FA7DAD6"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22</w:t>
            </w:r>
          </w:p>
        </w:tc>
        <w:tc>
          <w:tcPr>
            <w:tcW w:w="869" w:type="pct"/>
            <w:tcBorders>
              <w:top w:val="nil"/>
              <w:left w:val="nil"/>
              <w:bottom w:val="nil"/>
              <w:right w:val="nil"/>
            </w:tcBorders>
            <w:tcMar>
              <w:top w:w="-1" w:type="dxa"/>
              <w:left w:w="-1" w:type="dxa"/>
              <w:bottom w:w="-1" w:type="dxa"/>
              <w:right w:w="-1" w:type="dxa"/>
            </w:tcMar>
            <w:vAlign w:val="center"/>
          </w:tcPr>
          <w:p w14:paraId="75832BF7"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5</w:t>
            </w:r>
          </w:p>
        </w:tc>
        <w:tc>
          <w:tcPr>
            <w:tcW w:w="832" w:type="pct"/>
            <w:tcBorders>
              <w:top w:val="nil"/>
              <w:left w:val="nil"/>
              <w:bottom w:val="nil"/>
              <w:right w:val="nil"/>
            </w:tcBorders>
            <w:tcMar>
              <w:top w:w="-1" w:type="dxa"/>
              <w:left w:w="-1" w:type="dxa"/>
              <w:bottom w:w="-1" w:type="dxa"/>
              <w:right w:w="-1" w:type="dxa"/>
            </w:tcMar>
            <w:vAlign w:val="center"/>
          </w:tcPr>
          <w:p w14:paraId="443A95F8"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17</w:t>
            </w:r>
          </w:p>
        </w:tc>
        <w:tc>
          <w:tcPr>
            <w:tcW w:w="297" w:type="pct"/>
            <w:tcBorders>
              <w:top w:val="nil"/>
              <w:left w:val="nil"/>
              <w:bottom w:val="nil"/>
              <w:right w:val="nil"/>
            </w:tcBorders>
            <w:tcMar>
              <w:top w:w="-1" w:type="dxa"/>
              <w:left w:w="-1" w:type="dxa"/>
              <w:bottom w:w="-1" w:type="dxa"/>
              <w:right w:w="-1" w:type="dxa"/>
            </w:tcMar>
            <w:vAlign w:val="center"/>
          </w:tcPr>
          <w:p w14:paraId="16983306" w14:textId="77777777"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9.435</w:t>
            </w:r>
          </w:p>
        </w:tc>
        <w:tc>
          <w:tcPr>
            <w:tcW w:w="404" w:type="pct"/>
            <w:tcBorders>
              <w:top w:val="nil"/>
              <w:left w:val="nil"/>
              <w:bottom w:val="nil"/>
              <w:right w:val="nil"/>
            </w:tcBorders>
            <w:tcMar>
              <w:top w:w="-1" w:type="dxa"/>
              <w:left w:w="-1" w:type="dxa"/>
              <w:bottom w:w="-1" w:type="dxa"/>
              <w:right w:w="-1" w:type="dxa"/>
            </w:tcMar>
            <w:vAlign w:val="center"/>
          </w:tcPr>
          <w:p w14:paraId="67EA1E2E" w14:textId="77777777"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0.009</w:t>
            </w:r>
          </w:p>
        </w:tc>
      </w:tr>
      <w:tr w:rsidR="00830537" w14:paraId="2002FB39" w14:textId="77777777" w:rsidTr="00E80D6D">
        <w:trPr>
          <w:jc w:val="center"/>
        </w:trPr>
        <w:tc>
          <w:tcPr>
            <w:tcW w:w="1371" w:type="pct"/>
            <w:tcBorders>
              <w:top w:val="nil"/>
              <w:left w:val="nil"/>
              <w:bottom w:val="nil"/>
              <w:right w:val="nil"/>
            </w:tcBorders>
            <w:tcMar>
              <w:top w:w="-1" w:type="dxa"/>
              <w:left w:w="-1" w:type="dxa"/>
              <w:bottom w:w="-1" w:type="dxa"/>
              <w:right w:w="-1" w:type="dxa"/>
            </w:tcMar>
            <w:vAlign w:val="center"/>
          </w:tcPr>
          <w:p w14:paraId="35089264" w14:textId="77777777" w:rsidR="00830537" w:rsidRDefault="00830537" w:rsidP="00E80D6D">
            <w:pPr>
              <w:snapToGrid w:val="0"/>
              <w:jc w:val="left"/>
              <w:rPr>
                <w:rFonts w:ascii="Times New Roman" w:eastAsia="Segoe UI" w:hAnsi="Times New Roman" w:cs="Times New Roman"/>
                <w:sz w:val="24"/>
              </w:rPr>
            </w:pPr>
          </w:p>
        </w:tc>
        <w:tc>
          <w:tcPr>
            <w:tcW w:w="1047" w:type="pct"/>
            <w:tcBorders>
              <w:top w:val="nil"/>
              <w:left w:val="nil"/>
              <w:bottom w:val="nil"/>
              <w:right w:val="nil"/>
            </w:tcBorders>
            <w:tcMar>
              <w:top w:w="-1" w:type="dxa"/>
              <w:left w:w="-1" w:type="dxa"/>
              <w:bottom w:w="-1" w:type="dxa"/>
              <w:right w:w="-1" w:type="dxa"/>
            </w:tcMar>
            <w:vAlign w:val="center"/>
          </w:tcPr>
          <w:p w14:paraId="24E4C831" w14:textId="77777777"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Moderate</w:t>
            </w:r>
          </w:p>
        </w:tc>
        <w:tc>
          <w:tcPr>
            <w:tcW w:w="181" w:type="pct"/>
            <w:tcBorders>
              <w:top w:val="nil"/>
              <w:left w:val="nil"/>
              <w:bottom w:val="nil"/>
              <w:right w:val="nil"/>
            </w:tcBorders>
            <w:tcMar>
              <w:top w:w="-1" w:type="dxa"/>
              <w:left w:w="-1" w:type="dxa"/>
              <w:bottom w:w="-1" w:type="dxa"/>
              <w:right w:w="-1" w:type="dxa"/>
            </w:tcMar>
            <w:vAlign w:val="center"/>
          </w:tcPr>
          <w:p w14:paraId="77E0CCAD"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45</w:t>
            </w:r>
          </w:p>
        </w:tc>
        <w:tc>
          <w:tcPr>
            <w:tcW w:w="869" w:type="pct"/>
            <w:tcBorders>
              <w:top w:val="nil"/>
              <w:left w:val="nil"/>
              <w:bottom w:val="nil"/>
              <w:right w:val="nil"/>
            </w:tcBorders>
            <w:tcMar>
              <w:top w:w="-1" w:type="dxa"/>
              <w:left w:w="-1" w:type="dxa"/>
              <w:bottom w:w="-1" w:type="dxa"/>
              <w:right w:w="-1" w:type="dxa"/>
            </w:tcMar>
            <w:vAlign w:val="center"/>
          </w:tcPr>
          <w:p w14:paraId="0618F0A1"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14</w:t>
            </w:r>
          </w:p>
        </w:tc>
        <w:tc>
          <w:tcPr>
            <w:tcW w:w="832" w:type="pct"/>
            <w:tcBorders>
              <w:top w:val="nil"/>
              <w:left w:val="nil"/>
              <w:bottom w:val="nil"/>
              <w:right w:val="nil"/>
            </w:tcBorders>
            <w:tcMar>
              <w:top w:w="-1" w:type="dxa"/>
              <w:left w:w="-1" w:type="dxa"/>
              <w:bottom w:w="-1" w:type="dxa"/>
              <w:right w:w="-1" w:type="dxa"/>
            </w:tcMar>
            <w:vAlign w:val="center"/>
          </w:tcPr>
          <w:p w14:paraId="05D3F3A2"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31</w:t>
            </w:r>
          </w:p>
        </w:tc>
        <w:tc>
          <w:tcPr>
            <w:tcW w:w="297" w:type="pct"/>
            <w:tcBorders>
              <w:top w:val="nil"/>
              <w:left w:val="nil"/>
              <w:bottom w:val="nil"/>
              <w:right w:val="nil"/>
            </w:tcBorders>
            <w:tcMar>
              <w:top w:w="-1" w:type="dxa"/>
              <w:left w:w="-1" w:type="dxa"/>
              <w:bottom w:w="-1" w:type="dxa"/>
              <w:right w:w="-1" w:type="dxa"/>
            </w:tcMar>
            <w:vAlign w:val="center"/>
          </w:tcPr>
          <w:p w14:paraId="2F364899" w14:textId="77777777" w:rsidR="00830537" w:rsidRDefault="00830537" w:rsidP="009E22F3">
            <w:pPr>
              <w:snapToGrid w:val="0"/>
              <w:jc w:val="center"/>
              <w:rPr>
                <w:rFonts w:ascii="Times New Roman" w:eastAsia="Segoe UI" w:hAnsi="Times New Roman" w:cs="Times New Roman"/>
                <w:sz w:val="24"/>
              </w:rPr>
            </w:pPr>
          </w:p>
        </w:tc>
        <w:tc>
          <w:tcPr>
            <w:tcW w:w="404" w:type="pct"/>
            <w:tcBorders>
              <w:top w:val="nil"/>
              <w:left w:val="nil"/>
              <w:bottom w:val="nil"/>
              <w:right w:val="nil"/>
            </w:tcBorders>
            <w:tcMar>
              <w:top w:w="-1" w:type="dxa"/>
              <w:left w:w="-1" w:type="dxa"/>
              <w:bottom w:w="-1" w:type="dxa"/>
              <w:right w:w="-1" w:type="dxa"/>
            </w:tcMar>
            <w:vAlign w:val="center"/>
          </w:tcPr>
          <w:p w14:paraId="508BD8A4" w14:textId="77777777" w:rsidR="00830537" w:rsidRDefault="00830537" w:rsidP="009E22F3">
            <w:pPr>
              <w:snapToGrid w:val="0"/>
              <w:jc w:val="center"/>
              <w:rPr>
                <w:rFonts w:ascii="Times New Roman" w:eastAsia="Segoe UI" w:hAnsi="Times New Roman" w:cs="Times New Roman"/>
                <w:sz w:val="24"/>
              </w:rPr>
            </w:pPr>
          </w:p>
        </w:tc>
      </w:tr>
      <w:tr w:rsidR="00830537" w14:paraId="6A3B8BE2" w14:textId="77777777" w:rsidTr="00E80D6D">
        <w:trPr>
          <w:jc w:val="center"/>
        </w:trPr>
        <w:tc>
          <w:tcPr>
            <w:tcW w:w="1371" w:type="pct"/>
            <w:tcBorders>
              <w:top w:val="nil"/>
              <w:left w:val="nil"/>
              <w:bottom w:val="nil"/>
              <w:right w:val="nil"/>
            </w:tcBorders>
            <w:tcMar>
              <w:top w:w="-1" w:type="dxa"/>
              <w:left w:w="-1" w:type="dxa"/>
              <w:bottom w:w="-1" w:type="dxa"/>
              <w:right w:w="-1" w:type="dxa"/>
            </w:tcMar>
            <w:vAlign w:val="center"/>
          </w:tcPr>
          <w:p w14:paraId="2D6C85E9" w14:textId="77777777" w:rsidR="00830537" w:rsidRDefault="00830537" w:rsidP="00E80D6D">
            <w:pPr>
              <w:snapToGrid w:val="0"/>
              <w:jc w:val="left"/>
              <w:rPr>
                <w:rFonts w:ascii="Times New Roman" w:eastAsia="Segoe UI" w:hAnsi="Times New Roman" w:cs="Times New Roman"/>
                <w:sz w:val="24"/>
              </w:rPr>
            </w:pPr>
          </w:p>
        </w:tc>
        <w:tc>
          <w:tcPr>
            <w:tcW w:w="1047" w:type="pct"/>
            <w:tcBorders>
              <w:top w:val="nil"/>
              <w:left w:val="nil"/>
              <w:bottom w:val="nil"/>
              <w:right w:val="nil"/>
            </w:tcBorders>
            <w:tcMar>
              <w:top w:w="-1" w:type="dxa"/>
              <w:left w:w="-1" w:type="dxa"/>
              <w:bottom w:w="-1" w:type="dxa"/>
              <w:right w:w="-1" w:type="dxa"/>
            </w:tcMar>
            <w:vAlign w:val="center"/>
          </w:tcPr>
          <w:p w14:paraId="375A0B12" w14:textId="77777777"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Rare</w:t>
            </w:r>
          </w:p>
        </w:tc>
        <w:tc>
          <w:tcPr>
            <w:tcW w:w="181" w:type="pct"/>
            <w:tcBorders>
              <w:top w:val="nil"/>
              <w:left w:val="nil"/>
              <w:bottom w:val="nil"/>
              <w:right w:val="nil"/>
            </w:tcBorders>
            <w:tcMar>
              <w:top w:w="-1" w:type="dxa"/>
              <w:left w:w="-1" w:type="dxa"/>
              <w:bottom w:w="-1" w:type="dxa"/>
              <w:right w:w="-1" w:type="dxa"/>
            </w:tcMar>
            <w:vAlign w:val="center"/>
          </w:tcPr>
          <w:p w14:paraId="146779B3"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18</w:t>
            </w:r>
          </w:p>
        </w:tc>
        <w:tc>
          <w:tcPr>
            <w:tcW w:w="869" w:type="pct"/>
            <w:tcBorders>
              <w:top w:val="nil"/>
              <w:left w:val="nil"/>
              <w:bottom w:val="nil"/>
              <w:right w:val="nil"/>
            </w:tcBorders>
            <w:tcMar>
              <w:top w:w="-1" w:type="dxa"/>
              <w:left w:w="-1" w:type="dxa"/>
              <w:bottom w:w="-1" w:type="dxa"/>
              <w:right w:w="-1" w:type="dxa"/>
            </w:tcMar>
            <w:vAlign w:val="center"/>
          </w:tcPr>
          <w:p w14:paraId="60B4786E"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12</w:t>
            </w:r>
          </w:p>
        </w:tc>
        <w:tc>
          <w:tcPr>
            <w:tcW w:w="832" w:type="pct"/>
            <w:tcBorders>
              <w:top w:val="nil"/>
              <w:left w:val="nil"/>
              <w:bottom w:val="nil"/>
              <w:right w:val="nil"/>
            </w:tcBorders>
            <w:tcMar>
              <w:top w:w="-1" w:type="dxa"/>
              <w:left w:w="-1" w:type="dxa"/>
              <w:bottom w:w="-1" w:type="dxa"/>
              <w:right w:w="-1" w:type="dxa"/>
            </w:tcMar>
            <w:vAlign w:val="center"/>
          </w:tcPr>
          <w:p w14:paraId="067CFAD7"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6</w:t>
            </w:r>
          </w:p>
        </w:tc>
        <w:tc>
          <w:tcPr>
            <w:tcW w:w="297" w:type="pct"/>
            <w:tcBorders>
              <w:top w:val="nil"/>
              <w:left w:val="nil"/>
              <w:bottom w:val="nil"/>
              <w:right w:val="nil"/>
            </w:tcBorders>
            <w:tcMar>
              <w:top w:w="-1" w:type="dxa"/>
              <w:left w:w="-1" w:type="dxa"/>
              <w:bottom w:w="-1" w:type="dxa"/>
              <w:right w:w="-1" w:type="dxa"/>
            </w:tcMar>
            <w:vAlign w:val="center"/>
          </w:tcPr>
          <w:p w14:paraId="03AFCCA5" w14:textId="77777777" w:rsidR="00830537" w:rsidRDefault="00830537" w:rsidP="009E22F3">
            <w:pPr>
              <w:snapToGrid w:val="0"/>
              <w:jc w:val="center"/>
              <w:rPr>
                <w:rFonts w:ascii="Times New Roman" w:eastAsia="Segoe UI" w:hAnsi="Times New Roman" w:cs="Times New Roman"/>
                <w:sz w:val="24"/>
              </w:rPr>
            </w:pPr>
          </w:p>
        </w:tc>
        <w:tc>
          <w:tcPr>
            <w:tcW w:w="404" w:type="pct"/>
            <w:tcBorders>
              <w:top w:val="nil"/>
              <w:left w:val="nil"/>
              <w:bottom w:val="nil"/>
              <w:right w:val="nil"/>
            </w:tcBorders>
            <w:tcMar>
              <w:top w:w="-1" w:type="dxa"/>
              <w:left w:w="-1" w:type="dxa"/>
              <w:bottom w:w="-1" w:type="dxa"/>
              <w:right w:w="-1" w:type="dxa"/>
            </w:tcMar>
            <w:vAlign w:val="center"/>
          </w:tcPr>
          <w:p w14:paraId="0A4A94CF" w14:textId="77777777" w:rsidR="00830537" w:rsidRDefault="00830537" w:rsidP="009E22F3">
            <w:pPr>
              <w:snapToGrid w:val="0"/>
              <w:jc w:val="center"/>
              <w:rPr>
                <w:rFonts w:ascii="Times New Roman" w:eastAsia="Segoe UI" w:hAnsi="Times New Roman" w:cs="Times New Roman"/>
                <w:sz w:val="24"/>
              </w:rPr>
            </w:pPr>
          </w:p>
        </w:tc>
      </w:tr>
      <w:tr w:rsidR="00830537" w14:paraId="04142D15" w14:textId="77777777" w:rsidTr="00E80D6D">
        <w:trPr>
          <w:jc w:val="center"/>
        </w:trPr>
        <w:tc>
          <w:tcPr>
            <w:tcW w:w="1371" w:type="pct"/>
            <w:tcBorders>
              <w:top w:val="nil"/>
              <w:left w:val="nil"/>
              <w:bottom w:val="nil"/>
              <w:right w:val="nil"/>
            </w:tcBorders>
            <w:tcMar>
              <w:top w:w="-1" w:type="dxa"/>
              <w:left w:w="-1" w:type="dxa"/>
              <w:bottom w:w="-1" w:type="dxa"/>
              <w:right w:w="-1" w:type="dxa"/>
            </w:tcMar>
            <w:vAlign w:val="center"/>
          </w:tcPr>
          <w:p w14:paraId="09725045" w14:textId="77777777" w:rsidR="00830537" w:rsidRDefault="00B97722" w:rsidP="00E80D6D">
            <w:pPr>
              <w:snapToGrid w:val="0"/>
              <w:jc w:val="left"/>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Dietary habits (times/week)</w:t>
            </w:r>
          </w:p>
        </w:tc>
        <w:tc>
          <w:tcPr>
            <w:tcW w:w="1047" w:type="pct"/>
            <w:tcBorders>
              <w:top w:val="nil"/>
              <w:left w:val="nil"/>
              <w:bottom w:val="nil"/>
              <w:right w:val="nil"/>
            </w:tcBorders>
            <w:tcMar>
              <w:top w:w="-1" w:type="dxa"/>
              <w:left w:w="-1" w:type="dxa"/>
              <w:bottom w:w="-1" w:type="dxa"/>
              <w:right w:w="-1" w:type="dxa"/>
            </w:tcMar>
            <w:vAlign w:val="center"/>
          </w:tcPr>
          <w:p w14:paraId="017E2184" w14:textId="77777777"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Often</w:t>
            </w:r>
          </w:p>
        </w:tc>
        <w:tc>
          <w:tcPr>
            <w:tcW w:w="181" w:type="pct"/>
            <w:tcBorders>
              <w:top w:val="nil"/>
              <w:left w:val="nil"/>
              <w:bottom w:val="nil"/>
              <w:right w:val="nil"/>
            </w:tcBorders>
            <w:tcMar>
              <w:top w:w="-1" w:type="dxa"/>
              <w:left w:w="-1" w:type="dxa"/>
              <w:bottom w:w="-1" w:type="dxa"/>
              <w:right w:w="-1" w:type="dxa"/>
            </w:tcMar>
            <w:vAlign w:val="center"/>
          </w:tcPr>
          <w:p w14:paraId="5ED86C24"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53</w:t>
            </w:r>
          </w:p>
        </w:tc>
        <w:tc>
          <w:tcPr>
            <w:tcW w:w="869" w:type="pct"/>
            <w:tcBorders>
              <w:top w:val="nil"/>
              <w:left w:val="nil"/>
              <w:bottom w:val="nil"/>
              <w:right w:val="nil"/>
            </w:tcBorders>
            <w:tcMar>
              <w:top w:w="-1" w:type="dxa"/>
              <w:left w:w="-1" w:type="dxa"/>
              <w:bottom w:w="-1" w:type="dxa"/>
              <w:right w:w="-1" w:type="dxa"/>
            </w:tcMar>
            <w:vAlign w:val="center"/>
          </w:tcPr>
          <w:p w14:paraId="2FB97AD8"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12</w:t>
            </w:r>
          </w:p>
        </w:tc>
        <w:tc>
          <w:tcPr>
            <w:tcW w:w="832" w:type="pct"/>
            <w:tcBorders>
              <w:top w:val="nil"/>
              <w:left w:val="nil"/>
              <w:bottom w:val="nil"/>
              <w:right w:val="nil"/>
            </w:tcBorders>
            <w:tcMar>
              <w:top w:w="-1" w:type="dxa"/>
              <w:left w:w="-1" w:type="dxa"/>
              <w:bottom w:w="-1" w:type="dxa"/>
              <w:right w:w="-1" w:type="dxa"/>
            </w:tcMar>
            <w:vAlign w:val="center"/>
          </w:tcPr>
          <w:p w14:paraId="79AA86A2"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41</w:t>
            </w:r>
          </w:p>
        </w:tc>
        <w:tc>
          <w:tcPr>
            <w:tcW w:w="297" w:type="pct"/>
            <w:tcBorders>
              <w:top w:val="nil"/>
              <w:left w:val="nil"/>
              <w:bottom w:val="nil"/>
              <w:right w:val="nil"/>
            </w:tcBorders>
            <w:tcMar>
              <w:top w:w="-1" w:type="dxa"/>
              <w:left w:w="-1" w:type="dxa"/>
              <w:bottom w:w="-1" w:type="dxa"/>
              <w:right w:w="-1" w:type="dxa"/>
            </w:tcMar>
            <w:vAlign w:val="center"/>
          </w:tcPr>
          <w:p w14:paraId="1DFBF0B6" w14:textId="77777777"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11.620</w:t>
            </w:r>
          </w:p>
        </w:tc>
        <w:tc>
          <w:tcPr>
            <w:tcW w:w="404" w:type="pct"/>
            <w:tcBorders>
              <w:top w:val="nil"/>
              <w:left w:val="nil"/>
              <w:bottom w:val="nil"/>
              <w:right w:val="nil"/>
            </w:tcBorders>
            <w:tcMar>
              <w:top w:w="-1" w:type="dxa"/>
              <w:left w:w="-1" w:type="dxa"/>
              <w:bottom w:w="-1" w:type="dxa"/>
              <w:right w:w="-1" w:type="dxa"/>
            </w:tcMar>
            <w:vAlign w:val="center"/>
          </w:tcPr>
          <w:p w14:paraId="654E3355" w14:textId="70F1E5A3"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&lt;</w:t>
            </w:r>
            <w:r w:rsidR="009E22F3">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0.001</w:t>
            </w:r>
          </w:p>
        </w:tc>
      </w:tr>
      <w:tr w:rsidR="00830537" w14:paraId="1DC19138" w14:textId="77777777" w:rsidTr="00E80D6D">
        <w:trPr>
          <w:jc w:val="center"/>
        </w:trPr>
        <w:tc>
          <w:tcPr>
            <w:tcW w:w="1371" w:type="pct"/>
            <w:tcBorders>
              <w:top w:val="nil"/>
              <w:left w:val="nil"/>
              <w:bottom w:val="nil"/>
              <w:right w:val="nil"/>
            </w:tcBorders>
            <w:tcMar>
              <w:top w:w="-1" w:type="dxa"/>
              <w:left w:w="-1" w:type="dxa"/>
              <w:bottom w:w="-1" w:type="dxa"/>
              <w:right w:w="-1" w:type="dxa"/>
            </w:tcMar>
            <w:vAlign w:val="center"/>
          </w:tcPr>
          <w:p w14:paraId="15123302" w14:textId="77777777" w:rsidR="00830537" w:rsidRDefault="00830537" w:rsidP="00E80D6D">
            <w:pPr>
              <w:snapToGrid w:val="0"/>
              <w:jc w:val="left"/>
              <w:rPr>
                <w:rFonts w:ascii="Times New Roman" w:eastAsia="Segoe UI" w:hAnsi="Times New Roman" w:cs="Times New Roman"/>
                <w:sz w:val="24"/>
              </w:rPr>
            </w:pPr>
          </w:p>
        </w:tc>
        <w:tc>
          <w:tcPr>
            <w:tcW w:w="1047" w:type="pct"/>
            <w:tcBorders>
              <w:top w:val="nil"/>
              <w:left w:val="nil"/>
              <w:bottom w:val="nil"/>
              <w:right w:val="nil"/>
            </w:tcBorders>
            <w:tcMar>
              <w:top w:w="-1" w:type="dxa"/>
              <w:left w:w="-1" w:type="dxa"/>
              <w:bottom w:w="-1" w:type="dxa"/>
              <w:right w:w="-1" w:type="dxa"/>
            </w:tcMar>
            <w:vAlign w:val="center"/>
          </w:tcPr>
          <w:p w14:paraId="763B85ED" w14:textId="77777777"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Occasionally</w:t>
            </w:r>
          </w:p>
        </w:tc>
        <w:tc>
          <w:tcPr>
            <w:tcW w:w="181" w:type="pct"/>
            <w:tcBorders>
              <w:top w:val="nil"/>
              <w:left w:val="nil"/>
              <w:bottom w:val="nil"/>
              <w:right w:val="nil"/>
            </w:tcBorders>
            <w:tcMar>
              <w:top w:w="-1" w:type="dxa"/>
              <w:left w:w="-1" w:type="dxa"/>
              <w:bottom w:w="-1" w:type="dxa"/>
              <w:right w:w="-1" w:type="dxa"/>
            </w:tcMar>
            <w:vAlign w:val="center"/>
          </w:tcPr>
          <w:p w14:paraId="648DC9C2"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32</w:t>
            </w:r>
          </w:p>
        </w:tc>
        <w:tc>
          <w:tcPr>
            <w:tcW w:w="869" w:type="pct"/>
            <w:tcBorders>
              <w:top w:val="nil"/>
              <w:left w:val="nil"/>
              <w:bottom w:val="nil"/>
              <w:right w:val="nil"/>
            </w:tcBorders>
            <w:tcMar>
              <w:top w:w="-1" w:type="dxa"/>
              <w:left w:w="-1" w:type="dxa"/>
              <w:bottom w:w="-1" w:type="dxa"/>
              <w:right w:w="-1" w:type="dxa"/>
            </w:tcMar>
            <w:vAlign w:val="center"/>
          </w:tcPr>
          <w:p w14:paraId="2E8210A3"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19</w:t>
            </w:r>
          </w:p>
        </w:tc>
        <w:tc>
          <w:tcPr>
            <w:tcW w:w="832" w:type="pct"/>
            <w:tcBorders>
              <w:top w:val="nil"/>
              <w:left w:val="nil"/>
              <w:bottom w:val="nil"/>
              <w:right w:val="nil"/>
            </w:tcBorders>
            <w:tcMar>
              <w:top w:w="-1" w:type="dxa"/>
              <w:left w:w="-1" w:type="dxa"/>
              <w:bottom w:w="-1" w:type="dxa"/>
              <w:right w:w="-1" w:type="dxa"/>
            </w:tcMar>
            <w:vAlign w:val="center"/>
          </w:tcPr>
          <w:p w14:paraId="4EC50C0A"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13</w:t>
            </w:r>
          </w:p>
        </w:tc>
        <w:tc>
          <w:tcPr>
            <w:tcW w:w="297" w:type="pct"/>
            <w:tcBorders>
              <w:top w:val="nil"/>
              <w:left w:val="nil"/>
              <w:bottom w:val="nil"/>
              <w:right w:val="nil"/>
            </w:tcBorders>
            <w:tcMar>
              <w:top w:w="-1" w:type="dxa"/>
              <w:left w:w="-1" w:type="dxa"/>
              <w:bottom w:w="-1" w:type="dxa"/>
              <w:right w:w="-1" w:type="dxa"/>
            </w:tcMar>
            <w:vAlign w:val="center"/>
          </w:tcPr>
          <w:p w14:paraId="786BB8C4" w14:textId="77777777" w:rsidR="00830537" w:rsidRDefault="00830537" w:rsidP="009E22F3">
            <w:pPr>
              <w:snapToGrid w:val="0"/>
              <w:jc w:val="center"/>
              <w:rPr>
                <w:rFonts w:ascii="Times New Roman" w:eastAsia="Segoe UI" w:hAnsi="Times New Roman" w:cs="Times New Roman"/>
                <w:sz w:val="24"/>
              </w:rPr>
            </w:pPr>
          </w:p>
        </w:tc>
        <w:tc>
          <w:tcPr>
            <w:tcW w:w="404" w:type="pct"/>
            <w:tcBorders>
              <w:top w:val="nil"/>
              <w:left w:val="nil"/>
              <w:bottom w:val="nil"/>
              <w:right w:val="nil"/>
            </w:tcBorders>
            <w:tcMar>
              <w:top w:w="-1" w:type="dxa"/>
              <w:left w:w="-1" w:type="dxa"/>
              <w:bottom w:w="-1" w:type="dxa"/>
              <w:right w:w="-1" w:type="dxa"/>
            </w:tcMar>
            <w:vAlign w:val="center"/>
          </w:tcPr>
          <w:p w14:paraId="579C2EF0" w14:textId="77777777" w:rsidR="00830537" w:rsidRDefault="00830537" w:rsidP="009E22F3">
            <w:pPr>
              <w:snapToGrid w:val="0"/>
              <w:jc w:val="center"/>
              <w:rPr>
                <w:rFonts w:ascii="Times New Roman" w:eastAsia="Segoe UI" w:hAnsi="Times New Roman" w:cs="Times New Roman"/>
                <w:sz w:val="24"/>
              </w:rPr>
            </w:pPr>
          </w:p>
        </w:tc>
      </w:tr>
      <w:tr w:rsidR="00830537" w14:paraId="2DC3FC9C" w14:textId="77777777" w:rsidTr="00E80D6D">
        <w:trPr>
          <w:jc w:val="center"/>
        </w:trPr>
        <w:tc>
          <w:tcPr>
            <w:tcW w:w="1371" w:type="pct"/>
            <w:tcBorders>
              <w:top w:val="nil"/>
              <w:left w:val="nil"/>
              <w:bottom w:val="nil"/>
              <w:right w:val="nil"/>
            </w:tcBorders>
            <w:tcMar>
              <w:top w:w="-1" w:type="dxa"/>
              <w:left w:w="-1" w:type="dxa"/>
              <w:bottom w:w="-1" w:type="dxa"/>
              <w:right w:w="-1" w:type="dxa"/>
            </w:tcMar>
            <w:vAlign w:val="center"/>
          </w:tcPr>
          <w:p w14:paraId="25ECD7A1" w14:textId="77777777" w:rsidR="00830537" w:rsidRDefault="00B97722" w:rsidP="00E80D6D">
            <w:pPr>
              <w:snapToGrid w:val="0"/>
              <w:jc w:val="left"/>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25(OH)D (n)</w:t>
            </w:r>
          </w:p>
        </w:tc>
        <w:tc>
          <w:tcPr>
            <w:tcW w:w="1047" w:type="pct"/>
            <w:tcBorders>
              <w:top w:val="nil"/>
              <w:left w:val="nil"/>
              <w:bottom w:val="nil"/>
              <w:right w:val="nil"/>
            </w:tcBorders>
            <w:tcMar>
              <w:top w:w="-1" w:type="dxa"/>
              <w:left w:w="-1" w:type="dxa"/>
              <w:bottom w:w="-1" w:type="dxa"/>
              <w:right w:w="-1" w:type="dxa"/>
            </w:tcMar>
            <w:vAlign w:val="center"/>
          </w:tcPr>
          <w:p w14:paraId="0A18FD81" w14:textId="77777777"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Sufficient</w:t>
            </w:r>
          </w:p>
        </w:tc>
        <w:tc>
          <w:tcPr>
            <w:tcW w:w="181" w:type="pct"/>
            <w:tcBorders>
              <w:top w:val="nil"/>
              <w:left w:val="nil"/>
              <w:bottom w:val="nil"/>
              <w:right w:val="nil"/>
            </w:tcBorders>
            <w:tcMar>
              <w:top w:w="-1" w:type="dxa"/>
              <w:left w:w="-1" w:type="dxa"/>
              <w:bottom w:w="-1" w:type="dxa"/>
              <w:right w:w="-1" w:type="dxa"/>
            </w:tcMar>
            <w:vAlign w:val="center"/>
          </w:tcPr>
          <w:p w14:paraId="7BC1F24F"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40</w:t>
            </w:r>
          </w:p>
        </w:tc>
        <w:tc>
          <w:tcPr>
            <w:tcW w:w="869" w:type="pct"/>
            <w:tcBorders>
              <w:top w:val="nil"/>
              <w:left w:val="nil"/>
              <w:bottom w:val="nil"/>
              <w:right w:val="nil"/>
            </w:tcBorders>
            <w:tcMar>
              <w:top w:w="-1" w:type="dxa"/>
              <w:left w:w="-1" w:type="dxa"/>
              <w:bottom w:w="-1" w:type="dxa"/>
              <w:right w:w="-1" w:type="dxa"/>
            </w:tcMar>
            <w:vAlign w:val="center"/>
          </w:tcPr>
          <w:p w14:paraId="5A79C698"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8</w:t>
            </w:r>
          </w:p>
        </w:tc>
        <w:tc>
          <w:tcPr>
            <w:tcW w:w="832" w:type="pct"/>
            <w:tcBorders>
              <w:top w:val="nil"/>
              <w:left w:val="nil"/>
              <w:bottom w:val="nil"/>
              <w:right w:val="nil"/>
            </w:tcBorders>
            <w:tcMar>
              <w:top w:w="-1" w:type="dxa"/>
              <w:left w:w="-1" w:type="dxa"/>
              <w:bottom w:w="-1" w:type="dxa"/>
              <w:right w:w="-1" w:type="dxa"/>
            </w:tcMar>
            <w:vAlign w:val="center"/>
          </w:tcPr>
          <w:p w14:paraId="0CC4A5D7"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32</w:t>
            </w:r>
          </w:p>
        </w:tc>
        <w:tc>
          <w:tcPr>
            <w:tcW w:w="297" w:type="pct"/>
            <w:tcBorders>
              <w:top w:val="nil"/>
              <w:left w:val="nil"/>
              <w:bottom w:val="nil"/>
              <w:right w:val="nil"/>
            </w:tcBorders>
            <w:tcMar>
              <w:top w:w="-1" w:type="dxa"/>
              <w:left w:w="-1" w:type="dxa"/>
              <w:bottom w:w="-1" w:type="dxa"/>
              <w:right w:w="-1" w:type="dxa"/>
            </w:tcMar>
            <w:vAlign w:val="center"/>
          </w:tcPr>
          <w:p w14:paraId="6F1ADCCE" w14:textId="77777777"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8.846</w:t>
            </w:r>
          </w:p>
        </w:tc>
        <w:tc>
          <w:tcPr>
            <w:tcW w:w="404" w:type="pct"/>
            <w:tcBorders>
              <w:top w:val="nil"/>
              <w:left w:val="nil"/>
              <w:bottom w:val="nil"/>
              <w:right w:val="nil"/>
            </w:tcBorders>
            <w:tcMar>
              <w:top w:w="-1" w:type="dxa"/>
              <w:left w:w="-1" w:type="dxa"/>
              <w:bottom w:w="-1" w:type="dxa"/>
              <w:right w:w="-1" w:type="dxa"/>
            </w:tcMar>
            <w:vAlign w:val="center"/>
          </w:tcPr>
          <w:p w14:paraId="7495B169" w14:textId="77777777"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0.003</w:t>
            </w:r>
          </w:p>
        </w:tc>
      </w:tr>
      <w:tr w:rsidR="00830537" w14:paraId="7DF81310" w14:textId="77777777" w:rsidTr="00E80D6D">
        <w:trPr>
          <w:jc w:val="center"/>
        </w:trPr>
        <w:tc>
          <w:tcPr>
            <w:tcW w:w="1371" w:type="pct"/>
            <w:tcBorders>
              <w:top w:val="nil"/>
              <w:left w:val="nil"/>
              <w:bottom w:val="nil"/>
              <w:right w:val="nil"/>
            </w:tcBorders>
            <w:tcMar>
              <w:top w:w="-1" w:type="dxa"/>
              <w:left w:w="-1" w:type="dxa"/>
              <w:bottom w:w="-1" w:type="dxa"/>
              <w:right w:w="-1" w:type="dxa"/>
            </w:tcMar>
            <w:vAlign w:val="center"/>
          </w:tcPr>
          <w:p w14:paraId="52BEC310" w14:textId="77777777" w:rsidR="00830537" w:rsidRDefault="00830537" w:rsidP="00E80D6D">
            <w:pPr>
              <w:snapToGrid w:val="0"/>
              <w:jc w:val="left"/>
              <w:rPr>
                <w:rFonts w:ascii="Times New Roman" w:eastAsia="Segoe UI" w:hAnsi="Times New Roman" w:cs="Times New Roman"/>
                <w:sz w:val="24"/>
              </w:rPr>
            </w:pPr>
          </w:p>
        </w:tc>
        <w:tc>
          <w:tcPr>
            <w:tcW w:w="1047" w:type="pct"/>
            <w:tcBorders>
              <w:top w:val="nil"/>
              <w:left w:val="nil"/>
              <w:bottom w:val="nil"/>
              <w:right w:val="nil"/>
            </w:tcBorders>
            <w:tcMar>
              <w:top w:w="-1" w:type="dxa"/>
              <w:left w:w="-1" w:type="dxa"/>
              <w:bottom w:w="-1" w:type="dxa"/>
              <w:right w:w="-1" w:type="dxa"/>
            </w:tcMar>
            <w:vAlign w:val="center"/>
          </w:tcPr>
          <w:p w14:paraId="7B4E2735" w14:textId="77777777"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Deficient/Insufficient</w:t>
            </w:r>
          </w:p>
        </w:tc>
        <w:tc>
          <w:tcPr>
            <w:tcW w:w="181" w:type="pct"/>
            <w:tcBorders>
              <w:top w:val="nil"/>
              <w:left w:val="nil"/>
              <w:bottom w:val="nil"/>
              <w:right w:val="nil"/>
            </w:tcBorders>
            <w:tcMar>
              <w:top w:w="-1" w:type="dxa"/>
              <w:left w:w="-1" w:type="dxa"/>
              <w:bottom w:w="-1" w:type="dxa"/>
              <w:right w:w="-1" w:type="dxa"/>
            </w:tcMar>
            <w:vAlign w:val="center"/>
          </w:tcPr>
          <w:p w14:paraId="004319C3"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45</w:t>
            </w:r>
          </w:p>
        </w:tc>
        <w:tc>
          <w:tcPr>
            <w:tcW w:w="869" w:type="pct"/>
            <w:tcBorders>
              <w:top w:val="nil"/>
              <w:left w:val="nil"/>
              <w:bottom w:val="nil"/>
              <w:right w:val="nil"/>
            </w:tcBorders>
            <w:tcMar>
              <w:top w:w="-1" w:type="dxa"/>
              <w:left w:w="-1" w:type="dxa"/>
              <w:bottom w:w="-1" w:type="dxa"/>
              <w:right w:w="-1" w:type="dxa"/>
            </w:tcMar>
            <w:vAlign w:val="center"/>
          </w:tcPr>
          <w:p w14:paraId="29400AE8"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23</w:t>
            </w:r>
          </w:p>
        </w:tc>
        <w:tc>
          <w:tcPr>
            <w:tcW w:w="832" w:type="pct"/>
            <w:tcBorders>
              <w:top w:val="nil"/>
              <w:left w:val="nil"/>
              <w:bottom w:val="nil"/>
              <w:right w:val="nil"/>
            </w:tcBorders>
            <w:tcMar>
              <w:top w:w="-1" w:type="dxa"/>
              <w:left w:w="-1" w:type="dxa"/>
              <w:bottom w:w="-1" w:type="dxa"/>
              <w:right w:w="-1" w:type="dxa"/>
            </w:tcMar>
            <w:vAlign w:val="center"/>
          </w:tcPr>
          <w:p w14:paraId="18EF418C"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22</w:t>
            </w:r>
          </w:p>
        </w:tc>
        <w:tc>
          <w:tcPr>
            <w:tcW w:w="297" w:type="pct"/>
            <w:tcBorders>
              <w:top w:val="nil"/>
              <w:left w:val="nil"/>
              <w:bottom w:val="nil"/>
              <w:right w:val="nil"/>
            </w:tcBorders>
            <w:tcMar>
              <w:top w:w="-1" w:type="dxa"/>
              <w:left w:w="-1" w:type="dxa"/>
              <w:bottom w:w="-1" w:type="dxa"/>
              <w:right w:w="-1" w:type="dxa"/>
            </w:tcMar>
            <w:vAlign w:val="center"/>
          </w:tcPr>
          <w:p w14:paraId="2DB262DD" w14:textId="77777777" w:rsidR="00830537" w:rsidRDefault="00830537" w:rsidP="009E22F3">
            <w:pPr>
              <w:snapToGrid w:val="0"/>
              <w:jc w:val="center"/>
              <w:rPr>
                <w:rFonts w:ascii="Times New Roman" w:eastAsia="Segoe UI" w:hAnsi="Times New Roman" w:cs="Times New Roman"/>
                <w:sz w:val="24"/>
              </w:rPr>
            </w:pPr>
          </w:p>
        </w:tc>
        <w:tc>
          <w:tcPr>
            <w:tcW w:w="404" w:type="pct"/>
            <w:tcBorders>
              <w:top w:val="nil"/>
              <w:left w:val="nil"/>
              <w:bottom w:val="nil"/>
              <w:right w:val="nil"/>
            </w:tcBorders>
            <w:tcMar>
              <w:top w:w="-1" w:type="dxa"/>
              <w:left w:w="-1" w:type="dxa"/>
              <w:bottom w:w="-1" w:type="dxa"/>
              <w:right w:w="-1" w:type="dxa"/>
            </w:tcMar>
            <w:vAlign w:val="center"/>
          </w:tcPr>
          <w:p w14:paraId="2F878B4F" w14:textId="77777777" w:rsidR="00830537" w:rsidRDefault="00830537" w:rsidP="009E22F3">
            <w:pPr>
              <w:snapToGrid w:val="0"/>
              <w:jc w:val="center"/>
              <w:rPr>
                <w:rFonts w:ascii="Times New Roman" w:eastAsia="Segoe UI" w:hAnsi="Times New Roman" w:cs="Times New Roman"/>
                <w:sz w:val="24"/>
              </w:rPr>
            </w:pPr>
          </w:p>
        </w:tc>
      </w:tr>
      <w:tr w:rsidR="00830537" w14:paraId="174FE82F" w14:textId="77777777" w:rsidTr="00E80D6D">
        <w:trPr>
          <w:jc w:val="center"/>
        </w:trPr>
        <w:tc>
          <w:tcPr>
            <w:tcW w:w="1371" w:type="pct"/>
            <w:tcBorders>
              <w:top w:val="nil"/>
              <w:left w:val="nil"/>
              <w:bottom w:val="nil"/>
              <w:right w:val="nil"/>
            </w:tcBorders>
            <w:tcMar>
              <w:top w:w="-1" w:type="dxa"/>
              <w:left w:w="-1" w:type="dxa"/>
              <w:bottom w:w="-1" w:type="dxa"/>
              <w:right w:w="-1" w:type="dxa"/>
            </w:tcMar>
            <w:vAlign w:val="center"/>
          </w:tcPr>
          <w:p w14:paraId="310043F3" w14:textId="77777777" w:rsidR="00830537" w:rsidRDefault="00B97722" w:rsidP="00E80D6D">
            <w:pPr>
              <w:snapToGrid w:val="0"/>
              <w:jc w:val="left"/>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PTH (n)</w:t>
            </w:r>
          </w:p>
        </w:tc>
        <w:tc>
          <w:tcPr>
            <w:tcW w:w="1047" w:type="pct"/>
            <w:tcBorders>
              <w:top w:val="nil"/>
              <w:left w:val="nil"/>
              <w:bottom w:val="nil"/>
              <w:right w:val="nil"/>
            </w:tcBorders>
            <w:tcMar>
              <w:top w:w="-1" w:type="dxa"/>
              <w:left w:w="-1" w:type="dxa"/>
              <w:bottom w:w="-1" w:type="dxa"/>
              <w:right w:w="-1" w:type="dxa"/>
            </w:tcMar>
            <w:vAlign w:val="center"/>
          </w:tcPr>
          <w:p w14:paraId="723B93EC" w14:textId="77777777"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Above normal</w:t>
            </w:r>
          </w:p>
        </w:tc>
        <w:tc>
          <w:tcPr>
            <w:tcW w:w="181" w:type="pct"/>
            <w:tcBorders>
              <w:top w:val="nil"/>
              <w:left w:val="nil"/>
              <w:bottom w:val="nil"/>
              <w:right w:val="nil"/>
            </w:tcBorders>
            <w:tcMar>
              <w:top w:w="-1" w:type="dxa"/>
              <w:left w:w="-1" w:type="dxa"/>
              <w:bottom w:w="-1" w:type="dxa"/>
              <w:right w:w="-1" w:type="dxa"/>
            </w:tcMar>
            <w:vAlign w:val="center"/>
          </w:tcPr>
          <w:p w14:paraId="72A6ABFC"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48</w:t>
            </w:r>
          </w:p>
        </w:tc>
        <w:tc>
          <w:tcPr>
            <w:tcW w:w="869" w:type="pct"/>
            <w:tcBorders>
              <w:top w:val="nil"/>
              <w:left w:val="nil"/>
              <w:bottom w:val="nil"/>
              <w:right w:val="nil"/>
            </w:tcBorders>
            <w:tcMar>
              <w:top w:w="-1" w:type="dxa"/>
              <w:left w:w="-1" w:type="dxa"/>
              <w:bottom w:w="-1" w:type="dxa"/>
              <w:right w:w="-1" w:type="dxa"/>
            </w:tcMar>
            <w:vAlign w:val="center"/>
          </w:tcPr>
          <w:p w14:paraId="7F20C812"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23</w:t>
            </w:r>
          </w:p>
        </w:tc>
        <w:tc>
          <w:tcPr>
            <w:tcW w:w="832" w:type="pct"/>
            <w:tcBorders>
              <w:top w:val="nil"/>
              <w:left w:val="nil"/>
              <w:bottom w:val="nil"/>
              <w:right w:val="nil"/>
            </w:tcBorders>
            <w:tcMar>
              <w:top w:w="-1" w:type="dxa"/>
              <w:left w:w="-1" w:type="dxa"/>
              <w:bottom w:w="-1" w:type="dxa"/>
              <w:right w:w="-1" w:type="dxa"/>
            </w:tcMar>
            <w:vAlign w:val="center"/>
          </w:tcPr>
          <w:p w14:paraId="27A85F8A"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25</w:t>
            </w:r>
          </w:p>
        </w:tc>
        <w:tc>
          <w:tcPr>
            <w:tcW w:w="297" w:type="pct"/>
            <w:tcBorders>
              <w:top w:val="nil"/>
              <w:left w:val="nil"/>
              <w:bottom w:val="nil"/>
              <w:right w:val="nil"/>
            </w:tcBorders>
            <w:tcMar>
              <w:top w:w="-1" w:type="dxa"/>
              <w:left w:w="-1" w:type="dxa"/>
              <w:bottom w:w="-1" w:type="dxa"/>
              <w:right w:w="-1" w:type="dxa"/>
            </w:tcMar>
            <w:vAlign w:val="center"/>
          </w:tcPr>
          <w:p w14:paraId="0165F47F" w14:textId="77777777"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6.235</w:t>
            </w:r>
          </w:p>
        </w:tc>
        <w:tc>
          <w:tcPr>
            <w:tcW w:w="404" w:type="pct"/>
            <w:tcBorders>
              <w:top w:val="nil"/>
              <w:left w:val="nil"/>
              <w:bottom w:val="nil"/>
              <w:right w:val="nil"/>
            </w:tcBorders>
            <w:tcMar>
              <w:top w:w="-1" w:type="dxa"/>
              <w:left w:w="-1" w:type="dxa"/>
              <w:bottom w:w="-1" w:type="dxa"/>
              <w:right w:w="-1" w:type="dxa"/>
            </w:tcMar>
            <w:vAlign w:val="center"/>
          </w:tcPr>
          <w:p w14:paraId="3F616AED" w14:textId="77777777"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0.013</w:t>
            </w:r>
          </w:p>
        </w:tc>
      </w:tr>
      <w:tr w:rsidR="00830537" w14:paraId="3AF2315C" w14:textId="77777777" w:rsidTr="00E80D6D">
        <w:trPr>
          <w:jc w:val="center"/>
        </w:trPr>
        <w:tc>
          <w:tcPr>
            <w:tcW w:w="1371" w:type="pct"/>
            <w:tcBorders>
              <w:top w:val="nil"/>
              <w:left w:val="nil"/>
              <w:bottom w:val="single" w:sz="4" w:space="0" w:color="auto"/>
              <w:right w:val="nil"/>
            </w:tcBorders>
            <w:tcMar>
              <w:top w:w="-1" w:type="dxa"/>
              <w:left w:w="-1" w:type="dxa"/>
              <w:bottom w:w="-1" w:type="dxa"/>
              <w:right w:w="-1" w:type="dxa"/>
            </w:tcMar>
            <w:vAlign w:val="center"/>
          </w:tcPr>
          <w:p w14:paraId="6F8B0918" w14:textId="77777777" w:rsidR="00830537" w:rsidRDefault="00830537" w:rsidP="00E80D6D">
            <w:pPr>
              <w:snapToGrid w:val="0"/>
              <w:jc w:val="left"/>
              <w:rPr>
                <w:rFonts w:ascii="Times New Roman" w:eastAsia="Segoe UI" w:hAnsi="Times New Roman" w:cs="Times New Roman"/>
                <w:sz w:val="24"/>
              </w:rPr>
            </w:pPr>
          </w:p>
        </w:tc>
        <w:tc>
          <w:tcPr>
            <w:tcW w:w="1047" w:type="pct"/>
            <w:tcBorders>
              <w:top w:val="nil"/>
              <w:left w:val="nil"/>
              <w:bottom w:val="single" w:sz="4" w:space="0" w:color="auto"/>
              <w:right w:val="nil"/>
            </w:tcBorders>
            <w:tcMar>
              <w:top w:w="-1" w:type="dxa"/>
              <w:left w:w="-1" w:type="dxa"/>
              <w:bottom w:w="-1" w:type="dxa"/>
              <w:right w:w="-1" w:type="dxa"/>
            </w:tcMar>
            <w:vAlign w:val="center"/>
          </w:tcPr>
          <w:p w14:paraId="43E8DC7F" w14:textId="77777777"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Below normal</w:t>
            </w:r>
          </w:p>
        </w:tc>
        <w:tc>
          <w:tcPr>
            <w:tcW w:w="181" w:type="pct"/>
            <w:tcBorders>
              <w:top w:val="nil"/>
              <w:left w:val="nil"/>
              <w:bottom w:val="single" w:sz="4" w:space="0" w:color="auto"/>
              <w:right w:val="nil"/>
            </w:tcBorders>
            <w:tcMar>
              <w:top w:w="-1" w:type="dxa"/>
              <w:left w:w="-1" w:type="dxa"/>
              <w:bottom w:w="-1" w:type="dxa"/>
              <w:right w:w="-1" w:type="dxa"/>
            </w:tcMar>
            <w:vAlign w:val="center"/>
          </w:tcPr>
          <w:p w14:paraId="575FDADD"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37</w:t>
            </w:r>
          </w:p>
        </w:tc>
        <w:tc>
          <w:tcPr>
            <w:tcW w:w="869" w:type="pct"/>
            <w:tcBorders>
              <w:top w:val="nil"/>
              <w:left w:val="nil"/>
              <w:bottom w:val="single" w:sz="4" w:space="0" w:color="auto"/>
              <w:right w:val="nil"/>
            </w:tcBorders>
            <w:tcMar>
              <w:top w:w="-1" w:type="dxa"/>
              <w:left w:w="-1" w:type="dxa"/>
              <w:bottom w:w="-1" w:type="dxa"/>
              <w:right w:w="-1" w:type="dxa"/>
            </w:tcMar>
            <w:vAlign w:val="center"/>
          </w:tcPr>
          <w:p w14:paraId="135C2B40"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8</w:t>
            </w:r>
          </w:p>
        </w:tc>
        <w:tc>
          <w:tcPr>
            <w:tcW w:w="832" w:type="pct"/>
            <w:tcBorders>
              <w:top w:val="nil"/>
              <w:left w:val="nil"/>
              <w:bottom w:val="single" w:sz="4" w:space="0" w:color="auto"/>
              <w:right w:val="nil"/>
            </w:tcBorders>
            <w:tcMar>
              <w:top w:w="-1" w:type="dxa"/>
              <w:left w:w="-1" w:type="dxa"/>
              <w:bottom w:w="-1" w:type="dxa"/>
              <w:right w:w="-1" w:type="dxa"/>
            </w:tcMar>
            <w:vAlign w:val="center"/>
          </w:tcPr>
          <w:p w14:paraId="51F3FD5B" w14:textId="77777777" w:rsidR="00830537" w:rsidRDefault="00B97722" w:rsidP="00E80D6D">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29</w:t>
            </w:r>
          </w:p>
        </w:tc>
        <w:tc>
          <w:tcPr>
            <w:tcW w:w="297" w:type="pct"/>
            <w:tcBorders>
              <w:top w:val="nil"/>
              <w:left w:val="nil"/>
              <w:bottom w:val="single" w:sz="4" w:space="0" w:color="auto"/>
              <w:right w:val="nil"/>
            </w:tcBorders>
            <w:tcMar>
              <w:top w:w="-1" w:type="dxa"/>
              <w:left w:w="-1" w:type="dxa"/>
              <w:bottom w:w="-1" w:type="dxa"/>
              <w:right w:w="-1" w:type="dxa"/>
            </w:tcMar>
            <w:vAlign w:val="center"/>
          </w:tcPr>
          <w:p w14:paraId="184B745D" w14:textId="77777777" w:rsidR="00830537" w:rsidRDefault="00830537" w:rsidP="009E22F3">
            <w:pPr>
              <w:snapToGrid w:val="0"/>
              <w:jc w:val="center"/>
              <w:rPr>
                <w:rFonts w:ascii="Times New Roman" w:eastAsia="Segoe UI" w:hAnsi="Times New Roman" w:cs="Times New Roman"/>
                <w:sz w:val="24"/>
              </w:rPr>
            </w:pPr>
          </w:p>
        </w:tc>
        <w:tc>
          <w:tcPr>
            <w:tcW w:w="404" w:type="pct"/>
            <w:tcBorders>
              <w:top w:val="nil"/>
              <w:left w:val="nil"/>
              <w:bottom w:val="single" w:sz="4" w:space="0" w:color="auto"/>
              <w:right w:val="nil"/>
            </w:tcBorders>
            <w:tcMar>
              <w:top w:w="-1" w:type="dxa"/>
              <w:left w:w="-1" w:type="dxa"/>
              <w:bottom w:w="-1" w:type="dxa"/>
              <w:right w:w="-1" w:type="dxa"/>
            </w:tcMar>
            <w:vAlign w:val="center"/>
          </w:tcPr>
          <w:p w14:paraId="21BBC145" w14:textId="77777777" w:rsidR="00830537" w:rsidRDefault="00830537" w:rsidP="009E22F3">
            <w:pPr>
              <w:snapToGrid w:val="0"/>
              <w:jc w:val="center"/>
              <w:rPr>
                <w:rFonts w:ascii="Times New Roman" w:eastAsia="Segoe UI" w:hAnsi="Times New Roman" w:cs="Times New Roman"/>
                <w:sz w:val="24"/>
              </w:rPr>
            </w:pPr>
          </w:p>
        </w:tc>
      </w:tr>
    </w:tbl>
    <w:p w14:paraId="785C6039" w14:textId="77777777" w:rsidR="00830537" w:rsidRDefault="00830537" w:rsidP="00E80D6D">
      <w:pPr>
        <w:snapToGrid w:val="0"/>
        <w:rPr>
          <w:rFonts w:ascii="Times New Roman" w:eastAsia="Segoe UI" w:hAnsi="Times New Roman" w:cs="Times New Roman"/>
          <w:color w:val="0F1115"/>
          <w:sz w:val="24"/>
          <w:shd w:val="clear" w:color="auto" w:fill="FFFFFF"/>
        </w:rPr>
      </w:pPr>
    </w:p>
    <w:p w14:paraId="0AE467B1" w14:textId="77777777" w:rsidR="00830537" w:rsidRDefault="00B97722" w:rsidP="00E80D6D">
      <w:pPr>
        <w:snapToGrid w:val="0"/>
        <w:rPr>
          <w:rFonts w:ascii="Times New Roman" w:eastAsia="Segoe UI" w:hAnsi="Times New Roman" w:cs="Times New Roman"/>
          <w:b/>
          <w:bCs/>
          <w:color w:val="0F1115"/>
          <w:sz w:val="24"/>
          <w:shd w:val="clear" w:color="auto" w:fill="FFFFFF"/>
        </w:rPr>
      </w:pPr>
      <w:r>
        <w:rPr>
          <w:rFonts w:ascii="Times New Roman" w:eastAsia="SimSun" w:hAnsi="Times New Roman" w:cs="Times New Roman" w:hint="eastAsia"/>
          <w:b/>
          <w:bCs/>
          <w:color w:val="0F1115"/>
          <w:sz w:val="24"/>
          <w:shd w:val="clear" w:color="auto" w:fill="FFFFFF"/>
        </w:rPr>
        <w:t>3</w:t>
      </w:r>
      <w:r>
        <w:rPr>
          <w:rFonts w:ascii="Times New Roman" w:eastAsia="Segoe UI" w:hAnsi="Times New Roman" w:cs="Times New Roman"/>
          <w:b/>
          <w:bCs/>
          <w:color w:val="0F1115"/>
          <w:sz w:val="24"/>
          <w:shd w:val="clear" w:color="auto" w:fill="FFFFFF"/>
        </w:rPr>
        <w:t>.3</w:t>
      </w:r>
      <w:r>
        <w:rPr>
          <w:rFonts w:ascii="Times New Roman" w:eastAsia="SimSun" w:hAnsi="Times New Roman" w:cs="Times New Roman" w:hint="eastAsia"/>
          <w:b/>
          <w:bCs/>
          <w:color w:val="0F1115"/>
          <w:sz w:val="24"/>
          <w:shd w:val="clear" w:color="auto" w:fill="FFFFFF"/>
        </w:rPr>
        <w:t>.</w:t>
      </w:r>
      <w:r>
        <w:rPr>
          <w:rFonts w:ascii="Times New Roman" w:eastAsia="Segoe UI" w:hAnsi="Times New Roman" w:cs="Times New Roman"/>
          <w:b/>
          <w:bCs/>
          <w:color w:val="0F1115"/>
          <w:sz w:val="24"/>
          <w:shd w:val="clear" w:color="auto" w:fill="FFFFFF"/>
        </w:rPr>
        <w:t xml:space="preserve"> Comparison of 25(OH)D and PTH </w:t>
      </w:r>
      <w:r>
        <w:rPr>
          <w:rFonts w:ascii="Times New Roman" w:eastAsia="SimSun" w:hAnsi="Times New Roman" w:cs="Times New Roman" w:hint="eastAsia"/>
          <w:b/>
          <w:bCs/>
          <w:color w:val="0F1115"/>
          <w:sz w:val="24"/>
          <w:shd w:val="clear" w:color="auto" w:fill="FFFFFF"/>
        </w:rPr>
        <w:t>l</w:t>
      </w:r>
      <w:r>
        <w:rPr>
          <w:rFonts w:ascii="Times New Roman" w:eastAsia="Segoe UI" w:hAnsi="Times New Roman" w:cs="Times New Roman"/>
          <w:b/>
          <w:bCs/>
          <w:color w:val="0F1115"/>
          <w:sz w:val="24"/>
          <w:shd w:val="clear" w:color="auto" w:fill="FFFFFF"/>
        </w:rPr>
        <w:t xml:space="preserve">evels </w:t>
      </w:r>
      <w:r>
        <w:rPr>
          <w:rFonts w:ascii="Times New Roman" w:eastAsia="SimSun" w:hAnsi="Times New Roman" w:cs="Times New Roman" w:hint="eastAsia"/>
          <w:b/>
          <w:bCs/>
          <w:color w:val="0F1115"/>
          <w:sz w:val="24"/>
          <w:shd w:val="clear" w:color="auto" w:fill="FFFFFF"/>
        </w:rPr>
        <w:t>b</w:t>
      </w:r>
      <w:r>
        <w:rPr>
          <w:rFonts w:ascii="Times New Roman" w:eastAsia="Segoe UI" w:hAnsi="Times New Roman" w:cs="Times New Roman"/>
          <w:b/>
          <w:bCs/>
          <w:color w:val="0F1115"/>
          <w:sz w:val="24"/>
          <w:shd w:val="clear" w:color="auto" w:fill="FFFFFF"/>
        </w:rPr>
        <w:t xml:space="preserve">etween the </w:t>
      </w:r>
      <w:r>
        <w:rPr>
          <w:rFonts w:ascii="Times New Roman" w:eastAsia="SimSun" w:hAnsi="Times New Roman" w:cs="Times New Roman" w:hint="eastAsia"/>
          <w:b/>
          <w:bCs/>
          <w:color w:val="0F1115"/>
          <w:sz w:val="24"/>
          <w:shd w:val="clear" w:color="auto" w:fill="FFFFFF"/>
        </w:rPr>
        <w:t>t</w:t>
      </w:r>
      <w:r>
        <w:rPr>
          <w:rFonts w:ascii="Times New Roman" w:eastAsia="Segoe UI" w:hAnsi="Times New Roman" w:cs="Times New Roman"/>
          <w:b/>
          <w:bCs/>
          <w:color w:val="0F1115"/>
          <w:sz w:val="24"/>
          <w:shd w:val="clear" w:color="auto" w:fill="FFFFFF"/>
        </w:rPr>
        <w:t xml:space="preserve">wo </w:t>
      </w:r>
      <w:r>
        <w:rPr>
          <w:rFonts w:ascii="Times New Roman" w:eastAsia="SimSun" w:hAnsi="Times New Roman" w:cs="Times New Roman" w:hint="eastAsia"/>
          <w:b/>
          <w:bCs/>
          <w:color w:val="0F1115"/>
          <w:sz w:val="24"/>
          <w:shd w:val="clear" w:color="auto" w:fill="FFFFFF"/>
        </w:rPr>
        <w:t>g</w:t>
      </w:r>
      <w:r>
        <w:rPr>
          <w:rFonts w:ascii="Times New Roman" w:eastAsia="Segoe UI" w:hAnsi="Times New Roman" w:cs="Times New Roman"/>
          <w:b/>
          <w:bCs/>
          <w:color w:val="0F1115"/>
          <w:sz w:val="24"/>
          <w:shd w:val="clear" w:color="auto" w:fill="FFFFFF"/>
        </w:rPr>
        <w:t xml:space="preserve">roups </w:t>
      </w:r>
    </w:p>
    <w:p w14:paraId="776AA3E0" w14:textId="44296FC4" w:rsidR="00830537" w:rsidRDefault="00B97722" w:rsidP="00E80D6D">
      <w:pPr>
        <w:snapToGrid w:val="0"/>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The 25(OH)D level in the skeletal dysplasia group was lower than that in the normal skeletal development group, while the PTH level was higher in the skeletal dysplasia group compared to the normal skeletal development group (</w:t>
      </w:r>
      <w:r w:rsidR="009E22F3">
        <w:rPr>
          <w:rFonts w:ascii="Times New Roman" w:eastAsia="Segoe UI" w:hAnsi="Times New Roman" w:cs="Times New Roman"/>
          <w:i/>
          <w:iCs/>
          <w:color w:val="0F1115"/>
          <w:sz w:val="24"/>
          <w:shd w:val="clear" w:color="auto" w:fill="FFFFFF"/>
        </w:rPr>
        <w:t>p</w:t>
      </w:r>
      <w:r w:rsidR="009E22F3">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 xml:space="preserve">&lt; 0.05), as shown in </w:t>
      </w:r>
      <w:r>
        <w:rPr>
          <w:rFonts w:ascii="Times New Roman" w:eastAsia="Segoe UI" w:hAnsi="Times New Roman" w:cs="Times New Roman"/>
          <w:b/>
          <w:bCs/>
          <w:color w:val="0F1115"/>
          <w:sz w:val="24"/>
          <w:shd w:val="clear" w:color="auto" w:fill="FFFFFF"/>
        </w:rPr>
        <w:t>Table 2</w:t>
      </w:r>
      <w:r>
        <w:rPr>
          <w:rFonts w:ascii="Times New Roman" w:eastAsia="Segoe UI" w:hAnsi="Times New Roman" w:cs="Times New Roman"/>
          <w:color w:val="0F1115"/>
          <w:sz w:val="24"/>
          <w:shd w:val="clear" w:color="auto" w:fill="FFFFFF"/>
        </w:rPr>
        <w:t xml:space="preserve">. </w:t>
      </w:r>
    </w:p>
    <w:p w14:paraId="511DB984" w14:textId="77777777" w:rsidR="00830537" w:rsidRDefault="00830537" w:rsidP="00E80D6D">
      <w:pPr>
        <w:snapToGrid w:val="0"/>
        <w:rPr>
          <w:rFonts w:ascii="Times New Roman" w:eastAsia="Segoe UI" w:hAnsi="Times New Roman" w:cs="Times New Roman"/>
          <w:color w:val="0F1115"/>
          <w:sz w:val="24"/>
          <w:shd w:val="clear" w:color="auto" w:fill="FFFFFF"/>
        </w:rPr>
      </w:pPr>
    </w:p>
    <w:p w14:paraId="7C62E194" w14:textId="77777777" w:rsidR="00830537" w:rsidRDefault="00B97722" w:rsidP="00E80D6D">
      <w:pPr>
        <w:snapToGrid w:val="0"/>
        <w:rPr>
          <w:rFonts w:ascii="Times New Roman" w:eastAsia="Segoe UI" w:hAnsi="Times New Roman" w:cs="Times New Roman"/>
          <w:color w:val="0F1115"/>
          <w:sz w:val="24"/>
          <w:shd w:val="clear" w:color="auto" w:fill="FFFFFF"/>
        </w:rPr>
      </w:pPr>
      <w:r>
        <w:rPr>
          <w:rFonts w:ascii="Times New Roman" w:eastAsia="Segoe UI" w:hAnsi="Times New Roman" w:cs="Times New Roman"/>
          <w:b/>
          <w:bCs/>
          <w:color w:val="0F1115"/>
          <w:sz w:val="24"/>
          <w:shd w:val="clear" w:color="auto" w:fill="FFFFFF"/>
        </w:rPr>
        <w:t>Table 2</w:t>
      </w:r>
      <w:r>
        <w:rPr>
          <w:rFonts w:ascii="Times New Roman" w:eastAsia="SimSun" w:hAnsi="Times New Roman" w:cs="Times New Roman" w:hint="eastAsia"/>
          <w:b/>
          <w:bCs/>
          <w:color w:val="0F1115"/>
          <w:sz w:val="24"/>
          <w:shd w:val="clear" w:color="auto" w:fill="FFFFFF"/>
        </w:rPr>
        <w:t>.</w:t>
      </w:r>
      <w:r>
        <w:rPr>
          <w:rFonts w:ascii="Times New Roman" w:eastAsia="Segoe UI" w:hAnsi="Times New Roman" w:cs="Times New Roman"/>
          <w:color w:val="0F1115"/>
          <w:sz w:val="24"/>
          <w:shd w:val="clear" w:color="auto" w:fill="FFFFFF"/>
        </w:rPr>
        <w:t xml:space="preserve"> Comparison of 25(OH)D and PTH </w:t>
      </w:r>
      <w:r>
        <w:rPr>
          <w:rFonts w:ascii="Times New Roman" w:eastAsia="SimSun" w:hAnsi="Times New Roman" w:cs="Times New Roman" w:hint="eastAsia"/>
          <w:color w:val="0F1115"/>
          <w:sz w:val="24"/>
          <w:shd w:val="clear" w:color="auto" w:fill="FFFFFF"/>
        </w:rPr>
        <w:t>l</w:t>
      </w:r>
      <w:r>
        <w:rPr>
          <w:rFonts w:ascii="Times New Roman" w:eastAsia="Segoe UI" w:hAnsi="Times New Roman" w:cs="Times New Roman"/>
          <w:color w:val="0F1115"/>
          <w:sz w:val="24"/>
          <w:shd w:val="clear" w:color="auto" w:fill="FFFFFF"/>
        </w:rPr>
        <w:t xml:space="preserve">evels </w:t>
      </w:r>
      <w:r>
        <w:rPr>
          <w:rFonts w:ascii="Times New Roman" w:eastAsia="SimSun" w:hAnsi="Times New Roman" w:cs="Times New Roman" w:hint="eastAsia"/>
          <w:color w:val="0F1115"/>
          <w:sz w:val="24"/>
          <w:shd w:val="clear" w:color="auto" w:fill="FFFFFF"/>
        </w:rPr>
        <w:t>b</w:t>
      </w:r>
      <w:r>
        <w:rPr>
          <w:rFonts w:ascii="Times New Roman" w:eastAsia="Segoe UI" w:hAnsi="Times New Roman" w:cs="Times New Roman"/>
          <w:color w:val="0F1115"/>
          <w:sz w:val="24"/>
          <w:shd w:val="clear" w:color="auto" w:fill="FFFFFF"/>
        </w:rPr>
        <w:t xml:space="preserve">etween the </w:t>
      </w:r>
      <w:r>
        <w:rPr>
          <w:rFonts w:ascii="Times New Roman" w:eastAsia="SimSun" w:hAnsi="Times New Roman" w:cs="Times New Roman" w:hint="eastAsia"/>
          <w:color w:val="0F1115"/>
          <w:sz w:val="24"/>
          <w:shd w:val="clear" w:color="auto" w:fill="FFFFFF"/>
        </w:rPr>
        <w:t>t</w:t>
      </w:r>
      <w:r>
        <w:rPr>
          <w:rFonts w:ascii="Times New Roman" w:eastAsia="Segoe UI" w:hAnsi="Times New Roman" w:cs="Times New Roman"/>
          <w:color w:val="0F1115"/>
          <w:sz w:val="24"/>
          <w:shd w:val="clear" w:color="auto" w:fill="FFFFFF"/>
        </w:rPr>
        <w:t xml:space="preserve">wo </w:t>
      </w:r>
      <w:r>
        <w:rPr>
          <w:rFonts w:ascii="Times New Roman" w:eastAsia="SimSun" w:hAnsi="Times New Roman" w:cs="Times New Roman" w:hint="eastAsia"/>
          <w:color w:val="0F1115"/>
          <w:sz w:val="24"/>
          <w:shd w:val="clear" w:color="auto" w:fill="FFFFFF"/>
        </w:rPr>
        <w:t>g</w:t>
      </w:r>
      <w:r>
        <w:rPr>
          <w:rFonts w:ascii="Times New Roman" w:eastAsia="Segoe UI" w:hAnsi="Times New Roman" w:cs="Times New Roman"/>
          <w:color w:val="0F1115"/>
          <w:sz w:val="24"/>
          <w:shd w:val="clear" w:color="auto" w:fill="FFFFFF"/>
        </w:rPr>
        <w:t>roups (</w:t>
      </w:r>
      <w:r>
        <w:rPr>
          <w:rFonts w:ascii="Times New Roman" w:eastAsia="SimSun" w:hAnsi="Times New Roman" w:cs="Times New Roman"/>
          <w:color w:val="0000FF"/>
          <w:position w:val="-6"/>
          <w:sz w:val="24"/>
        </w:rPr>
        <w:object w:dxaOrig="220" w:dyaOrig="270" w14:anchorId="7B16DD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3.2pt" o:ole="">
            <v:imagedata r:id="rId4" o:title=""/>
          </v:shape>
          <o:OLEObject Type="Embed" ProgID="Equation.DSMT4" ShapeID="_x0000_i1025" DrawAspect="Content" ObjectID="_1846924116" r:id="rId5"/>
        </w:object>
      </w:r>
      <w:r>
        <w:rPr>
          <w:rFonts w:ascii="Times New Roman" w:hAnsi="Times New Roman"/>
          <w:sz w:val="24"/>
        </w:rPr>
        <w:t>± s</w:t>
      </w:r>
      <w:r>
        <w:rPr>
          <w:rFonts w:ascii="Times New Roman" w:eastAsia="Segoe UI" w:hAnsi="Times New Roman" w:cs="Times New Roman"/>
          <w:color w:val="0F1115"/>
          <w:sz w:val="24"/>
          <w:shd w:val="clear" w:color="auto" w:fill="FFFFFF"/>
        </w:rPr>
        <w:t>)</w:t>
      </w:r>
    </w:p>
    <w:tbl>
      <w:tblPr>
        <w:tblStyle w:val="TableGrid"/>
        <w:tblW w:w="4998" w:type="pct"/>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5533"/>
        <w:gridCol w:w="2328"/>
        <w:gridCol w:w="1773"/>
      </w:tblGrid>
      <w:tr w:rsidR="00830537" w14:paraId="4F5A3037" w14:textId="77777777" w:rsidTr="00E80D6D">
        <w:trPr>
          <w:tblHeader/>
          <w:jc w:val="center"/>
        </w:trPr>
        <w:tc>
          <w:tcPr>
            <w:tcW w:w="2871" w:type="pct"/>
            <w:tcBorders>
              <w:top w:val="single" w:sz="4" w:space="0" w:color="auto"/>
              <w:left w:val="nil"/>
              <w:bottom w:val="nil"/>
              <w:right w:val="nil"/>
            </w:tcBorders>
            <w:tcMar>
              <w:top w:w="-1" w:type="dxa"/>
              <w:left w:w="-1" w:type="dxa"/>
              <w:bottom w:w="-1" w:type="dxa"/>
              <w:right w:w="-1" w:type="dxa"/>
            </w:tcMar>
            <w:vAlign w:val="center"/>
          </w:tcPr>
          <w:p w14:paraId="7874E8CB" w14:textId="77777777" w:rsidR="00830537" w:rsidRDefault="00B97722" w:rsidP="00E80D6D">
            <w:pPr>
              <w:pStyle w:val="NormalWeb"/>
              <w:widowControl/>
              <w:snapToGrid w:val="0"/>
              <w:jc w:val="left"/>
              <w:rPr>
                <w:rFonts w:ascii="Times New Roman" w:hAnsi="Times New Roman" w:cs="Times New Roman"/>
                <w:b/>
                <w:bCs/>
              </w:rPr>
            </w:pPr>
            <w:r>
              <w:rPr>
                <w:rFonts w:ascii="Times New Roman" w:eastAsia="Segoe UI" w:hAnsi="Times New Roman" w:cs="Times New Roman"/>
                <w:b/>
                <w:bCs/>
                <w:color w:val="0F1115"/>
                <w:shd w:val="clear" w:color="auto" w:fill="FFFFFF"/>
              </w:rPr>
              <w:lastRenderedPageBreak/>
              <w:t>Group</w:t>
            </w:r>
          </w:p>
        </w:tc>
        <w:tc>
          <w:tcPr>
            <w:tcW w:w="1208" w:type="pct"/>
            <w:tcBorders>
              <w:top w:val="single" w:sz="4" w:space="0" w:color="auto"/>
              <w:left w:val="nil"/>
              <w:bottom w:val="nil"/>
              <w:right w:val="nil"/>
            </w:tcBorders>
            <w:tcMar>
              <w:top w:w="-1" w:type="dxa"/>
              <w:left w:w="-1" w:type="dxa"/>
              <w:bottom w:w="-1" w:type="dxa"/>
              <w:right w:w="-1" w:type="dxa"/>
            </w:tcMar>
            <w:vAlign w:val="center"/>
          </w:tcPr>
          <w:p w14:paraId="3813A1AB" w14:textId="04B19DCE" w:rsidR="00830537" w:rsidRDefault="00B97722" w:rsidP="009E22F3">
            <w:pPr>
              <w:pStyle w:val="NormalWeb"/>
              <w:widowControl/>
              <w:snapToGrid w:val="0"/>
              <w:jc w:val="center"/>
              <w:rPr>
                <w:rFonts w:ascii="Times New Roman" w:hAnsi="Times New Roman" w:cs="Times New Roman"/>
                <w:b/>
                <w:bCs/>
              </w:rPr>
            </w:pPr>
            <w:r>
              <w:rPr>
                <w:rFonts w:ascii="Times New Roman" w:eastAsia="Segoe UI" w:hAnsi="Times New Roman" w:cs="Times New Roman"/>
                <w:b/>
                <w:bCs/>
                <w:color w:val="0F1115"/>
                <w:shd w:val="clear" w:color="auto" w:fill="FFFFFF"/>
              </w:rPr>
              <w:t>25(OH)D (ng/m</w:t>
            </w:r>
            <w:r w:rsidR="009E22F3">
              <w:rPr>
                <w:rFonts w:ascii="Times New Roman" w:eastAsia="Segoe UI" w:hAnsi="Times New Roman" w:cs="Times New Roman"/>
                <w:b/>
                <w:bCs/>
                <w:color w:val="0F1115"/>
                <w:shd w:val="clear" w:color="auto" w:fill="FFFFFF"/>
              </w:rPr>
              <w:t>L</w:t>
            </w:r>
            <w:r>
              <w:rPr>
                <w:rFonts w:ascii="Times New Roman" w:eastAsia="Segoe UI" w:hAnsi="Times New Roman" w:cs="Times New Roman"/>
                <w:b/>
                <w:bCs/>
                <w:color w:val="0F1115"/>
                <w:shd w:val="clear" w:color="auto" w:fill="FFFFFF"/>
              </w:rPr>
              <w:t>)</w:t>
            </w:r>
          </w:p>
        </w:tc>
        <w:tc>
          <w:tcPr>
            <w:tcW w:w="920" w:type="pct"/>
            <w:tcBorders>
              <w:top w:val="single" w:sz="4" w:space="0" w:color="auto"/>
              <w:left w:val="nil"/>
              <w:bottom w:val="nil"/>
              <w:right w:val="nil"/>
            </w:tcBorders>
            <w:tcMar>
              <w:top w:w="-1" w:type="dxa"/>
              <w:left w:w="-1" w:type="dxa"/>
              <w:bottom w:w="-1" w:type="dxa"/>
              <w:right w:w="-1" w:type="dxa"/>
            </w:tcMar>
            <w:vAlign w:val="center"/>
          </w:tcPr>
          <w:p w14:paraId="642DE294" w14:textId="2CFF9505" w:rsidR="00830537" w:rsidRDefault="00B97722" w:rsidP="009E22F3">
            <w:pPr>
              <w:pStyle w:val="NormalWeb"/>
              <w:widowControl/>
              <w:snapToGrid w:val="0"/>
              <w:jc w:val="center"/>
              <w:rPr>
                <w:rFonts w:ascii="Times New Roman" w:hAnsi="Times New Roman" w:cs="Times New Roman"/>
                <w:b/>
                <w:bCs/>
              </w:rPr>
            </w:pPr>
            <w:r>
              <w:rPr>
                <w:rFonts w:ascii="Times New Roman" w:eastAsia="Segoe UI" w:hAnsi="Times New Roman" w:cs="Times New Roman"/>
                <w:b/>
                <w:bCs/>
                <w:color w:val="0F1115"/>
                <w:shd w:val="clear" w:color="auto" w:fill="FFFFFF"/>
              </w:rPr>
              <w:t>PTH (</w:t>
            </w:r>
            <w:proofErr w:type="spellStart"/>
            <w:r>
              <w:rPr>
                <w:rFonts w:ascii="Times New Roman" w:eastAsia="Segoe UI" w:hAnsi="Times New Roman" w:cs="Times New Roman"/>
                <w:b/>
                <w:bCs/>
                <w:color w:val="0F1115"/>
                <w:shd w:val="clear" w:color="auto" w:fill="FFFFFF"/>
              </w:rPr>
              <w:t>pg</w:t>
            </w:r>
            <w:proofErr w:type="spellEnd"/>
            <w:r>
              <w:rPr>
                <w:rFonts w:ascii="Times New Roman" w:eastAsia="Segoe UI" w:hAnsi="Times New Roman" w:cs="Times New Roman"/>
                <w:b/>
                <w:bCs/>
                <w:color w:val="0F1115"/>
                <w:shd w:val="clear" w:color="auto" w:fill="FFFFFF"/>
              </w:rPr>
              <w:t>/m</w:t>
            </w:r>
            <w:r w:rsidR="009E22F3">
              <w:rPr>
                <w:rFonts w:ascii="Times New Roman" w:eastAsia="Segoe UI" w:hAnsi="Times New Roman" w:cs="Times New Roman"/>
                <w:b/>
                <w:bCs/>
                <w:color w:val="0F1115"/>
                <w:shd w:val="clear" w:color="auto" w:fill="FFFFFF"/>
              </w:rPr>
              <w:t>L</w:t>
            </w:r>
            <w:r>
              <w:rPr>
                <w:rFonts w:ascii="Times New Roman" w:eastAsia="Segoe UI" w:hAnsi="Times New Roman" w:cs="Times New Roman"/>
                <w:b/>
                <w:bCs/>
                <w:color w:val="0F1115"/>
                <w:shd w:val="clear" w:color="auto" w:fill="FFFFFF"/>
              </w:rPr>
              <w:t>)</w:t>
            </w:r>
          </w:p>
        </w:tc>
      </w:tr>
      <w:tr w:rsidR="00830537" w14:paraId="41D32832" w14:textId="77777777">
        <w:trPr>
          <w:tblHeader/>
          <w:jc w:val="center"/>
        </w:trPr>
        <w:tc>
          <w:tcPr>
            <w:tcW w:w="2871" w:type="pct"/>
            <w:tcBorders>
              <w:top w:val="single" w:sz="4" w:space="0" w:color="auto"/>
              <w:left w:val="nil"/>
              <w:bottom w:val="nil"/>
              <w:right w:val="nil"/>
            </w:tcBorders>
            <w:tcMar>
              <w:top w:w="-1" w:type="dxa"/>
              <w:left w:w="-1" w:type="dxa"/>
              <w:bottom w:w="-1" w:type="dxa"/>
              <w:right w:w="-1" w:type="dxa"/>
            </w:tcMar>
            <w:vAlign w:val="center"/>
          </w:tcPr>
          <w:p w14:paraId="51F88FC3" w14:textId="7D18F171" w:rsidR="00830537" w:rsidRDefault="00B97722" w:rsidP="00E80D6D">
            <w:pPr>
              <w:pStyle w:val="NormalWeb"/>
              <w:widowControl/>
              <w:snapToGrid w:val="0"/>
              <w:jc w:val="left"/>
              <w:rPr>
                <w:rFonts w:ascii="Times New Roman" w:hAnsi="Times New Roman" w:cs="Times New Roman"/>
              </w:rPr>
            </w:pPr>
            <w:r>
              <w:rPr>
                <w:rFonts w:ascii="Times New Roman" w:eastAsia="Segoe UI" w:hAnsi="Times New Roman" w:cs="Times New Roman"/>
                <w:color w:val="0F1115"/>
                <w:shd w:val="clear" w:color="auto" w:fill="FFFFFF"/>
              </w:rPr>
              <w:t>Skeletal dysplasia group (n</w:t>
            </w:r>
            <w:r w:rsidR="009E22F3">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w:t>
            </w:r>
            <w:r w:rsidR="009E22F3">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31)</w:t>
            </w:r>
          </w:p>
        </w:tc>
        <w:tc>
          <w:tcPr>
            <w:tcW w:w="1208" w:type="pct"/>
            <w:tcBorders>
              <w:top w:val="single" w:sz="4" w:space="0" w:color="auto"/>
              <w:left w:val="nil"/>
              <w:bottom w:val="nil"/>
              <w:right w:val="nil"/>
            </w:tcBorders>
            <w:tcMar>
              <w:top w:w="-1" w:type="dxa"/>
              <w:left w:w="-1" w:type="dxa"/>
              <w:bottom w:w="-1" w:type="dxa"/>
              <w:right w:w="-1" w:type="dxa"/>
            </w:tcMar>
            <w:vAlign w:val="center"/>
          </w:tcPr>
          <w:p w14:paraId="47B00741" w14:textId="389CA185" w:rsidR="00830537" w:rsidRDefault="00B97722" w:rsidP="009E22F3">
            <w:pPr>
              <w:pStyle w:val="NormalWeb"/>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27.26</w:t>
            </w:r>
            <w:r w:rsidR="009E22F3">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w:t>
            </w:r>
            <w:r w:rsidR="009E22F3">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4.26</w:t>
            </w:r>
          </w:p>
        </w:tc>
        <w:tc>
          <w:tcPr>
            <w:tcW w:w="920" w:type="pct"/>
            <w:tcBorders>
              <w:top w:val="single" w:sz="4" w:space="0" w:color="auto"/>
              <w:left w:val="nil"/>
              <w:bottom w:val="nil"/>
              <w:right w:val="nil"/>
            </w:tcBorders>
            <w:tcMar>
              <w:top w:w="-1" w:type="dxa"/>
              <w:left w:w="-1" w:type="dxa"/>
              <w:bottom w:w="-1" w:type="dxa"/>
              <w:right w:w="-1" w:type="dxa"/>
            </w:tcMar>
            <w:vAlign w:val="center"/>
          </w:tcPr>
          <w:p w14:paraId="4713132B" w14:textId="65F8C9F5" w:rsidR="00830537" w:rsidRDefault="00B97722" w:rsidP="009E22F3">
            <w:pPr>
              <w:pStyle w:val="NormalWeb"/>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66.96</w:t>
            </w:r>
            <w:r w:rsidR="009E22F3">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w:t>
            </w:r>
            <w:r w:rsidR="009E22F3">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5.26</w:t>
            </w:r>
          </w:p>
        </w:tc>
      </w:tr>
      <w:tr w:rsidR="00830537" w14:paraId="64BAB97B" w14:textId="77777777">
        <w:trPr>
          <w:tblHeader/>
          <w:jc w:val="center"/>
        </w:trPr>
        <w:tc>
          <w:tcPr>
            <w:tcW w:w="2871" w:type="pct"/>
            <w:tcBorders>
              <w:top w:val="nil"/>
              <w:left w:val="nil"/>
              <w:bottom w:val="nil"/>
              <w:right w:val="nil"/>
            </w:tcBorders>
            <w:tcMar>
              <w:top w:w="-1" w:type="dxa"/>
              <w:left w:w="-1" w:type="dxa"/>
              <w:bottom w:w="-1" w:type="dxa"/>
              <w:right w:w="-1" w:type="dxa"/>
            </w:tcMar>
            <w:vAlign w:val="center"/>
          </w:tcPr>
          <w:p w14:paraId="5CB9DC41" w14:textId="539B5842" w:rsidR="00830537" w:rsidRDefault="00B97722" w:rsidP="00E80D6D">
            <w:pPr>
              <w:pStyle w:val="NormalWeb"/>
              <w:widowControl/>
              <w:snapToGrid w:val="0"/>
              <w:jc w:val="left"/>
              <w:rPr>
                <w:rFonts w:ascii="Times New Roman" w:hAnsi="Times New Roman" w:cs="Times New Roman"/>
              </w:rPr>
            </w:pPr>
            <w:r>
              <w:rPr>
                <w:rFonts w:ascii="Times New Roman" w:eastAsia="Segoe UI" w:hAnsi="Times New Roman" w:cs="Times New Roman"/>
                <w:color w:val="0F1115"/>
                <w:shd w:val="clear" w:color="auto" w:fill="FFFFFF"/>
              </w:rPr>
              <w:t>Normal skeletal development group (n</w:t>
            </w:r>
            <w:r w:rsidR="009E22F3">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w:t>
            </w:r>
            <w:r w:rsidR="009E22F3">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54)</w:t>
            </w:r>
          </w:p>
        </w:tc>
        <w:tc>
          <w:tcPr>
            <w:tcW w:w="1208" w:type="pct"/>
            <w:tcBorders>
              <w:top w:val="nil"/>
              <w:left w:val="nil"/>
              <w:bottom w:val="nil"/>
              <w:right w:val="nil"/>
            </w:tcBorders>
            <w:tcMar>
              <w:top w:w="-1" w:type="dxa"/>
              <w:left w:w="-1" w:type="dxa"/>
              <w:bottom w:w="-1" w:type="dxa"/>
              <w:right w:w="-1" w:type="dxa"/>
            </w:tcMar>
            <w:vAlign w:val="center"/>
          </w:tcPr>
          <w:p w14:paraId="61439E80" w14:textId="7987B074" w:rsidR="00830537" w:rsidRDefault="00B97722" w:rsidP="009E22F3">
            <w:pPr>
              <w:pStyle w:val="NormalWeb"/>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33.63</w:t>
            </w:r>
            <w:r w:rsidR="009E22F3">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w:t>
            </w:r>
            <w:r w:rsidR="009E22F3">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5.26</w:t>
            </w:r>
          </w:p>
        </w:tc>
        <w:tc>
          <w:tcPr>
            <w:tcW w:w="920" w:type="pct"/>
            <w:tcBorders>
              <w:top w:val="nil"/>
              <w:left w:val="nil"/>
              <w:bottom w:val="nil"/>
              <w:right w:val="nil"/>
            </w:tcBorders>
            <w:tcMar>
              <w:top w:w="-1" w:type="dxa"/>
              <w:left w:w="-1" w:type="dxa"/>
              <w:bottom w:w="-1" w:type="dxa"/>
              <w:right w:w="-1" w:type="dxa"/>
            </w:tcMar>
            <w:vAlign w:val="center"/>
          </w:tcPr>
          <w:p w14:paraId="7A247C1F" w14:textId="470AFAEA" w:rsidR="00830537" w:rsidRDefault="00B97722" w:rsidP="009E22F3">
            <w:pPr>
              <w:pStyle w:val="NormalWeb"/>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54.26</w:t>
            </w:r>
            <w:r w:rsidR="009E22F3">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w:t>
            </w:r>
            <w:r w:rsidR="009E22F3">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4.11</w:t>
            </w:r>
          </w:p>
        </w:tc>
      </w:tr>
      <w:tr w:rsidR="00830537" w14:paraId="5858B6BD" w14:textId="77777777" w:rsidTr="00E80D6D">
        <w:trPr>
          <w:tblHeader/>
          <w:jc w:val="center"/>
        </w:trPr>
        <w:tc>
          <w:tcPr>
            <w:tcW w:w="2871" w:type="pct"/>
            <w:tcBorders>
              <w:top w:val="nil"/>
              <w:left w:val="nil"/>
              <w:bottom w:val="nil"/>
              <w:right w:val="nil"/>
            </w:tcBorders>
            <w:tcMar>
              <w:top w:w="-1" w:type="dxa"/>
              <w:left w:w="-1" w:type="dxa"/>
              <w:bottom w:w="-1" w:type="dxa"/>
              <w:right w:w="-1" w:type="dxa"/>
            </w:tcMar>
            <w:vAlign w:val="center"/>
          </w:tcPr>
          <w:p w14:paraId="6A6A8636" w14:textId="77777777" w:rsidR="00830537" w:rsidRDefault="00B97722" w:rsidP="00E80D6D">
            <w:pPr>
              <w:pStyle w:val="NormalWeb"/>
              <w:widowControl/>
              <w:snapToGrid w:val="0"/>
              <w:jc w:val="left"/>
              <w:rPr>
                <w:rFonts w:ascii="Times New Roman" w:hAnsi="Times New Roman" w:cs="Times New Roman"/>
                <w:i/>
                <w:iCs/>
              </w:rPr>
            </w:pPr>
            <w:r>
              <w:rPr>
                <w:rFonts w:ascii="Times New Roman" w:eastAsia="Segoe UI" w:hAnsi="Times New Roman" w:cs="Times New Roman"/>
                <w:i/>
                <w:iCs/>
                <w:color w:val="0F1115"/>
                <w:shd w:val="clear" w:color="auto" w:fill="FFFFFF"/>
              </w:rPr>
              <w:t>t</w:t>
            </w:r>
          </w:p>
        </w:tc>
        <w:tc>
          <w:tcPr>
            <w:tcW w:w="1208" w:type="pct"/>
            <w:tcBorders>
              <w:top w:val="nil"/>
              <w:left w:val="nil"/>
              <w:bottom w:val="nil"/>
              <w:right w:val="nil"/>
            </w:tcBorders>
            <w:tcMar>
              <w:top w:w="-1" w:type="dxa"/>
              <w:left w:w="-1" w:type="dxa"/>
              <w:bottom w:w="-1" w:type="dxa"/>
              <w:right w:w="-1" w:type="dxa"/>
            </w:tcMar>
            <w:vAlign w:val="center"/>
          </w:tcPr>
          <w:p w14:paraId="13ABC05A" w14:textId="77777777" w:rsidR="00830537" w:rsidRDefault="00B97722" w:rsidP="009E22F3">
            <w:pPr>
              <w:pStyle w:val="NormalWeb"/>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5.743</w:t>
            </w:r>
          </w:p>
        </w:tc>
        <w:tc>
          <w:tcPr>
            <w:tcW w:w="920" w:type="pct"/>
            <w:tcBorders>
              <w:top w:val="nil"/>
              <w:left w:val="nil"/>
              <w:bottom w:val="nil"/>
              <w:right w:val="nil"/>
            </w:tcBorders>
            <w:tcMar>
              <w:top w:w="-1" w:type="dxa"/>
              <w:left w:w="-1" w:type="dxa"/>
              <w:bottom w:w="-1" w:type="dxa"/>
              <w:right w:w="-1" w:type="dxa"/>
            </w:tcMar>
            <w:vAlign w:val="center"/>
          </w:tcPr>
          <w:p w14:paraId="3EFF0467" w14:textId="77777777" w:rsidR="00830537" w:rsidRDefault="00B97722" w:rsidP="009E22F3">
            <w:pPr>
              <w:pStyle w:val="NormalWeb"/>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12.362</w:t>
            </w:r>
          </w:p>
        </w:tc>
      </w:tr>
      <w:tr w:rsidR="00830537" w14:paraId="2D832E7B" w14:textId="77777777" w:rsidTr="00E80D6D">
        <w:trPr>
          <w:tblHeader/>
          <w:jc w:val="center"/>
        </w:trPr>
        <w:tc>
          <w:tcPr>
            <w:tcW w:w="2871" w:type="pct"/>
            <w:tcBorders>
              <w:top w:val="nil"/>
              <w:left w:val="nil"/>
              <w:bottom w:val="single" w:sz="4" w:space="0" w:color="auto"/>
              <w:right w:val="nil"/>
            </w:tcBorders>
            <w:tcMar>
              <w:top w:w="-1" w:type="dxa"/>
              <w:left w:w="-1" w:type="dxa"/>
              <w:bottom w:w="-1" w:type="dxa"/>
              <w:right w:w="-1" w:type="dxa"/>
            </w:tcMar>
            <w:vAlign w:val="center"/>
          </w:tcPr>
          <w:p w14:paraId="5E6749E6" w14:textId="6404A899" w:rsidR="00830537" w:rsidRDefault="009E22F3" w:rsidP="00E80D6D">
            <w:pPr>
              <w:pStyle w:val="NormalWeb"/>
              <w:widowControl/>
              <w:snapToGrid w:val="0"/>
              <w:jc w:val="left"/>
              <w:rPr>
                <w:rFonts w:ascii="Times New Roman" w:hAnsi="Times New Roman" w:cs="Times New Roman"/>
                <w:i/>
                <w:iCs/>
              </w:rPr>
            </w:pPr>
            <w:r>
              <w:rPr>
                <w:rFonts w:ascii="Times New Roman" w:eastAsia="Segoe UI" w:hAnsi="Times New Roman" w:cs="Times New Roman"/>
                <w:i/>
                <w:iCs/>
                <w:color w:val="0F1115"/>
                <w:shd w:val="clear" w:color="auto" w:fill="FFFFFF"/>
              </w:rPr>
              <w:t>p</w:t>
            </w:r>
          </w:p>
        </w:tc>
        <w:tc>
          <w:tcPr>
            <w:tcW w:w="1208" w:type="pct"/>
            <w:tcBorders>
              <w:top w:val="nil"/>
              <w:left w:val="nil"/>
              <w:bottom w:val="single" w:sz="4" w:space="0" w:color="auto"/>
              <w:right w:val="nil"/>
            </w:tcBorders>
            <w:tcMar>
              <w:top w:w="-1" w:type="dxa"/>
              <w:left w:w="-1" w:type="dxa"/>
              <w:bottom w:w="-1" w:type="dxa"/>
              <w:right w:w="-1" w:type="dxa"/>
            </w:tcMar>
            <w:vAlign w:val="center"/>
          </w:tcPr>
          <w:p w14:paraId="3B8AE335" w14:textId="1F84DA81" w:rsidR="00830537" w:rsidRDefault="00B97722" w:rsidP="009E22F3">
            <w:pPr>
              <w:pStyle w:val="NormalWeb"/>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&lt;</w:t>
            </w:r>
            <w:r w:rsidR="009E22F3">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0.001</w:t>
            </w:r>
          </w:p>
        </w:tc>
        <w:tc>
          <w:tcPr>
            <w:tcW w:w="920" w:type="pct"/>
            <w:tcBorders>
              <w:top w:val="nil"/>
              <w:left w:val="nil"/>
              <w:bottom w:val="single" w:sz="4" w:space="0" w:color="auto"/>
              <w:right w:val="nil"/>
            </w:tcBorders>
            <w:tcMar>
              <w:top w:w="-1" w:type="dxa"/>
              <w:left w:w="-1" w:type="dxa"/>
              <w:bottom w:w="-1" w:type="dxa"/>
              <w:right w:w="-1" w:type="dxa"/>
            </w:tcMar>
            <w:vAlign w:val="center"/>
          </w:tcPr>
          <w:p w14:paraId="5A3B3C3F" w14:textId="5CC34FBE" w:rsidR="00830537" w:rsidRDefault="00B97722" w:rsidP="009E22F3">
            <w:pPr>
              <w:pStyle w:val="NormalWeb"/>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&lt;</w:t>
            </w:r>
            <w:r w:rsidR="009E22F3">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0.001</w:t>
            </w:r>
          </w:p>
        </w:tc>
      </w:tr>
    </w:tbl>
    <w:p w14:paraId="1C9AE640" w14:textId="77777777" w:rsidR="00830537" w:rsidRDefault="00830537" w:rsidP="00E80D6D">
      <w:pPr>
        <w:snapToGrid w:val="0"/>
        <w:rPr>
          <w:rFonts w:ascii="Times New Roman" w:eastAsia="Segoe UI" w:hAnsi="Times New Roman" w:cs="Times New Roman"/>
          <w:color w:val="0F1115"/>
          <w:sz w:val="24"/>
          <w:shd w:val="clear" w:color="auto" w:fill="FFFFFF"/>
        </w:rPr>
      </w:pPr>
    </w:p>
    <w:p w14:paraId="7D7FD640" w14:textId="21C4CFDF" w:rsidR="00830537" w:rsidRDefault="00B97722" w:rsidP="00E80D6D">
      <w:pPr>
        <w:snapToGrid w:val="0"/>
        <w:rPr>
          <w:rFonts w:ascii="Times New Roman" w:eastAsia="Segoe UI" w:hAnsi="Times New Roman" w:cs="Times New Roman"/>
          <w:b/>
          <w:bCs/>
          <w:color w:val="0F1115"/>
          <w:sz w:val="24"/>
          <w:shd w:val="clear" w:color="auto" w:fill="FFFFFF"/>
        </w:rPr>
      </w:pPr>
      <w:r>
        <w:rPr>
          <w:rFonts w:ascii="Times New Roman" w:eastAsia="SimSun" w:hAnsi="Times New Roman" w:cs="Times New Roman" w:hint="eastAsia"/>
          <w:b/>
          <w:bCs/>
          <w:color w:val="0F1115"/>
          <w:sz w:val="24"/>
          <w:shd w:val="clear" w:color="auto" w:fill="FFFFFF"/>
        </w:rPr>
        <w:t>3</w:t>
      </w:r>
      <w:r>
        <w:rPr>
          <w:rFonts w:ascii="Times New Roman" w:eastAsia="Segoe UI" w:hAnsi="Times New Roman" w:cs="Times New Roman"/>
          <w:b/>
          <w:bCs/>
          <w:color w:val="0F1115"/>
          <w:sz w:val="24"/>
          <w:shd w:val="clear" w:color="auto" w:fill="FFFFFF"/>
        </w:rPr>
        <w:t>.4</w:t>
      </w:r>
      <w:r>
        <w:rPr>
          <w:rFonts w:ascii="Times New Roman" w:eastAsia="SimSun" w:hAnsi="Times New Roman" w:cs="Times New Roman" w:hint="eastAsia"/>
          <w:b/>
          <w:bCs/>
          <w:color w:val="0F1115"/>
          <w:sz w:val="24"/>
          <w:shd w:val="clear" w:color="auto" w:fill="FFFFFF"/>
        </w:rPr>
        <w:t>.</w:t>
      </w:r>
      <w:r>
        <w:rPr>
          <w:rFonts w:ascii="Times New Roman" w:eastAsia="Segoe UI" w:hAnsi="Times New Roman" w:cs="Times New Roman"/>
          <w:b/>
          <w:bCs/>
          <w:color w:val="0F1115"/>
          <w:sz w:val="24"/>
          <w:shd w:val="clear" w:color="auto" w:fill="FFFFFF"/>
        </w:rPr>
        <w:t xml:space="preserve"> Multivariate </w:t>
      </w:r>
      <w:r>
        <w:rPr>
          <w:rFonts w:ascii="Times New Roman" w:eastAsia="SimSun" w:hAnsi="Times New Roman" w:cs="Times New Roman" w:hint="eastAsia"/>
          <w:b/>
          <w:bCs/>
          <w:color w:val="0F1115"/>
          <w:sz w:val="24"/>
          <w:shd w:val="clear" w:color="auto" w:fill="FFFFFF"/>
        </w:rPr>
        <w:t>l</w:t>
      </w:r>
      <w:r>
        <w:rPr>
          <w:rFonts w:ascii="Times New Roman" w:eastAsia="Segoe UI" w:hAnsi="Times New Roman" w:cs="Times New Roman"/>
          <w:b/>
          <w:bCs/>
          <w:color w:val="0F1115"/>
          <w:sz w:val="24"/>
          <w:shd w:val="clear" w:color="auto" w:fill="FFFFFF"/>
        </w:rPr>
        <w:t xml:space="preserve">ogistic </w:t>
      </w:r>
      <w:r>
        <w:rPr>
          <w:rFonts w:ascii="Times New Roman" w:eastAsia="SimSun" w:hAnsi="Times New Roman" w:cs="Times New Roman" w:hint="eastAsia"/>
          <w:b/>
          <w:bCs/>
          <w:color w:val="0F1115"/>
          <w:sz w:val="24"/>
          <w:shd w:val="clear" w:color="auto" w:fill="FFFFFF"/>
        </w:rPr>
        <w:t>a</w:t>
      </w:r>
      <w:r>
        <w:rPr>
          <w:rFonts w:ascii="Times New Roman" w:eastAsia="Segoe UI" w:hAnsi="Times New Roman" w:cs="Times New Roman"/>
          <w:b/>
          <w:bCs/>
          <w:color w:val="0F1115"/>
          <w:sz w:val="24"/>
          <w:shd w:val="clear" w:color="auto" w:fill="FFFFFF"/>
        </w:rPr>
        <w:t xml:space="preserve">nalysis of </w:t>
      </w:r>
      <w:r>
        <w:rPr>
          <w:rFonts w:ascii="Times New Roman" w:eastAsia="SimSun" w:hAnsi="Times New Roman" w:cs="Times New Roman" w:hint="eastAsia"/>
          <w:b/>
          <w:bCs/>
          <w:color w:val="0F1115"/>
          <w:sz w:val="24"/>
          <w:shd w:val="clear" w:color="auto" w:fill="FFFFFF"/>
        </w:rPr>
        <w:t>f</w:t>
      </w:r>
      <w:r>
        <w:rPr>
          <w:rFonts w:ascii="Times New Roman" w:eastAsia="Segoe UI" w:hAnsi="Times New Roman" w:cs="Times New Roman"/>
          <w:b/>
          <w:bCs/>
          <w:color w:val="0F1115"/>
          <w:sz w:val="24"/>
          <w:shd w:val="clear" w:color="auto" w:fill="FFFFFF"/>
        </w:rPr>
        <w:t xml:space="preserve">actors </w:t>
      </w:r>
      <w:r>
        <w:rPr>
          <w:rFonts w:ascii="Times New Roman" w:eastAsia="SimSun" w:hAnsi="Times New Roman" w:cs="Times New Roman" w:hint="eastAsia"/>
          <w:b/>
          <w:bCs/>
          <w:color w:val="0F1115"/>
          <w:sz w:val="24"/>
          <w:shd w:val="clear" w:color="auto" w:fill="FFFFFF"/>
        </w:rPr>
        <w:t>i</w:t>
      </w:r>
      <w:r>
        <w:rPr>
          <w:rFonts w:ascii="Times New Roman" w:eastAsia="Segoe UI" w:hAnsi="Times New Roman" w:cs="Times New Roman"/>
          <w:b/>
          <w:bCs/>
          <w:color w:val="0F1115"/>
          <w:sz w:val="24"/>
          <w:shd w:val="clear" w:color="auto" w:fill="FFFFFF"/>
        </w:rPr>
        <w:t xml:space="preserve">nfluencing </w:t>
      </w:r>
      <w:r>
        <w:rPr>
          <w:rFonts w:ascii="Times New Roman" w:eastAsia="SimSun" w:hAnsi="Times New Roman" w:cs="Times New Roman" w:hint="eastAsia"/>
          <w:b/>
          <w:bCs/>
          <w:color w:val="0F1115"/>
          <w:sz w:val="24"/>
          <w:shd w:val="clear" w:color="auto" w:fill="FFFFFF"/>
        </w:rPr>
        <w:t>c</w:t>
      </w:r>
      <w:r>
        <w:rPr>
          <w:rFonts w:ascii="Times New Roman" w:eastAsia="Segoe UI" w:hAnsi="Times New Roman" w:cs="Times New Roman"/>
          <w:b/>
          <w:bCs/>
          <w:color w:val="0F1115"/>
          <w:sz w:val="24"/>
          <w:shd w:val="clear" w:color="auto" w:fill="FFFFFF"/>
        </w:rPr>
        <w:t>hildren</w:t>
      </w:r>
      <w:r w:rsidR="009E22F3">
        <w:rPr>
          <w:rFonts w:ascii="Times New Roman" w:eastAsia="SimSun" w:hAnsi="Times New Roman" w:cs="Times New Roman"/>
          <w:b/>
          <w:bCs/>
          <w:color w:val="0F1115"/>
          <w:sz w:val="24"/>
          <w:shd w:val="clear" w:color="auto" w:fill="FFFFFF"/>
        </w:rPr>
        <w:t>’</w:t>
      </w:r>
      <w:r>
        <w:rPr>
          <w:rFonts w:ascii="Times New Roman" w:eastAsia="Segoe UI" w:hAnsi="Times New Roman" w:cs="Times New Roman"/>
          <w:b/>
          <w:bCs/>
          <w:color w:val="0F1115"/>
          <w:sz w:val="24"/>
          <w:shd w:val="clear" w:color="auto" w:fill="FFFFFF"/>
        </w:rPr>
        <w:t xml:space="preserve">s </w:t>
      </w:r>
      <w:r>
        <w:rPr>
          <w:rFonts w:ascii="Times New Roman" w:eastAsia="SimSun" w:hAnsi="Times New Roman" w:cs="Times New Roman" w:hint="eastAsia"/>
          <w:b/>
          <w:bCs/>
          <w:color w:val="0F1115"/>
          <w:sz w:val="24"/>
          <w:shd w:val="clear" w:color="auto" w:fill="FFFFFF"/>
        </w:rPr>
        <w:t>s</w:t>
      </w:r>
      <w:r>
        <w:rPr>
          <w:rFonts w:ascii="Times New Roman" w:eastAsia="Segoe UI" w:hAnsi="Times New Roman" w:cs="Times New Roman"/>
          <w:b/>
          <w:bCs/>
          <w:color w:val="0F1115"/>
          <w:sz w:val="24"/>
          <w:shd w:val="clear" w:color="auto" w:fill="FFFFFF"/>
        </w:rPr>
        <w:t xml:space="preserve">keletal </w:t>
      </w:r>
      <w:r>
        <w:rPr>
          <w:rFonts w:ascii="Times New Roman" w:eastAsia="SimSun" w:hAnsi="Times New Roman" w:cs="Times New Roman" w:hint="eastAsia"/>
          <w:b/>
          <w:bCs/>
          <w:color w:val="0F1115"/>
          <w:sz w:val="24"/>
          <w:shd w:val="clear" w:color="auto" w:fill="FFFFFF"/>
        </w:rPr>
        <w:t>d</w:t>
      </w:r>
      <w:r>
        <w:rPr>
          <w:rFonts w:ascii="Times New Roman" w:eastAsia="Segoe UI" w:hAnsi="Times New Roman" w:cs="Times New Roman"/>
          <w:b/>
          <w:bCs/>
          <w:color w:val="0F1115"/>
          <w:sz w:val="24"/>
          <w:shd w:val="clear" w:color="auto" w:fill="FFFFFF"/>
        </w:rPr>
        <w:t xml:space="preserve">evelopment </w:t>
      </w:r>
    </w:p>
    <w:p w14:paraId="2C4B4D83" w14:textId="77777777" w:rsidR="00830537" w:rsidRDefault="00B97722" w:rsidP="00E80D6D">
      <w:pPr>
        <w:snapToGrid w:val="0"/>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 xml:space="preserve">Children with abnormal skeletal development were designated as the dependent variable (abnormal = 0, normal = 1), while BMI, exercise frequency, dietary habits, 25(OH)D, and PTH were assigned as independent variables. Through multivariate logistic regression analysis, the results indicated that BMI, exercise frequency, dietary habits, 25(OH)D, and PTH were all risk factors for children with abnormal skeletal development (OR values &gt; 1), as shown in </w:t>
      </w:r>
      <w:r>
        <w:rPr>
          <w:rFonts w:ascii="Times New Roman" w:eastAsia="Segoe UI" w:hAnsi="Times New Roman" w:cs="Times New Roman"/>
          <w:b/>
          <w:bCs/>
          <w:color w:val="0F1115"/>
          <w:sz w:val="24"/>
          <w:shd w:val="clear" w:color="auto" w:fill="FFFFFF"/>
        </w:rPr>
        <w:t xml:space="preserve">Table 3 and </w:t>
      </w:r>
      <w:r>
        <w:rPr>
          <w:rFonts w:ascii="Times New Roman" w:eastAsia="SimSun" w:hAnsi="Times New Roman" w:cs="Times New Roman" w:hint="eastAsia"/>
          <w:b/>
          <w:bCs/>
          <w:color w:val="0F1115"/>
          <w:sz w:val="24"/>
          <w:shd w:val="clear" w:color="auto" w:fill="FFFFFF"/>
        </w:rPr>
        <w:t xml:space="preserve">Table </w:t>
      </w:r>
      <w:r>
        <w:rPr>
          <w:rFonts w:ascii="Times New Roman" w:eastAsia="Segoe UI" w:hAnsi="Times New Roman" w:cs="Times New Roman"/>
          <w:b/>
          <w:bCs/>
          <w:color w:val="0F1115"/>
          <w:sz w:val="24"/>
          <w:shd w:val="clear" w:color="auto" w:fill="FFFFFF"/>
        </w:rPr>
        <w:t>4</w:t>
      </w:r>
      <w:r>
        <w:rPr>
          <w:rFonts w:ascii="Times New Roman" w:eastAsia="Segoe UI" w:hAnsi="Times New Roman" w:cs="Times New Roman"/>
          <w:color w:val="0F1115"/>
          <w:sz w:val="24"/>
          <w:shd w:val="clear" w:color="auto" w:fill="FFFFFF"/>
        </w:rPr>
        <w:t xml:space="preserve">. </w:t>
      </w:r>
    </w:p>
    <w:p w14:paraId="5FE96298" w14:textId="77777777" w:rsidR="00830537" w:rsidRDefault="00830537" w:rsidP="00E80D6D">
      <w:pPr>
        <w:snapToGrid w:val="0"/>
        <w:rPr>
          <w:rFonts w:ascii="Times New Roman" w:eastAsia="Segoe UI" w:hAnsi="Times New Roman" w:cs="Times New Roman"/>
          <w:color w:val="0F1115"/>
          <w:sz w:val="24"/>
          <w:shd w:val="clear" w:color="auto" w:fill="FFFFFF"/>
        </w:rPr>
      </w:pPr>
    </w:p>
    <w:p w14:paraId="1778506A" w14:textId="77777777" w:rsidR="00830537" w:rsidRDefault="00B97722" w:rsidP="00E80D6D">
      <w:pPr>
        <w:snapToGrid w:val="0"/>
        <w:rPr>
          <w:rFonts w:ascii="Times New Roman" w:eastAsia="Segoe UI" w:hAnsi="Times New Roman" w:cs="Times New Roman"/>
          <w:color w:val="0F1115"/>
          <w:sz w:val="24"/>
          <w:shd w:val="clear" w:color="auto" w:fill="FFFFFF"/>
        </w:rPr>
      </w:pPr>
      <w:r>
        <w:rPr>
          <w:rFonts w:ascii="Times New Roman" w:eastAsia="Segoe UI" w:hAnsi="Times New Roman" w:cs="Times New Roman"/>
          <w:b/>
          <w:bCs/>
          <w:color w:val="0F1115"/>
          <w:sz w:val="24"/>
          <w:shd w:val="clear" w:color="auto" w:fill="FFFFFF"/>
        </w:rPr>
        <w:t>Table 3</w:t>
      </w:r>
      <w:r>
        <w:rPr>
          <w:rFonts w:ascii="Times New Roman" w:eastAsia="SimSun" w:hAnsi="Times New Roman" w:cs="Times New Roman" w:hint="eastAsia"/>
          <w:b/>
          <w:bCs/>
          <w:color w:val="0F1115"/>
          <w:sz w:val="24"/>
          <w:shd w:val="clear" w:color="auto" w:fill="FFFFFF"/>
        </w:rPr>
        <w:t>.</w:t>
      </w:r>
      <w:r>
        <w:rPr>
          <w:rFonts w:ascii="Times New Roman" w:eastAsia="Segoe UI" w:hAnsi="Times New Roman" w:cs="Times New Roman"/>
          <w:color w:val="0F1115"/>
          <w:sz w:val="24"/>
          <w:shd w:val="clear" w:color="auto" w:fill="FFFFFF"/>
        </w:rPr>
        <w:t xml:space="preserve"> Assignment </w:t>
      </w:r>
      <w:r>
        <w:rPr>
          <w:rFonts w:ascii="Times New Roman" w:eastAsia="SimSun" w:hAnsi="Times New Roman" w:cs="Times New Roman" w:hint="eastAsia"/>
          <w:color w:val="0F1115"/>
          <w:sz w:val="24"/>
          <w:shd w:val="clear" w:color="auto" w:fill="FFFFFF"/>
        </w:rPr>
        <w:t>t</w:t>
      </w:r>
      <w:r>
        <w:rPr>
          <w:rFonts w:ascii="Times New Roman" w:eastAsia="Segoe UI" w:hAnsi="Times New Roman" w:cs="Times New Roman"/>
          <w:color w:val="0F1115"/>
          <w:sz w:val="24"/>
          <w:shd w:val="clear" w:color="auto" w:fill="FFFFFF"/>
        </w:rPr>
        <w:t xml:space="preserve">able for </w:t>
      </w:r>
      <w:r>
        <w:rPr>
          <w:rFonts w:ascii="Times New Roman" w:eastAsia="SimSun" w:hAnsi="Times New Roman" w:cs="Times New Roman" w:hint="eastAsia"/>
          <w:color w:val="0F1115"/>
          <w:sz w:val="24"/>
          <w:shd w:val="clear" w:color="auto" w:fill="FFFFFF"/>
        </w:rPr>
        <w:t>m</w:t>
      </w:r>
      <w:r>
        <w:rPr>
          <w:rFonts w:ascii="Times New Roman" w:eastAsia="Segoe UI" w:hAnsi="Times New Roman" w:cs="Times New Roman"/>
          <w:color w:val="0F1115"/>
          <w:sz w:val="24"/>
          <w:shd w:val="clear" w:color="auto" w:fill="FFFFFF"/>
        </w:rPr>
        <w:t xml:space="preserve">ultivariate </w:t>
      </w:r>
      <w:r>
        <w:rPr>
          <w:rFonts w:ascii="Times New Roman" w:eastAsia="SimSun" w:hAnsi="Times New Roman" w:cs="Times New Roman" w:hint="eastAsia"/>
          <w:color w:val="0F1115"/>
          <w:sz w:val="24"/>
          <w:shd w:val="clear" w:color="auto" w:fill="FFFFFF"/>
        </w:rPr>
        <w:t>v</w:t>
      </w:r>
      <w:r>
        <w:rPr>
          <w:rFonts w:ascii="Times New Roman" w:eastAsia="Segoe UI" w:hAnsi="Times New Roman" w:cs="Times New Roman"/>
          <w:color w:val="0F1115"/>
          <w:sz w:val="24"/>
          <w:shd w:val="clear" w:color="auto" w:fill="FFFFFF"/>
        </w:rPr>
        <w:t>ariables</w:t>
      </w:r>
    </w:p>
    <w:tbl>
      <w:tblPr>
        <w:tblStyle w:val="TableGrid"/>
        <w:tblW w:w="5112" w:type="pct"/>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3601"/>
        <w:gridCol w:w="6253"/>
      </w:tblGrid>
      <w:tr w:rsidR="00830537" w14:paraId="46FC64D5" w14:textId="77777777" w:rsidTr="00E80D6D">
        <w:trPr>
          <w:tblHeader/>
          <w:jc w:val="center"/>
        </w:trPr>
        <w:tc>
          <w:tcPr>
            <w:tcW w:w="1827" w:type="pct"/>
            <w:tcBorders>
              <w:top w:val="single" w:sz="4" w:space="0" w:color="auto"/>
              <w:left w:val="nil"/>
              <w:bottom w:val="nil"/>
              <w:right w:val="nil"/>
            </w:tcBorders>
            <w:tcMar>
              <w:top w:w="-1" w:type="dxa"/>
              <w:left w:w="-1" w:type="dxa"/>
              <w:bottom w:w="-1" w:type="dxa"/>
              <w:right w:w="-1" w:type="dxa"/>
            </w:tcMar>
            <w:vAlign w:val="center"/>
          </w:tcPr>
          <w:p w14:paraId="7DB1BB42" w14:textId="77777777" w:rsidR="00830537" w:rsidRDefault="00B97722" w:rsidP="00E80D6D">
            <w:pPr>
              <w:snapToGrid w:val="0"/>
              <w:jc w:val="left"/>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 xml:space="preserve">Variable </w:t>
            </w:r>
          </w:p>
        </w:tc>
        <w:tc>
          <w:tcPr>
            <w:tcW w:w="3172" w:type="pct"/>
            <w:tcBorders>
              <w:top w:val="single" w:sz="4" w:space="0" w:color="auto"/>
              <w:left w:val="nil"/>
              <w:bottom w:val="nil"/>
              <w:right w:val="nil"/>
            </w:tcBorders>
            <w:tcMar>
              <w:top w:w="-1" w:type="dxa"/>
              <w:left w:w="-1" w:type="dxa"/>
              <w:bottom w:w="-1" w:type="dxa"/>
              <w:right w:w="-1" w:type="dxa"/>
            </w:tcMar>
            <w:vAlign w:val="center"/>
          </w:tcPr>
          <w:p w14:paraId="2669E17E" w14:textId="77777777" w:rsidR="00830537" w:rsidRDefault="00B97722" w:rsidP="009E22F3">
            <w:pPr>
              <w:snapToGrid w:val="0"/>
              <w:jc w:val="center"/>
              <w:rPr>
                <w:rFonts w:ascii="Times New Roman" w:eastAsia="Segoe UI" w:hAnsi="Times New Roman" w:cs="Times New Roman"/>
                <w:b/>
                <w:sz w:val="24"/>
              </w:rPr>
            </w:pPr>
            <w:r>
              <w:rPr>
                <w:rFonts w:ascii="Times New Roman" w:eastAsia="Segoe UI" w:hAnsi="Times New Roman" w:cs="Times New Roman"/>
                <w:b/>
                <w:color w:val="0F1115"/>
                <w:sz w:val="24"/>
                <w:shd w:val="clear" w:color="auto" w:fill="FFFFFF"/>
              </w:rPr>
              <w:t>Assignment</w:t>
            </w:r>
          </w:p>
        </w:tc>
      </w:tr>
      <w:tr w:rsidR="00830537" w14:paraId="560A8923" w14:textId="77777777">
        <w:trPr>
          <w:jc w:val="center"/>
        </w:trPr>
        <w:tc>
          <w:tcPr>
            <w:tcW w:w="1827" w:type="pct"/>
            <w:tcBorders>
              <w:top w:val="single" w:sz="4" w:space="0" w:color="auto"/>
              <w:left w:val="nil"/>
              <w:bottom w:val="nil"/>
              <w:right w:val="nil"/>
            </w:tcBorders>
            <w:tcMar>
              <w:top w:w="-1" w:type="dxa"/>
              <w:left w:w="-1" w:type="dxa"/>
              <w:bottom w:w="-1" w:type="dxa"/>
              <w:right w:w="-1" w:type="dxa"/>
            </w:tcMar>
            <w:vAlign w:val="center"/>
          </w:tcPr>
          <w:p w14:paraId="5BB512D9" w14:textId="77777777" w:rsidR="00830537" w:rsidRDefault="00B97722" w:rsidP="00E80D6D">
            <w:pPr>
              <w:snapToGrid w:val="0"/>
              <w:jc w:val="left"/>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 xml:space="preserve">BMI </w:t>
            </w:r>
          </w:p>
        </w:tc>
        <w:tc>
          <w:tcPr>
            <w:tcW w:w="3172" w:type="pct"/>
            <w:tcBorders>
              <w:top w:val="single" w:sz="4" w:space="0" w:color="auto"/>
              <w:left w:val="nil"/>
              <w:bottom w:val="nil"/>
              <w:right w:val="nil"/>
            </w:tcBorders>
            <w:tcMar>
              <w:top w:w="-1" w:type="dxa"/>
              <w:left w:w="-1" w:type="dxa"/>
              <w:bottom w:w="-1" w:type="dxa"/>
              <w:right w:w="-1" w:type="dxa"/>
            </w:tcMar>
            <w:vAlign w:val="center"/>
          </w:tcPr>
          <w:p w14:paraId="4CA0F602" w14:textId="77777777"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Measured value</w:t>
            </w:r>
          </w:p>
        </w:tc>
      </w:tr>
      <w:tr w:rsidR="00830537" w14:paraId="14A536F4" w14:textId="77777777">
        <w:trPr>
          <w:jc w:val="center"/>
        </w:trPr>
        <w:tc>
          <w:tcPr>
            <w:tcW w:w="1827" w:type="pct"/>
            <w:tcBorders>
              <w:top w:val="nil"/>
              <w:left w:val="nil"/>
              <w:bottom w:val="nil"/>
              <w:right w:val="nil"/>
            </w:tcBorders>
            <w:tcMar>
              <w:top w:w="-1" w:type="dxa"/>
              <w:left w:w="-1" w:type="dxa"/>
              <w:bottom w:w="-1" w:type="dxa"/>
              <w:right w:w="-1" w:type="dxa"/>
            </w:tcMar>
            <w:vAlign w:val="center"/>
          </w:tcPr>
          <w:p w14:paraId="6D3BD875" w14:textId="77777777" w:rsidR="00830537" w:rsidRDefault="00B97722" w:rsidP="00E80D6D">
            <w:pPr>
              <w:snapToGrid w:val="0"/>
              <w:jc w:val="left"/>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 xml:space="preserve">Exercise frequency </w:t>
            </w:r>
          </w:p>
        </w:tc>
        <w:tc>
          <w:tcPr>
            <w:tcW w:w="3172" w:type="pct"/>
            <w:tcBorders>
              <w:top w:val="nil"/>
              <w:left w:val="nil"/>
              <w:bottom w:val="nil"/>
              <w:right w:val="nil"/>
            </w:tcBorders>
            <w:tcMar>
              <w:top w:w="-1" w:type="dxa"/>
              <w:left w:w="-1" w:type="dxa"/>
              <w:bottom w:w="-1" w:type="dxa"/>
              <w:right w:w="-1" w:type="dxa"/>
            </w:tcMar>
            <w:vAlign w:val="center"/>
          </w:tcPr>
          <w:p w14:paraId="2BEBEB0E" w14:textId="1A0B6178"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w:t>
            </w:r>
            <w:r w:rsidR="009E22F3">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w:t>
            </w:r>
            <w:r w:rsidR="009E22F3">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single lesion, 1</w:t>
            </w:r>
            <w:r w:rsidR="009E22F3">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w:t>
            </w:r>
            <w:r w:rsidR="009E22F3">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multiple lesions</w:t>
            </w:r>
          </w:p>
        </w:tc>
      </w:tr>
      <w:tr w:rsidR="00830537" w14:paraId="646F343B" w14:textId="77777777">
        <w:trPr>
          <w:jc w:val="center"/>
        </w:trPr>
        <w:tc>
          <w:tcPr>
            <w:tcW w:w="1827" w:type="pct"/>
            <w:tcBorders>
              <w:top w:val="nil"/>
              <w:left w:val="nil"/>
              <w:bottom w:val="nil"/>
              <w:right w:val="nil"/>
            </w:tcBorders>
            <w:tcMar>
              <w:top w:w="-1" w:type="dxa"/>
              <w:left w:w="-1" w:type="dxa"/>
              <w:bottom w:w="-1" w:type="dxa"/>
              <w:right w:w="-1" w:type="dxa"/>
            </w:tcMar>
            <w:vAlign w:val="center"/>
          </w:tcPr>
          <w:p w14:paraId="2139F154" w14:textId="77777777" w:rsidR="00830537" w:rsidRDefault="00B97722" w:rsidP="00E80D6D">
            <w:pPr>
              <w:snapToGrid w:val="0"/>
              <w:jc w:val="left"/>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 xml:space="preserve">Dietary habits </w:t>
            </w:r>
          </w:p>
        </w:tc>
        <w:tc>
          <w:tcPr>
            <w:tcW w:w="3172" w:type="pct"/>
            <w:tcBorders>
              <w:top w:val="nil"/>
              <w:left w:val="nil"/>
              <w:bottom w:val="nil"/>
              <w:right w:val="nil"/>
            </w:tcBorders>
            <w:tcMar>
              <w:top w:w="-1" w:type="dxa"/>
              <w:left w:w="-1" w:type="dxa"/>
              <w:bottom w:w="-1" w:type="dxa"/>
              <w:right w:w="-1" w:type="dxa"/>
            </w:tcMar>
            <w:vAlign w:val="center"/>
          </w:tcPr>
          <w:p w14:paraId="46EBF051" w14:textId="41E54189"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w:t>
            </w:r>
            <w:r w:rsidR="009E22F3">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w:t>
            </w:r>
            <w:r w:rsidR="009E22F3">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stage I–II, 1</w:t>
            </w:r>
            <w:r w:rsidR="009E22F3">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w:t>
            </w:r>
            <w:r w:rsidR="009E22F3">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stage III–IV</w:t>
            </w:r>
          </w:p>
        </w:tc>
      </w:tr>
      <w:tr w:rsidR="00830537" w14:paraId="597B60C9" w14:textId="77777777">
        <w:trPr>
          <w:jc w:val="center"/>
        </w:trPr>
        <w:tc>
          <w:tcPr>
            <w:tcW w:w="1827" w:type="pct"/>
            <w:tcBorders>
              <w:top w:val="nil"/>
              <w:left w:val="nil"/>
              <w:bottom w:val="nil"/>
              <w:right w:val="nil"/>
            </w:tcBorders>
            <w:tcMar>
              <w:top w:w="-1" w:type="dxa"/>
              <w:left w:w="-1" w:type="dxa"/>
              <w:bottom w:w="-1" w:type="dxa"/>
              <w:right w:w="-1" w:type="dxa"/>
            </w:tcMar>
            <w:vAlign w:val="center"/>
          </w:tcPr>
          <w:p w14:paraId="1933AF5A" w14:textId="77777777" w:rsidR="00830537" w:rsidRDefault="00B97722" w:rsidP="00E80D6D">
            <w:pPr>
              <w:snapToGrid w:val="0"/>
              <w:jc w:val="left"/>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 xml:space="preserve">25(OH)D </w:t>
            </w:r>
          </w:p>
        </w:tc>
        <w:tc>
          <w:tcPr>
            <w:tcW w:w="3172" w:type="pct"/>
            <w:tcBorders>
              <w:top w:val="nil"/>
              <w:left w:val="nil"/>
              <w:bottom w:val="nil"/>
              <w:right w:val="nil"/>
            </w:tcBorders>
            <w:tcMar>
              <w:top w:w="-1" w:type="dxa"/>
              <w:left w:w="-1" w:type="dxa"/>
              <w:bottom w:w="-1" w:type="dxa"/>
              <w:right w:w="-1" w:type="dxa"/>
            </w:tcMar>
            <w:vAlign w:val="center"/>
          </w:tcPr>
          <w:p w14:paraId="6EDAC318" w14:textId="42D6D0C2"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w:t>
            </w:r>
            <w:r w:rsidR="009E22F3">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w:t>
            </w:r>
            <w:r w:rsidR="009E22F3">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no, 1</w:t>
            </w:r>
            <w:r w:rsidR="009E22F3">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w:t>
            </w:r>
            <w:r w:rsidR="009E22F3">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yes</w:t>
            </w:r>
          </w:p>
        </w:tc>
      </w:tr>
      <w:tr w:rsidR="00830537" w14:paraId="2899EC25" w14:textId="77777777" w:rsidTr="00E80D6D">
        <w:trPr>
          <w:jc w:val="center"/>
        </w:trPr>
        <w:tc>
          <w:tcPr>
            <w:tcW w:w="1827" w:type="pct"/>
            <w:tcBorders>
              <w:top w:val="nil"/>
              <w:left w:val="nil"/>
              <w:bottom w:val="single" w:sz="4" w:space="0" w:color="auto"/>
              <w:right w:val="nil"/>
            </w:tcBorders>
            <w:tcMar>
              <w:top w:w="-1" w:type="dxa"/>
              <w:left w:w="-1" w:type="dxa"/>
              <w:bottom w:w="-1" w:type="dxa"/>
              <w:right w:w="-1" w:type="dxa"/>
            </w:tcMar>
            <w:vAlign w:val="center"/>
          </w:tcPr>
          <w:p w14:paraId="6D3CDC9A" w14:textId="77777777" w:rsidR="00830537" w:rsidRDefault="00B97722" w:rsidP="00E80D6D">
            <w:pPr>
              <w:snapToGrid w:val="0"/>
              <w:jc w:val="left"/>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 xml:space="preserve">PTH </w:t>
            </w:r>
          </w:p>
        </w:tc>
        <w:tc>
          <w:tcPr>
            <w:tcW w:w="3172" w:type="pct"/>
            <w:tcBorders>
              <w:top w:val="nil"/>
              <w:left w:val="nil"/>
              <w:bottom w:val="single" w:sz="4" w:space="0" w:color="auto"/>
              <w:right w:val="nil"/>
            </w:tcBorders>
            <w:tcMar>
              <w:top w:w="-1" w:type="dxa"/>
              <w:left w:w="-1" w:type="dxa"/>
              <w:bottom w:w="-1" w:type="dxa"/>
              <w:right w:w="-1" w:type="dxa"/>
            </w:tcMar>
            <w:vAlign w:val="center"/>
          </w:tcPr>
          <w:p w14:paraId="52E7FB20" w14:textId="673B4A2A" w:rsidR="00830537" w:rsidRDefault="00B97722" w:rsidP="009E22F3">
            <w:pPr>
              <w:snapToGrid w:val="0"/>
              <w:jc w:val="center"/>
              <w:rPr>
                <w:rFonts w:ascii="Times New Roman" w:eastAsia="Segoe UI" w:hAnsi="Times New Roman" w:cs="Times New Roman"/>
                <w:sz w:val="24"/>
              </w:rPr>
            </w:pPr>
            <w:r>
              <w:rPr>
                <w:rFonts w:ascii="Times New Roman" w:eastAsia="Segoe UI" w:hAnsi="Times New Roman" w:cs="Times New Roman"/>
                <w:color w:val="0F1115"/>
                <w:sz w:val="24"/>
                <w:shd w:val="clear" w:color="auto" w:fill="FFFFFF"/>
              </w:rPr>
              <w:t>0</w:t>
            </w:r>
            <w:r w:rsidR="009E22F3">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w:t>
            </w:r>
            <w:r w:rsidR="009E22F3">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yes, 1</w:t>
            </w:r>
            <w:r w:rsidR="009E22F3">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w:t>
            </w:r>
            <w:r w:rsidR="009E22F3">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no</w:t>
            </w:r>
          </w:p>
        </w:tc>
      </w:tr>
    </w:tbl>
    <w:p w14:paraId="34050209" w14:textId="77777777" w:rsidR="00830537" w:rsidRDefault="00830537" w:rsidP="00E80D6D">
      <w:pPr>
        <w:snapToGrid w:val="0"/>
        <w:rPr>
          <w:rFonts w:ascii="Segoe UI" w:eastAsia="Segoe UI" w:hAnsi="Segoe UI" w:cs="Segoe UI"/>
          <w:color w:val="0F1115"/>
          <w:sz w:val="24"/>
          <w:shd w:val="clear" w:color="auto" w:fill="FFFFFF"/>
        </w:rPr>
      </w:pPr>
    </w:p>
    <w:p w14:paraId="3F2BEEC2" w14:textId="16677322" w:rsidR="00830537" w:rsidRDefault="00B97722" w:rsidP="00E80D6D">
      <w:pPr>
        <w:snapToGrid w:val="0"/>
        <w:rPr>
          <w:rFonts w:ascii="Times New Roman" w:eastAsia="Segoe UI" w:hAnsi="Times New Roman" w:cs="Times New Roman"/>
          <w:color w:val="0F1115"/>
          <w:sz w:val="24"/>
          <w:shd w:val="clear" w:color="auto" w:fill="FFFFFF"/>
        </w:rPr>
      </w:pPr>
      <w:r>
        <w:rPr>
          <w:rFonts w:ascii="Times New Roman" w:eastAsia="Segoe UI" w:hAnsi="Times New Roman" w:cs="Times New Roman"/>
          <w:b/>
          <w:bCs/>
          <w:color w:val="0F1115"/>
          <w:sz w:val="24"/>
          <w:shd w:val="clear" w:color="auto" w:fill="FFFFFF"/>
        </w:rPr>
        <w:t>Table 4</w:t>
      </w:r>
      <w:r>
        <w:rPr>
          <w:rFonts w:ascii="Times New Roman" w:eastAsia="SimSun" w:hAnsi="Times New Roman" w:cs="Times New Roman"/>
          <w:b/>
          <w:bCs/>
          <w:color w:val="0F1115"/>
          <w:sz w:val="24"/>
          <w:shd w:val="clear" w:color="auto" w:fill="FFFFFF"/>
        </w:rPr>
        <w:t>.</w:t>
      </w:r>
      <w:r>
        <w:rPr>
          <w:rFonts w:ascii="Times New Roman" w:eastAsia="Segoe UI" w:hAnsi="Times New Roman" w:cs="Times New Roman"/>
          <w:color w:val="0F1115"/>
          <w:sz w:val="24"/>
          <w:shd w:val="clear" w:color="auto" w:fill="FFFFFF"/>
        </w:rPr>
        <w:t xml:space="preserve"> Multivariate </w:t>
      </w:r>
      <w:r>
        <w:rPr>
          <w:rFonts w:ascii="Times New Roman" w:eastAsia="SimSun" w:hAnsi="Times New Roman" w:cs="Times New Roman" w:hint="eastAsia"/>
          <w:color w:val="0F1115"/>
          <w:sz w:val="24"/>
          <w:shd w:val="clear" w:color="auto" w:fill="FFFFFF"/>
        </w:rPr>
        <w:t>l</w:t>
      </w:r>
      <w:r>
        <w:rPr>
          <w:rFonts w:ascii="Times New Roman" w:eastAsia="Segoe UI" w:hAnsi="Times New Roman" w:cs="Times New Roman"/>
          <w:color w:val="0F1115"/>
          <w:sz w:val="24"/>
          <w:shd w:val="clear" w:color="auto" w:fill="FFFFFF"/>
        </w:rPr>
        <w:t xml:space="preserve">ogistic </w:t>
      </w:r>
      <w:r>
        <w:rPr>
          <w:rFonts w:ascii="Times New Roman" w:eastAsia="SimSun" w:hAnsi="Times New Roman" w:cs="Times New Roman" w:hint="eastAsia"/>
          <w:color w:val="0F1115"/>
          <w:sz w:val="24"/>
          <w:shd w:val="clear" w:color="auto" w:fill="FFFFFF"/>
        </w:rPr>
        <w:t>a</w:t>
      </w:r>
      <w:r>
        <w:rPr>
          <w:rFonts w:ascii="Times New Roman" w:eastAsia="Segoe UI" w:hAnsi="Times New Roman" w:cs="Times New Roman"/>
          <w:color w:val="0F1115"/>
          <w:sz w:val="24"/>
          <w:shd w:val="clear" w:color="auto" w:fill="FFFFFF"/>
        </w:rPr>
        <w:t xml:space="preserve">nalysis of </w:t>
      </w:r>
      <w:r>
        <w:rPr>
          <w:rFonts w:ascii="Times New Roman" w:eastAsia="SimSun" w:hAnsi="Times New Roman" w:cs="Times New Roman" w:hint="eastAsia"/>
          <w:color w:val="0F1115"/>
          <w:sz w:val="24"/>
          <w:shd w:val="clear" w:color="auto" w:fill="FFFFFF"/>
        </w:rPr>
        <w:t>f</w:t>
      </w:r>
      <w:r>
        <w:rPr>
          <w:rFonts w:ascii="Times New Roman" w:eastAsia="Segoe UI" w:hAnsi="Times New Roman" w:cs="Times New Roman"/>
          <w:color w:val="0F1115"/>
          <w:sz w:val="24"/>
          <w:shd w:val="clear" w:color="auto" w:fill="FFFFFF"/>
        </w:rPr>
        <w:t xml:space="preserve">actors </w:t>
      </w:r>
      <w:r>
        <w:rPr>
          <w:rFonts w:ascii="Times New Roman" w:eastAsia="SimSun" w:hAnsi="Times New Roman" w:cs="Times New Roman" w:hint="eastAsia"/>
          <w:color w:val="0F1115"/>
          <w:sz w:val="24"/>
          <w:shd w:val="clear" w:color="auto" w:fill="FFFFFF"/>
        </w:rPr>
        <w:t>i</w:t>
      </w:r>
      <w:r>
        <w:rPr>
          <w:rFonts w:ascii="Times New Roman" w:eastAsia="Segoe UI" w:hAnsi="Times New Roman" w:cs="Times New Roman"/>
          <w:color w:val="0F1115"/>
          <w:sz w:val="24"/>
          <w:shd w:val="clear" w:color="auto" w:fill="FFFFFF"/>
        </w:rPr>
        <w:t xml:space="preserve">nfluencing </w:t>
      </w:r>
      <w:r>
        <w:rPr>
          <w:rFonts w:ascii="Times New Roman" w:eastAsia="SimSun" w:hAnsi="Times New Roman" w:cs="Times New Roman" w:hint="eastAsia"/>
          <w:color w:val="0F1115"/>
          <w:sz w:val="24"/>
          <w:shd w:val="clear" w:color="auto" w:fill="FFFFFF"/>
        </w:rPr>
        <w:t>c</w:t>
      </w:r>
      <w:r>
        <w:rPr>
          <w:rFonts w:ascii="Times New Roman" w:eastAsia="Segoe UI" w:hAnsi="Times New Roman" w:cs="Times New Roman"/>
          <w:color w:val="0F1115"/>
          <w:sz w:val="24"/>
          <w:shd w:val="clear" w:color="auto" w:fill="FFFFFF"/>
        </w:rPr>
        <w:t>hildren</w:t>
      </w:r>
      <w:r w:rsidR="009E22F3">
        <w:rPr>
          <w:rFonts w:ascii="Times New Roman" w:eastAsia="SimSun"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 xml:space="preserve">s </w:t>
      </w:r>
      <w:r>
        <w:rPr>
          <w:rFonts w:ascii="Times New Roman" w:eastAsia="SimSun" w:hAnsi="Times New Roman" w:cs="Times New Roman" w:hint="eastAsia"/>
          <w:color w:val="0F1115"/>
          <w:sz w:val="24"/>
          <w:shd w:val="clear" w:color="auto" w:fill="FFFFFF"/>
        </w:rPr>
        <w:t>s</w:t>
      </w:r>
      <w:r>
        <w:rPr>
          <w:rFonts w:ascii="Times New Roman" w:eastAsia="Segoe UI" w:hAnsi="Times New Roman" w:cs="Times New Roman"/>
          <w:color w:val="0F1115"/>
          <w:sz w:val="24"/>
          <w:shd w:val="clear" w:color="auto" w:fill="FFFFFF"/>
        </w:rPr>
        <w:t xml:space="preserve">keletal </w:t>
      </w:r>
      <w:r>
        <w:rPr>
          <w:rFonts w:ascii="Times New Roman" w:eastAsia="SimSun" w:hAnsi="Times New Roman" w:cs="Times New Roman" w:hint="eastAsia"/>
          <w:color w:val="0F1115"/>
          <w:sz w:val="24"/>
          <w:shd w:val="clear" w:color="auto" w:fill="FFFFFF"/>
        </w:rPr>
        <w:t>d</w:t>
      </w:r>
      <w:r>
        <w:rPr>
          <w:rFonts w:ascii="Times New Roman" w:eastAsia="Segoe UI" w:hAnsi="Times New Roman" w:cs="Times New Roman"/>
          <w:color w:val="0F1115"/>
          <w:sz w:val="24"/>
          <w:shd w:val="clear" w:color="auto" w:fill="FFFFFF"/>
        </w:rPr>
        <w:t>evelopment</w:t>
      </w:r>
    </w:p>
    <w:tbl>
      <w:tblPr>
        <w:tblStyle w:val="TableGrid"/>
        <w:tblW w:w="5110" w:type="pct"/>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2627"/>
        <w:gridCol w:w="1209"/>
        <w:gridCol w:w="959"/>
        <w:gridCol w:w="1279"/>
        <w:gridCol w:w="981"/>
        <w:gridCol w:w="959"/>
        <w:gridCol w:w="1836"/>
      </w:tblGrid>
      <w:tr w:rsidR="00830537" w14:paraId="23724297" w14:textId="77777777" w:rsidTr="00E80D6D">
        <w:trPr>
          <w:tblHeader/>
          <w:jc w:val="center"/>
        </w:trPr>
        <w:tc>
          <w:tcPr>
            <w:tcW w:w="1332" w:type="pct"/>
            <w:tcBorders>
              <w:top w:val="single" w:sz="4" w:space="0" w:color="auto"/>
              <w:left w:val="nil"/>
              <w:bottom w:val="nil"/>
              <w:right w:val="nil"/>
            </w:tcBorders>
            <w:tcMar>
              <w:top w:w="-1" w:type="dxa"/>
              <w:left w:w="-1" w:type="dxa"/>
              <w:bottom w:w="-1" w:type="dxa"/>
              <w:right w:w="-1" w:type="dxa"/>
            </w:tcMar>
            <w:vAlign w:val="center"/>
          </w:tcPr>
          <w:p w14:paraId="13735A00" w14:textId="77777777" w:rsidR="00830537" w:rsidRDefault="00B97722" w:rsidP="00E80D6D">
            <w:pPr>
              <w:snapToGrid w:val="0"/>
              <w:jc w:val="left"/>
              <w:rPr>
                <w:rFonts w:ascii="Times New Roman" w:eastAsia="Segoe UI"/>
                <w:b/>
                <w:sz w:val="24"/>
              </w:rPr>
            </w:pPr>
            <w:r>
              <w:rPr>
                <w:rFonts w:ascii="Times New Roman" w:eastAsia="Segoe UI" w:hAnsi="Times New Roman" w:cs="Times New Roman"/>
                <w:b/>
                <w:color w:val="0F1115"/>
                <w:sz w:val="24"/>
                <w:shd w:val="clear" w:color="auto" w:fill="FFFFFF"/>
              </w:rPr>
              <w:t xml:space="preserve">Factor </w:t>
            </w:r>
          </w:p>
        </w:tc>
        <w:tc>
          <w:tcPr>
            <w:tcW w:w="613" w:type="pct"/>
            <w:tcBorders>
              <w:top w:val="single" w:sz="4" w:space="0" w:color="auto"/>
              <w:left w:val="nil"/>
              <w:bottom w:val="nil"/>
              <w:right w:val="nil"/>
            </w:tcBorders>
            <w:tcMar>
              <w:top w:w="-1" w:type="dxa"/>
              <w:left w:w="-1" w:type="dxa"/>
              <w:bottom w:w="-1" w:type="dxa"/>
              <w:right w:w="-1" w:type="dxa"/>
            </w:tcMar>
            <w:vAlign w:val="center"/>
          </w:tcPr>
          <w:p w14:paraId="4B507D74" w14:textId="77777777" w:rsidR="00830537" w:rsidRDefault="00B97722" w:rsidP="009E22F3">
            <w:pPr>
              <w:snapToGrid w:val="0"/>
              <w:jc w:val="center"/>
              <w:rPr>
                <w:rFonts w:ascii="Times New Roman" w:eastAsia="Segoe UI"/>
                <w:b/>
                <w:sz w:val="24"/>
              </w:rPr>
            </w:pPr>
            <w:r>
              <w:rPr>
                <w:rFonts w:ascii="Times New Roman" w:eastAsia="Segoe UI" w:hAnsi="Times New Roman" w:cs="Times New Roman"/>
                <w:b/>
                <w:color w:val="0F1115"/>
                <w:sz w:val="24"/>
                <w:shd w:val="clear" w:color="auto" w:fill="FFFFFF"/>
              </w:rPr>
              <w:t xml:space="preserve">β value </w:t>
            </w:r>
          </w:p>
        </w:tc>
        <w:tc>
          <w:tcPr>
            <w:tcW w:w="487" w:type="pct"/>
            <w:tcBorders>
              <w:top w:val="single" w:sz="4" w:space="0" w:color="auto"/>
              <w:left w:val="nil"/>
              <w:bottom w:val="nil"/>
              <w:right w:val="nil"/>
            </w:tcBorders>
            <w:tcMar>
              <w:top w:w="-1" w:type="dxa"/>
              <w:left w:w="-1" w:type="dxa"/>
              <w:bottom w:w="-1" w:type="dxa"/>
              <w:right w:w="-1" w:type="dxa"/>
            </w:tcMar>
            <w:vAlign w:val="center"/>
          </w:tcPr>
          <w:p w14:paraId="69E9A19B" w14:textId="77777777" w:rsidR="00830537" w:rsidRDefault="00B97722" w:rsidP="009E22F3">
            <w:pPr>
              <w:snapToGrid w:val="0"/>
              <w:jc w:val="center"/>
              <w:rPr>
                <w:rFonts w:ascii="Times New Roman" w:eastAsia="Segoe UI"/>
                <w:b/>
                <w:sz w:val="24"/>
              </w:rPr>
            </w:pPr>
            <w:r>
              <w:rPr>
                <w:rFonts w:ascii="Times New Roman" w:eastAsia="Segoe UI" w:hAnsi="Times New Roman" w:cs="Times New Roman"/>
                <w:b/>
                <w:color w:val="0F1115"/>
                <w:sz w:val="24"/>
                <w:shd w:val="clear" w:color="auto" w:fill="FFFFFF"/>
              </w:rPr>
              <w:t xml:space="preserve">SE </w:t>
            </w:r>
          </w:p>
        </w:tc>
        <w:tc>
          <w:tcPr>
            <w:tcW w:w="649" w:type="pct"/>
            <w:tcBorders>
              <w:top w:val="single" w:sz="4" w:space="0" w:color="auto"/>
              <w:left w:val="nil"/>
              <w:bottom w:val="nil"/>
              <w:right w:val="nil"/>
            </w:tcBorders>
            <w:tcMar>
              <w:top w:w="-1" w:type="dxa"/>
              <w:left w:w="-1" w:type="dxa"/>
              <w:bottom w:w="-1" w:type="dxa"/>
              <w:right w:w="-1" w:type="dxa"/>
            </w:tcMar>
            <w:vAlign w:val="center"/>
          </w:tcPr>
          <w:p w14:paraId="42E9A8AD" w14:textId="19B8A004" w:rsidR="00830537" w:rsidRDefault="00B97722" w:rsidP="009E22F3">
            <w:pPr>
              <w:snapToGrid w:val="0"/>
              <w:jc w:val="center"/>
              <w:rPr>
                <w:rFonts w:ascii="Times New Roman" w:eastAsia="Segoe UI"/>
                <w:b/>
                <w:sz w:val="24"/>
              </w:rPr>
            </w:pPr>
            <w:r>
              <w:rPr>
                <w:rFonts w:ascii="Times New Roman" w:eastAsia="Segoe UI" w:hAnsi="Times New Roman" w:cs="Times New Roman"/>
                <w:b/>
                <w:color w:val="0F1115"/>
                <w:sz w:val="24"/>
                <w:shd w:val="clear" w:color="auto" w:fill="FFFFFF"/>
              </w:rPr>
              <w:t>Wald χ</w:t>
            </w:r>
            <w:r w:rsidR="009E22F3">
              <w:rPr>
                <w:rFonts w:ascii="Times New Roman" w:eastAsia="Segoe UI" w:hAnsi="Times New Roman" w:cs="Times New Roman"/>
                <w:b/>
                <w:color w:val="0F1115"/>
                <w:sz w:val="24"/>
                <w:shd w:val="clear" w:color="auto" w:fill="FFFFFF"/>
                <w:vertAlign w:val="superscript"/>
              </w:rPr>
              <w:t>2</w:t>
            </w:r>
            <w:r>
              <w:rPr>
                <w:rFonts w:ascii="Times New Roman" w:eastAsia="Segoe UI" w:hAnsi="Times New Roman" w:cs="Times New Roman"/>
                <w:b/>
                <w:color w:val="0F1115"/>
                <w:sz w:val="24"/>
                <w:shd w:val="clear" w:color="auto" w:fill="FFFFFF"/>
              </w:rPr>
              <w:t xml:space="preserve"> </w:t>
            </w:r>
          </w:p>
        </w:tc>
        <w:tc>
          <w:tcPr>
            <w:tcW w:w="498" w:type="pct"/>
            <w:tcBorders>
              <w:top w:val="single" w:sz="4" w:space="0" w:color="auto"/>
              <w:left w:val="nil"/>
              <w:bottom w:val="nil"/>
              <w:right w:val="nil"/>
            </w:tcBorders>
            <w:tcMar>
              <w:top w:w="-1" w:type="dxa"/>
              <w:left w:w="-1" w:type="dxa"/>
              <w:bottom w:w="-1" w:type="dxa"/>
              <w:right w:w="-1" w:type="dxa"/>
            </w:tcMar>
            <w:vAlign w:val="center"/>
          </w:tcPr>
          <w:p w14:paraId="18F8C7DF" w14:textId="5ADF89ED" w:rsidR="00830537" w:rsidRDefault="009E22F3" w:rsidP="009E22F3">
            <w:pPr>
              <w:snapToGrid w:val="0"/>
              <w:jc w:val="center"/>
              <w:rPr>
                <w:rFonts w:ascii="Times New Roman" w:eastAsia="Segoe UI"/>
                <w:b/>
                <w:sz w:val="24"/>
              </w:rPr>
            </w:pPr>
            <w:r>
              <w:rPr>
                <w:rFonts w:ascii="Times New Roman" w:eastAsia="Segoe UI" w:hAnsi="Times New Roman" w:cs="Times New Roman"/>
                <w:b/>
                <w:i/>
                <w:iCs/>
                <w:color w:val="0F1115"/>
                <w:sz w:val="24"/>
                <w:shd w:val="clear" w:color="auto" w:fill="FFFFFF"/>
              </w:rPr>
              <w:t>p</w:t>
            </w:r>
            <w:r w:rsidR="00B97722">
              <w:rPr>
                <w:rFonts w:ascii="Times New Roman" w:eastAsia="Segoe UI" w:hAnsi="Times New Roman" w:cs="Times New Roman"/>
                <w:b/>
                <w:color w:val="0F1115"/>
                <w:sz w:val="24"/>
                <w:shd w:val="clear" w:color="auto" w:fill="FFFFFF"/>
              </w:rPr>
              <w:t xml:space="preserve"> </w:t>
            </w:r>
          </w:p>
        </w:tc>
        <w:tc>
          <w:tcPr>
            <w:tcW w:w="487" w:type="pct"/>
            <w:tcBorders>
              <w:top w:val="single" w:sz="4" w:space="0" w:color="auto"/>
              <w:left w:val="nil"/>
              <w:bottom w:val="nil"/>
              <w:right w:val="nil"/>
            </w:tcBorders>
            <w:tcMar>
              <w:top w:w="-1" w:type="dxa"/>
              <w:left w:w="-1" w:type="dxa"/>
              <w:bottom w:w="-1" w:type="dxa"/>
              <w:right w:w="-1" w:type="dxa"/>
            </w:tcMar>
            <w:vAlign w:val="center"/>
          </w:tcPr>
          <w:p w14:paraId="1B187361" w14:textId="77777777" w:rsidR="00830537" w:rsidRDefault="00B97722" w:rsidP="009E22F3">
            <w:pPr>
              <w:snapToGrid w:val="0"/>
              <w:jc w:val="center"/>
              <w:rPr>
                <w:rFonts w:ascii="Times New Roman" w:eastAsia="Segoe UI"/>
                <w:b/>
                <w:sz w:val="24"/>
              </w:rPr>
            </w:pPr>
            <w:r>
              <w:rPr>
                <w:rFonts w:ascii="Times New Roman" w:eastAsia="Segoe UI" w:hAnsi="Times New Roman" w:cs="Times New Roman"/>
                <w:b/>
                <w:color w:val="0F1115"/>
                <w:sz w:val="24"/>
                <w:shd w:val="clear" w:color="auto" w:fill="FFFFFF"/>
              </w:rPr>
              <w:t xml:space="preserve">OR </w:t>
            </w:r>
          </w:p>
        </w:tc>
        <w:tc>
          <w:tcPr>
            <w:tcW w:w="931" w:type="pct"/>
            <w:tcBorders>
              <w:top w:val="single" w:sz="4" w:space="0" w:color="auto"/>
              <w:left w:val="nil"/>
              <w:bottom w:val="nil"/>
              <w:right w:val="nil"/>
            </w:tcBorders>
            <w:tcMar>
              <w:top w:w="-1" w:type="dxa"/>
              <w:left w:w="-1" w:type="dxa"/>
              <w:bottom w:w="-1" w:type="dxa"/>
              <w:right w:w="-1" w:type="dxa"/>
            </w:tcMar>
            <w:vAlign w:val="center"/>
          </w:tcPr>
          <w:p w14:paraId="140F2104" w14:textId="77777777" w:rsidR="00830537" w:rsidRDefault="00B97722" w:rsidP="009E22F3">
            <w:pPr>
              <w:snapToGrid w:val="0"/>
              <w:jc w:val="center"/>
              <w:rPr>
                <w:rFonts w:ascii="Times New Roman" w:eastAsia="Segoe UI"/>
                <w:b/>
                <w:sz w:val="24"/>
              </w:rPr>
            </w:pPr>
            <w:r>
              <w:rPr>
                <w:rFonts w:ascii="Times New Roman" w:eastAsia="Segoe UI" w:hAnsi="Times New Roman" w:cs="Times New Roman"/>
                <w:b/>
                <w:color w:val="0F1115"/>
                <w:sz w:val="24"/>
                <w:shd w:val="clear" w:color="auto" w:fill="FFFFFF"/>
              </w:rPr>
              <w:t>OR 95% CI</w:t>
            </w:r>
          </w:p>
        </w:tc>
      </w:tr>
      <w:tr w:rsidR="00830537" w14:paraId="21E06970" w14:textId="77777777">
        <w:trPr>
          <w:jc w:val="center"/>
        </w:trPr>
        <w:tc>
          <w:tcPr>
            <w:tcW w:w="1332" w:type="pct"/>
            <w:tcBorders>
              <w:top w:val="single" w:sz="4" w:space="0" w:color="auto"/>
              <w:left w:val="nil"/>
              <w:bottom w:val="nil"/>
              <w:right w:val="nil"/>
            </w:tcBorders>
            <w:tcMar>
              <w:top w:w="-1" w:type="dxa"/>
              <w:left w:w="-1" w:type="dxa"/>
              <w:bottom w:w="-1" w:type="dxa"/>
              <w:right w:w="-1" w:type="dxa"/>
            </w:tcMar>
            <w:vAlign w:val="center"/>
          </w:tcPr>
          <w:p w14:paraId="71714DCE" w14:textId="77777777" w:rsidR="00830537" w:rsidRDefault="00B97722" w:rsidP="00E80D6D">
            <w:pPr>
              <w:snapToGrid w:val="0"/>
              <w:jc w:val="left"/>
              <w:rPr>
                <w:rFonts w:ascii="Times New Roman" w:eastAsia="Segoe UI"/>
                <w:sz w:val="24"/>
              </w:rPr>
            </w:pPr>
            <w:r>
              <w:rPr>
                <w:rFonts w:ascii="Times New Roman" w:eastAsia="Segoe UI" w:hAnsi="Times New Roman" w:cs="Times New Roman"/>
                <w:color w:val="0F1115"/>
                <w:sz w:val="24"/>
                <w:shd w:val="clear" w:color="auto" w:fill="FFFFFF"/>
              </w:rPr>
              <w:t xml:space="preserve">BMI </w:t>
            </w:r>
          </w:p>
        </w:tc>
        <w:tc>
          <w:tcPr>
            <w:tcW w:w="613" w:type="pct"/>
            <w:tcBorders>
              <w:top w:val="single" w:sz="4" w:space="0" w:color="auto"/>
              <w:left w:val="nil"/>
              <w:bottom w:val="nil"/>
              <w:right w:val="nil"/>
            </w:tcBorders>
            <w:tcMar>
              <w:top w:w="-1" w:type="dxa"/>
              <w:left w:w="-1" w:type="dxa"/>
              <w:bottom w:w="-1" w:type="dxa"/>
              <w:right w:w="-1" w:type="dxa"/>
            </w:tcMar>
            <w:vAlign w:val="center"/>
          </w:tcPr>
          <w:p w14:paraId="22C2C575" w14:textId="77777777" w:rsidR="00830537" w:rsidRDefault="00B97722" w:rsidP="009E22F3">
            <w:pPr>
              <w:snapToGrid w:val="0"/>
              <w:jc w:val="center"/>
              <w:rPr>
                <w:rFonts w:ascii="Times New Roman" w:eastAsia="Segoe UI"/>
                <w:sz w:val="24"/>
              </w:rPr>
            </w:pPr>
            <w:r>
              <w:rPr>
                <w:rFonts w:ascii="Times New Roman" w:eastAsia="Segoe UI" w:hAnsi="Times New Roman" w:cs="Times New Roman"/>
                <w:color w:val="0F1115"/>
                <w:sz w:val="24"/>
                <w:shd w:val="clear" w:color="auto" w:fill="FFFFFF"/>
              </w:rPr>
              <w:t xml:space="preserve">0.307 </w:t>
            </w:r>
          </w:p>
        </w:tc>
        <w:tc>
          <w:tcPr>
            <w:tcW w:w="487" w:type="pct"/>
            <w:tcBorders>
              <w:top w:val="single" w:sz="4" w:space="0" w:color="auto"/>
              <w:left w:val="nil"/>
              <w:bottom w:val="nil"/>
              <w:right w:val="nil"/>
            </w:tcBorders>
            <w:tcMar>
              <w:top w:w="-1" w:type="dxa"/>
              <w:left w:w="-1" w:type="dxa"/>
              <w:bottom w:w="-1" w:type="dxa"/>
              <w:right w:w="-1" w:type="dxa"/>
            </w:tcMar>
            <w:vAlign w:val="center"/>
          </w:tcPr>
          <w:p w14:paraId="251DE974" w14:textId="77777777" w:rsidR="00830537" w:rsidRDefault="00B97722" w:rsidP="009E22F3">
            <w:pPr>
              <w:snapToGrid w:val="0"/>
              <w:jc w:val="center"/>
              <w:rPr>
                <w:rFonts w:ascii="Times New Roman" w:eastAsia="Segoe UI"/>
                <w:sz w:val="24"/>
              </w:rPr>
            </w:pPr>
            <w:r>
              <w:rPr>
                <w:rFonts w:ascii="Times New Roman" w:eastAsia="Segoe UI" w:hAnsi="Times New Roman" w:cs="Times New Roman"/>
                <w:color w:val="0F1115"/>
                <w:sz w:val="24"/>
                <w:shd w:val="clear" w:color="auto" w:fill="FFFFFF"/>
              </w:rPr>
              <w:t xml:space="preserve">0.169 </w:t>
            </w:r>
          </w:p>
        </w:tc>
        <w:tc>
          <w:tcPr>
            <w:tcW w:w="649" w:type="pct"/>
            <w:tcBorders>
              <w:top w:val="single" w:sz="4" w:space="0" w:color="auto"/>
              <w:left w:val="nil"/>
              <w:bottom w:val="nil"/>
              <w:right w:val="nil"/>
            </w:tcBorders>
            <w:tcMar>
              <w:top w:w="-1" w:type="dxa"/>
              <w:left w:w="-1" w:type="dxa"/>
              <w:bottom w:w="-1" w:type="dxa"/>
              <w:right w:w="-1" w:type="dxa"/>
            </w:tcMar>
            <w:vAlign w:val="center"/>
          </w:tcPr>
          <w:p w14:paraId="0791D9B7" w14:textId="77777777" w:rsidR="00830537" w:rsidRDefault="00B97722" w:rsidP="009E22F3">
            <w:pPr>
              <w:snapToGrid w:val="0"/>
              <w:jc w:val="center"/>
              <w:rPr>
                <w:rFonts w:ascii="Times New Roman" w:eastAsia="Segoe UI"/>
                <w:sz w:val="24"/>
              </w:rPr>
            </w:pPr>
            <w:r>
              <w:rPr>
                <w:rFonts w:ascii="Times New Roman" w:eastAsia="Segoe UI" w:hAnsi="Times New Roman" w:cs="Times New Roman"/>
                <w:color w:val="0F1115"/>
                <w:sz w:val="24"/>
                <w:shd w:val="clear" w:color="auto" w:fill="FFFFFF"/>
              </w:rPr>
              <w:t xml:space="preserve">3.230 </w:t>
            </w:r>
          </w:p>
        </w:tc>
        <w:tc>
          <w:tcPr>
            <w:tcW w:w="498" w:type="pct"/>
            <w:tcBorders>
              <w:top w:val="single" w:sz="4" w:space="0" w:color="auto"/>
              <w:left w:val="nil"/>
              <w:bottom w:val="nil"/>
              <w:right w:val="nil"/>
            </w:tcBorders>
            <w:tcMar>
              <w:top w:w="-1" w:type="dxa"/>
              <w:left w:w="-1" w:type="dxa"/>
              <w:bottom w:w="-1" w:type="dxa"/>
              <w:right w:w="-1" w:type="dxa"/>
            </w:tcMar>
            <w:vAlign w:val="center"/>
          </w:tcPr>
          <w:p w14:paraId="0159FB67" w14:textId="55E3FCA6" w:rsidR="00830537" w:rsidRDefault="00B97722" w:rsidP="009E22F3">
            <w:pPr>
              <w:snapToGrid w:val="0"/>
              <w:jc w:val="center"/>
              <w:rPr>
                <w:rFonts w:ascii="Times New Roman" w:eastAsia="Segoe UI"/>
                <w:sz w:val="24"/>
              </w:rPr>
            </w:pPr>
            <w:r>
              <w:rPr>
                <w:rFonts w:ascii="Times New Roman" w:eastAsia="Segoe UI" w:hAnsi="Times New Roman" w:cs="Times New Roman"/>
                <w:color w:val="0F1115"/>
                <w:sz w:val="24"/>
                <w:shd w:val="clear" w:color="auto" w:fill="FFFFFF"/>
              </w:rPr>
              <w:t>&lt;</w:t>
            </w:r>
            <w:r w:rsidR="009E22F3">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 xml:space="preserve">0.05 </w:t>
            </w:r>
          </w:p>
        </w:tc>
        <w:tc>
          <w:tcPr>
            <w:tcW w:w="487" w:type="pct"/>
            <w:tcBorders>
              <w:top w:val="single" w:sz="4" w:space="0" w:color="auto"/>
              <w:left w:val="nil"/>
              <w:bottom w:val="nil"/>
              <w:right w:val="nil"/>
            </w:tcBorders>
            <w:tcMar>
              <w:top w:w="-1" w:type="dxa"/>
              <w:left w:w="-1" w:type="dxa"/>
              <w:bottom w:w="-1" w:type="dxa"/>
              <w:right w:w="-1" w:type="dxa"/>
            </w:tcMar>
            <w:vAlign w:val="center"/>
          </w:tcPr>
          <w:p w14:paraId="740E618D" w14:textId="77777777" w:rsidR="00830537" w:rsidRDefault="00B97722" w:rsidP="009E22F3">
            <w:pPr>
              <w:snapToGrid w:val="0"/>
              <w:jc w:val="center"/>
              <w:rPr>
                <w:rFonts w:ascii="Times New Roman" w:eastAsia="Segoe UI"/>
                <w:sz w:val="24"/>
              </w:rPr>
            </w:pPr>
            <w:r>
              <w:rPr>
                <w:rFonts w:ascii="Times New Roman" w:eastAsia="Segoe UI" w:hAnsi="Times New Roman" w:cs="Times New Roman"/>
                <w:color w:val="0F1115"/>
                <w:sz w:val="24"/>
                <w:shd w:val="clear" w:color="auto" w:fill="FFFFFF"/>
              </w:rPr>
              <w:t xml:space="preserve">1.058 </w:t>
            </w:r>
          </w:p>
        </w:tc>
        <w:tc>
          <w:tcPr>
            <w:tcW w:w="931" w:type="pct"/>
            <w:tcBorders>
              <w:top w:val="single" w:sz="4" w:space="0" w:color="auto"/>
              <w:left w:val="nil"/>
              <w:bottom w:val="nil"/>
              <w:right w:val="nil"/>
            </w:tcBorders>
            <w:tcMar>
              <w:top w:w="-1" w:type="dxa"/>
              <w:left w:w="-1" w:type="dxa"/>
              <w:bottom w:w="-1" w:type="dxa"/>
              <w:right w:w="-1" w:type="dxa"/>
            </w:tcMar>
            <w:vAlign w:val="center"/>
          </w:tcPr>
          <w:p w14:paraId="66C154D5" w14:textId="4CBB2615" w:rsidR="00830537" w:rsidRDefault="00B97722" w:rsidP="009E22F3">
            <w:pPr>
              <w:snapToGrid w:val="0"/>
              <w:jc w:val="center"/>
              <w:rPr>
                <w:rFonts w:ascii="Times New Roman" w:eastAsia="Segoe UI"/>
                <w:sz w:val="24"/>
              </w:rPr>
            </w:pPr>
            <w:r>
              <w:rPr>
                <w:rFonts w:ascii="Times New Roman" w:eastAsia="Segoe UI" w:hAnsi="Times New Roman" w:cs="Times New Roman"/>
                <w:color w:val="0F1115"/>
                <w:sz w:val="24"/>
                <w:shd w:val="clear" w:color="auto" w:fill="FFFFFF"/>
              </w:rPr>
              <w:t>1.014</w:t>
            </w:r>
            <w:r w:rsidR="009E22F3">
              <w:rPr>
                <w:rFonts w:ascii="Times New Roman" w:eastAsia="Segoe UI"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1.958</w:t>
            </w:r>
          </w:p>
        </w:tc>
      </w:tr>
      <w:tr w:rsidR="00830537" w14:paraId="2FA3BC73" w14:textId="77777777">
        <w:trPr>
          <w:jc w:val="center"/>
        </w:trPr>
        <w:tc>
          <w:tcPr>
            <w:tcW w:w="1332" w:type="pct"/>
            <w:tcBorders>
              <w:top w:val="nil"/>
              <w:left w:val="nil"/>
              <w:bottom w:val="nil"/>
              <w:right w:val="nil"/>
            </w:tcBorders>
            <w:tcMar>
              <w:top w:w="-1" w:type="dxa"/>
              <w:left w:w="-1" w:type="dxa"/>
              <w:bottom w:w="-1" w:type="dxa"/>
              <w:right w:w="-1" w:type="dxa"/>
            </w:tcMar>
            <w:vAlign w:val="center"/>
          </w:tcPr>
          <w:p w14:paraId="3939C368" w14:textId="77777777" w:rsidR="00830537" w:rsidRDefault="00B97722" w:rsidP="00E80D6D">
            <w:pPr>
              <w:snapToGrid w:val="0"/>
              <w:jc w:val="left"/>
              <w:rPr>
                <w:rFonts w:ascii="Times New Roman" w:eastAsia="Segoe UI"/>
                <w:sz w:val="24"/>
              </w:rPr>
            </w:pPr>
            <w:r>
              <w:rPr>
                <w:rFonts w:ascii="Times New Roman" w:eastAsia="Segoe UI" w:hAnsi="Times New Roman" w:cs="Times New Roman"/>
                <w:color w:val="0F1115"/>
                <w:sz w:val="24"/>
                <w:shd w:val="clear" w:color="auto" w:fill="FFFFFF"/>
              </w:rPr>
              <w:t xml:space="preserve">Exercise frequency </w:t>
            </w:r>
          </w:p>
        </w:tc>
        <w:tc>
          <w:tcPr>
            <w:tcW w:w="613" w:type="pct"/>
            <w:tcBorders>
              <w:top w:val="nil"/>
              <w:left w:val="nil"/>
              <w:bottom w:val="nil"/>
              <w:right w:val="nil"/>
            </w:tcBorders>
            <w:tcMar>
              <w:top w:w="-1" w:type="dxa"/>
              <w:left w:w="-1" w:type="dxa"/>
              <w:bottom w:w="-1" w:type="dxa"/>
              <w:right w:w="-1" w:type="dxa"/>
            </w:tcMar>
            <w:vAlign w:val="center"/>
          </w:tcPr>
          <w:p w14:paraId="780A3ED3" w14:textId="77777777" w:rsidR="00830537" w:rsidRDefault="00B97722" w:rsidP="009E22F3">
            <w:pPr>
              <w:snapToGrid w:val="0"/>
              <w:jc w:val="center"/>
              <w:rPr>
                <w:rFonts w:ascii="Times New Roman" w:eastAsia="Segoe UI"/>
                <w:sz w:val="24"/>
              </w:rPr>
            </w:pPr>
            <w:r>
              <w:rPr>
                <w:rFonts w:ascii="Times New Roman" w:eastAsia="Segoe UI" w:hAnsi="Times New Roman" w:cs="Times New Roman"/>
                <w:color w:val="0F1115"/>
                <w:sz w:val="24"/>
                <w:shd w:val="clear" w:color="auto" w:fill="FFFFFF"/>
              </w:rPr>
              <w:t xml:space="preserve">0.337 </w:t>
            </w:r>
          </w:p>
        </w:tc>
        <w:tc>
          <w:tcPr>
            <w:tcW w:w="487" w:type="pct"/>
            <w:tcBorders>
              <w:top w:val="nil"/>
              <w:left w:val="nil"/>
              <w:bottom w:val="nil"/>
              <w:right w:val="nil"/>
            </w:tcBorders>
            <w:tcMar>
              <w:top w:w="-1" w:type="dxa"/>
              <w:left w:w="-1" w:type="dxa"/>
              <w:bottom w:w="-1" w:type="dxa"/>
              <w:right w:w="-1" w:type="dxa"/>
            </w:tcMar>
            <w:vAlign w:val="center"/>
          </w:tcPr>
          <w:p w14:paraId="3C1920E2" w14:textId="77777777" w:rsidR="00830537" w:rsidRDefault="00B97722" w:rsidP="009E22F3">
            <w:pPr>
              <w:snapToGrid w:val="0"/>
              <w:jc w:val="center"/>
              <w:rPr>
                <w:rFonts w:ascii="Times New Roman" w:eastAsia="Segoe UI"/>
                <w:sz w:val="24"/>
              </w:rPr>
            </w:pPr>
            <w:r>
              <w:rPr>
                <w:rFonts w:ascii="Times New Roman" w:eastAsia="Segoe UI" w:hAnsi="Times New Roman" w:cs="Times New Roman"/>
                <w:color w:val="0F1115"/>
                <w:sz w:val="24"/>
                <w:shd w:val="clear" w:color="auto" w:fill="FFFFFF"/>
              </w:rPr>
              <w:t xml:space="preserve">0.078 </w:t>
            </w:r>
          </w:p>
        </w:tc>
        <w:tc>
          <w:tcPr>
            <w:tcW w:w="649" w:type="pct"/>
            <w:tcBorders>
              <w:top w:val="nil"/>
              <w:left w:val="nil"/>
              <w:bottom w:val="nil"/>
              <w:right w:val="nil"/>
            </w:tcBorders>
            <w:tcMar>
              <w:top w:w="-1" w:type="dxa"/>
              <w:left w:w="-1" w:type="dxa"/>
              <w:bottom w:w="-1" w:type="dxa"/>
              <w:right w:w="-1" w:type="dxa"/>
            </w:tcMar>
            <w:vAlign w:val="center"/>
          </w:tcPr>
          <w:p w14:paraId="2B0F5E3C" w14:textId="77777777" w:rsidR="00830537" w:rsidRDefault="00B97722" w:rsidP="009E22F3">
            <w:pPr>
              <w:snapToGrid w:val="0"/>
              <w:jc w:val="center"/>
              <w:rPr>
                <w:rFonts w:ascii="Times New Roman" w:eastAsia="Segoe UI"/>
                <w:sz w:val="24"/>
              </w:rPr>
            </w:pPr>
            <w:r>
              <w:rPr>
                <w:rFonts w:ascii="Times New Roman" w:eastAsia="Segoe UI" w:hAnsi="Times New Roman" w:cs="Times New Roman"/>
                <w:color w:val="0F1115"/>
                <w:sz w:val="24"/>
                <w:shd w:val="clear" w:color="auto" w:fill="FFFFFF"/>
              </w:rPr>
              <w:t xml:space="preserve">18.667 </w:t>
            </w:r>
          </w:p>
        </w:tc>
        <w:tc>
          <w:tcPr>
            <w:tcW w:w="498" w:type="pct"/>
            <w:tcBorders>
              <w:top w:val="nil"/>
              <w:left w:val="nil"/>
              <w:bottom w:val="nil"/>
              <w:right w:val="nil"/>
            </w:tcBorders>
            <w:tcMar>
              <w:top w:w="-1" w:type="dxa"/>
              <w:left w:w="-1" w:type="dxa"/>
              <w:bottom w:w="-1" w:type="dxa"/>
              <w:right w:w="-1" w:type="dxa"/>
            </w:tcMar>
            <w:vAlign w:val="center"/>
          </w:tcPr>
          <w:p w14:paraId="079EFF5D" w14:textId="6FBE7FC7" w:rsidR="00830537" w:rsidRDefault="00B97722" w:rsidP="009E22F3">
            <w:pPr>
              <w:snapToGrid w:val="0"/>
              <w:jc w:val="center"/>
              <w:rPr>
                <w:rFonts w:ascii="Times New Roman" w:eastAsia="Segoe UI"/>
                <w:sz w:val="24"/>
              </w:rPr>
            </w:pPr>
            <w:r>
              <w:rPr>
                <w:rFonts w:ascii="Times New Roman" w:eastAsia="Segoe UI" w:hAnsi="Times New Roman" w:cs="Times New Roman"/>
                <w:color w:val="0F1115"/>
                <w:sz w:val="24"/>
                <w:shd w:val="clear" w:color="auto" w:fill="FFFFFF"/>
              </w:rPr>
              <w:t>&lt;</w:t>
            </w:r>
            <w:r w:rsidR="009E22F3">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 xml:space="preserve">0.05 </w:t>
            </w:r>
          </w:p>
        </w:tc>
        <w:tc>
          <w:tcPr>
            <w:tcW w:w="487" w:type="pct"/>
            <w:tcBorders>
              <w:top w:val="nil"/>
              <w:left w:val="nil"/>
              <w:bottom w:val="nil"/>
              <w:right w:val="nil"/>
            </w:tcBorders>
            <w:tcMar>
              <w:top w:w="-1" w:type="dxa"/>
              <w:left w:w="-1" w:type="dxa"/>
              <w:bottom w:w="-1" w:type="dxa"/>
              <w:right w:w="-1" w:type="dxa"/>
            </w:tcMar>
            <w:vAlign w:val="center"/>
          </w:tcPr>
          <w:p w14:paraId="79B744E9" w14:textId="77777777" w:rsidR="00830537" w:rsidRDefault="00B97722" w:rsidP="009E22F3">
            <w:pPr>
              <w:snapToGrid w:val="0"/>
              <w:jc w:val="center"/>
              <w:rPr>
                <w:rFonts w:ascii="Times New Roman" w:eastAsia="Segoe UI"/>
                <w:sz w:val="24"/>
              </w:rPr>
            </w:pPr>
            <w:r>
              <w:rPr>
                <w:rFonts w:ascii="Times New Roman" w:eastAsia="Segoe UI" w:hAnsi="Times New Roman" w:cs="Times New Roman"/>
                <w:color w:val="0F1115"/>
                <w:sz w:val="24"/>
                <w:shd w:val="clear" w:color="auto" w:fill="FFFFFF"/>
              </w:rPr>
              <w:t xml:space="preserve">1.956 </w:t>
            </w:r>
          </w:p>
        </w:tc>
        <w:tc>
          <w:tcPr>
            <w:tcW w:w="931" w:type="pct"/>
            <w:tcBorders>
              <w:top w:val="nil"/>
              <w:left w:val="nil"/>
              <w:bottom w:val="nil"/>
              <w:right w:val="nil"/>
            </w:tcBorders>
            <w:tcMar>
              <w:top w:w="-1" w:type="dxa"/>
              <w:left w:w="-1" w:type="dxa"/>
              <w:bottom w:w="-1" w:type="dxa"/>
              <w:right w:w="-1" w:type="dxa"/>
            </w:tcMar>
            <w:vAlign w:val="center"/>
          </w:tcPr>
          <w:p w14:paraId="06DB8C58" w14:textId="42B0DD6E" w:rsidR="00830537" w:rsidRDefault="00B97722" w:rsidP="009E22F3">
            <w:pPr>
              <w:snapToGrid w:val="0"/>
              <w:jc w:val="center"/>
              <w:rPr>
                <w:rFonts w:ascii="Times New Roman" w:eastAsia="Segoe UI"/>
                <w:sz w:val="24"/>
              </w:rPr>
            </w:pPr>
            <w:r>
              <w:rPr>
                <w:rFonts w:ascii="Times New Roman" w:eastAsia="Segoe UI" w:hAnsi="Times New Roman" w:cs="Times New Roman"/>
                <w:color w:val="0F1115"/>
                <w:sz w:val="24"/>
                <w:shd w:val="clear" w:color="auto" w:fill="FFFFFF"/>
              </w:rPr>
              <w:t>1.548</w:t>
            </w:r>
            <w:r w:rsidR="009E22F3">
              <w:rPr>
                <w:rFonts w:ascii="Times New Roman" w:eastAsia="Segoe UI"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2.545</w:t>
            </w:r>
          </w:p>
        </w:tc>
      </w:tr>
      <w:tr w:rsidR="00830537" w14:paraId="1BAF5328" w14:textId="77777777">
        <w:trPr>
          <w:jc w:val="center"/>
        </w:trPr>
        <w:tc>
          <w:tcPr>
            <w:tcW w:w="1332" w:type="pct"/>
            <w:tcBorders>
              <w:top w:val="nil"/>
              <w:left w:val="nil"/>
              <w:bottom w:val="nil"/>
              <w:right w:val="nil"/>
            </w:tcBorders>
            <w:tcMar>
              <w:top w:w="-1" w:type="dxa"/>
              <w:left w:w="-1" w:type="dxa"/>
              <w:bottom w:w="-1" w:type="dxa"/>
              <w:right w:w="-1" w:type="dxa"/>
            </w:tcMar>
            <w:vAlign w:val="center"/>
          </w:tcPr>
          <w:p w14:paraId="37814F43" w14:textId="77777777" w:rsidR="00830537" w:rsidRDefault="00B97722" w:rsidP="00E80D6D">
            <w:pPr>
              <w:snapToGrid w:val="0"/>
              <w:jc w:val="left"/>
              <w:rPr>
                <w:rFonts w:ascii="Times New Roman" w:eastAsia="Segoe UI"/>
                <w:sz w:val="24"/>
              </w:rPr>
            </w:pPr>
            <w:r>
              <w:rPr>
                <w:rFonts w:ascii="Times New Roman" w:eastAsia="Segoe UI" w:hAnsi="Times New Roman" w:cs="Times New Roman"/>
                <w:color w:val="0F1115"/>
                <w:sz w:val="24"/>
                <w:shd w:val="clear" w:color="auto" w:fill="FFFFFF"/>
              </w:rPr>
              <w:t xml:space="preserve">Dietary habits </w:t>
            </w:r>
          </w:p>
        </w:tc>
        <w:tc>
          <w:tcPr>
            <w:tcW w:w="613" w:type="pct"/>
            <w:tcBorders>
              <w:top w:val="nil"/>
              <w:left w:val="nil"/>
              <w:bottom w:val="nil"/>
              <w:right w:val="nil"/>
            </w:tcBorders>
            <w:tcMar>
              <w:top w:w="-1" w:type="dxa"/>
              <w:left w:w="-1" w:type="dxa"/>
              <w:bottom w:w="-1" w:type="dxa"/>
              <w:right w:w="-1" w:type="dxa"/>
            </w:tcMar>
            <w:vAlign w:val="center"/>
          </w:tcPr>
          <w:p w14:paraId="76CA7BC1" w14:textId="77777777" w:rsidR="00830537" w:rsidRDefault="00B97722" w:rsidP="009E22F3">
            <w:pPr>
              <w:snapToGrid w:val="0"/>
              <w:jc w:val="center"/>
              <w:rPr>
                <w:rFonts w:ascii="Times New Roman" w:eastAsia="Segoe UI"/>
                <w:sz w:val="24"/>
              </w:rPr>
            </w:pPr>
            <w:r>
              <w:rPr>
                <w:rFonts w:ascii="Times New Roman" w:eastAsia="Segoe UI" w:hAnsi="Times New Roman" w:cs="Times New Roman"/>
                <w:color w:val="0F1115"/>
                <w:sz w:val="24"/>
                <w:shd w:val="clear" w:color="auto" w:fill="FFFFFF"/>
              </w:rPr>
              <w:t xml:space="preserve">0.324 </w:t>
            </w:r>
          </w:p>
        </w:tc>
        <w:tc>
          <w:tcPr>
            <w:tcW w:w="487" w:type="pct"/>
            <w:tcBorders>
              <w:top w:val="nil"/>
              <w:left w:val="nil"/>
              <w:bottom w:val="nil"/>
              <w:right w:val="nil"/>
            </w:tcBorders>
            <w:tcMar>
              <w:top w:w="-1" w:type="dxa"/>
              <w:left w:w="-1" w:type="dxa"/>
              <w:bottom w:w="-1" w:type="dxa"/>
              <w:right w:w="-1" w:type="dxa"/>
            </w:tcMar>
            <w:vAlign w:val="center"/>
          </w:tcPr>
          <w:p w14:paraId="50FA80B7" w14:textId="77777777" w:rsidR="00830537" w:rsidRDefault="00B97722" w:rsidP="009E22F3">
            <w:pPr>
              <w:snapToGrid w:val="0"/>
              <w:jc w:val="center"/>
              <w:rPr>
                <w:rFonts w:ascii="Times New Roman" w:eastAsia="Segoe UI"/>
                <w:sz w:val="24"/>
              </w:rPr>
            </w:pPr>
            <w:r>
              <w:rPr>
                <w:rFonts w:ascii="Times New Roman" w:eastAsia="Segoe UI" w:hAnsi="Times New Roman" w:cs="Times New Roman"/>
                <w:color w:val="0F1115"/>
                <w:sz w:val="24"/>
                <w:shd w:val="clear" w:color="auto" w:fill="FFFFFF"/>
              </w:rPr>
              <w:t xml:space="preserve">0.119 </w:t>
            </w:r>
          </w:p>
        </w:tc>
        <w:tc>
          <w:tcPr>
            <w:tcW w:w="649" w:type="pct"/>
            <w:tcBorders>
              <w:top w:val="nil"/>
              <w:left w:val="nil"/>
              <w:bottom w:val="nil"/>
              <w:right w:val="nil"/>
            </w:tcBorders>
            <w:tcMar>
              <w:top w:w="-1" w:type="dxa"/>
              <w:left w:w="-1" w:type="dxa"/>
              <w:bottom w:w="-1" w:type="dxa"/>
              <w:right w:w="-1" w:type="dxa"/>
            </w:tcMar>
            <w:vAlign w:val="center"/>
          </w:tcPr>
          <w:p w14:paraId="3528D202" w14:textId="77777777" w:rsidR="00830537" w:rsidRDefault="00B97722" w:rsidP="009E22F3">
            <w:pPr>
              <w:snapToGrid w:val="0"/>
              <w:jc w:val="center"/>
              <w:rPr>
                <w:rFonts w:ascii="Times New Roman" w:eastAsia="Segoe UI"/>
                <w:sz w:val="24"/>
              </w:rPr>
            </w:pPr>
            <w:r>
              <w:rPr>
                <w:rFonts w:ascii="Times New Roman" w:eastAsia="Segoe UI" w:hAnsi="Times New Roman" w:cs="Times New Roman"/>
                <w:color w:val="0F1115"/>
                <w:sz w:val="24"/>
                <w:shd w:val="clear" w:color="auto" w:fill="FFFFFF"/>
              </w:rPr>
              <w:t xml:space="preserve">7.413 </w:t>
            </w:r>
          </w:p>
        </w:tc>
        <w:tc>
          <w:tcPr>
            <w:tcW w:w="498" w:type="pct"/>
            <w:tcBorders>
              <w:top w:val="nil"/>
              <w:left w:val="nil"/>
              <w:bottom w:val="nil"/>
              <w:right w:val="nil"/>
            </w:tcBorders>
            <w:tcMar>
              <w:top w:w="-1" w:type="dxa"/>
              <w:left w:w="-1" w:type="dxa"/>
              <w:bottom w:w="-1" w:type="dxa"/>
              <w:right w:w="-1" w:type="dxa"/>
            </w:tcMar>
            <w:vAlign w:val="center"/>
          </w:tcPr>
          <w:p w14:paraId="7A0D7548" w14:textId="3D535DB6" w:rsidR="00830537" w:rsidRDefault="00B97722" w:rsidP="009E22F3">
            <w:pPr>
              <w:snapToGrid w:val="0"/>
              <w:jc w:val="center"/>
              <w:rPr>
                <w:rFonts w:ascii="Times New Roman" w:eastAsia="Segoe UI"/>
                <w:sz w:val="24"/>
              </w:rPr>
            </w:pPr>
            <w:r>
              <w:rPr>
                <w:rFonts w:ascii="Times New Roman" w:eastAsia="Segoe UI" w:hAnsi="Times New Roman" w:cs="Times New Roman"/>
                <w:color w:val="0F1115"/>
                <w:sz w:val="24"/>
                <w:shd w:val="clear" w:color="auto" w:fill="FFFFFF"/>
              </w:rPr>
              <w:t>&lt;</w:t>
            </w:r>
            <w:r w:rsidR="009E22F3">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 xml:space="preserve">0.05 </w:t>
            </w:r>
          </w:p>
        </w:tc>
        <w:tc>
          <w:tcPr>
            <w:tcW w:w="487" w:type="pct"/>
            <w:tcBorders>
              <w:top w:val="nil"/>
              <w:left w:val="nil"/>
              <w:bottom w:val="nil"/>
              <w:right w:val="nil"/>
            </w:tcBorders>
            <w:tcMar>
              <w:top w:w="-1" w:type="dxa"/>
              <w:left w:w="-1" w:type="dxa"/>
              <w:bottom w:w="-1" w:type="dxa"/>
              <w:right w:w="-1" w:type="dxa"/>
            </w:tcMar>
            <w:vAlign w:val="center"/>
          </w:tcPr>
          <w:p w14:paraId="71595433" w14:textId="77777777" w:rsidR="00830537" w:rsidRDefault="00B97722" w:rsidP="009E22F3">
            <w:pPr>
              <w:snapToGrid w:val="0"/>
              <w:jc w:val="center"/>
              <w:rPr>
                <w:rFonts w:ascii="Times New Roman" w:eastAsia="Segoe UI"/>
                <w:sz w:val="24"/>
              </w:rPr>
            </w:pPr>
            <w:r>
              <w:rPr>
                <w:rFonts w:ascii="Times New Roman" w:eastAsia="Segoe UI" w:hAnsi="Times New Roman" w:cs="Times New Roman"/>
                <w:color w:val="0F1115"/>
                <w:sz w:val="24"/>
                <w:shd w:val="clear" w:color="auto" w:fill="FFFFFF"/>
              </w:rPr>
              <w:t xml:space="preserve">1.158 </w:t>
            </w:r>
          </w:p>
        </w:tc>
        <w:tc>
          <w:tcPr>
            <w:tcW w:w="931" w:type="pct"/>
            <w:tcBorders>
              <w:top w:val="nil"/>
              <w:left w:val="nil"/>
              <w:bottom w:val="nil"/>
              <w:right w:val="nil"/>
            </w:tcBorders>
            <w:tcMar>
              <w:top w:w="-1" w:type="dxa"/>
              <w:left w:w="-1" w:type="dxa"/>
              <w:bottom w:w="-1" w:type="dxa"/>
              <w:right w:w="-1" w:type="dxa"/>
            </w:tcMar>
            <w:vAlign w:val="center"/>
          </w:tcPr>
          <w:p w14:paraId="0B000AE9" w14:textId="162B8AB9" w:rsidR="00830537" w:rsidRDefault="00B97722" w:rsidP="009E22F3">
            <w:pPr>
              <w:snapToGrid w:val="0"/>
              <w:jc w:val="center"/>
              <w:rPr>
                <w:rFonts w:ascii="Times New Roman" w:eastAsia="Segoe UI"/>
                <w:sz w:val="24"/>
              </w:rPr>
            </w:pPr>
            <w:r>
              <w:rPr>
                <w:rFonts w:ascii="Times New Roman" w:eastAsia="Segoe UI" w:hAnsi="Times New Roman" w:cs="Times New Roman"/>
                <w:color w:val="0F1115"/>
                <w:sz w:val="24"/>
                <w:shd w:val="clear" w:color="auto" w:fill="FFFFFF"/>
              </w:rPr>
              <w:t>1.058</w:t>
            </w:r>
            <w:r w:rsidR="009E22F3">
              <w:rPr>
                <w:rFonts w:ascii="Times New Roman" w:eastAsia="Segoe UI"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1.589</w:t>
            </w:r>
          </w:p>
        </w:tc>
      </w:tr>
      <w:tr w:rsidR="00830537" w14:paraId="6D522070" w14:textId="77777777">
        <w:trPr>
          <w:jc w:val="center"/>
        </w:trPr>
        <w:tc>
          <w:tcPr>
            <w:tcW w:w="1332" w:type="pct"/>
            <w:tcBorders>
              <w:top w:val="nil"/>
              <w:left w:val="nil"/>
              <w:bottom w:val="nil"/>
              <w:right w:val="nil"/>
            </w:tcBorders>
            <w:tcMar>
              <w:top w:w="-1" w:type="dxa"/>
              <w:left w:w="-1" w:type="dxa"/>
              <w:bottom w:w="-1" w:type="dxa"/>
              <w:right w:w="-1" w:type="dxa"/>
            </w:tcMar>
            <w:vAlign w:val="center"/>
          </w:tcPr>
          <w:p w14:paraId="3015D616" w14:textId="77777777" w:rsidR="00830537" w:rsidRDefault="00B97722" w:rsidP="00E80D6D">
            <w:pPr>
              <w:snapToGrid w:val="0"/>
              <w:jc w:val="left"/>
              <w:rPr>
                <w:rFonts w:ascii="Times New Roman" w:eastAsia="Segoe UI"/>
                <w:sz w:val="24"/>
              </w:rPr>
            </w:pPr>
            <w:r>
              <w:rPr>
                <w:rFonts w:ascii="Times New Roman" w:eastAsia="Segoe UI" w:hAnsi="Times New Roman" w:cs="Times New Roman"/>
                <w:color w:val="0F1115"/>
                <w:sz w:val="24"/>
                <w:shd w:val="clear" w:color="auto" w:fill="FFFFFF"/>
              </w:rPr>
              <w:t xml:space="preserve">25(OH)D </w:t>
            </w:r>
          </w:p>
        </w:tc>
        <w:tc>
          <w:tcPr>
            <w:tcW w:w="613" w:type="pct"/>
            <w:tcBorders>
              <w:top w:val="nil"/>
              <w:left w:val="nil"/>
              <w:bottom w:val="nil"/>
              <w:right w:val="nil"/>
            </w:tcBorders>
            <w:tcMar>
              <w:top w:w="-1" w:type="dxa"/>
              <w:left w:w="-1" w:type="dxa"/>
              <w:bottom w:w="-1" w:type="dxa"/>
              <w:right w:w="-1" w:type="dxa"/>
            </w:tcMar>
            <w:vAlign w:val="center"/>
          </w:tcPr>
          <w:p w14:paraId="50C2D871" w14:textId="77777777" w:rsidR="00830537" w:rsidRDefault="00B97722" w:rsidP="009E22F3">
            <w:pPr>
              <w:snapToGrid w:val="0"/>
              <w:jc w:val="center"/>
              <w:rPr>
                <w:rFonts w:ascii="Times New Roman" w:eastAsia="Segoe UI"/>
                <w:sz w:val="24"/>
              </w:rPr>
            </w:pPr>
            <w:r>
              <w:rPr>
                <w:rFonts w:ascii="Times New Roman" w:eastAsia="Segoe UI" w:hAnsi="Times New Roman" w:cs="Times New Roman"/>
                <w:color w:val="0F1115"/>
                <w:sz w:val="24"/>
                <w:shd w:val="clear" w:color="auto" w:fill="FFFFFF"/>
              </w:rPr>
              <w:t xml:space="preserve">0.374 </w:t>
            </w:r>
          </w:p>
        </w:tc>
        <w:tc>
          <w:tcPr>
            <w:tcW w:w="487" w:type="pct"/>
            <w:tcBorders>
              <w:top w:val="nil"/>
              <w:left w:val="nil"/>
              <w:bottom w:val="nil"/>
              <w:right w:val="nil"/>
            </w:tcBorders>
            <w:tcMar>
              <w:top w:w="-1" w:type="dxa"/>
              <w:left w:w="-1" w:type="dxa"/>
              <w:bottom w:w="-1" w:type="dxa"/>
              <w:right w:w="-1" w:type="dxa"/>
            </w:tcMar>
            <w:vAlign w:val="center"/>
          </w:tcPr>
          <w:p w14:paraId="5DF647B5" w14:textId="77777777" w:rsidR="00830537" w:rsidRDefault="00B97722" w:rsidP="009E22F3">
            <w:pPr>
              <w:snapToGrid w:val="0"/>
              <w:jc w:val="center"/>
              <w:rPr>
                <w:rFonts w:ascii="Times New Roman" w:eastAsia="Segoe UI"/>
                <w:sz w:val="24"/>
              </w:rPr>
            </w:pPr>
            <w:r>
              <w:rPr>
                <w:rFonts w:ascii="Times New Roman" w:eastAsia="Segoe UI" w:hAnsi="Times New Roman" w:cs="Times New Roman"/>
                <w:color w:val="0F1115"/>
                <w:sz w:val="24"/>
                <w:shd w:val="clear" w:color="auto" w:fill="FFFFFF"/>
              </w:rPr>
              <w:t xml:space="preserve">0.111 </w:t>
            </w:r>
          </w:p>
        </w:tc>
        <w:tc>
          <w:tcPr>
            <w:tcW w:w="649" w:type="pct"/>
            <w:tcBorders>
              <w:top w:val="nil"/>
              <w:left w:val="nil"/>
              <w:bottom w:val="nil"/>
              <w:right w:val="nil"/>
            </w:tcBorders>
            <w:tcMar>
              <w:top w:w="-1" w:type="dxa"/>
              <w:left w:w="-1" w:type="dxa"/>
              <w:bottom w:w="-1" w:type="dxa"/>
              <w:right w:w="-1" w:type="dxa"/>
            </w:tcMar>
            <w:vAlign w:val="center"/>
          </w:tcPr>
          <w:p w14:paraId="4C29D0BB" w14:textId="77777777" w:rsidR="00830537" w:rsidRDefault="00B97722" w:rsidP="009E22F3">
            <w:pPr>
              <w:snapToGrid w:val="0"/>
              <w:jc w:val="center"/>
              <w:rPr>
                <w:rFonts w:ascii="Times New Roman" w:eastAsia="Segoe UI"/>
                <w:sz w:val="24"/>
              </w:rPr>
            </w:pPr>
            <w:r>
              <w:rPr>
                <w:rFonts w:ascii="Times New Roman" w:eastAsia="Segoe UI" w:hAnsi="Times New Roman" w:cs="Times New Roman"/>
                <w:color w:val="0F1115"/>
                <w:sz w:val="24"/>
                <w:shd w:val="clear" w:color="auto" w:fill="FFFFFF"/>
              </w:rPr>
              <w:t xml:space="preserve">11.353 </w:t>
            </w:r>
          </w:p>
        </w:tc>
        <w:tc>
          <w:tcPr>
            <w:tcW w:w="498" w:type="pct"/>
            <w:tcBorders>
              <w:top w:val="nil"/>
              <w:left w:val="nil"/>
              <w:bottom w:val="nil"/>
              <w:right w:val="nil"/>
            </w:tcBorders>
            <w:tcMar>
              <w:top w:w="-1" w:type="dxa"/>
              <w:left w:w="-1" w:type="dxa"/>
              <w:bottom w:w="-1" w:type="dxa"/>
              <w:right w:w="-1" w:type="dxa"/>
            </w:tcMar>
            <w:vAlign w:val="center"/>
          </w:tcPr>
          <w:p w14:paraId="7B3977F0" w14:textId="00FABC00" w:rsidR="00830537" w:rsidRDefault="00B97722" w:rsidP="009E22F3">
            <w:pPr>
              <w:snapToGrid w:val="0"/>
              <w:jc w:val="center"/>
              <w:rPr>
                <w:rFonts w:ascii="Times New Roman" w:eastAsia="Segoe UI"/>
                <w:sz w:val="24"/>
              </w:rPr>
            </w:pPr>
            <w:r>
              <w:rPr>
                <w:rFonts w:ascii="Times New Roman" w:eastAsia="Segoe UI" w:hAnsi="Times New Roman" w:cs="Times New Roman"/>
                <w:color w:val="0F1115"/>
                <w:sz w:val="24"/>
                <w:shd w:val="clear" w:color="auto" w:fill="FFFFFF"/>
              </w:rPr>
              <w:t>&lt;</w:t>
            </w:r>
            <w:r w:rsidR="009E22F3">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 xml:space="preserve">0.05 </w:t>
            </w:r>
          </w:p>
        </w:tc>
        <w:tc>
          <w:tcPr>
            <w:tcW w:w="487" w:type="pct"/>
            <w:tcBorders>
              <w:top w:val="nil"/>
              <w:left w:val="nil"/>
              <w:bottom w:val="nil"/>
              <w:right w:val="nil"/>
            </w:tcBorders>
            <w:tcMar>
              <w:top w:w="-1" w:type="dxa"/>
              <w:left w:w="-1" w:type="dxa"/>
              <w:bottom w:w="-1" w:type="dxa"/>
              <w:right w:w="-1" w:type="dxa"/>
            </w:tcMar>
            <w:vAlign w:val="center"/>
          </w:tcPr>
          <w:p w14:paraId="66BB2281" w14:textId="77777777" w:rsidR="00830537" w:rsidRDefault="00B97722" w:rsidP="009E22F3">
            <w:pPr>
              <w:snapToGrid w:val="0"/>
              <w:jc w:val="center"/>
              <w:rPr>
                <w:rFonts w:ascii="Times New Roman" w:eastAsia="Segoe UI"/>
                <w:sz w:val="24"/>
              </w:rPr>
            </w:pPr>
            <w:r>
              <w:rPr>
                <w:rFonts w:ascii="Times New Roman" w:eastAsia="Segoe UI" w:hAnsi="Times New Roman" w:cs="Times New Roman"/>
                <w:color w:val="0F1115"/>
                <w:sz w:val="24"/>
                <w:shd w:val="clear" w:color="auto" w:fill="FFFFFF"/>
              </w:rPr>
              <w:t xml:space="preserve">1.758 </w:t>
            </w:r>
          </w:p>
        </w:tc>
        <w:tc>
          <w:tcPr>
            <w:tcW w:w="931" w:type="pct"/>
            <w:tcBorders>
              <w:top w:val="nil"/>
              <w:left w:val="nil"/>
              <w:bottom w:val="nil"/>
              <w:right w:val="nil"/>
            </w:tcBorders>
            <w:tcMar>
              <w:top w:w="-1" w:type="dxa"/>
              <w:left w:w="-1" w:type="dxa"/>
              <w:bottom w:w="-1" w:type="dxa"/>
              <w:right w:w="-1" w:type="dxa"/>
            </w:tcMar>
            <w:vAlign w:val="center"/>
          </w:tcPr>
          <w:p w14:paraId="3427937E" w14:textId="1F7592CE" w:rsidR="00830537" w:rsidRDefault="00B97722" w:rsidP="009E22F3">
            <w:pPr>
              <w:snapToGrid w:val="0"/>
              <w:jc w:val="center"/>
              <w:rPr>
                <w:rFonts w:ascii="Times New Roman" w:eastAsia="Segoe UI"/>
                <w:sz w:val="24"/>
              </w:rPr>
            </w:pPr>
            <w:r>
              <w:rPr>
                <w:rFonts w:ascii="Times New Roman" w:eastAsia="Segoe UI" w:hAnsi="Times New Roman" w:cs="Times New Roman"/>
                <w:color w:val="0F1115"/>
                <w:sz w:val="24"/>
                <w:shd w:val="clear" w:color="auto" w:fill="FFFFFF"/>
              </w:rPr>
              <w:t>1.458</w:t>
            </w:r>
            <w:r w:rsidR="009E22F3">
              <w:rPr>
                <w:rFonts w:ascii="Times New Roman" w:eastAsia="Segoe UI"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1.986</w:t>
            </w:r>
          </w:p>
        </w:tc>
      </w:tr>
      <w:tr w:rsidR="00830537" w14:paraId="2133695B" w14:textId="77777777" w:rsidTr="00E80D6D">
        <w:trPr>
          <w:jc w:val="center"/>
        </w:trPr>
        <w:tc>
          <w:tcPr>
            <w:tcW w:w="1332" w:type="pct"/>
            <w:tcBorders>
              <w:top w:val="nil"/>
              <w:left w:val="nil"/>
              <w:bottom w:val="single" w:sz="4" w:space="0" w:color="auto"/>
              <w:right w:val="nil"/>
            </w:tcBorders>
            <w:tcMar>
              <w:top w:w="-1" w:type="dxa"/>
              <w:left w:w="-1" w:type="dxa"/>
              <w:bottom w:w="-1" w:type="dxa"/>
              <w:right w:w="-1" w:type="dxa"/>
            </w:tcMar>
            <w:vAlign w:val="center"/>
          </w:tcPr>
          <w:p w14:paraId="02B35676" w14:textId="77777777" w:rsidR="00830537" w:rsidRDefault="00B97722" w:rsidP="00E80D6D">
            <w:pPr>
              <w:snapToGrid w:val="0"/>
              <w:jc w:val="left"/>
              <w:rPr>
                <w:rFonts w:ascii="Times New Roman" w:eastAsia="Segoe UI"/>
                <w:sz w:val="24"/>
              </w:rPr>
            </w:pPr>
            <w:r>
              <w:rPr>
                <w:rFonts w:ascii="Times New Roman" w:eastAsia="Segoe UI" w:hAnsi="Times New Roman" w:cs="Times New Roman"/>
                <w:color w:val="0F1115"/>
                <w:sz w:val="24"/>
                <w:shd w:val="clear" w:color="auto" w:fill="FFFFFF"/>
              </w:rPr>
              <w:t xml:space="preserve">PTH </w:t>
            </w:r>
          </w:p>
        </w:tc>
        <w:tc>
          <w:tcPr>
            <w:tcW w:w="613" w:type="pct"/>
            <w:tcBorders>
              <w:top w:val="nil"/>
              <w:left w:val="nil"/>
              <w:bottom w:val="single" w:sz="4" w:space="0" w:color="auto"/>
              <w:right w:val="nil"/>
            </w:tcBorders>
            <w:tcMar>
              <w:top w:w="-1" w:type="dxa"/>
              <w:left w:w="-1" w:type="dxa"/>
              <w:bottom w:w="-1" w:type="dxa"/>
              <w:right w:w="-1" w:type="dxa"/>
            </w:tcMar>
            <w:vAlign w:val="center"/>
          </w:tcPr>
          <w:p w14:paraId="3508A464" w14:textId="77777777" w:rsidR="00830537" w:rsidRDefault="00B97722" w:rsidP="009E22F3">
            <w:pPr>
              <w:snapToGrid w:val="0"/>
              <w:jc w:val="center"/>
              <w:rPr>
                <w:rFonts w:ascii="Times New Roman" w:eastAsia="Segoe UI"/>
                <w:sz w:val="24"/>
              </w:rPr>
            </w:pPr>
            <w:r>
              <w:rPr>
                <w:rFonts w:ascii="Times New Roman" w:eastAsia="Segoe UI" w:hAnsi="Times New Roman" w:cs="Times New Roman"/>
                <w:color w:val="0F1115"/>
                <w:sz w:val="24"/>
                <w:shd w:val="clear" w:color="auto" w:fill="FFFFFF"/>
              </w:rPr>
              <w:t xml:space="preserve">0.382 </w:t>
            </w:r>
          </w:p>
        </w:tc>
        <w:tc>
          <w:tcPr>
            <w:tcW w:w="487" w:type="pct"/>
            <w:tcBorders>
              <w:top w:val="nil"/>
              <w:left w:val="nil"/>
              <w:bottom w:val="single" w:sz="4" w:space="0" w:color="auto"/>
              <w:right w:val="nil"/>
            </w:tcBorders>
            <w:tcMar>
              <w:top w:w="-1" w:type="dxa"/>
              <w:left w:w="-1" w:type="dxa"/>
              <w:bottom w:w="-1" w:type="dxa"/>
              <w:right w:w="-1" w:type="dxa"/>
            </w:tcMar>
            <w:vAlign w:val="center"/>
          </w:tcPr>
          <w:p w14:paraId="27975AA9" w14:textId="77777777" w:rsidR="00830537" w:rsidRDefault="00B97722" w:rsidP="009E22F3">
            <w:pPr>
              <w:snapToGrid w:val="0"/>
              <w:jc w:val="center"/>
              <w:rPr>
                <w:rFonts w:ascii="Times New Roman" w:eastAsia="Segoe UI"/>
                <w:sz w:val="24"/>
              </w:rPr>
            </w:pPr>
            <w:r>
              <w:rPr>
                <w:rFonts w:ascii="Times New Roman" w:eastAsia="Segoe UI" w:hAnsi="Times New Roman" w:cs="Times New Roman"/>
                <w:color w:val="0F1115"/>
                <w:sz w:val="24"/>
                <w:shd w:val="clear" w:color="auto" w:fill="FFFFFF"/>
              </w:rPr>
              <w:t xml:space="preserve">0.092 </w:t>
            </w:r>
          </w:p>
        </w:tc>
        <w:tc>
          <w:tcPr>
            <w:tcW w:w="649" w:type="pct"/>
            <w:tcBorders>
              <w:top w:val="nil"/>
              <w:left w:val="nil"/>
              <w:bottom w:val="single" w:sz="4" w:space="0" w:color="auto"/>
              <w:right w:val="nil"/>
            </w:tcBorders>
            <w:tcMar>
              <w:top w:w="-1" w:type="dxa"/>
              <w:left w:w="-1" w:type="dxa"/>
              <w:bottom w:w="-1" w:type="dxa"/>
              <w:right w:w="-1" w:type="dxa"/>
            </w:tcMar>
            <w:vAlign w:val="center"/>
          </w:tcPr>
          <w:p w14:paraId="747DD710" w14:textId="77777777" w:rsidR="00830537" w:rsidRDefault="00B97722" w:rsidP="009E22F3">
            <w:pPr>
              <w:snapToGrid w:val="0"/>
              <w:jc w:val="center"/>
              <w:rPr>
                <w:rFonts w:ascii="Times New Roman" w:eastAsia="Segoe UI"/>
                <w:sz w:val="24"/>
              </w:rPr>
            </w:pPr>
            <w:r>
              <w:rPr>
                <w:rFonts w:ascii="Times New Roman" w:eastAsia="Segoe UI" w:hAnsi="Times New Roman" w:cs="Times New Roman"/>
                <w:color w:val="0F1115"/>
                <w:sz w:val="24"/>
                <w:shd w:val="clear" w:color="auto" w:fill="FFFFFF"/>
              </w:rPr>
              <w:t xml:space="preserve">17.241 </w:t>
            </w:r>
          </w:p>
        </w:tc>
        <w:tc>
          <w:tcPr>
            <w:tcW w:w="498" w:type="pct"/>
            <w:tcBorders>
              <w:top w:val="nil"/>
              <w:left w:val="nil"/>
              <w:bottom w:val="single" w:sz="4" w:space="0" w:color="auto"/>
              <w:right w:val="nil"/>
            </w:tcBorders>
            <w:tcMar>
              <w:top w:w="-1" w:type="dxa"/>
              <w:left w:w="-1" w:type="dxa"/>
              <w:bottom w:w="-1" w:type="dxa"/>
              <w:right w:w="-1" w:type="dxa"/>
            </w:tcMar>
            <w:vAlign w:val="center"/>
          </w:tcPr>
          <w:p w14:paraId="1AB08091" w14:textId="63A2F77E" w:rsidR="00830537" w:rsidRDefault="00B97722" w:rsidP="009E22F3">
            <w:pPr>
              <w:snapToGrid w:val="0"/>
              <w:jc w:val="center"/>
              <w:rPr>
                <w:rFonts w:ascii="Times New Roman" w:eastAsia="Segoe UI"/>
                <w:sz w:val="24"/>
              </w:rPr>
            </w:pPr>
            <w:r>
              <w:rPr>
                <w:rFonts w:ascii="Times New Roman" w:eastAsia="Segoe UI" w:hAnsi="Times New Roman" w:cs="Times New Roman"/>
                <w:color w:val="0F1115"/>
                <w:sz w:val="24"/>
                <w:shd w:val="clear" w:color="auto" w:fill="FFFFFF"/>
              </w:rPr>
              <w:t>&lt;</w:t>
            </w:r>
            <w:r w:rsidR="009E22F3">
              <w:rPr>
                <w:rFonts w:ascii="Times New Roman" w:eastAsia="Segoe UI"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 xml:space="preserve">0.05 </w:t>
            </w:r>
          </w:p>
        </w:tc>
        <w:tc>
          <w:tcPr>
            <w:tcW w:w="487" w:type="pct"/>
            <w:tcBorders>
              <w:top w:val="nil"/>
              <w:left w:val="nil"/>
              <w:bottom w:val="single" w:sz="4" w:space="0" w:color="auto"/>
              <w:right w:val="nil"/>
            </w:tcBorders>
            <w:tcMar>
              <w:top w:w="-1" w:type="dxa"/>
              <w:left w:w="-1" w:type="dxa"/>
              <w:bottom w:w="-1" w:type="dxa"/>
              <w:right w:w="-1" w:type="dxa"/>
            </w:tcMar>
            <w:vAlign w:val="center"/>
          </w:tcPr>
          <w:p w14:paraId="004108FB" w14:textId="77777777" w:rsidR="00830537" w:rsidRDefault="00B97722" w:rsidP="009E22F3">
            <w:pPr>
              <w:snapToGrid w:val="0"/>
              <w:jc w:val="center"/>
              <w:rPr>
                <w:rFonts w:ascii="Times New Roman" w:eastAsia="Segoe UI"/>
                <w:sz w:val="24"/>
              </w:rPr>
            </w:pPr>
            <w:r>
              <w:rPr>
                <w:rFonts w:ascii="Times New Roman" w:eastAsia="Segoe UI" w:hAnsi="Times New Roman" w:cs="Times New Roman"/>
                <w:color w:val="0F1115"/>
                <w:sz w:val="24"/>
                <w:shd w:val="clear" w:color="auto" w:fill="FFFFFF"/>
              </w:rPr>
              <w:t xml:space="preserve">1.911 </w:t>
            </w:r>
          </w:p>
        </w:tc>
        <w:tc>
          <w:tcPr>
            <w:tcW w:w="931" w:type="pct"/>
            <w:tcBorders>
              <w:top w:val="nil"/>
              <w:left w:val="nil"/>
              <w:bottom w:val="single" w:sz="4" w:space="0" w:color="auto"/>
              <w:right w:val="nil"/>
            </w:tcBorders>
            <w:tcMar>
              <w:top w:w="-1" w:type="dxa"/>
              <w:left w:w="-1" w:type="dxa"/>
              <w:bottom w:w="-1" w:type="dxa"/>
              <w:right w:w="-1" w:type="dxa"/>
            </w:tcMar>
            <w:vAlign w:val="center"/>
          </w:tcPr>
          <w:p w14:paraId="5A02318A" w14:textId="7C8DBA21" w:rsidR="00830537" w:rsidRDefault="00B97722" w:rsidP="009E22F3">
            <w:pPr>
              <w:snapToGrid w:val="0"/>
              <w:jc w:val="center"/>
              <w:rPr>
                <w:rFonts w:ascii="Times New Roman" w:eastAsia="Segoe UI"/>
                <w:sz w:val="24"/>
              </w:rPr>
            </w:pPr>
            <w:r>
              <w:rPr>
                <w:rFonts w:ascii="Times New Roman" w:eastAsia="Segoe UI" w:hAnsi="Times New Roman" w:cs="Times New Roman"/>
                <w:color w:val="0F1115"/>
                <w:sz w:val="24"/>
                <w:shd w:val="clear" w:color="auto" w:fill="FFFFFF"/>
              </w:rPr>
              <w:t>1.586</w:t>
            </w:r>
            <w:r w:rsidR="009E22F3">
              <w:rPr>
                <w:rFonts w:ascii="Times New Roman" w:eastAsia="Segoe UI"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2.458</w:t>
            </w:r>
          </w:p>
        </w:tc>
      </w:tr>
    </w:tbl>
    <w:p w14:paraId="4C5D9157" w14:textId="77777777" w:rsidR="00830537" w:rsidRDefault="00830537" w:rsidP="00E80D6D">
      <w:pPr>
        <w:snapToGrid w:val="0"/>
        <w:rPr>
          <w:rFonts w:ascii="Times New Roman" w:eastAsia="Segoe UI" w:hAnsi="Times New Roman" w:cs="Times New Roman"/>
          <w:color w:val="0F1115"/>
          <w:sz w:val="24"/>
          <w:shd w:val="clear" w:color="auto" w:fill="FFFFFF"/>
        </w:rPr>
      </w:pPr>
    </w:p>
    <w:p w14:paraId="3C9D82CF" w14:textId="77777777" w:rsidR="00830537" w:rsidRDefault="00B97722" w:rsidP="00E80D6D">
      <w:pPr>
        <w:snapToGrid w:val="0"/>
        <w:rPr>
          <w:rFonts w:ascii="Times New Roman" w:eastAsia="Segoe UI" w:hAnsi="Times New Roman" w:cs="Times New Roman"/>
          <w:b/>
          <w:bCs/>
          <w:color w:val="0F1115"/>
          <w:sz w:val="24"/>
          <w:shd w:val="clear" w:color="auto" w:fill="FFFFFF"/>
        </w:rPr>
      </w:pPr>
      <w:r>
        <w:rPr>
          <w:rFonts w:ascii="Times New Roman" w:eastAsia="SimSun" w:hAnsi="Times New Roman" w:cs="Times New Roman" w:hint="eastAsia"/>
          <w:b/>
          <w:bCs/>
          <w:color w:val="0F1115"/>
          <w:sz w:val="24"/>
          <w:shd w:val="clear" w:color="auto" w:fill="FFFFFF"/>
        </w:rPr>
        <w:t>4.</w:t>
      </w:r>
      <w:r>
        <w:rPr>
          <w:rFonts w:ascii="Times New Roman" w:eastAsia="Segoe UI" w:hAnsi="Times New Roman" w:cs="Times New Roman"/>
          <w:b/>
          <w:bCs/>
          <w:color w:val="0F1115"/>
          <w:sz w:val="24"/>
          <w:shd w:val="clear" w:color="auto" w:fill="FFFFFF"/>
        </w:rPr>
        <w:t xml:space="preserve"> Discussion </w:t>
      </w:r>
    </w:p>
    <w:p w14:paraId="01B00EA1" w14:textId="1DA479DE" w:rsidR="00830537" w:rsidRDefault="00B97722" w:rsidP="00E80D6D">
      <w:pPr>
        <w:snapToGrid w:val="0"/>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Skeletal development is a crucial part of children</w:t>
      </w:r>
      <w:r w:rsidR="009E22F3">
        <w:rPr>
          <w:rFonts w:ascii="Times New Roman" w:eastAsia="SimSun"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s growth and development. However, during this period, deficiencies in vitamin D and calcium can adversely affect skeletal development, leading to conditions such as rickets that impact children</w:t>
      </w:r>
      <w:r w:rsidR="009E22F3">
        <w:rPr>
          <w:rFonts w:ascii="Times New Roman" w:eastAsia="SimSun"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s physical and mental health. Understanding the risk factors influencing children</w:t>
      </w:r>
      <w:r w:rsidR="009E22F3">
        <w:rPr>
          <w:rFonts w:ascii="Times New Roman" w:eastAsia="SimSun"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s skeletal development and proposing corresponding preventive interventions are of significant clinical importance in reducing the incidence of bone destruction and osteoporosis, thereby ensuring healthy growth in children.</w:t>
      </w:r>
    </w:p>
    <w:p w14:paraId="5A2DD848" w14:textId="77777777" w:rsidR="00830537" w:rsidRDefault="00B97722" w:rsidP="00E80D6D">
      <w:pPr>
        <w:snapToGrid w:val="0"/>
        <w:ind w:firstLineChars="200" w:firstLine="480"/>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 xml:space="preserve">This study indicates that BMI, exercise frequency, dietary habits, 25(OH)D, and PTH are all risk factors for children with abnormal skeletal development. </w:t>
      </w:r>
    </w:p>
    <w:p w14:paraId="0900F468" w14:textId="77777777" w:rsidR="009E22F3" w:rsidRDefault="00B97722" w:rsidP="009E22F3">
      <w:pPr>
        <w:snapToGrid w:val="0"/>
        <w:ind w:left="709" w:hanging="709"/>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 xml:space="preserve">(1) </w:t>
      </w:r>
      <w:r w:rsidR="009E22F3">
        <w:rPr>
          <w:rFonts w:ascii="Times New Roman" w:eastAsia="Segoe UI" w:hAnsi="Times New Roman" w:cs="Times New Roman"/>
          <w:color w:val="0F1115"/>
          <w:sz w:val="24"/>
          <w:shd w:val="clear" w:color="auto" w:fill="FFFFFF"/>
        </w:rPr>
        <w:tab/>
      </w:r>
      <w:r>
        <w:rPr>
          <w:rFonts w:ascii="Times New Roman" w:eastAsia="Segoe UI" w:hAnsi="Times New Roman" w:cs="Times New Roman"/>
          <w:color w:val="0F1115"/>
          <w:sz w:val="24"/>
          <w:shd w:val="clear" w:color="auto" w:fill="FFFFFF"/>
        </w:rPr>
        <w:t>BMI</w:t>
      </w:r>
    </w:p>
    <w:p w14:paraId="44B0BA80" w14:textId="6F29875C" w:rsidR="009E22F3" w:rsidRDefault="009E22F3" w:rsidP="00E80D6D">
      <w:pPr>
        <w:snapToGrid w:val="0"/>
        <w:ind w:left="709" w:hanging="709"/>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ab/>
      </w:r>
      <w:r w:rsidR="00B97722">
        <w:rPr>
          <w:rFonts w:ascii="Times New Roman" w:eastAsia="Segoe UI" w:hAnsi="Times New Roman" w:cs="Times New Roman"/>
          <w:color w:val="0F1115"/>
          <w:sz w:val="24"/>
          <w:shd w:val="clear" w:color="auto" w:fill="FFFFFF"/>
        </w:rPr>
        <w:t xml:space="preserve">In obese individuals, mesenchymal stem cells tend to differentiate into adipocytes rather than undifferentiated osteoblasts. This imbalance affects bone formation, leading to an increase in bone marrow fat. Additionally, reduced physical activity in obese children enhances osteoclast activity, inhibits the pathway of </w:t>
      </w:r>
      <w:proofErr w:type="spellStart"/>
      <w:r w:rsidR="00B97722">
        <w:rPr>
          <w:rFonts w:ascii="Times New Roman" w:eastAsia="Segoe UI" w:hAnsi="Times New Roman" w:cs="Times New Roman"/>
          <w:color w:val="0F1115"/>
          <w:sz w:val="24"/>
          <w:shd w:val="clear" w:color="auto" w:fill="FFFFFF"/>
        </w:rPr>
        <w:t>osteoprotegerin</w:t>
      </w:r>
      <w:proofErr w:type="spellEnd"/>
      <w:r w:rsidR="00B97722">
        <w:rPr>
          <w:rFonts w:ascii="Times New Roman" w:eastAsia="Segoe UI" w:hAnsi="Times New Roman" w:cs="Times New Roman"/>
          <w:color w:val="0F1115"/>
          <w:sz w:val="24"/>
          <w:shd w:val="clear" w:color="auto" w:fill="FFFFFF"/>
        </w:rPr>
        <w:t xml:space="preserve">, and increases bone resorption. </w:t>
      </w:r>
    </w:p>
    <w:p w14:paraId="139185F8" w14:textId="77777777" w:rsidR="009E22F3" w:rsidRDefault="00B97722" w:rsidP="009E22F3">
      <w:pPr>
        <w:snapToGrid w:val="0"/>
        <w:ind w:left="709" w:hanging="709"/>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 xml:space="preserve">(2) </w:t>
      </w:r>
      <w:r w:rsidR="009E22F3">
        <w:rPr>
          <w:rFonts w:ascii="Times New Roman" w:eastAsia="Segoe UI" w:hAnsi="Times New Roman" w:cs="Times New Roman"/>
          <w:color w:val="0F1115"/>
          <w:sz w:val="24"/>
          <w:shd w:val="clear" w:color="auto" w:fill="FFFFFF"/>
        </w:rPr>
        <w:tab/>
      </w:r>
      <w:r>
        <w:rPr>
          <w:rFonts w:ascii="Times New Roman" w:eastAsia="Segoe UI" w:hAnsi="Times New Roman" w:cs="Times New Roman"/>
          <w:color w:val="0F1115"/>
          <w:sz w:val="24"/>
          <w:shd w:val="clear" w:color="auto" w:fill="FFFFFF"/>
        </w:rPr>
        <w:t>Exercise frequency</w:t>
      </w:r>
    </w:p>
    <w:p w14:paraId="67D08DE2" w14:textId="4722E471" w:rsidR="009E22F3" w:rsidRDefault="009E22F3" w:rsidP="00E80D6D">
      <w:pPr>
        <w:snapToGrid w:val="0"/>
        <w:ind w:left="709" w:hanging="709"/>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ab/>
      </w:r>
      <w:r w:rsidR="00B97722">
        <w:rPr>
          <w:rFonts w:ascii="Times New Roman" w:eastAsia="Segoe UI" w:hAnsi="Times New Roman" w:cs="Times New Roman"/>
          <w:color w:val="0F1115"/>
          <w:sz w:val="24"/>
          <w:shd w:val="clear" w:color="auto" w:fill="FFFFFF"/>
        </w:rPr>
        <w:t>In addition to maintaining BMD, appropriate physical exercise is essential for preventing skeletal diseases such as osteoporosis. Studies have shown</w:t>
      </w:r>
      <w:r w:rsidR="00B97722">
        <w:rPr>
          <w:rFonts w:ascii="Times New Roman" w:eastAsia="Segoe UI" w:hAnsi="Times New Roman" w:cs="Times New Roman"/>
          <w:color w:val="0F1115"/>
          <w:sz w:val="24"/>
          <w:shd w:val="clear" w:color="auto" w:fill="FFFFFF"/>
        </w:rPr>
        <w:t xml:space="preserve"> that physical exercise can improve BMD levels in adolescents</w:t>
      </w:r>
      <w:r w:rsidR="00C532B8">
        <w:rPr>
          <w:rFonts w:ascii="Times New Roman" w:eastAsia="Segoe UI" w:hAnsi="Times New Roman" w:cs="Times New Roman"/>
          <w:color w:val="0F1115"/>
          <w:sz w:val="24"/>
          <w:shd w:val="clear" w:color="auto" w:fill="FFFFFF"/>
        </w:rPr>
        <w:t xml:space="preserve"> </w:t>
      </w:r>
      <w:r w:rsidR="00C532B8">
        <w:rPr>
          <w:rFonts w:ascii="Times New Roman" w:eastAsia="Segoe UI" w:hAnsi="Times New Roman" w:cs="Times New Roman"/>
          <w:color w:val="0F1115"/>
          <w:sz w:val="24"/>
          <w:shd w:val="clear" w:color="auto" w:fill="FFFFFF"/>
          <w:vertAlign w:val="superscript"/>
        </w:rPr>
        <w:t>[6]</w:t>
      </w:r>
      <w:r w:rsidR="00B97722">
        <w:rPr>
          <w:rFonts w:ascii="Times New Roman" w:eastAsia="Segoe UI" w:hAnsi="Times New Roman" w:cs="Times New Roman"/>
          <w:color w:val="0F1115"/>
          <w:sz w:val="24"/>
          <w:shd w:val="clear" w:color="auto" w:fill="FFFFFF"/>
        </w:rPr>
        <w:t xml:space="preserve">. However, some scholars believe that high-intensity sports activities are associated with changes in hip BMD and structure in children and adolescents, and long-term low-intensity activities may not benefit BMD. Therefore, further research is needed to confirm these findings. </w:t>
      </w:r>
    </w:p>
    <w:p w14:paraId="4801C90F" w14:textId="77777777" w:rsidR="009E22F3" w:rsidRDefault="00B97722" w:rsidP="009E22F3">
      <w:pPr>
        <w:snapToGrid w:val="0"/>
        <w:ind w:left="709" w:hanging="709"/>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 xml:space="preserve">(3) </w:t>
      </w:r>
      <w:r w:rsidR="009E22F3">
        <w:rPr>
          <w:rFonts w:ascii="Times New Roman" w:eastAsia="Segoe UI" w:hAnsi="Times New Roman" w:cs="Times New Roman"/>
          <w:color w:val="0F1115"/>
          <w:sz w:val="24"/>
          <w:shd w:val="clear" w:color="auto" w:fill="FFFFFF"/>
        </w:rPr>
        <w:tab/>
      </w:r>
      <w:r>
        <w:rPr>
          <w:rFonts w:ascii="Times New Roman" w:eastAsia="Segoe UI" w:hAnsi="Times New Roman" w:cs="Times New Roman"/>
          <w:color w:val="0F1115"/>
          <w:sz w:val="24"/>
          <w:shd w:val="clear" w:color="auto" w:fill="FFFFFF"/>
        </w:rPr>
        <w:t>Dietary habits</w:t>
      </w:r>
    </w:p>
    <w:p w14:paraId="0F1DF0CE" w14:textId="20A2922D" w:rsidR="009E22F3" w:rsidRDefault="009E22F3" w:rsidP="009E22F3">
      <w:pPr>
        <w:snapToGrid w:val="0"/>
        <w:ind w:left="709" w:hanging="709"/>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ab/>
      </w:r>
      <w:r w:rsidR="00B97722">
        <w:rPr>
          <w:rFonts w:ascii="Times New Roman" w:eastAsia="Segoe UI" w:hAnsi="Times New Roman" w:cs="Times New Roman"/>
          <w:color w:val="0F1115"/>
          <w:sz w:val="24"/>
          <w:shd w:val="clear" w:color="auto" w:fill="FFFFFF"/>
        </w:rPr>
        <w:t xml:space="preserve">Research on dietary and nutritional factors in adolescent growth and development has </w:t>
      </w:r>
      <w:r w:rsidR="00B97722">
        <w:rPr>
          <w:rFonts w:ascii="Times New Roman" w:eastAsia="Segoe UI" w:hAnsi="Times New Roman" w:cs="Times New Roman"/>
          <w:color w:val="0F1115"/>
          <w:sz w:val="24"/>
          <w:shd w:val="clear" w:color="auto" w:fill="FFFFFF"/>
        </w:rPr>
        <w:lastRenderedPageBreak/>
        <w:t xml:space="preserve">increased significantly, particularly regarding the role of calcium, vitamin D, and protein in skeletal and dental development. These nutrients play a significant role in maintaining BMD levels and preventing fractures </w:t>
      </w:r>
      <w:r w:rsidR="00B97722">
        <w:rPr>
          <w:rFonts w:ascii="Times New Roman" w:eastAsia="Segoe UI" w:hAnsi="Times New Roman" w:cs="Times New Roman"/>
          <w:color w:val="0F1115"/>
          <w:sz w:val="24"/>
          <w:shd w:val="clear" w:color="auto" w:fill="FFFFFF"/>
          <w:vertAlign w:val="superscript"/>
        </w:rPr>
        <w:t>[7]</w:t>
      </w:r>
      <w:r w:rsidR="00B97722">
        <w:rPr>
          <w:rFonts w:ascii="Times New Roman" w:eastAsia="Segoe UI" w:hAnsi="Times New Roman" w:cs="Times New Roman"/>
          <w:color w:val="0F1115"/>
          <w:sz w:val="24"/>
          <w:shd w:val="clear" w:color="auto" w:fill="FFFFFF"/>
        </w:rPr>
        <w:t xml:space="preserve">. If children are picky eaters, have an unbalanced diet, or prefer snacks, their dietary structure becomes unreasonable, affecting healthy skeletal development. </w:t>
      </w:r>
    </w:p>
    <w:p w14:paraId="0881D22F" w14:textId="77777777" w:rsidR="009E22F3" w:rsidRDefault="00B97722" w:rsidP="009E22F3">
      <w:pPr>
        <w:snapToGrid w:val="0"/>
        <w:ind w:left="709" w:hanging="709"/>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 xml:space="preserve">(4) </w:t>
      </w:r>
      <w:r w:rsidR="009E22F3">
        <w:rPr>
          <w:rFonts w:ascii="Times New Roman" w:eastAsia="Segoe UI" w:hAnsi="Times New Roman" w:cs="Times New Roman"/>
          <w:color w:val="0F1115"/>
          <w:sz w:val="24"/>
          <w:shd w:val="clear" w:color="auto" w:fill="FFFFFF"/>
        </w:rPr>
        <w:tab/>
      </w:r>
      <w:r>
        <w:rPr>
          <w:rFonts w:ascii="Times New Roman" w:eastAsia="Segoe UI" w:hAnsi="Times New Roman" w:cs="Times New Roman"/>
          <w:color w:val="0F1115"/>
          <w:sz w:val="24"/>
          <w:shd w:val="clear" w:color="auto" w:fill="FFFFFF"/>
        </w:rPr>
        <w:t>25(OH)D</w:t>
      </w:r>
    </w:p>
    <w:p w14:paraId="3B21310D" w14:textId="6CDDD325" w:rsidR="009E22F3" w:rsidRDefault="009E22F3" w:rsidP="00E80D6D">
      <w:pPr>
        <w:snapToGrid w:val="0"/>
        <w:ind w:left="709" w:hanging="709"/>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ab/>
      </w:r>
      <w:r w:rsidR="00B97722">
        <w:rPr>
          <w:rFonts w:ascii="Times New Roman" w:eastAsia="Segoe UI" w:hAnsi="Times New Roman" w:cs="Times New Roman"/>
          <w:color w:val="0F1115"/>
          <w:sz w:val="24"/>
          <w:shd w:val="clear" w:color="auto" w:fill="FFFFFF"/>
        </w:rPr>
        <w:t xml:space="preserve">25(OH)D serves as an early screening indicator for rickets in children. Insufficient vitamin D levels in the body can lead to the inability of bone salts to deposit, resulting in bone decalcification and hyperplasia of bone-like tissue, which affects BMD and causes osteoporosis. 25(OH)D is a common evaluation indicator, and vitamin D deficiency can affect the normal absorption of bone structure, such as phosphorus absorption in bones and calcium deposition, leading to bone deformation and reduced bone mass </w:t>
      </w:r>
      <w:r w:rsidR="00B97722">
        <w:rPr>
          <w:rFonts w:ascii="Times New Roman" w:eastAsia="Segoe UI" w:hAnsi="Times New Roman" w:cs="Times New Roman"/>
          <w:color w:val="0F1115"/>
          <w:sz w:val="24"/>
          <w:shd w:val="clear" w:color="auto" w:fill="FFFFFF"/>
        </w:rPr>
        <w:t xml:space="preserve">over time, thereby lowering BMD. </w:t>
      </w:r>
    </w:p>
    <w:p w14:paraId="458B9333" w14:textId="77777777" w:rsidR="009E22F3" w:rsidRDefault="00B97722" w:rsidP="009E22F3">
      <w:pPr>
        <w:snapToGrid w:val="0"/>
        <w:ind w:left="709" w:hanging="709"/>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 xml:space="preserve">(5) </w:t>
      </w:r>
      <w:r w:rsidR="009E22F3">
        <w:rPr>
          <w:rFonts w:ascii="Times New Roman" w:eastAsia="Segoe UI" w:hAnsi="Times New Roman" w:cs="Times New Roman"/>
          <w:color w:val="0F1115"/>
          <w:sz w:val="24"/>
          <w:shd w:val="clear" w:color="auto" w:fill="FFFFFF"/>
        </w:rPr>
        <w:tab/>
      </w:r>
      <w:r>
        <w:rPr>
          <w:rFonts w:ascii="Times New Roman" w:eastAsia="Segoe UI" w:hAnsi="Times New Roman" w:cs="Times New Roman"/>
          <w:color w:val="0F1115"/>
          <w:sz w:val="24"/>
          <w:shd w:val="clear" w:color="auto" w:fill="FFFFFF"/>
        </w:rPr>
        <w:t>PTH</w:t>
      </w:r>
    </w:p>
    <w:p w14:paraId="3D7D23B4" w14:textId="3AB04A18" w:rsidR="00830537" w:rsidRDefault="009E22F3" w:rsidP="00E80D6D">
      <w:pPr>
        <w:snapToGrid w:val="0"/>
        <w:ind w:left="709" w:hanging="709"/>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ab/>
      </w:r>
      <w:r w:rsidR="00B97722">
        <w:rPr>
          <w:rFonts w:ascii="Times New Roman" w:eastAsia="Segoe UI" w:hAnsi="Times New Roman" w:cs="Times New Roman"/>
          <w:color w:val="0F1115"/>
          <w:sz w:val="24"/>
          <w:shd w:val="clear" w:color="auto" w:fill="FFFFFF"/>
        </w:rPr>
        <w:t xml:space="preserve">PTH regulates blood calcium levels. A deficiency in vitamin D can cause abnormalities in serum calcium, phosphorus, and bone metabolism, affecting intestinal calcium absorption. PTH is an important component in promoting the formation of active vitamin D, and calcium is an indispensable element for maintaining normal growth and development in the body </w:t>
      </w:r>
      <w:r w:rsidR="00B97722">
        <w:rPr>
          <w:rFonts w:ascii="Times New Roman" w:eastAsia="Segoe UI" w:hAnsi="Times New Roman" w:cs="Times New Roman"/>
          <w:color w:val="0F1115"/>
          <w:sz w:val="24"/>
          <w:shd w:val="clear" w:color="auto" w:fill="FFFFFF"/>
          <w:vertAlign w:val="superscript"/>
        </w:rPr>
        <w:t>[8]</w:t>
      </w:r>
      <w:r w:rsidR="00B97722">
        <w:rPr>
          <w:rFonts w:ascii="Times New Roman" w:eastAsia="Segoe UI" w:hAnsi="Times New Roman" w:cs="Times New Roman"/>
          <w:color w:val="0F1115"/>
          <w:sz w:val="24"/>
          <w:shd w:val="clear" w:color="auto" w:fill="FFFFFF"/>
        </w:rPr>
        <w:t>. Abnormal PTH metabolism can affect children</w:t>
      </w:r>
      <w:r>
        <w:rPr>
          <w:rFonts w:ascii="Times New Roman" w:eastAsia="SimSun" w:hAnsi="Times New Roman" w:cs="Times New Roman"/>
          <w:color w:val="0F1115"/>
          <w:sz w:val="24"/>
          <w:shd w:val="clear" w:color="auto" w:fill="FFFFFF"/>
        </w:rPr>
        <w:t>’</w:t>
      </w:r>
      <w:r w:rsidR="00B97722">
        <w:rPr>
          <w:rFonts w:ascii="Times New Roman" w:eastAsia="Segoe UI" w:hAnsi="Times New Roman" w:cs="Times New Roman"/>
          <w:color w:val="0F1115"/>
          <w:sz w:val="24"/>
          <w:shd w:val="clear" w:color="auto" w:fill="FFFFFF"/>
        </w:rPr>
        <w:t xml:space="preserve">s skeletal development and, in severe cases, even impact their intelligence and cognitive abilities. In this study, it was mentioned that 25(OH)D levels in patients with skeletal dysplasia were lower than those in the normal skeletal development group, while PTH levels were higher, with </w:t>
      </w:r>
      <w:r>
        <w:rPr>
          <w:rFonts w:ascii="Times New Roman" w:eastAsia="Segoe UI" w:hAnsi="Times New Roman" w:cs="Times New Roman"/>
          <w:i/>
          <w:iCs/>
          <w:color w:val="0F1115"/>
          <w:sz w:val="24"/>
          <w:shd w:val="clear" w:color="auto" w:fill="FFFFFF"/>
        </w:rPr>
        <w:t>p</w:t>
      </w:r>
      <w:r w:rsidR="00B97722">
        <w:rPr>
          <w:rFonts w:ascii="Times New Roman" w:eastAsia="Segoe UI" w:hAnsi="Times New Roman" w:cs="Times New Roman"/>
          <w:color w:val="0F1115"/>
          <w:sz w:val="24"/>
          <w:shd w:val="clear" w:color="auto" w:fill="FFFFFF"/>
        </w:rPr>
        <w:t xml:space="preserve"> &lt; 0.05. These results suggest that elevated PTH levels and decreased 25(OH)D levels indicate abnormal skeletal development in patients. Based on these findings, they can serve as important diagnostic references for children</w:t>
      </w:r>
      <w:r>
        <w:rPr>
          <w:rFonts w:ascii="Times New Roman" w:eastAsia="SimSun" w:hAnsi="Times New Roman" w:cs="Times New Roman"/>
          <w:color w:val="0F1115"/>
          <w:sz w:val="24"/>
          <w:shd w:val="clear" w:color="auto" w:fill="FFFFFF"/>
        </w:rPr>
        <w:t>’</w:t>
      </w:r>
      <w:r w:rsidR="00B97722">
        <w:rPr>
          <w:rFonts w:ascii="Times New Roman" w:eastAsia="Segoe UI" w:hAnsi="Times New Roman" w:cs="Times New Roman"/>
          <w:color w:val="0F1115"/>
          <w:sz w:val="24"/>
          <w:shd w:val="clear" w:color="auto" w:fill="FFFFFF"/>
        </w:rPr>
        <w:t>s growth and development, enabling the proposal of corresponding interventions to ensure healthy growth in children.</w:t>
      </w:r>
    </w:p>
    <w:p w14:paraId="04CF7301" w14:textId="77777777" w:rsidR="00830537" w:rsidRDefault="00830537" w:rsidP="00E80D6D">
      <w:pPr>
        <w:snapToGrid w:val="0"/>
        <w:rPr>
          <w:rFonts w:ascii="Times New Roman" w:eastAsia="Segoe UI" w:hAnsi="Times New Roman" w:cs="Times New Roman"/>
          <w:color w:val="0F1115"/>
          <w:sz w:val="24"/>
          <w:shd w:val="clear" w:color="auto" w:fill="FFFFFF"/>
        </w:rPr>
      </w:pPr>
    </w:p>
    <w:p w14:paraId="257BB333" w14:textId="77777777" w:rsidR="00830537" w:rsidRDefault="00B97722" w:rsidP="00E80D6D">
      <w:pPr>
        <w:snapToGrid w:val="0"/>
        <w:rPr>
          <w:rFonts w:ascii="Times New Roman" w:eastAsia="SimSun" w:hAnsi="Times New Roman" w:cs="Times New Roman"/>
          <w:b/>
          <w:bCs/>
          <w:color w:val="0F1115"/>
          <w:sz w:val="24"/>
          <w:shd w:val="clear" w:color="auto" w:fill="FFFFFF"/>
        </w:rPr>
      </w:pPr>
      <w:r>
        <w:rPr>
          <w:rFonts w:ascii="Times New Roman" w:eastAsia="SimSun" w:hAnsi="Times New Roman" w:cs="Times New Roman" w:hint="eastAsia"/>
          <w:b/>
          <w:bCs/>
          <w:color w:val="0F1115"/>
          <w:sz w:val="24"/>
          <w:shd w:val="clear" w:color="auto" w:fill="FFFFFF"/>
        </w:rPr>
        <w:t>5. Conclusion</w:t>
      </w:r>
    </w:p>
    <w:p w14:paraId="15966A18" w14:textId="530818A1" w:rsidR="00830537" w:rsidRDefault="00B97722" w:rsidP="00E80D6D">
      <w:pPr>
        <w:snapToGrid w:val="0"/>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In summary, there is a correlation between 25(OH)D, PTH, and children</w:t>
      </w:r>
      <w:r w:rsidR="009E22F3">
        <w:rPr>
          <w:rFonts w:ascii="Times New Roman" w:eastAsia="SimSun"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s skeletal development. During children</w:t>
      </w:r>
      <w:r w:rsidR="009E22F3">
        <w:rPr>
          <w:rFonts w:ascii="Times New Roman" w:eastAsia="SimSun" w:hAnsi="Times New Roman" w:cs="Times New Roman"/>
          <w:color w:val="0F1115"/>
          <w:sz w:val="24"/>
          <w:shd w:val="clear" w:color="auto" w:fill="FFFFFF"/>
        </w:rPr>
        <w:t>’</w:t>
      </w:r>
      <w:r>
        <w:rPr>
          <w:rFonts w:ascii="Times New Roman" w:eastAsia="Segoe UI" w:hAnsi="Times New Roman" w:cs="Times New Roman"/>
          <w:color w:val="0F1115"/>
          <w:sz w:val="24"/>
          <w:shd w:val="clear" w:color="auto" w:fill="FFFFFF"/>
        </w:rPr>
        <w:t>s growth and development stages, parents should conduct regular physical examinations, pay attention to nutritional deficiencies, and promptly supplement vitamin D. They should also manage diet and exercise coordination effectively and control weight to promote healthy skeletal development in children.</w:t>
      </w:r>
    </w:p>
    <w:p w14:paraId="4670E7E5" w14:textId="77777777" w:rsidR="00830537" w:rsidRDefault="00830537" w:rsidP="00E80D6D">
      <w:pPr>
        <w:snapToGrid w:val="0"/>
        <w:rPr>
          <w:rFonts w:ascii="Times New Roman" w:eastAsia="Segoe UI" w:hAnsi="Times New Roman" w:cs="Times New Roman"/>
          <w:color w:val="0F1115"/>
          <w:sz w:val="24"/>
          <w:shd w:val="clear" w:color="auto" w:fill="FFFFFF"/>
        </w:rPr>
      </w:pPr>
    </w:p>
    <w:p w14:paraId="747D1979" w14:textId="77777777" w:rsidR="00830537" w:rsidRDefault="00B97722" w:rsidP="00E80D6D">
      <w:pPr>
        <w:snapToGrid w:val="0"/>
        <w:rPr>
          <w:rFonts w:ascii="Times New Roman" w:hAnsi="Times New Roman"/>
          <w:b/>
          <w:bCs/>
          <w:sz w:val="24"/>
        </w:rPr>
      </w:pPr>
      <w:bookmarkStart w:id="0" w:name="_Hlk181689731"/>
      <w:r>
        <w:rPr>
          <w:rFonts w:ascii="Times New Roman" w:hAnsi="Times New Roman"/>
          <w:b/>
          <w:bCs/>
          <w:sz w:val="24"/>
        </w:rPr>
        <w:t>Disclosure statement</w:t>
      </w:r>
    </w:p>
    <w:p w14:paraId="7E473CA0" w14:textId="77777777" w:rsidR="00830537" w:rsidRDefault="00B97722" w:rsidP="00E80D6D">
      <w:pPr>
        <w:snapToGrid w:val="0"/>
        <w:rPr>
          <w:rFonts w:ascii="Times New Roman" w:hAnsi="Times New Roman"/>
          <w:sz w:val="24"/>
        </w:rPr>
      </w:pPr>
      <w:r>
        <w:rPr>
          <w:rFonts w:ascii="Times New Roman" w:hAnsi="Times New Roman"/>
          <w:sz w:val="24"/>
        </w:rPr>
        <w:t xml:space="preserve">The authors declare no conflict of interest. </w:t>
      </w:r>
    </w:p>
    <w:bookmarkEnd w:id="0"/>
    <w:p w14:paraId="0DEDC821" w14:textId="77777777" w:rsidR="00830537" w:rsidRDefault="00830537" w:rsidP="00E80D6D">
      <w:pPr>
        <w:snapToGrid w:val="0"/>
        <w:rPr>
          <w:rFonts w:ascii="Times New Roman" w:eastAsia="Segoe UI" w:hAnsi="Times New Roman" w:cs="Times New Roman"/>
          <w:color w:val="0F1115"/>
          <w:sz w:val="24"/>
          <w:shd w:val="clear" w:color="auto" w:fill="FFFFFF"/>
        </w:rPr>
      </w:pPr>
    </w:p>
    <w:p w14:paraId="76235328" w14:textId="77777777" w:rsidR="00830537" w:rsidRDefault="00B97722" w:rsidP="00E80D6D">
      <w:pPr>
        <w:snapToGrid w:val="0"/>
        <w:rPr>
          <w:rFonts w:ascii="Times New Roman" w:eastAsia="Segoe UI" w:hAnsi="Times New Roman" w:cs="Times New Roman"/>
          <w:b/>
          <w:bCs/>
          <w:color w:val="0F1115"/>
          <w:sz w:val="24"/>
          <w:shd w:val="clear" w:color="auto" w:fill="FFFFFF"/>
        </w:rPr>
      </w:pPr>
      <w:r>
        <w:rPr>
          <w:rFonts w:ascii="Times New Roman" w:eastAsia="Segoe UI" w:hAnsi="Times New Roman" w:cs="Times New Roman"/>
          <w:b/>
          <w:bCs/>
          <w:color w:val="0F1115"/>
          <w:sz w:val="24"/>
          <w:shd w:val="clear" w:color="auto" w:fill="FFFFFF"/>
        </w:rPr>
        <w:t xml:space="preserve">References </w:t>
      </w:r>
    </w:p>
    <w:p w14:paraId="407C4487" w14:textId="77777777" w:rsidR="009E22F3" w:rsidRDefault="009E22F3" w:rsidP="009E22F3">
      <w:pPr>
        <w:snapToGrid w:val="0"/>
        <w:ind w:left="709" w:hanging="709"/>
        <w:rPr>
          <w:rFonts w:ascii="Times New Roman" w:eastAsia="Segoe UI" w:hAnsi="Times New Roman" w:cs="Times New Roman"/>
          <w:color w:val="0F1115"/>
          <w:sz w:val="24"/>
          <w:shd w:val="clear" w:color="auto" w:fill="FFFFFF"/>
          <w:lang w:val="en-MY"/>
        </w:rPr>
      </w:pPr>
      <w:r w:rsidRPr="009E22F3">
        <w:rPr>
          <w:rFonts w:ascii="Times New Roman" w:eastAsia="Segoe UI" w:hAnsi="Times New Roman" w:cs="Times New Roman"/>
          <w:color w:val="0F1115"/>
          <w:sz w:val="24"/>
          <w:shd w:val="clear" w:color="auto" w:fill="FFFFFF"/>
          <w:lang w:val="en-MY"/>
        </w:rPr>
        <w:t xml:space="preserve">[1] </w:t>
      </w:r>
      <w:r>
        <w:rPr>
          <w:rFonts w:ascii="Times New Roman" w:eastAsia="Segoe UI" w:hAnsi="Times New Roman" w:cs="Times New Roman"/>
          <w:color w:val="0F1115"/>
          <w:sz w:val="24"/>
          <w:shd w:val="clear" w:color="auto" w:fill="FFFFFF"/>
          <w:lang w:val="en-MY"/>
        </w:rPr>
        <w:tab/>
      </w:r>
      <w:r w:rsidRPr="009E22F3">
        <w:rPr>
          <w:rFonts w:ascii="Times New Roman" w:eastAsia="Segoe UI" w:hAnsi="Times New Roman" w:cs="Times New Roman"/>
          <w:color w:val="0F1115"/>
          <w:sz w:val="24"/>
          <w:shd w:val="clear" w:color="auto" w:fill="FFFFFF"/>
          <w:lang w:val="en-MY"/>
        </w:rPr>
        <w:t>Zhang Y, Lu Y, Liu Y, 2024, Relationship Between Serum 25-Hydroxyvitamin D, Calcium, Zinc Levels, and Children's Growth and Development. Journal of Kunming Medical University, 45(7): 126–131.</w:t>
      </w:r>
    </w:p>
    <w:p w14:paraId="590E0C37" w14:textId="77777777" w:rsidR="009E22F3" w:rsidRDefault="009E22F3" w:rsidP="009E22F3">
      <w:pPr>
        <w:snapToGrid w:val="0"/>
        <w:ind w:left="709" w:hanging="709"/>
        <w:rPr>
          <w:rFonts w:ascii="Times New Roman" w:eastAsia="Segoe UI" w:hAnsi="Times New Roman" w:cs="Times New Roman"/>
          <w:color w:val="0F1115"/>
          <w:sz w:val="24"/>
          <w:shd w:val="clear" w:color="auto" w:fill="FFFFFF"/>
          <w:lang w:val="en-MY"/>
        </w:rPr>
      </w:pPr>
      <w:r w:rsidRPr="009E22F3">
        <w:rPr>
          <w:rFonts w:ascii="Times New Roman" w:eastAsia="Segoe UI" w:hAnsi="Times New Roman" w:cs="Times New Roman"/>
          <w:color w:val="0F1115"/>
          <w:sz w:val="24"/>
          <w:shd w:val="clear" w:color="auto" w:fill="FFFFFF"/>
          <w:lang w:val="en-MY"/>
        </w:rPr>
        <w:t xml:space="preserve">[2] </w:t>
      </w:r>
      <w:r>
        <w:rPr>
          <w:rFonts w:ascii="Times New Roman" w:eastAsia="Segoe UI" w:hAnsi="Times New Roman" w:cs="Times New Roman"/>
          <w:color w:val="0F1115"/>
          <w:sz w:val="24"/>
          <w:shd w:val="clear" w:color="auto" w:fill="FFFFFF"/>
          <w:lang w:val="en-MY"/>
        </w:rPr>
        <w:tab/>
      </w:r>
      <w:r w:rsidRPr="009E22F3">
        <w:rPr>
          <w:rFonts w:ascii="Times New Roman" w:eastAsia="Segoe UI" w:hAnsi="Times New Roman" w:cs="Times New Roman"/>
          <w:color w:val="0F1115"/>
          <w:sz w:val="24"/>
          <w:shd w:val="clear" w:color="auto" w:fill="FFFFFF"/>
          <w:lang w:val="en-MY"/>
        </w:rPr>
        <w:t>Wang H, Luan S, 2024, Correlation Between Short Stature in Children and 25-Hydroxyvitamin D, IGF-1, and IGFBP-3. Guizhou Medical Journal, 48(1): 78–79.</w:t>
      </w:r>
    </w:p>
    <w:p w14:paraId="1B85FC8D" w14:textId="77777777" w:rsidR="009E22F3" w:rsidRDefault="009E22F3" w:rsidP="009E22F3">
      <w:pPr>
        <w:snapToGrid w:val="0"/>
        <w:ind w:left="709" w:hanging="709"/>
        <w:rPr>
          <w:rFonts w:ascii="Times New Roman" w:eastAsia="Segoe UI" w:hAnsi="Times New Roman" w:cs="Times New Roman"/>
          <w:color w:val="0F1115"/>
          <w:sz w:val="24"/>
          <w:shd w:val="clear" w:color="auto" w:fill="FFFFFF"/>
          <w:lang w:val="en-MY"/>
        </w:rPr>
      </w:pPr>
      <w:r w:rsidRPr="009E22F3">
        <w:rPr>
          <w:rFonts w:ascii="Times New Roman" w:eastAsia="Segoe UI" w:hAnsi="Times New Roman" w:cs="Times New Roman"/>
          <w:color w:val="0F1115"/>
          <w:sz w:val="24"/>
          <w:shd w:val="clear" w:color="auto" w:fill="FFFFFF"/>
          <w:lang w:val="en-MY"/>
        </w:rPr>
        <w:t xml:space="preserve">[3] </w:t>
      </w:r>
      <w:r>
        <w:rPr>
          <w:rFonts w:ascii="Times New Roman" w:eastAsia="Segoe UI" w:hAnsi="Times New Roman" w:cs="Times New Roman"/>
          <w:color w:val="0F1115"/>
          <w:sz w:val="24"/>
          <w:shd w:val="clear" w:color="auto" w:fill="FFFFFF"/>
          <w:lang w:val="en-MY"/>
        </w:rPr>
        <w:tab/>
      </w:r>
      <w:r w:rsidRPr="009E22F3">
        <w:rPr>
          <w:rFonts w:ascii="Times New Roman" w:eastAsia="Segoe UI" w:hAnsi="Times New Roman" w:cs="Times New Roman"/>
          <w:color w:val="0F1115"/>
          <w:sz w:val="24"/>
          <w:shd w:val="clear" w:color="auto" w:fill="FFFFFF"/>
          <w:lang w:val="en-MY"/>
        </w:rPr>
        <w:t xml:space="preserve">Liu H, Wei Y, Cao X, et al., 2021, Effect of </w:t>
      </w:r>
      <w:proofErr w:type="spellStart"/>
      <w:r w:rsidRPr="009E22F3">
        <w:rPr>
          <w:rFonts w:ascii="Times New Roman" w:eastAsia="Segoe UI" w:hAnsi="Times New Roman" w:cs="Times New Roman"/>
          <w:color w:val="0F1115"/>
          <w:sz w:val="24"/>
          <w:shd w:val="clear" w:color="auto" w:fill="FFFFFF"/>
          <w:lang w:val="en-MY"/>
        </w:rPr>
        <w:t>Tiaozhong</w:t>
      </w:r>
      <w:proofErr w:type="spellEnd"/>
      <w:r w:rsidRPr="009E22F3">
        <w:rPr>
          <w:rFonts w:ascii="Times New Roman" w:eastAsia="Segoe UI" w:hAnsi="Times New Roman" w:cs="Times New Roman"/>
          <w:color w:val="0F1115"/>
          <w:sz w:val="24"/>
          <w:shd w:val="clear" w:color="auto" w:fill="FFFFFF"/>
          <w:lang w:val="en-MY"/>
        </w:rPr>
        <w:t xml:space="preserve"> </w:t>
      </w:r>
      <w:proofErr w:type="spellStart"/>
      <w:r w:rsidRPr="009E22F3">
        <w:rPr>
          <w:rFonts w:ascii="Times New Roman" w:eastAsia="Segoe UI" w:hAnsi="Times New Roman" w:cs="Times New Roman"/>
          <w:color w:val="0F1115"/>
          <w:sz w:val="24"/>
          <w:shd w:val="clear" w:color="auto" w:fill="FFFFFF"/>
          <w:lang w:val="en-MY"/>
        </w:rPr>
        <w:t>Zhuyun</w:t>
      </w:r>
      <w:proofErr w:type="spellEnd"/>
      <w:r w:rsidRPr="009E22F3">
        <w:rPr>
          <w:rFonts w:ascii="Times New Roman" w:eastAsia="Segoe UI" w:hAnsi="Times New Roman" w:cs="Times New Roman"/>
          <w:color w:val="0F1115"/>
          <w:sz w:val="24"/>
          <w:shd w:val="clear" w:color="auto" w:fill="FFFFFF"/>
          <w:lang w:val="en-MY"/>
        </w:rPr>
        <w:t xml:space="preserve"> Decoction on Serum 25-Hydroxyvitamin D and Zinc Levels in Children with Growth Retardation. Journal of Hebei Traditional Chinese Medicine, 36(3): 43–46.</w:t>
      </w:r>
    </w:p>
    <w:p w14:paraId="6B974325" w14:textId="77777777" w:rsidR="009E22F3" w:rsidRDefault="009E22F3" w:rsidP="009E22F3">
      <w:pPr>
        <w:snapToGrid w:val="0"/>
        <w:ind w:left="709" w:hanging="709"/>
        <w:rPr>
          <w:rFonts w:ascii="Times New Roman" w:eastAsia="Segoe UI" w:hAnsi="Times New Roman" w:cs="Times New Roman"/>
          <w:color w:val="0F1115"/>
          <w:sz w:val="24"/>
          <w:shd w:val="clear" w:color="auto" w:fill="FFFFFF"/>
          <w:lang w:val="en-MY"/>
        </w:rPr>
      </w:pPr>
      <w:r w:rsidRPr="009E22F3">
        <w:rPr>
          <w:rFonts w:ascii="Times New Roman" w:eastAsia="Segoe UI" w:hAnsi="Times New Roman" w:cs="Times New Roman"/>
          <w:color w:val="0F1115"/>
          <w:sz w:val="24"/>
          <w:shd w:val="clear" w:color="auto" w:fill="FFFFFF"/>
          <w:lang w:val="en-MY"/>
        </w:rPr>
        <w:t xml:space="preserve">[4] </w:t>
      </w:r>
      <w:r>
        <w:rPr>
          <w:rFonts w:ascii="Times New Roman" w:eastAsia="Segoe UI" w:hAnsi="Times New Roman" w:cs="Times New Roman"/>
          <w:color w:val="0F1115"/>
          <w:sz w:val="24"/>
          <w:shd w:val="clear" w:color="auto" w:fill="FFFFFF"/>
          <w:lang w:val="en-MY"/>
        </w:rPr>
        <w:tab/>
      </w:r>
      <w:r w:rsidRPr="009E22F3">
        <w:rPr>
          <w:rFonts w:ascii="Times New Roman" w:eastAsia="Segoe UI" w:hAnsi="Times New Roman" w:cs="Times New Roman"/>
          <w:color w:val="0F1115"/>
          <w:sz w:val="24"/>
          <w:shd w:val="clear" w:color="auto" w:fill="FFFFFF"/>
          <w:lang w:val="en-MY"/>
        </w:rPr>
        <w:t>Luo Q, Fu X, 2021, Changes and Clinical Value of Serum 25-Hydroxyvitamin D and Bone Mineral Density Levels in Obese Children. Journal of Practical Laboratory Physicians, 13(2): 80–83.</w:t>
      </w:r>
    </w:p>
    <w:p w14:paraId="08E039AF" w14:textId="77777777" w:rsidR="009E22F3" w:rsidRDefault="009E22F3" w:rsidP="009E22F3">
      <w:pPr>
        <w:snapToGrid w:val="0"/>
        <w:ind w:left="709" w:hanging="709"/>
        <w:rPr>
          <w:rFonts w:ascii="Times New Roman" w:eastAsia="Segoe UI" w:hAnsi="Times New Roman" w:cs="Times New Roman"/>
          <w:color w:val="0F1115"/>
          <w:sz w:val="24"/>
          <w:shd w:val="clear" w:color="auto" w:fill="FFFFFF"/>
          <w:lang w:val="en-MY"/>
        </w:rPr>
      </w:pPr>
      <w:r w:rsidRPr="009E22F3">
        <w:rPr>
          <w:rFonts w:ascii="Times New Roman" w:eastAsia="Segoe UI" w:hAnsi="Times New Roman" w:cs="Times New Roman"/>
          <w:color w:val="0F1115"/>
          <w:sz w:val="24"/>
          <w:shd w:val="clear" w:color="auto" w:fill="FFFFFF"/>
          <w:lang w:val="en-MY"/>
        </w:rPr>
        <w:t xml:space="preserve">[5] </w:t>
      </w:r>
      <w:r>
        <w:rPr>
          <w:rFonts w:ascii="Times New Roman" w:eastAsia="Segoe UI" w:hAnsi="Times New Roman" w:cs="Times New Roman"/>
          <w:color w:val="0F1115"/>
          <w:sz w:val="24"/>
          <w:shd w:val="clear" w:color="auto" w:fill="FFFFFF"/>
          <w:lang w:val="en-MY"/>
        </w:rPr>
        <w:tab/>
      </w:r>
      <w:r w:rsidRPr="009E22F3">
        <w:rPr>
          <w:rFonts w:ascii="Times New Roman" w:eastAsia="Segoe UI" w:hAnsi="Times New Roman" w:cs="Times New Roman"/>
          <w:color w:val="0F1115"/>
          <w:sz w:val="24"/>
          <w:shd w:val="clear" w:color="auto" w:fill="FFFFFF"/>
          <w:lang w:val="en-MY"/>
        </w:rPr>
        <w:t>Onis M, Onyango A, Borghi E, et al., 2007, Development of a WHO Growth Reference for School-Aged Children and Adolescents. Bulletin of the World Health Organization, 85(9): 660–667.</w:t>
      </w:r>
    </w:p>
    <w:p w14:paraId="2401381F" w14:textId="77777777" w:rsidR="009E22F3" w:rsidRDefault="009E22F3" w:rsidP="009E22F3">
      <w:pPr>
        <w:snapToGrid w:val="0"/>
        <w:ind w:left="709" w:hanging="709"/>
        <w:rPr>
          <w:rFonts w:ascii="Times New Roman" w:eastAsia="Segoe UI" w:hAnsi="Times New Roman" w:cs="Times New Roman"/>
          <w:color w:val="0F1115"/>
          <w:sz w:val="24"/>
          <w:shd w:val="clear" w:color="auto" w:fill="FFFFFF"/>
          <w:lang w:val="en-MY"/>
        </w:rPr>
      </w:pPr>
      <w:r w:rsidRPr="009E22F3">
        <w:rPr>
          <w:rFonts w:ascii="Times New Roman" w:eastAsia="Segoe UI" w:hAnsi="Times New Roman" w:cs="Times New Roman"/>
          <w:color w:val="0F1115"/>
          <w:sz w:val="24"/>
          <w:shd w:val="clear" w:color="auto" w:fill="FFFFFF"/>
          <w:lang w:val="en-MY"/>
        </w:rPr>
        <w:lastRenderedPageBreak/>
        <w:t xml:space="preserve">[6] </w:t>
      </w:r>
      <w:r>
        <w:rPr>
          <w:rFonts w:ascii="Times New Roman" w:eastAsia="Segoe UI" w:hAnsi="Times New Roman" w:cs="Times New Roman"/>
          <w:color w:val="0F1115"/>
          <w:sz w:val="24"/>
          <w:shd w:val="clear" w:color="auto" w:fill="FFFFFF"/>
          <w:lang w:val="en-MY"/>
        </w:rPr>
        <w:tab/>
      </w:r>
      <w:r w:rsidRPr="009E22F3">
        <w:rPr>
          <w:rFonts w:ascii="Times New Roman" w:eastAsia="Segoe UI" w:hAnsi="Times New Roman" w:cs="Times New Roman"/>
          <w:color w:val="0F1115"/>
          <w:sz w:val="24"/>
          <w:shd w:val="clear" w:color="auto" w:fill="FFFFFF"/>
          <w:lang w:val="en-MY"/>
        </w:rPr>
        <w:t xml:space="preserve">Chang J, Lin C, 2023, Effect of Combined Hemoperfusion on Parathyroid Hormone in Elderly Patients with Renal Osteodystrophy Undergoing </w:t>
      </w:r>
      <w:proofErr w:type="spellStart"/>
      <w:r w:rsidRPr="009E22F3">
        <w:rPr>
          <w:rFonts w:ascii="Times New Roman" w:eastAsia="Segoe UI" w:hAnsi="Times New Roman" w:cs="Times New Roman"/>
          <w:color w:val="0F1115"/>
          <w:sz w:val="24"/>
          <w:shd w:val="clear" w:color="auto" w:fill="FFFFFF"/>
          <w:lang w:val="en-MY"/>
        </w:rPr>
        <w:t>Hemodialysis</w:t>
      </w:r>
      <w:proofErr w:type="spellEnd"/>
      <w:r w:rsidRPr="009E22F3">
        <w:rPr>
          <w:rFonts w:ascii="Times New Roman" w:eastAsia="Segoe UI" w:hAnsi="Times New Roman" w:cs="Times New Roman"/>
          <w:color w:val="0F1115"/>
          <w:sz w:val="24"/>
          <w:shd w:val="clear" w:color="auto" w:fill="FFFFFF"/>
          <w:lang w:val="en-MY"/>
        </w:rPr>
        <w:t>. Chinese Journal of Geriatrics, 42(5): 535–539.</w:t>
      </w:r>
    </w:p>
    <w:p w14:paraId="7197062E" w14:textId="77777777" w:rsidR="009E22F3" w:rsidRDefault="009E22F3" w:rsidP="009E22F3">
      <w:pPr>
        <w:snapToGrid w:val="0"/>
        <w:ind w:left="709" w:hanging="709"/>
        <w:rPr>
          <w:rFonts w:ascii="Times New Roman" w:eastAsia="Segoe UI" w:hAnsi="Times New Roman" w:cs="Times New Roman"/>
          <w:color w:val="0F1115"/>
          <w:sz w:val="24"/>
          <w:shd w:val="clear" w:color="auto" w:fill="FFFFFF"/>
          <w:lang w:val="en-MY"/>
        </w:rPr>
      </w:pPr>
      <w:r w:rsidRPr="009E22F3">
        <w:rPr>
          <w:rFonts w:ascii="Times New Roman" w:eastAsia="Segoe UI" w:hAnsi="Times New Roman" w:cs="Times New Roman"/>
          <w:color w:val="0F1115"/>
          <w:sz w:val="24"/>
          <w:shd w:val="clear" w:color="auto" w:fill="FFFFFF"/>
          <w:lang w:val="en-MY"/>
        </w:rPr>
        <w:t xml:space="preserve">[7] </w:t>
      </w:r>
      <w:r>
        <w:rPr>
          <w:rFonts w:ascii="Times New Roman" w:eastAsia="Segoe UI" w:hAnsi="Times New Roman" w:cs="Times New Roman"/>
          <w:color w:val="0F1115"/>
          <w:sz w:val="24"/>
          <w:shd w:val="clear" w:color="auto" w:fill="FFFFFF"/>
          <w:lang w:val="en-MY"/>
        </w:rPr>
        <w:tab/>
      </w:r>
      <w:r w:rsidRPr="009E22F3">
        <w:rPr>
          <w:rFonts w:ascii="Times New Roman" w:eastAsia="Segoe UI" w:hAnsi="Times New Roman" w:cs="Times New Roman"/>
          <w:color w:val="0F1115"/>
          <w:sz w:val="24"/>
          <w:shd w:val="clear" w:color="auto" w:fill="FFFFFF"/>
          <w:lang w:val="en-MY"/>
        </w:rPr>
        <w:t>Chen T, Wang H, Chen J, 2023, Correlation Between Vitamin D Levels and Children's Growth and Development. Progress in Clinical Medicine, 13(12): 19136–19142.</w:t>
      </w:r>
    </w:p>
    <w:p w14:paraId="5160C0A0" w14:textId="5B3827E0" w:rsidR="009E22F3" w:rsidRPr="009E22F3" w:rsidRDefault="009E22F3" w:rsidP="00E80D6D">
      <w:pPr>
        <w:snapToGrid w:val="0"/>
        <w:ind w:left="709" w:hanging="709"/>
        <w:rPr>
          <w:rFonts w:ascii="Times New Roman" w:eastAsia="Segoe UI" w:hAnsi="Times New Roman" w:cs="Times New Roman"/>
          <w:color w:val="0F1115"/>
          <w:sz w:val="24"/>
          <w:shd w:val="clear" w:color="auto" w:fill="FFFFFF"/>
          <w:lang w:val="en-MY"/>
        </w:rPr>
      </w:pPr>
      <w:r w:rsidRPr="009E22F3">
        <w:rPr>
          <w:rFonts w:ascii="Times New Roman" w:eastAsia="Segoe UI" w:hAnsi="Times New Roman" w:cs="Times New Roman"/>
          <w:color w:val="0F1115"/>
          <w:sz w:val="24"/>
          <w:shd w:val="clear" w:color="auto" w:fill="FFFFFF"/>
          <w:lang w:val="en-MY"/>
        </w:rPr>
        <w:t xml:space="preserve">[8] </w:t>
      </w:r>
      <w:r>
        <w:rPr>
          <w:rFonts w:ascii="Times New Roman" w:eastAsia="Segoe UI" w:hAnsi="Times New Roman" w:cs="Times New Roman"/>
          <w:color w:val="0F1115"/>
          <w:sz w:val="24"/>
          <w:shd w:val="clear" w:color="auto" w:fill="FFFFFF"/>
          <w:lang w:val="en-MY"/>
        </w:rPr>
        <w:tab/>
      </w:r>
      <w:r w:rsidRPr="009E22F3">
        <w:rPr>
          <w:rFonts w:ascii="Times New Roman" w:eastAsia="Segoe UI" w:hAnsi="Times New Roman" w:cs="Times New Roman"/>
          <w:color w:val="0F1115"/>
          <w:sz w:val="24"/>
          <w:shd w:val="clear" w:color="auto" w:fill="FFFFFF"/>
          <w:lang w:val="en-MY"/>
        </w:rPr>
        <w:t>Miao J, Zhang Z, 2024, Efficacy of Parathyroid Hormone (1–34) in Elderly Patients with Femoral Neck Fractures Complicated by Osteoporosis. Shenzhen Journal of Integrated Traditional Chinese and Western Medicine, 34(2): 118–120.</w:t>
      </w:r>
    </w:p>
    <w:p w14:paraId="4BA597C6" w14:textId="2935A29A" w:rsidR="009E22F3" w:rsidRDefault="009E22F3" w:rsidP="009E22F3">
      <w:pPr>
        <w:snapToGrid w:val="0"/>
        <w:rPr>
          <w:rFonts w:ascii="Times New Roman" w:eastAsia="Segoe UI" w:hAnsi="Times New Roman" w:cs="Times New Roman"/>
          <w:color w:val="0F1115"/>
          <w:sz w:val="24"/>
          <w:shd w:val="clear" w:color="auto" w:fill="FFFFFF"/>
        </w:rPr>
      </w:pPr>
    </w:p>
    <w:p w14:paraId="37CD4A7A" w14:textId="77777777" w:rsidR="009E22F3" w:rsidRPr="00E80D6D" w:rsidRDefault="009E22F3" w:rsidP="009E22F3">
      <w:pPr>
        <w:snapToGrid w:val="0"/>
        <w:rPr>
          <w:rFonts w:ascii="Times New Roman" w:eastAsia="Segoe UI" w:hAnsi="Times New Roman" w:cs="Times New Roman"/>
          <w:b/>
          <w:bCs/>
          <w:color w:val="0F1115"/>
          <w:sz w:val="20"/>
          <w:szCs w:val="20"/>
          <w:shd w:val="clear" w:color="auto" w:fill="FFFFFF"/>
        </w:rPr>
      </w:pPr>
      <w:r w:rsidRPr="00E80D6D">
        <w:rPr>
          <w:rFonts w:ascii="Times New Roman" w:eastAsia="Segoe UI" w:hAnsi="Times New Roman" w:cs="Times New Roman"/>
          <w:b/>
          <w:bCs/>
          <w:color w:val="0F1115"/>
          <w:sz w:val="20"/>
          <w:szCs w:val="20"/>
          <w:shd w:val="clear" w:color="auto" w:fill="FFFFFF"/>
        </w:rPr>
        <w:t>Publisher’s note</w:t>
      </w:r>
    </w:p>
    <w:p w14:paraId="59AF0E46" w14:textId="77777777" w:rsidR="009E22F3" w:rsidRPr="00E80D6D" w:rsidRDefault="009E22F3" w:rsidP="009E22F3">
      <w:pPr>
        <w:snapToGrid w:val="0"/>
        <w:rPr>
          <w:rFonts w:ascii="Times New Roman" w:eastAsia="Segoe UI" w:hAnsi="Times New Roman" w:cs="Times New Roman"/>
          <w:color w:val="0F1115"/>
          <w:sz w:val="20"/>
          <w:szCs w:val="20"/>
          <w:shd w:val="clear" w:color="auto" w:fill="FFFFFF"/>
        </w:rPr>
      </w:pPr>
      <w:r w:rsidRPr="00E80D6D">
        <w:rPr>
          <w:rFonts w:ascii="Times New Roman" w:eastAsia="Segoe UI" w:hAnsi="Times New Roman" w:cs="Times New Roman"/>
          <w:color w:val="0F1115"/>
          <w:sz w:val="20"/>
          <w:szCs w:val="20"/>
          <w:shd w:val="clear" w:color="auto" w:fill="FFFFFF"/>
        </w:rPr>
        <w:t>Bio-Byword Scientific Publishing remains neutral with regard to jurisdictional claims in published maps and institutional affiliations</w:t>
      </w:r>
    </w:p>
    <w:p w14:paraId="6E48BD94" w14:textId="77777777" w:rsidR="009E22F3" w:rsidRDefault="009E22F3" w:rsidP="00E80D6D">
      <w:pPr>
        <w:snapToGrid w:val="0"/>
        <w:rPr>
          <w:rFonts w:ascii="Times New Roman" w:eastAsia="Segoe UI" w:hAnsi="Times New Roman" w:cs="Times New Roman"/>
          <w:color w:val="0F1115"/>
          <w:sz w:val="24"/>
          <w:shd w:val="clear" w:color="auto" w:fill="FFFFFF"/>
        </w:rPr>
      </w:pPr>
    </w:p>
    <w:sectPr w:rsidR="009E22F3" w:rsidSect="009E22F3">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F26CB76-131D-4F92-BB9B-372B35948E50}"/>
    <w:embedBold r:id="rId2" w:fontKey="{4138F75D-93B8-47BB-BCD1-007AF312EE24}"/>
    <w:embedItalic r:id="rId3" w:fontKey="{A5FC5070-D2A6-42B9-A8EF-E4439CDAA5F5}"/>
    <w:embedBoldItalic r:id="rId4" w:fontKey="{92FC69BA-7C64-4F87-AF40-EA1F6F4A1C4B}"/>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5" w:fontKey="{1B9DC00E-3E45-4D98-93A2-5E520E3E502F}"/>
    <w:embedBold r:id="rId6" w:fontKey="{6300252E-6AF2-4C97-9345-EA48EEB376D7}"/>
  </w:font>
  <w:font w:name="Segoe UI">
    <w:panose1 w:val="020B0502040204020203"/>
    <w:charset w:val="00"/>
    <w:family w:val="swiss"/>
    <w:pitch w:val="variable"/>
    <w:sig w:usb0="E4002EFF" w:usb1="C000E47F" w:usb2="00000009" w:usb3="00000000" w:csb0="000001FF" w:csb1="00000000"/>
    <w:embedRegular r:id="rId7" w:fontKey="{98E3FD43-B54D-48E1-B916-DC86B11703F5}"/>
    <w:embedBold r:id="rId8" w:fontKey="{C27278BD-DC08-44A2-8CE8-256C31E5E2D4}"/>
    <w:embedItalic r:id="rId9" w:fontKey="{63898F6E-44F3-440A-8489-28072B18AD72}"/>
    <w:embedBoldItalic r:id="rId10" w:fontKey="{D8F013AB-28DA-4BE9-9259-1F93F52E2745}"/>
  </w:font>
  <w:font w:name="Calibri Light">
    <w:panose1 w:val="020F0302020204030204"/>
    <w:charset w:val="00"/>
    <w:family w:val="swiss"/>
    <w:pitch w:val="variable"/>
    <w:sig w:usb0="E4002EFF" w:usb1="C200247B" w:usb2="00000009" w:usb3="00000000" w:csb0="000001FF" w:csb1="00000000"/>
    <w:embedRegular r:id="rId11" w:fontKey="{AD06D94A-327A-48F5-8165-257D0D0D335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embedTrueTypeFonts/>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5E138CE"/>
    <w:rsid w:val="00830537"/>
    <w:rsid w:val="009E22F3"/>
    <w:rsid w:val="00B97722"/>
    <w:rsid w:val="00C532B8"/>
    <w:rsid w:val="00DC6CD1"/>
    <w:rsid w:val="00E80D6D"/>
    <w:rsid w:val="31FA13FD"/>
    <w:rsid w:val="4B5525FC"/>
    <w:rsid w:val="4D8352B9"/>
    <w:rsid w:val="75E138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A00EC8"/>
  <w15:docId w15:val="{0AADDBC8-D811-4BFE-BD6F-101534560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rPr>
      <w:sz w:val="24"/>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unhideWhenUsed/>
    <w:rsid w:val="009E22F3"/>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2443</Words>
  <Characters>13930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Acer NB1</cp:lastModifiedBy>
  <cp:revision>2</cp:revision>
  <dcterms:created xsi:type="dcterms:W3CDTF">2026-07-30T05:42:00Z</dcterms:created>
  <dcterms:modified xsi:type="dcterms:W3CDTF">2026-07-30T05:42:00Z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2741FF039D564D7D97E6C752D8C9D281_11</vt:lpwstr>
  </property>
  <property fmtid="{D5CDD505-2E9C-101B-9397-08002B2CF9AE}" pid="4" name="KSOTemplateDocerSaveRecord">
    <vt:lpwstr>eyJoZGlkIjoiZTBiYjBjMzJlZDA2ZWE2YWNmMzQyN2E2MGVlZTcxZjkiLCJ1c2VySWQiOiI2MTA5NTIyOTYifQ==</vt:lpwstr>
  </property>
  <property fmtid="{D5CDD505-2E9C-101B-9397-08002B2CF9AE}" pid="5" name="GrammarlyDocumentId">
    <vt:lpwstr>bf2db1ec-7538-4063-9944-a35fdcf9c6c1</vt:lpwstr>
  </property>
</Properties>
</file>