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F96876">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Times New Roman" w:hAnsi="Times New Roman" w:cs="Times New Roman"/>
          <w:b/>
          <w:bCs/>
          <w:sz w:val="44"/>
          <w:szCs w:val="44"/>
        </w:rPr>
      </w:pPr>
      <w:r>
        <w:rPr>
          <w:rFonts w:hint="eastAsia" w:ascii="Times New Roman" w:hAnsi="Times New Roman" w:cs="Times New Roman"/>
          <w:b/>
          <w:bCs/>
          <w:sz w:val="44"/>
          <w:szCs w:val="44"/>
        </w:rPr>
        <w:t>Global, Regional and National Burdens of Gout in People Aged 20 - 54 Years from 1990 to 2021: An Analysis Based on the 2021 Global Burden of Disease Study</w:t>
      </w:r>
    </w:p>
    <w:p w14:paraId="25DE2EB1">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rPr>
        <w:t>Hongqiu Li</w:t>
      </w:r>
      <w:r>
        <w:rPr>
          <w:rFonts w:hint="eastAsia" w:ascii="Times New Roman" w:hAnsi="Times New Roman" w:cs="Times New Roman"/>
          <w:b/>
          <w:bCs/>
          <w:sz w:val="24"/>
          <w:szCs w:val="24"/>
          <w:vertAlign w:val="superscript"/>
          <w:lang w:val="en-US" w:eastAsia="zh-CN"/>
        </w:rPr>
        <w:t>1</w:t>
      </w:r>
      <w:r>
        <w:rPr>
          <w:rFonts w:hint="eastAsia" w:ascii="Times New Roman" w:hAnsi="Times New Roman" w:cs="Times New Roman"/>
          <w:b/>
          <w:bCs/>
          <w:sz w:val="24"/>
          <w:szCs w:val="24"/>
          <w:lang w:val="en-US" w:eastAsia="zh-CN"/>
        </w:rPr>
        <w:t>,</w:t>
      </w:r>
      <w:r>
        <w:rPr>
          <w:rFonts w:hint="eastAsia" w:ascii="Times New Roman" w:hAnsi="Times New Roman" w:cs="Times New Roman"/>
          <w:b/>
          <w:bCs/>
          <w:sz w:val="24"/>
          <w:szCs w:val="24"/>
        </w:rPr>
        <w:t xml:space="preserve"> Qingzhu Wu</w:t>
      </w:r>
      <w:r>
        <w:rPr>
          <w:rFonts w:hint="eastAsia" w:ascii="Times New Roman" w:hAnsi="Times New Roman" w:cs="Times New Roman"/>
          <w:b/>
          <w:bCs/>
          <w:sz w:val="24"/>
          <w:szCs w:val="24"/>
          <w:vertAlign w:val="superscript"/>
          <w:lang w:val="en-US" w:eastAsia="zh-CN"/>
        </w:rPr>
        <w:t>1</w:t>
      </w:r>
      <w:r>
        <w:rPr>
          <w:rFonts w:hint="eastAsia" w:ascii="Times New Roman" w:hAnsi="Times New Roman" w:cs="Times New Roman"/>
          <w:b/>
          <w:bCs/>
          <w:sz w:val="24"/>
          <w:szCs w:val="24"/>
          <w:lang w:val="en-US" w:eastAsia="zh-CN"/>
        </w:rPr>
        <w:t>,</w:t>
      </w:r>
      <w:r>
        <w:rPr>
          <w:rFonts w:hint="eastAsia" w:ascii="Times New Roman" w:hAnsi="Times New Roman" w:cs="Times New Roman"/>
          <w:b/>
          <w:bCs/>
          <w:sz w:val="24"/>
          <w:szCs w:val="24"/>
        </w:rPr>
        <w:t xml:space="preserve"> A Liang</w:t>
      </w:r>
      <w:r>
        <w:rPr>
          <w:rFonts w:hint="eastAsia" w:ascii="Times New Roman" w:hAnsi="Times New Roman" w:cs="Times New Roman"/>
          <w:b/>
          <w:bCs/>
          <w:sz w:val="24"/>
          <w:szCs w:val="24"/>
          <w:vertAlign w:val="superscript"/>
          <w:lang w:val="en-US" w:eastAsia="zh-CN"/>
        </w:rPr>
        <w:t>1</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b/>
          <w:bCs/>
          <w:sz w:val="24"/>
          <w:szCs w:val="24"/>
        </w:rPr>
        <w:t>Zhonghai Zha</w:t>
      </w:r>
      <w:r>
        <w:rPr>
          <w:rFonts w:hint="eastAsia" w:ascii="Times New Roman" w:hAnsi="Times New Roman" w:cs="Times New Roman"/>
          <w:b/>
          <w:bCs/>
          <w:sz w:val="24"/>
          <w:szCs w:val="24"/>
          <w:lang w:val="en-US" w:eastAsia="zh-CN"/>
        </w:rPr>
        <w:t>o</w:t>
      </w:r>
      <w:r>
        <w:rPr>
          <w:rFonts w:hint="eastAsia" w:ascii="Times New Roman" w:hAnsi="Times New Roman" w:cs="Times New Roman"/>
          <w:b/>
          <w:bCs/>
          <w:sz w:val="24"/>
          <w:szCs w:val="24"/>
          <w:vertAlign w:val="superscript"/>
          <w:lang w:val="en-US" w:eastAsia="zh-CN"/>
        </w:rPr>
        <w:t>2</w:t>
      </w:r>
      <w:r>
        <w:rPr>
          <w:rFonts w:hint="eastAsia" w:ascii="Times New Roman" w:hAnsi="Times New Roman" w:cs="Times New Roman"/>
          <w:b/>
          <w:bCs/>
          <w:sz w:val="24"/>
          <w:szCs w:val="24"/>
          <w:lang w:val="en-US" w:eastAsia="zh-CN"/>
        </w:rPr>
        <w:t xml:space="preserve">, </w:t>
      </w:r>
      <w:r>
        <w:rPr>
          <w:rFonts w:hint="eastAsia" w:ascii="Times New Roman" w:hAnsi="Times New Roman" w:cs="Times New Roman"/>
          <w:b/>
          <w:bCs/>
          <w:sz w:val="24"/>
          <w:szCs w:val="24"/>
        </w:rPr>
        <w:t>Nan Jiang</w:t>
      </w:r>
      <w:r>
        <w:rPr>
          <w:rFonts w:hint="eastAsia" w:ascii="Times New Roman" w:hAnsi="Times New Roman" w:cs="Times New Roman"/>
          <w:b/>
          <w:bCs/>
          <w:sz w:val="24"/>
          <w:szCs w:val="24"/>
          <w:vertAlign w:val="superscript"/>
          <w:lang w:val="en-US" w:eastAsia="zh-CN"/>
        </w:rPr>
        <w:t>1</w:t>
      </w:r>
      <w:r>
        <w:rPr>
          <w:rFonts w:hint="eastAsia" w:ascii="Times New Roman" w:hAnsi="Times New Roman" w:cs="Times New Roman"/>
          <w:b/>
          <w:bCs/>
          <w:sz w:val="24"/>
          <w:szCs w:val="24"/>
          <w:lang w:val="en-US" w:eastAsia="zh-CN"/>
        </w:rPr>
        <w:t>,</w:t>
      </w:r>
      <w:r>
        <w:rPr>
          <w:rFonts w:hint="eastAsia" w:ascii="Times New Roman" w:hAnsi="Times New Roman" w:cs="Times New Roman"/>
          <w:b/>
          <w:bCs/>
          <w:sz w:val="24"/>
          <w:szCs w:val="24"/>
        </w:rPr>
        <w:t xml:space="preserve"> Feng Yang</w:t>
      </w:r>
      <w:r>
        <w:rPr>
          <w:rFonts w:hint="eastAsia" w:ascii="Times New Roman" w:hAnsi="Times New Roman" w:cs="Times New Roman"/>
          <w:b/>
          <w:bCs/>
          <w:sz w:val="24"/>
          <w:szCs w:val="24"/>
          <w:vertAlign w:val="superscript"/>
          <w:lang w:val="en-US" w:eastAsia="zh-CN"/>
        </w:rPr>
        <w:t>3</w:t>
      </w:r>
      <w:r>
        <w:rPr>
          <w:rFonts w:hint="eastAsia" w:ascii="Times New Roman" w:hAnsi="Times New Roman" w:cs="Times New Roman"/>
          <w:b/>
          <w:bCs/>
          <w:sz w:val="24"/>
          <w:szCs w:val="24"/>
          <w:lang w:val="en-US" w:eastAsia="zh-CN"/>
        </w:rPr>
        <w:t>*</w:t>
      </w:r>
      <w:r>
        <w:rPr>
          <w:rFonts w:hint="eastAsia" w:ascii="Times New Roman" w:hAnsi="Times New Roman" w:cs="Times New Roman"/>
          <w:b/>
          <w:bCs/>
          <w:sz w:val="24"/>
          <w:szCs w:val="24"/>
        </w:rPr>
        <w:t xml:space="preserve"> </w:t>
      </w:r>
      <w:r>
        <w:rPr>
          <w:rFonts w:hint="eastAsia" w:ascii="Times New Roman" w:hAnsi="Times New Roman" w:cs="Times New Roman"/>
          <w:b/>
          <w:bCs/>
          <w:sz w:val="24"/>
          <w:szCs w:val="24"/>
          <w:lang w:val="en-US" w:eastAsia="zh-CN"/>
        </w:rPr>
        <w:t xml:space="preserve"> </w:t>
      </w:r>
    </w:p>
    <w:p w14:paraId="7ABBF9C7">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szCs w:val="24"/>
        </w:rPr>
      </w:pPr>
      <w:bookmarkStart w:id="5" w:name="_GoBack"/>
      <w:bookmarkEnd w:id="5"/>
      <w:r>
        <w:rPr>
          <w:rFonts w:hint="eastAsia" w:ascii="Times New Roman" w:hAnsi="Times New Roman" w:cs="Times New Roman"/>
          <w:sz w:val="24"/>
          <w:szCs w:val="24"/>
          <w:vertAlign w:val="superscript"/>
          <w:lang w:val="en-US" w:eastAsia="zh-CN"/>
        </w:rPr>
        <w:t>1</w:t>
      </w:r>
      <w:r>
        <w:rPr>
          <w:rFonts w:hint="eastAsia" w:ascii="Times New Roman" w:hAnsi="Times New Roman" w:cs="Times New Roman"/>
          <w:sz w:val="24"/>
          <w:szCs w:val="24"/>
          <w:lang w:val="en-US" w:eastAsia="zh-CN"/>
        </w:rPr>
        <w:t xml:space="preserve">Department of Orthopaedic, Central Hospital Affiliated to Shenyang Medical College, Shenyang 110024, Liaoning, China </w:t>
      </w:r>
    </w:p>
    <w:p w14:paraId="0C49E79E">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vertAlign w:val="superscript"/>
          <w:lang w:val="en-US" w:eastAsia="zh-CN"/>
        </w:rPr>
        <w:t>2</w:t>
      </w:r>
      <w:r>
        <w:rPr>
          <w:rFonts w:hint="eastAsia" w:ascii="Times New Roman" w:hAnsi="Times New Roman" w:cs="Times New Roman"/>
          <w:sz w:val="24"/>
          <w:szCs w:val="24"/>
          <w:lang w:val="en-US" w:eastAsia="zh-CN"/>
        </w:rPr>
        <w:t xml:space="preserve">Department of Rehabilitation, Central Hospital Affiliated to Shenyang Medical College, Shenyang 110024, Liaoning, </w:t>
      </w:r>
    </w:p>
    <w:p w14:paraId="129A549F">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lang w:val="en-US" w:eastAsia="zh-CN"/>
        </w:rPr>
        <w:t xml:space="preserve">China </w:t>
      </w:r>
    </w:p>
    <w:p w14:paraId="56A3A39D">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vertAlign w:val="superscript"/>
          <w:lang w:val="en-US" w:eastAsia="zh-CN"/>
        </w:rPr>
        <w:t>3</w:t>
      </w:r>
      <w:r>
        <w:rPr>
          <w:rFonts w:hint="eastAsia" w:ascii="Times New Roman" w:hAnsi="Times New Roman" w:cs="Times New Roman"/>
          <w:sz w:val="24"/>
          <w:szCs w:val="24"/>
          <w:lang w:val="en-US" w:eastAsia="zh-CN"/>
        </w:rPr>
        <w:t xml:space="preserve">Department of Radiology, Central Hospital Affiliated to Shenyang Medical College, Shenyang 110024, Liaoning, China </w:t>
      </w:r>
    </w:p>
    <w:p w14:paraId="54B65845">
      <w:pPr>
        <w:rPr>
          <w:rFonts w:hint="default" w:ascii="Times New Roman" w:hAnsi="Times New Roman"/>
          <w:b/>
          <w:bCs/>
          <w:i/>
          <w:iCs/>
          <w:sz w:val="24"/>
          <w:lang w:val="en-US" w:eastAsia="zh-CN"/>
        </w:rPr>
      </w:pPr>
      <w:r>
        <w:rPr>
          <w:rFonts w:hint="default" w:ascii="Times New Roman" w:hAnsi="Times New Roman"/>
          <w:b/>
          <w:bCs/>
          <w:i/>
          <w:iCs/>
          <w:sz w:val="24"/>
          <w:lang w:val="en-US" w:eastAsia="zh-CN"/>
        </w:rPr>
        <w:t>*Author to whom correspondence should be addressed.</w:t>
      </w:r>
    </w:p>
    <w:p w14:paraId="1C9E06F4">
      <w:pPr>
        <w:spacing w:after="156" w:afterLines="50" w:line="240" w:lineRule="auto"/>
        <w:jc w:val="both"/>
        <w:rPr>
          <w:rFonts w:ascii="Calibri" w:hAnsi="Calibri" w:eastAsia="宋体" w:cs="Times New Roman"/>
          <w:sz w:val="20"/>
          <w:szCs w:val="20"/>
          <w:lang w:bidi="ar"/>
          <w14:ligatures w14:val="none"/>
        </w:rPr>
      </w:pPr>
      <w:bookmarkStart w:id="0" w:name="_Hlk179466246"/>
      <w:bookmarkStart w:id="1" w:name="_Hlk191633444"/>
      <w:r>
        <w:rPr>
          <w:rFonts w:ascii="Times New Roman" w:hAnsi="Times New Roman" w:eastAsia="宋体" w:cs="Times New Roman"/>
          <w:b/>
          <w:bCs/>
          <w:sz w:val="20"/>
          <w:szCs w:val="20"/>
          <w:lang w:bidi="ar"/>
          <w14:ligatures w14:val="none"/>
        </w:rPr>
        <w:t>Copyright</w:t>
      </w:r>
      <w:r>
        <w:rPr>
          <w:rFonts w:ascii="Times New Roman" w:hAnsi="Times New Roman" w:eastAsia="宋体" w:cs="Times New Roman"/>
          <w:sz w:val="20"/>
          <w:szCs w:val="20"/>
          <w:lang w:bidi="ar"/>
          <w14:ligatures w14:val="none"/>
        </w:rPr>
        <w:t>: © 2025 Author(s). This is an open-access article distributed under the terms of the Creative Commons Attribution License (CC BY 4.0), permitting distribution and reproduction in any medium, provided the original work is cited.</w:t>
      </w:r>
      <w:bookmarkEnd w:id="0"/>
      <w:bookmarkEnd w:id="1"/>
    </w:p>
    <w:p w14:paraId="1AD3AABB">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b/>
          <w:bCs/>
          <w:sz w:val="24"/>
        </w:rPr>
      </w:pPr>
    </w:p>
    <w:p w14:paraId="146F7674">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4"/>
        </w:rPr>
      </w:pPr>
      <w:r>
        <w:rPr>
          <w:rFonts w:hint="eastAsia" w:ascii="Times New Roman" w:hAnsi="Times New Roman" w:cs="Times New Roman"/>
          <w:b/>
          <w:bCs/>
          <w:sz w:val="24"/>
        </w:rPr>
        <w:t>Abstract</w:t>
      </w:r>
      <w:r>
        <w:rPr>
          <w:rFonts w:hint="eastAsia" w:ascii="Times New Roman" w:hAnsi="Times New Roman" w:cs="Times New Roman"/>
          <w:b/>
          <w:bCs/>
          <w:sz w:val="24"/>
          <w:lang w:val="en-US" w:eastAsia="zh-CN"/>
        </w:rPr>
        <w:t xml:space="preserve">: </w:t>
      </w:r>
      <w:r>
        <w:rPr>
          <w:rFonts w:hint="eastAsia" w:ascii="Times New Roman" w:hAnsi="Times New Roman" w:cs="Times New Roman"/>
          <w:i/>
          <w:iCs/>
          <w:sz w:val="24"/>
        </w:rPr>
        <w:t>Objective</w:t>
      </w:r>
      <w:r>
        <w:rPr>
          <w:rFonts w:hint="eastAsia" w:ascii="Times New Roman" w:hAnsi="Times New Roman" w:cs="Times New Roman"/>
          <w:sz w:val="24"/>
          <w:lang w:val="en-US" w:eastAsia="zh-CN"/>
        </w:rPr>
        <w:t>:</w:t>
      </w:r>
      <w:r>
        <w:rPr>
          <w:rFonts w:hint="eastAsia" w:ascii="Times New Roman" w:hAnsi="Times New Roman" w:cs="Times New Roman"/>
          <w:sz w:val="24"/>
        </w:rPr>
        <w:t xml:space="preserve"> To describe the epidemiology of gout in people aged 20 - 54 years at global, regional, and national levels using data from the 2021 GBD study, and evaluate the impact of BMI and renal dysfunction on the burden of gout in this age group.</w:t>
      </w:r>
      <w:r>
        <w:rPr>
          <w:rFonts w:hint="eastAsia" w:ascii="Times New Roman" w:hAnsi="Times New Roman" w:cs="Times New Roman"/>
          <w:sz w:val="24"/>
          <w:lang w:val="en-US" w:eastAsia="zh-CN"/>
        </w:rPr>
        <w:t xml:space="preserve"> </w:t>
      </w:r>
      <w:r>
        <w:rPr>
          <w:rFonts w:hint="eastAsia" w:ascii="Times New Roman" w:hAnsi="Times New Roman" w:cs="Times New Roman"/>
          <w:i/>
          <w:iCs/>
          <w:sz w:val="24"/>
        </w:rPr>
        <w:t>Methods</w:t>
      </w:r>
      <w:r>
        <w:rPr>
          <w:rFonts w:hint="eastAsia" w:ascii="Times New Roman" w:hAnsi="Times New Roman" w:cs="Times New Roman"/>
          <w:sz w:val="24"/>
          <w:lang w:val="en-US" w:eastAsia="zh-CN"/>
        </w:rPr>
        <w:t>:</w:t>
      </w:r>
      <w:r>
        <w:rPr>
          <w:rFonts w:hint="eastAsia" w:ascii="Times New Roman" w:hAnsi="Times New Roman" w:cs="Times New Roman"/>
          <w:sz w:val="24"/>
        </w:rPr>
        <w:t xml:space="preserve"> Incidence, prevalence, and DALYs of gout were extracted from GBD 2021. Descriptive analysis was performed at global, regional, and national levels. Trends were analyzed using estimated annual percentage change (EAPC) and joinpoint regression analysis. Proportional attributable fractions of risk factors (high BMI and impaired kidney function) were calculated.</w:t>
      </w:r>
      <w:r>
        <w:rPr>
          <w:rFonts w:hint="eastAsia" w:ascii="Times New Roman" w:hAnsi="Times New Roman" w:cs="Times New Roman"/>
          <w:sz w:val="24"/>
          <w:lang w:val="en-US" w:eastAsia="zh-CN"/>
        </w:rPr>
        <w:t xml:space="preserve"> </w:t>
      </w:r>
      <w:r>
        <w:rPr>
          <w:rFonts w:hint="eastAsia" w:ascii="Times New Roman" w:hAnsi="Times New Roman" w:cs="Times New Roman"/>
          <w:i/>
          <w:iCs/>
          <w:sz w:val="24"/>
        </w:rPr>
        <w:t>Results</w:t>
      </w:r>
      <w:r>
        <w:rPr>
          <w:rFonts w:hint="eastAsia" w:ascii="Times New Roman" w:hAnsi="Times New Roman" w:cs="Times New Roman"/>
          <w:sz w:val="24"/>
          <w:lang w:val="en-US" w:eastAsia="zh-CN"/>
        </w:rPr>
        <w:t>:</w:t>
      </w:r>
      <w:r>
        <w:rPr>
          <w:rFonts w:hint="eastAsia" w:ascii="Times New Roman" w:hAnsi="Times New Roman" w:cs="Times New Roman"/>
          <w:sz w:val="24"/>
        </w:rPr>
        <w:t xml:space="preserve"> Globally, from 1990 to 2021, the rates of incidence, prevalence, and DALYs of gout in people aged 20 - 54 years increased. Regionally, the United States, China, and East Asia had significant increases. By SDI quintiles, the highest increases in prevalence and DALYs were in the High SDI quintile, and in incidence in the High-middle SDI quintile. Males had higher values than females. The fastest increasing periods for incidence (1996 - 2004), prevalence (1996 - 2004), and DALYs (1996 - 2003) were identified. Globally in 2021, high BMI and impaired kidney function accounted for certain proportions of DALYs, with regional and national variations.</w:t>
      </w:r>
      <w:r>
        <w:rPr>
          <w:rFonts w:hint="eastAsia" w:ascii="Times New Roman" w:hAnsi="Times New Roman" w:cs="Times New Roman"/>
          <w:sz w:val="24"/>
          <w:lang w:val="en-US" w:eastAsia="zh-CN"/>
        </w:rPr>
        <w:t xml:space="preserve"> </w:t>
      </w:r>
      <w:r>
        <w:rPr>
          <w:rFonts w:hint="eastAsia" w:ascii="Times New Roman" w:hAnsi="Times New Roman" w:cs="Times New Roman"/>
          <w:i/>
          <w:iCs/>
          <w:sz w:val="24"/>
        </w:rPr>
        <w:t>Conclusion</w:t>
      </w:r>
      <w:r>
        <w:rPr>
          <w:rFonts w:hint="eastAsia" w:ascii="Times New Roman" w:hAnsi="Times New Roman" w:cs="Times New Roman"/>
          <w:sz w:val="24"/>
          <w:lang w:val="en-US" w:eastAsia="zh-CN"/>
        </w:rPr>
        <w:t>:</w:t>
      </w:r>
      <w:r>
        <w:rPr>
          <w:rFonts w:hint="eastAsia" w:ascii="Times New Roman" w:hAnsi="Times New Roman" w:cs="Times New Roman"/>
          <w:sz w:val="24"/>
        </w:rPr>
        <w:t xml:space="preserve"> The burden of gout in people aged 20 - 54 years has increased significantly worldwide, with differences across various factors. Prevention strategies, improved management, and further research on gout in this age group are crucial, especially regarding its relationship with high BMI and impaired renal function.</w:t>
      </w:r>
    </w:p>
    <w:p w14:paraId="14EC93ED">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eastAsiaTheme="minorEastAsia"/>
          <w:sz w:val="24"/>
          <w:lang w:val="en-US" w:eastAsia="zh-CN"/>
        </w:rPr>
      </w:pPr>
      <w:r>
        <w:rPr>
          <w:rFonts w:hint="eastAsia" w:ascii="Times New Roman" w:hAnsi="Times New Roman" w:cs="Times New Roman"/>
          <w:b/>
          <w:bCs/>
          <w:sz w:val="24"/>
          <w:highlight w:val="none"/>
          <w:lang w:val="en-US" w:eastAsia="zh-CN"/>
        </w:rPr>
        <w:t>Keywords</w:t>
      </w:r>
      <w:r>
        <w:rPr>
          <w:rFonts w:hint="eastAsia" w:ascii="Times New Roman" w:hAnsi="Times New Roman" w:cs="Times New Roman"/>
          <w:sz w:val="24"/>
          <w:highlight w:val="none"/>
          <w:lang w:val="en-US" w:eastAsia="zh-CN"/>
        </w:rPr>
        <w:t>:</w:t>
      </w:r>
      <w:r>
        <w:rPr>
          <w:rFonts w:hint="eastAsia" w:ascii="Times New Roman" w:hAnsi="Times New Roman" w:cs="Times New Roman" w:eastAsiaTheme="minorEastAsia"/>
          <w:sz w:val="24"/>
          <w:szCs w:val="24"/>
        </w:rPr>
        <w:t>Gout;</w:t>
      </w:r>
      <w:r>
        <w:rPr>
          <w:rFonts w:hint="default" w:ascii="Times New Roman" w:hAnsi="Times New Roman" w:cs="Times New Roman"/>
          <w:sz w:val="24"/>
          <w:lang w:val="en-US" w:eastAsia="zh-CN"/>
        </w:rPr>
        <w:t xml:space="preserve"> </w:t>
      </w:r>
      <w:r>
        <w:rPr>
          <w:rFonts w:hint="eastAsia" w:ascii="Times New Roman" w:hAnsi="Times New Roman" w:cs="Times New Roman" w:eastAsiaTheme="minorEastAsia"/>
          <w:sz w:val="24"/>
          <w:szCs w:val="24"/>
        </w:rPr>
        <w:t>GBD 2021</w:t>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rPr>
        <w:t>High BMI; Impaired kidney function</w:t>
      </w:r>
    </w:p>
    <w:p w14:paraId="0BB78936">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rPr>
      </w:pPr>
    </w:p>
    <w:p w14:paraId="1A0E52EA">
      <w:pPr>
        <w:spacing w:after="0" w:line="240" w:lineRule="auto"/>
        <w:jc w:val="both"/>
        <w:rPr>
          <w:rFonts w:ascii="Times New Roman" w:hAnsi="Times New Roman" w:eastAsia="宋体" w:cs="Times New Roman"/>
          <w:b/>
          <w:bCs/>
          <w:color w:val="000000"/>
          <w:sz w:val="20"/>
          <w:szCs w:val="20"/>
          <w14:ligatures w14:val="none"/>
        </w:rPr>
      </w:pPr>
      <w:bookmarkStart w:id="2" w:name="_Hlk172733240"/>
      <w:r>
        <w:rPr>
          <w:rFonts w:ascii="Times New Roman" w:hAnsi="Times New Roman" w:eastAsia="宋体" w:cs="Times New Roman"/>
          <w:b/>
          <w:bCs/>
          <w:color w:val="000000"/>
          <w:sz w:val="20"/>
          <w:szCs w:val="20"/>
          <w14:ligatures w14:val="none"/>
        </w:rPr>
        <w:t>Online publication:</w:t>
      </w:r>
    </w:p>
    <w:bookmarkEnd w:id="2"/>
    <w:p w14:paraId="0E5E0E9C">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rPr>
      </w:pPr>
    </w:p>
    <w:p w14:paraId="1738E468">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cs="Times New Roman"/>
          <w:b/>
          <w:bCs/>
          <w:sz w:val="24"/>
        </w:rPr>
      </w:pPr>
      <w:r>
        <w:rPr>
          <w:rFonts w:hint="eastAsia" w:ascii="Times New Roman" w:hAnsi="Times New Roman" w:cs="Times New Roman"/>
          <w:b/>
          <w:bCs/>
          <w:sz w:val="24"/>
          <w:lang w:val="en-US" w:eastAsia="zh-CN"/>
        </w:rPr>
        <w:t xml:space="preserve">1. </w:t>
      </w:r>
      <w:r>
        <w:rPr>
          <w:rFonts w:hint="eastAsia" w:ascii="Times New Roman" w:hAnsi="Times New Roman" w:cs="Times New Roman"/>
          <w:b/>
          <w:bCs/>
          <w:sz w:val="24"/>
        </w:rPr>
        <w:t>Introduction</w:t>
      </w:r>
    </w:p>
    <w:p w14:paraId="5CE96509">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4"/>
        </w:rPr>
      </w:pPr>
      <w:r>
        <w:rPr>
          <w:rFonts w:hint="eastAsia" w:ascii="Times New Roman" w:hAnsi="Times New Roman" w:cs="Times New Roman"/>
          <w:sz w:val="24"/>
        </w:rPr>
        <w:t xml:space="preserve">Gout is the most common inflammatory arthritis, which manifests as an acute attack of one or more joints with pain, swelling, redness, and fever, leading to decreased mobility and impaired physical function, and progressing to chronic destructive arthritis </w:t>
      </w:r>
      <w:r>
        <w:rPr>
          <w:rFonts w:hint="eastAsia" w:ascii="Times New Roman" w:hAnsi="Times New Roman" w:cs="Times New Roman"/>
          <w:sz w:val="24"/>
          <w:vertAlign w:val="superscript"/>
        </w:rPr>
        <w:t>[1-2]</w:t>
      </w:r>
      <w:r>
        <w:rPr>
          <w:rFonts w:hint="eastAsia" w:ascii="Times New Roman" w:hAnsi="Times New Roman" w:cs="Times New Roman"/>
          <w:sz w:val="24"/>
        </w:rPr>
        <w:t xml:space="preserve">. Chronic gout leads to tophi formation, chronic joint pain, and joint erosion and damage. It is a common cause of activity limitation in adults, resulting in increased morbidity and disability-adjusted life years (DALYs) </w:t>
      </w:r>
      <w:r>
        <w:rPr>
          <w:rFonts w:hint="eastAsia" w:ascii="Times New Roman" w:hAnsi="Times New Roman" w:cs="Times New Roman"/>
          <w:sz w:val="24"/>
          <w:vertAlign w:val="superscript"/>
        </w:rPr>
        <w:t>[3-5]</w:t>
      </w:r>
      <w:r>
        <w:rPr>
          <w:rFonts w:hint="eastAsia" w:ascii="Times New Roman" w:hAnsi="Times New Roman" w:cs="Times New Roman"/>
          <w:sz w:val="24"/>
        </w:rPr>
        <w:t>. Recent studies have used prevalence, incidence and disability-adjusted life years (YLDs) data from the 2021 Global Burden of Disease Study to assess the burden of gout in individuals aged</w:t>
      </w:r>
      <w:r>
        <w:rPr>
          <w:rFonts w:hint="eastAsia" w:ascii="Times New Roman" w:hAnsi="Times New Roman" w:cs="Times New Roman"/>
          <w:sz w:val="24"/>
          <w:lang w:val="en-US" w:eastAsia="zh-CN"/>
        </w:rPr>
        <w:t xml:space="preserve"> </w:t>
      </w:r>
      <w:r>
        <w:rPr>
          <w:rFonts w:hint="default" w:ascii="Times New Roman" w:hAnsi="Times New Roman" w:cs="Times New Roman"/>
          <w:sz w:val="24"/>
        </w:rPr>
        <w:t>≥</w:t>
      </w:r>
      <w:r>
        <w:rPr>
          <w:rFonts w:hint="eastAsia" w:ascii="Times New Roman" w:hAnsi="Times New Roman" w:cs="Times New Roman"/>
          <w:sz w:val="24"/>
        </w:rPr>
        <w:t xml:space="preserve">55 years in 204 countries and its changing trends from 1990 to 2021 at global, regional and country levels </w:t>
      </w:r>
      <w:r>
        <w:rPr>
          <w:rFonts w:hint="eastAsia" w:ascii="Times New Roman" w:hAnsi="Times New Roman" w:cs="Times New Roman"/>
          <w:sz w:val="24"/>
          <w:vertAlign w:val="superscript"/>
        </w:rPr>
        <w:t>[6]</w:t>
      </w:r>
      <w:r>
        <w:rPr>
          <w:rFonts w:hint="eastAsia" w:ascii="Times New Roman" w:hAnsi="Times New Roman" w:cs="Times New Roman"/>
          <w:sz w:val="24"/>
        </w:rPr>
        <w:t xml:space="preserve">. Previous studies have also used data from the 2019 Global Burden of Disease (GBD) study to report global, regional and national annual incidence, point prevalence and disability-adjusted life years (YLD) rates and trends for gout among adolescents and young adults aged 15-39 years </w:t>
      </w:r>
      <w:r>
        <w:rPr>
          <w:rFonts w:hint="eastAsia" w:ascii="Times New Roman" w:hAnsi="Times New Roman" w:cs="Times New Roman"/>
          <w:sz w:val="24"/>
          <w:vertAlign w:val="superscript"/>
        </w:rPr>
        <w:t>[7]</w:t>
      </w:r>
      <w:r>
        <w:rPr>
          <w:rFonts w:hint="eastAsia" w:ascii="Times New Roman" w:hAnsi="Times New Roman" w:cs="Times New Roman"/>
          <w:sz w:val="24"/>
        </w:rPr>
        <w:t xml:space="preserve">. The burden of gout varies among different populations, and quantifying the burden and patterns of gout cases by age and sex, and making future projections, is necessary to effectively meet the needs of the current and future populations </w:t>
      </w:r>
      <w:r>
        <w:rPr>
          <w:rFonts w:hint="eastAsia" w:ascii="Times New Roman" w:hAnsi="Times New Roman" w:cs="Times New Roman"/>
          <w:sz w:val="24"/>
          <w:vertAlign w:val="superscript"/>
        </w:rPr>
        <w:t>[8]</w:t>
      </w:r>
      <w:r>
        <w:rPr>
          <w:rFonts w:hint="eastAsia" w:ascii="Times New Roman" w:hAnsi="Times New Roman" w:cs="Times New Roman"/>
          <w:sz w:val="24"/>
        </w:rPr>
        <w:t xml:space="preserve">. To our knowledge, there are no detailed GBD studies examining the global burden and trends of gout in people aged 20-54 years. </w:t>
      </w:r>
    </w:p>
    <w:p w14:paraId="2CDE524B">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sz w:val="24"/>
        </w:rPr>
      </w:pPr>
      <w:r>
        <w:rPr>
          <w:rFonts w:hint="eastAsia" w:ascii="Times New Roman" w:hAnsi="Times New Roman" w:cs="Times New Roman"/>
          <w:sz w:val="24"/>
        </w:rPr>
        <w:t>The aim of this study was to conduct a descriptive and trend analysis of the prevalence, incidence and disability-adjusted life years (DALYs) epidemiology of gout at global, regional and country levels using data from the 2021 GBD study. The impact of body mass index (BMI) and renal dysfunction as risk factors on the burden of gout in people aged 20-54 years was also evaluated.</w:t>
      </w:r>
    </w:p>
    <w:p w14:paraId="4107BDE1">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sz w:val="24"/>
        </w:rPr>
      </w:pPr>
    </w:p>
    <w:p w14:paraId="1A368250">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cs="Times New Roman"/>
          <w:b/>
          <w:bCs/>
          <w:sz w:val="24"/>
        </w:rPr>
      </w:pPr>
      <w:r>
        <w:rPr>
          <w:rFonts w:hint="eastAsia" w:ascii="Times New Roman" w:hAnsi="Times New Roman" w:cs="Times New Roman"/>
          <w:b/>
          <w:bCs/>
          <w:sz w:val="24"/>
          <w:lang w:val="en-US" w:eastAsia="zh-CN"/>
        </w:rPr>
        <w:t xml:space="preserve">2. </w:t>
      </w:r>
      <w:r>
        <w:rPr>
          <w:rFonts w:hint="eastAsia" w:ascii="Times New Roman" w:hAnsi="Times New Roman" w:cs="Times New Roman"/>
          <w:b/>
          <w:bCs/>
          <w:sz w:val="24"/>
        </w:rPr>
        <w:t>Methods</w:t>
      </w:r>
    </w:p>
    <w:p w14:paraId="1EC36D3C">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cs="Times New Roman"/>
          <w:b/>
          <w:bCs/>
          <w:sz w:val="24"/>
        </w:rPr>
      </w:pPr>
      <w:r>
        <w:rPr>
          <w:rFonts w:hint="eastAsia" w:ascii="Times New Roman" w:hAnsi="Times New Roman" w:cs="Times New Roman"/>
          <w:b/>
          <w:bCs/>
          <w:sz w:val="24"/>
          <w:lang w:val="en-US" w:eastAsia="zh-CN"/>
        </w:rPr>
        <w:t>2.1</w:t>
      </w:r>
      <w:r>
        <w:rPr>
          <w:rFonts w:hint="eastAsia" w:ascii="Times New Roman" w:hAnsi="Times New Roman" w:cs="Times New Roman"/>
          <w:b/>
          <w:bCs/>
          <w:sz w:val="24"/>
        </w:rPr>
        <w:t>.</w:t>
      </w:r>
      <w:r>
        <w:rPr>
          <w:rFonts w:hint="eastAsia" w:ascii="Times New Roman" w:hAnsi="Times New Roman" w:cs="Times New Roman"/>
          <w:b/>
          <w:bCs/>
          <w:sz w:val="24"/>
          <w:lang w:val="en-US" w:eastAsia="zh-CN"/>
        </w:rPr>
        <w:t xml:space="preserve"> </w:t>
      </w:r>
      <w:r>
        <w:rPr>
          <w:rFonts w:hint="eastAsia" w:ascii="Times New Roman" w:hAnsi="Times New Roman" w:cs="Times New Roman"/>
          <w:b/>
          <w:bCs/>
          <w:sz w:val="24"/>
        </w:rPr>
        <w:t>Data source</w:t>
      </w:r>
    </w:p>
    <w:p w14:paraId="4A424819">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4"/>
        </w:rPr>
      </w:pPr>
      <w:r>
        <w:rPr>
          <w:rFonts w:hint="eastAsia" w:ascii="Times New Roman" w:hAnsi="Times New Roman" w:cs="Times New Roman"/>
          <w:sz w:val="24"/>
        </w:rPr>
        <w:t xml:space="preserve">GBD 2021 used the latest available epidemiological data and improved standardized methods to comprehensively assess the health loss across 288 causes of death, 371 diseases and injuries, and 88 risk factors in 204 countries and territories, including subnational estimates for 21 countries and territories and years from 1990 to 2021. </w:t>
      </w:r>
    </w:p>
    <w:p w14:paraId="338C4917">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sz w:val="24"/>
        </w:rPr>
      </w:pPr>
      <w:r>
        <w:rPr>
          <w:rFonts w:hint="eastAsia" w:ascii="Times New Roman" w:hAnsi="Times New Roman" w:cs="Times New Roman"/>
          <w:sz w:val="24"/>
        </w:rPr>
        <w:t>In this study, the estimates and their 95 % uncertainty intervals (UIs) for incidence, prevalence, and disability-adjusted life-years (DALYs) of Gout were extracted from GBD 2021. All rates were reported per 100,000 population. Developed by GBD researchers and used to help produce these estimates, the Socio-demographic Index (SDI) is a composite indicator of development status strongly correlated with health outcomes. It is the geometric mean of 0 to 1 indices of total fertility rate under the age of 25 (TFU25), mean education for those ages 15 and older (EDU15+), and lag distributed income (LDI) per capita. As a composite, a location with an SDI of 0 would have a theoretical minimum level of development relevant to health, while a location with an SDI of 1 would have a theoretical maximum level. the sociodemographic index (SDI) is divided into five levels (Low SDI, Low-middle SDI, Middle SDI, High-middle SDI, and High SDI).</w:t>
      </w:r>
    </w:p>
    <w:p w14:paraId="1DFBFB8F">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sz w:val="24"/>
        </w:rPr>
      </w:pPr>
    </w:p>
    <w:p w14:paraId="49DD581A">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cs="Times New Roman"/>
          <w:b/>
          <w:bCs/>
          <w:sz w:val="24"/>
        </w:rPr>
      </w:pPr>
      <w:r>
        <w:rPr>
          <w:rFonts w:hint="eastAsia" w:ascii="Times New Roman" w:hAnsi="Times New Roman" w:cs="Times New Roman"/>
          <w:b/>
          <w:bCs/>
          <w:sz w:val="24"/>
          <w:lang w:val="en-US" w:eastAsia="zh-CN"/>
        </w:rPr>
        <w:t>2.</w:t>
      </w:r>
      <w:r>
        <w:rPr>
          <w:rFonts w:hint="eastAsia" w:ascii="Times New Roman" w:hAnsi="Times New Roman" w:cs="Times New Roman"/>
          <w:b/>
          <w:bCs/>
          <w:sz w:val="24"/>
        </w:rPr>
        <w:t>2.</w:t>
      </w:r>
      <w:r>
        <w:rPr>
          <w:rFonts w:hint="eastAsia"/>
          <w:b/>
          <w:bCs/>
        </w:rPr>
        <w:t xml:space="preserve"> </w:t>
      </w:r>
      <w:r>
        <w:rPr>
          <w:rFonts w:hint="eastAsia" w:ascii="Times New Roman" w:hAnsi="Times New Roman" w:cs="Times New Roman"/>
          <w:b/>
          <w:bCs/>
          <w:sz w:val="24"/>
        </w:rPr>
        <w:t>Descriptive analysis</w:t>
      </w:r>
    </w:p>
    <w:p w14:paraId="4B89AC32">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rPr>
      </w:pPr>
      <w:r>
        <w:rPr>
          <w:rFonts w:hint="eastAsia" w:ascii="Times New Roman" w:hAnsi="Times New Roman" w:cs="Times New Roman"/>
          <w:sz w:val="24"/>
        </w:rPr>
        <w:t>To derive a comprehensive understanding in the burden of Gout, a descriptive analysis was performed at global, regional, and national levels. The global case number, and rate of incidence, prevalence, and DALYs for Gout in both sexes, males, and females from 1990 to 2021 were visually illustrated. Moreover, the case number and ASR of incidence, prevalence,and DALYs for Gout in both sexes in 1990 and 2021 were compared at global, regional (21 GBD geographical regions), and national (204 countries and territories, including subnational estimates for 21 countries and territories) levels, as well as five levels (Low SDI, Low-middle SDI, Middle SDI, High-middle SDI, and High SDI).</w:t>
      </w:r>
    </w:p>
    <w:p w14:paraId="1D82F3B3">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rPr>
      </w:pPr>
    </w:p>
    <w:p w14:paraId="7B9FD054">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cs="Times New Roman"/>
          <w:b/>
          <w:bCs/>
          <w:sz w:val="24"/>
        </w:rPr>
      </w:pPr>
      <w:r>
        <w:rPr>
          <w:rFonts w:hint="eastAsia" w:ascii="Times New Roman" w:hAnsi="Times New Roman" w:cs="Times New Roman"/>
          <w:b/>
          <w:bCs/>
          <w:sz w:val="24"/>
          <w:lang w:val="en-US" w:eastAsia="zh-CN"/>
        </w:rPr>
        <w:t>2.</w:t>
      </w:r>
      <w:r>
        <w:rPr>
          <w:rFonts w:hint="eastAsia" w:ascii="Times New Roman" w:hAnsi="Times New Roman" w:cs="Times New Roman"/>
          <w:b/>
          <w:bCs/>
          <w:sz w:val="24"/>
        </w:rPr>
        <w:t>3.Trend analysis</w:t>
      </w:r>
    </w:p>
    <w:p w14:paraId="3D08225F">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4"/>
        </w:rPr>
      </w:pPr>
      <w:r>
        <w:rPr>
          <w:rFonts w:hint="eastAsia" w:ascii="Times New Roman" w:hAnsi="Times New Roman" w:cs="Times New Roman"/>
          <w:sz w:val="24"/>
        </w:rPr>
        <w:t xml:space="preserve">Exploring the temporal trends of diseases serves as an indispensable part of epidemiology and further facilitates the development of more precise preventive strategies. We aimed to explore the trends of Gout from the overall, local, and multi-dimension scopes. </w:t>
      </w:r>
    </w:p>
    <w:p w14:paraId="7C1B7A17">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ascii="Times New Roman" w:hAnsi="Times New Roman" w:cs="Times New Roman"/>
          <w:sz w:val="24"/>
        </w:rPr>
      </w:pPr>
      <w:r>
        <w:rPr>
          <w:rFonts w:hint="eastAsia" w:ascii="Times New Roman" w:hAnsi="Times New Roman" w:cs="Times New Roman"/>
          <w:sz w:val="24"/>
        </w:rPr>
        <w:t xml:space="preserve">Firstly, we used estimated annual percentage change (EAPC) to quantify the overall trend of Gout burden. It is necessary to implement standardization when comparing several groups with distinct age structures or one certain group with age profile changing over time. Therefore, the trend of ASR, which is measured by EAPC, appears to be a more robust index for monitoring the changes of disease pattern. </w:t>
      </w:r>
    </w:p>
    <w:p w14:paraId="4527AD8E">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ascii="Times New Roman" w:hAnsi="Times New Roman" w:cs="Times New Roman"/>
          <w:sz w:val="24"/>
        </w:rPr>
      </w:pPr>
      <w:r>
        <w:rPr>
          <w:rFonts w:hint="default" w:ascii="Times New Roman" w:hAnsi="Times New Roman" w:cs="Times New Roman"/>
          <w:sz w:val="24"/>
        </w:rPr>
        <w:t xml:space="preserve">We used the estimated annual percentage change (EAPC) to quantify trends in Gout burden from 1990 to 2021. A linear regression model was established to describe the relationship between time and the natural logarithm (ln) of the age standardized rate: y = α + βx + e, where y represents the ln (age-standardised rate), x is the calendar year, and e is the error term. The EAPC was calculated using EAPC = 100 </w:t>
      </w:r>
      <w:r>
        <w:rPr>
          <w:rFonts w:hint="eastAsia" w:ascii="宋体" w:hAnsi="宋体" w:eastAsia="宋体" w:cs="宋体"/>
          <w:sz w:val="24"/>
        </w:rPr>
        <w:t>×</w:t>
      </w:r>
      <w:r>
        <w:rPr>
          <w:rFonts w:hint="default" w:ascii="Times New Roman" w:hAnsi="Times New Roman" w:cs="Times New Roman"/>
          <w:sz w:val="24"/>
        </w:rPr>
        <w:t xml:space="preserve">[exp(β)—1], with its 95% confidence interval (CI) derived from the regression model. </w:t>
      </w:r>
      <w:r>
        <w:rPr>
          <w:rFonts w:hint="eastAsia" w:ascii="Times New Roman" w:hAnsi="Times New Roman" w:cs="Times New Roman"/>
          <w:sz w:val="24"/>
        </w:rPr>
        <w:t xml:space="preserve">An age standardized rate is deemed statistically increasing if both the EAPC estimate and its 95% CI are greater than 0, and statistically decreasing if both are less than 0. If the EAPC estimate and its 95% CI include 0, the trend in the age-standardised rate is considered stable, indicating no significant change over time </w:t>
      </w:r>
      <w:r>
        <w:rPr>
          <w:rFonts w:hint="eastAsia" w:ascii="Times New Roman" w:hAnsi="Times New Roman" w:cs="Times New Roman"/>
          <w:sz w:val="24"/>
          <w:vertAlign w:val="superscript"/>
        </w:rPr>
        <w:t>[9]</w:t>
      </w:r>
      <w:r>
        <w:rPr>
          <w:rFonts w:hint="eastAsia" w:ascii="Times New Roman" w:hAnsi="Times New Roman" w:cs="Times New Roman"/>
          <w:sz w:val="24"/>
        </w:rPr>
        <w:t>.</w:t>
      </w:r>
    </w:p>
    <w:p w14:paraId="2A22C901">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cs="Times New Roman"/>
          <w:sz w:val="24"/>
        </w:rPr>
      </w:pPr>
      <w:r>
        <w:rPr>
          <w:rFonts w:hint="eastAsia" w:ascii="Times New Roman" w:hAnsi="Times New Roman" w:cs="Times New Roman"/>
          <w:sz w:val="24"/>
        </w:rPr>
        <w:t>Then, we used joinpoint regression analysis to detect the local trend of Gout burden. Joinpoint regression analysis (Joinpoint Trend Analysis Software, Version 5.3.0 November 12, 2024) could divide the overall trend into multiple subsegments</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 xml:space="preserve">according to the inflection points and further evaluate the magnitude of each epidemiological trend by calculating the annual percentage change (APC) and its 95 % CI of each subsegment. Moreover, the average APC (AAPC) between 1990 and 1999, between 2000 and 2009, and between 2010 and 2021 were also estimated by weighting the regression coefficient of each subsegment by the span width of segmented interval </w:t>
      </w:r>
      <w:r>
        <w:rPr>
          <w:rFonts w:hint="eastAsia" w:ascii="Times New Roman" w:hAnsi="Times New Roman" w:cs="Times New Roman"/>
          <w:sz w:val="24"/>
          <w:vertAlign w:val="superscript"/>
        </w:rPr>
        <w:t>[10]</w:t>
      </w:r>
      <w:r>
        <w:rPr>
          <w:rFonts w:hint="eastAsia" w:ascii="Times New Roman" w:hAnsi="Times New Roman" w:cs="Times New Roman"/>
          <w:sz w:val="24"/>
        </w:rPr>
        <w:t xml:space="preserve">. Monte Carlo permutation method </w:t>
      </w:r>
      <w:r>
        <w:rPr>
          <w:rFonts w:hint="eastAsia" w:ascii="Times New Roman" w:hAnsi="Times New Roman" w:cs="Times New Roman"/>
          <w:sz w:val="24"/>
          <w:vertAlign w:val="superscript"/>
        </w:rPr>
        <w:t>[11]</w:t>
      </w:r>
      <w:r>
        <w:rPr>
          <w:rFonts w:hint="eastAsia" w:ascii="Times New Roman" w:hAnsi="Times New Roman" w:cs="Times New Roman"/>
          <w:sz w:val="24"/>
        </w:rPr>
        <w:t xml:space="preserve"> with 4499 randomly permuted data set was utilized to calculate the AAPC and its 95 % CI, and the overall asymptotic significance level was maintained through a Bonferroni correction. If the APC/AAPC estimation and its lower boundary of 95 % CI were both &gt; 0, an increasing trend was deemed during one certain period. On the contrary, if the APC/AAPC estimation and its upper boundary of 95 % CI were both &lt; 0, a decreasing trend was deemed during one certain period. Otherwise, the trend was deemed to be stable. In GBD 2021, high body-mass index (BMI),</w:t>
      </w:r>
      <w:r>
        <w:rPr>
          <w:rFonts w:hint="eastAsia"/>
        </w:rPr>
        <w:t xml:space="preserve"> </w:t>
      </w:r>
      <w:r>
        <w:rPr>
          <w:rFonts w:hint="eastAsia" w:ascii="Times New Roman" w:hAnsi="Times New Roman" w:cs="Times New Roman"/>
          <w:sz w:val="24"/>
        </w:rPr>
        <w:t xml:space="preserve">and impaired kidney function were identified as risk factors associated with the onset of gout, which remained leading contributors to risk-attributable DALYs, were stratified by </w:t>
      </w:r>
      <w:r>
        <w:rPr>
          <w:rFonts w:hint="default" w:ascii="Times New Roman" w:hAnsi="Times New Roman" w:cs="Times New Roman"/>
          <w:sz w:val="24"/>
        </w:rPr>
        <w:t>Socio-demographic Index (SDI).</w:t>
      </w:r>
      <w:r>
        <w:rPr>
          <w:rFonts w:hint="default" w:ascii="Times New Roman" w:hAnsi="Times New Roman" w:eastAsia="SourceHanSerifCN-Regular" w:cs="Times New Roman"/>
          <w:color w:val="231F1F"/>
          <w:kern w:val="0"/>
          <w:sz w:val="16"/>
          <w:szCs w:val="16"/>
        </w:rPr>
        <w:t xml:space="preserve"> </w:t>
      </w:r>
      <w:r>
        <w:rPr>
          <w:rFonts w:hint="default" w:ascii="Times New Roman" w:hAnsi="Times New Roman" w:cs="Times New Roman"/>
          <w:sz w:val="24"/>
        </w:rPr>
        <w:t>High BMI was defined as the BMI of individuals aged ≥ 20 years ≥ 25 kg/m ².</w:t>
      </w:r>
    </w:p>
    <w:p w14:paraId="72F56389">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rPr>
      </w:pPr>
    </w:p>
    <w:p w14:paraId="5EBCB5FA">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eastAsiaTheme="minorEastAsia"/>
          <w:sz w:val="24"/>
          <w:lang w:val="en-US" w:eastAsia="zh-CN"/>
        </w:rPr>
      </w:pPr>
      <w:r>
        <w:rPr>
          <w:rFonts w:hint="eastAsia" w:ascii="Times New Roman" w:hAnsi="Times New Roman" w:cs="Times New Roman"/>
          <w:b/>
          <w:bCs/>
          <w:sz w:val="24"/>
          <w:lang w:val="en-US" w:eastAsia="zh-CN"/>
        </w:rPr>
        <w:t xml:space="preserve">3. </w:t>
      </w:r>
      <w:r>
        <w:rPr>
          <w:rFonts w:hint="eastAsia" w:ascii="Times New Roman" w:hAnsi="Times New Roman" w:cs="Times New Roman"/>
          <w:b/>
          <w:bCs/>
          <w:sz w:val="24"/>
        </w:rPr>
        <w:t>R</w:t>
      </w:r>
      <w:r>
        <w:rPr>
          <w:rFonts w:hint="eastAsia" w:ascii="Times New Roman" w:hAnsi="Times New Roman" w:cs="Times New Roman"/>
          <w:b/>
          <w:bCs/>
          <w:sz w:val="24"/>
          <w:lang w:val="en-US" w:eastAsia="zh-CN"/>
        </w:rPr>
        <w:t>esults</w:t>
      </w:r>
      <w:r>
        <w:rPr>
          <w:rFonts w:hint="eastAsia" w:ascii="Times New Roman" w:hAnsi="Times New Roman" w:cs="Times New Roman"/>
          <w:b/>
          <w:bCs/>
          <w:sz w:val="24"/>
        </w:rPr>
        <w:cr/>
      </w:r>
      <w:r>
        <w:rPr>
          <w:rFonts w:hint="eastAsia" w:ascii="Times New Roman" w:hAnsi="Times New Roman" w:cs="Times New Roman"/>
          <w:b/>
          <w:bCs/>
          <w:sz w:val="24"/>
          <w:lang w:val="en-US" w:eastAsia="zh-CN"/>
        </w:rPr>
        <w:t xml:space="preserve">3.1. </w:t>
      </w:r>
      <w:r>
        <w:rPr>
          <w:rFonts w:hint="eastAsia" w:ascii="Times New Roman" w:hAnsi="Times New Roman" w:cs="Times New Roman"/>
          <w:b/>
          <w:bCs/>
          <w:sz w:val="24"/>
        </w:rPr>
        <w:t>Descriptive analysis of Gout burden in aged 20-54 years at global, regional, and national levels using broad estimation method</w:t>
      </w:r>
    </w:p>
    <w:p w14:paraId="3F4FC7BE">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rPr>
      </w:pPr>
      <w:r>
        <w:rPr>
          <w:rFonts w:hint="eastAsia" w:ascii="Times New Roman" w:hAnsi="Times New Roman" w:cs="Times New Roman"/>
          <w:sz w:val="24"/>
        </w:rPr>
        <w:t>Globally, the Rate of incidence, prevalence and DALYs of Gout for both sexes by aged 20-54 years elevated by an average of 1.11 (1.06, 1.16), 0.92 (0.88, 0.95) and 1.1 (1.05, 1.15) per year from 1990 to 2021, respectively. From a regional dimension, when it comes to the increases in the rates of incidence, prevalence and DALYs, the United States of America stands out as the region where the increases are the most significant. Close behind are China and the East Asian region. In addition, from the scope of SDI quintiles, the largest increases in Rate of prevalence, and DALYs were detected in High SDI quintile, the largest increases in Rate of incidence was detected in High-middle SDI quintile. (</w:t>
      </w:r>
      <w:r>
        <w:rPr>
          <w:rFonts w:hint="eastAsia" w:ascii="Times New Roman" w:hAnsi="Times New Roman" w:cs="Times New Roman"/>
          <w:b/>
          <w:bCs/>
          <w:sz w:val="24"/>
        </w:rPr>
        <w:t>Table 1</w:t>
      </w:r>
      <w:r>
        <w:rPr>
          <w:rFonts w:hint="eastAsia" w:ascii="Times New Roman" w:hAnsi="Times New Roman" w:cs="Times New Roman"/>
          <w:sz w:val="24"/>
          <w:lang w:val="en-US" w:eastAsia="zh-CN"/>
        </w:rPr>
        <w:t>,</w:t>
      </w:r>
      <w:r>
        <w:rPr>
          <w:rFonts w:hint="eastAsia" w:ascii="Times New Roman" w:hAnsi="Times New Roman" w:cs="Times New Roman"/>
          <w:sz w:val="24"/>
        </w:rPr>
        <w:t xml:space="preserve"> </w:t>
      </w:r>
      <w:r>
        <w:rPr>
          <w:rFonts w:hint="eastAsia" w:ascii="Times New Roman" w:hAnsi="Times New Roman" w:cs="Times New Roman"/>
          <w:b/>
          <w:bCs/>
          <w:sz w:val="24"/>
        </w:rPr>
        <w:t>Table 2</w:t>
      </w:r>
      <w:r>
        <w:rPr>
          <w:rFonts w:hint="eastAsia" w:ascii="Times New Roman" w:hAnsi="Times New Roman" w:cs="Times New Roman"/>
          <w:sz w:val="24"/>
          <w:lang w:val="en-US" w:eastAsia="zh-CN"/>
        </w:rPr>
        <w:t>,</w:t>
      </w:r>
      <w:r>
        <w:rPr>
          <w:rFonts w:hint="eastAsia" w:ascii="Times New Roman" w:hAnsi="Times New Roman" w:cs="Times New Roman"/>
          <w:sz w:val="24"/>
        </w:rPr>
        <w:t xml:space="preserve"> </w:t>
      </w:r>
      <w:r>
        <w:rPr>
          <w:rFonts w:hint="eastAsia" w:ascii="Times New Roman" w:hAnsi="Times New Roman" w:cs="Times New Roman"/>
          <w:b/>
          <w:bCs/>
          <w:sz w:val="24"/>
        </w:rPr>
        <w:t>Table 3</w:t>
      </w:r>
      <w:r>
        <w:rPr>
          <w:rFonts w:hint="eastAsia" w:ascii="Times New Roman" w:hAnsi="Times New Roman" w:cs="Times New Roman"/>
          <w:sz w:val="24"/>
        </w:rPr>
        <w:t xml:space="preserve">). Nationally, the overall trends of disease burden varied considerably across all locations with the highest EAPC of incidence, prevalence and DALYs found in United States of America and the lowest EAPC of incidence, prevalence, and DALYs across countries and territories found in Niger. </w:t>
      </w:r>
    </w:p>
    <w:p w14:paraId="0B33AADD">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sz w:val="24"/>
        </w:rPr>
      </w:pPr>
      <w:r>
        <w:rPr>
          <w:rFonts w:hint="eastAsia" w:ascii="Times New Roman" w:hAnsi="Times New Roman" w:cs="Times New Roman"/>
          <w:sz w:val="24"/>
        </w:rPr>
        <w:t>Globally, the Number and Rate of incidence, prevalence and DALYs demonstrated dramatically increasing trends of these three metrics showed increasing trends from 1990 to 2021, with much higher values in males than in females (</w:t>
      </w:r>
      <w:r>
        <w:rPr>
          <w:rFonts w:hint="eastAsia" w:ascii="Times New Roman" w:hAnsi="Times New Roman" w:cs="Times New Roman"/>
          <w:b/>
          <w:bCs/>
          <w:sz w:val="24"/>
        </w:rPr>
        <w:t>Figure 1</w:t>
      </w:r>
      <w:r>
        <w:rPr>
          <w:rFonts w:hint="eastAsia" w:ascii="Times New Roman" w:hAnsi="Times New Roman" w:cs="Times New Roman"/>
          <w:sz w:val="24"/>
        </w:rPr>
        <w:t>). Nationally, the incidence, prevalence and DALYs of Gout varied remarkably across the world, with the highest number of incidence, prevalence, and DALYs cases found in China, and the highest Rate of incidence, prevalence, and DALYs found in the United States of America (</w:t>
      </w:r>
      <w:r>
        <w:rPr>
          <w:rFonts w:hint="eastAsia" w:ascii="Times New Roman" w:hAnsi="Times New Roman" w:cs="Times New Roman"/>
          <w:b/>
          <w:bCs/>
          <w:sz w:val="24"/>
        </w:rPr>
        <w:t>Figure 2</w:t>
      </w:r>
      <w:r>
        <w:rPr>
          <w:rFonts w:hint="eastAsia" w:ascii="Times New Roman" w:hAnsi="Times New Roman" w:cs="Times New Roman"/>
          <w:sz w:val="24"/>
        </w:rPr>
        <w:t>).</w:t>
      </w:r>
    </w:p>
    <w:p w14:paraId="446B27E3">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sz w:val="24"/>
        </w:rPr>
      </w:pPr>
    </w:p>
    <w:p w14:paraId="7559CBB2">
      <w:pPr>
        <w:spacing w:after="0" w:line="240" w:lineRule="auto"/>
        <w:ind w:firstLine="480" w:firstLineChars="200"/>
        <w:jc w:val="center"/>
        <w:rPr>
          <w:rFonts w:ascii="Times New Roman" w:hAnsi="Times New Roman" w:cs="Times New Roman"/>
          <w:sz w:val="24"/>
        </w:rPr>
      </w:pPr>
      <w:r>
        <w:rPr>
          <w:rFonts w:hint="eastAsia" w:ascii="Times New Roman" w:hAnsi="Times New Roman" w:cs="Times New Roman"/>
          <w:b/>
          <w:bCs/>
          <w:sz w:val="24"/>
        </w:rPr>
        <w:t>Table 1</w:t>
      </w:r>
      <w:r>
        <w:rPr>
          <w:rFonts w:hint="eastAsia" w:ascii="Times New Roman" w:hAnsi="Times New Roman" w:cs="Times New Roman"/>
          <w:sz w:val="24"/>
          <w:lang w:val="en-US" w:eastAsia="zh-CN"/>
        </w:rPr>
        <w:t>.</w:t>
      </w:r>
      <w:r>
        <w:rPr>
          <w:rFonts w:hint="eastAsia" w:ascii="Times New Roman" w:hAnsi="Times New Roman" w:cs="Times New Roman"/>
          <w:sz w:val="24"/>
        </w:rPr>
        <w:t xml:space="preserve"> The Number and Rate of incidence of Gout in 1990 and 2021 for both sexes by aged 20-54 years, with Rate EAPC from 1990 to 2021</w:t>
      </w:r>
    </w:p>
    <w:tbl>
      <w:tblPr>
        <w:tblStyle w:val="12"/>
        <w:tblW w:w="5000" w:type="pct"/>
        <w:jc w:val="center"/>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103"/>
        <w:gridCol w:w="1506"/>
        <w:gridCol w:w="1506"/>
        <w:gridCol w:w="1262"/>
        <w:gridCol w:w="1208"/>
        <w:gridCol w:w="937"/>
      </w:tblGrid>
      <w:tr w14:paraId="030B919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233" w:type="pct"/>
            <w:tcBorders>
              <w:bottom w:val="single" w:color="7E7E7E" w:themeColor="text1" w:themeTint="80" w:sz="4" w:space="0"/>
              <w:right w:val="nil"/>
              <w:insideH w:val="single" w:sz="4" w:space="0"/>
            </w:tcBorders>
            <w:noWrap/>
            <w:vAlign w:val="center"/>
          </w:tcPr>
          <w:p w14:paraId="10E85CA9">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location_name</w:t>
            </w:r>
          </w:p>
        </w:tc>
        <w:tc>
          <w:tcPr>
            <w:tcW w:w="883" w:type="pct"/>
            <w:tcBorders>
              <w:bottom w:val="single" w:color="7E7E7E" w:themeColor="text1" w:themeTint="80" w:sz="4" w:space="0"/>
              <w:insideH w:val="single" w:sz="4" w:space="0"/>
            </w:tcBorders>
            <w:noWrap/>
            <w:vAlign w:val="center"/>
          </w:tcPr>
          <w:p w14:paraId="3D376F93">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Number_2021</w:t>
            </w:r>
          </w:p>
        </w:tc>
        <w:tc>
          <w:tcPr>
            <w:tcW w:w="883" w:type="pct"/>
            <w:tcBorders>
              <w:bottom w:val="single" w:color="7E7E7E" w:themeColor="text1" w:themeTint="80" w:sz="4" w:space="0"/>
              <w:insideH w:val="single" w:sz="4" w:space="0"/>
            </w:tcBorders>
            <w:noWrap/>
            <w:vAlign w:val="center"/>
          </w:tcPr>
          <w:p w14:paraId="12C02C61">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Number_1990</w:t>
            </w:r>
          </w:p>
        </w:tc>
        <w:tc>
          <w:tcPr>
            <w:tcW w:w="740" w:type="pct"/>
            <w:tcBorders>
              <w:bottom w:val="single" w:color="7E7E7E" w:themeColor="text1" w:themeTint="80" w:sz="4" w:space="0"/>
              <w:insideH w:val="single" w:sz="4" w:space="0"/>
            </w:tcBorders>
            <w:noWrap/>
            <w:vAlign w:val="center"/>
          </w:tcPr>
          <w:p w14:paraId="71732DC6">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Rate_2021</w:t>
            </w:r>
          </w:p>
        </w:tc>
        <w:tc>
          <w:tcPr>
            <w:tcW w:w="708" w:type="pct"/>
            <w:tcBorders>
              <w:bottom w:val="single" w:color="7E7E7E" w:themeColor="text1" w:themeTint="80" w:sz="4" w:space="0"/>
              <w:insideH w:val="single" w:sz="4" w:space="0"/>
            </w:tcBorders>
            <w:noWrap/>
            <w:vAlign w:val="center"/>
          </w:tcPr>
          <w:p w14:paraId="6AAFE908">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Rate_1990</w:t>
            </w:r>
          </w:p>
        </w:tc>
        <w:tc>
          <w:tcPr>
            <w:tcW w:w="549" w:type="pct"/>
            <w:tcBorders>
              <w:bottom w:val="single" w:color="7E7E7E" w:themeColor="text1" w:themeTint="80" w:sz="4" w:space="0"/>
              <w:insideH w:val="single" w:sz="4" w:space="0"/>
            </w:tcBorders>
            <w:noWrap/>
            <w:vAlign w:val="center"/>
          </w:tcPr>
          <w:p w14:paraId="798BCB84">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EAPC_Rate</w:t>
            </w:r>
          </w:p>
        </w:tc>
      </w:tr>
      <w:tr w14:paraId="55C71DF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6DDC6960">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Global</w:t>
            </w:r>
          </w:p>
        </w:tc>
        <w:tc>
          <w:tcPr>
            <w:tcW w:w="883" w:type="pct"/>
            <w:shd w:val="clear" w:color="auto" w:fill="F1F1F1" w:themeFill="background1" w:themeFillShade="F2"/>
            <w:noWrap/>
            <w:vAlign w:val="center"/>
          </w:tcPr>
          <w:p w14:paraId="3BC371D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3877062 (2758101, 5197993)</w:t>
            </w:r>
          </w:p>
        </w:tc>
        <w:tc>
          <w:tcPr>
            <w:tcW w:w="883" w:type="pct"/>
            <w:shd w:val="clear" w:color="auto" w:fill="F1F1F1" w:themeFill="background1" w:themeFillShade="F2"/>
            <w:noWrap/>
            <w:vAlign w:val="center"/>
          </w:tcPr>
          <w:p w14:paraId="53F2966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1930628 (1390664, 2574605)</w:t>
            </w:r>
          </w:p>
        </w:tc>
        <w:tc>
          <w:tcPr>
            <w:tcW w:w="740" w:type="pct"/>
            <w:shd w:val="clear" w:color="auto" w:fill="F1F1F1" w:themeFill="background1" w:themeFillShade="F2"/>
            <w:noWrap/>
            <w:vAlign w:val="center"/>
          </w:tcPr>
          <w:p w14:paraId="1C81A73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102.85 (73.17, 137.9)</w:t>
            </w:r>
          </w:p>
        </w:tc>
        <w:tc>
          <w:tcPr>
            <w:tcW w:w="708" w:type="pct"/>
            <w:shd w:val="clear" w:color="auto" w:fill="F1F1F1" w:themeFill="background1" w:themeFillShade="F2"/>
            <w:noWrap/>
            <w:vAlign w:val="center"/>
          </w:tcPr>
          <w:p w14:paraId="34F8DE1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80.32 (57.86, 107.11)</w:t>
            </w:r>
          </w:p>
        </w:tc>
        <w:tc>
          <w:tcPr>
            <w:tcW w:w="549" w:type="pct"/>
            <w:shd w:val="clear" w:color="auto" w:fill="F1F1F1" w:themeFill="background1" w:themeFillShade="F2"/>
            <w:noWrap/>
            <w:vAlign w:val="center"/>
          </w:tcPr>
          <w:p w14:paraId="4A6D14E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0.92 (0.88, 0.95)</w:t>
            </w:r>
          </w:p>
        </w:tc>
      </w:tr>
      <w:tr w14:paraId="7A4EE24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52D52382">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China</w:t>
            </w:r>
          </w:p>
        </w:tc>
        <w:tc>
          <w:tcPr>
            <w:tcW w:w="883" w:type="pct"/>
            <w:noWrap/>
            <w:vAlign w:val="center"/>
          </w:tcPr>
          <w:p w14:paraId="55C0147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1218448 (855836, 1641884)</w:t>
            </w:r>
          </w:p>
        </w:tc>
        <w:tc>
          <w:tcPr>
            <w:tcW w:w="883" w:type="pct"/>
            <w:noWrap/>
            <w:vAlign w:val="center"/>
          </w:tcPr>
          <w:p w14:paraId="44DDAB5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636826 (460132, 845644)</w:t>
            </w:r>
          </w:p>
        </w:tc>
        <w:tc>
          <w:tcPr>
            <w:tcW w:w="740" w:type="pct"/>
            <w:noWrap/>
            <w:vAlign w:val="center"/>
          </w:tcPr>
          <w:p w14:paraId="0703E6F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171.74 (120.63, 231.42)</w:t>
            </w:r>
          </w:p>
        </w:tc>
        <w:tc>
          <w:tcPr>
            <w:tcW w:w="708" w:type="pct"/>
            <w:noWrap/>
            <w:vAlign w:val="center"/>
          </w:tcPr>
          <w:p w14:paraId="3BC0D6A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108.32 (78.27, 143.84)</w:t>
            </w:r>
          </w:p>
        </w:tc>
        <w:tc>
          <w:tcPr>
            <w:tcW w:w="549" w:type="pct"/>
            <w:noWrap/>
            <w:vAlign w:val="center"/>
          </w:tcPr>
          <w:p w14:paraId="6FF738E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1.72 (1.62, 1.81)</w:t>
            </w:r>
          </w:p>
        </w:tc>
      </w:tr>
      <w:tr w14:paraId="5233B18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3F4B175B">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United States of America</w:t>
            </w:r>
          </w:p>
        </w:tc>
        <w:tc>
          <w:tcPr>
            <w:tcW w:w="883" w:type="pct"/>
            <w:shd w:val="clear" w:color="auto" w:fill="F1F1F1" w:themeFill="background1" w:themeFillShade="F2"/>
            <w:noWrap/>
            <w:vAlign w:val="center"/>
          </w:tcPr>
          <w:p w14:paraId="3ECBD10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335593 (247513, 436702)</w:t>
            </w:r>
          </w:p>
        </w:tc>
        <w:tc>
          <w:tcPr>
            <w:tcW w:w="883" w:type="pct"/>
            <w:shd w:val="clear" w:color="auto" w:fill="F1F1F1" w:themeFill="background1" w:themeFillShade="F2"/>
            <w:noWrap/>
            <w:vAlign w:val="center"/>
          </w:tcPr>
          <w:p w14:paraId="2C1DF02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170545 (123751, 228528)</w:t>
            </w:r>
          </w:p>
        </w:tc>
        <w:tc>
          <w:tcPr>
            <w:tcW w:w="740" w:type="pct"/>
            <w:shd w:val="clear" w:color="auto" w:fill="F1F1F1" w:themeFill="background1" w:themeFillShade="F2"/>
            <w:noWrap/>
            <w:vAlign w:val="center"/>
          </w:tcPr>
          <w:p w14:paraId="1391D08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222.12 (163.83, 289.05)</w:t>
            </w:r>
          </w:p>
        </w:tc>
        <w:tc>
          <w:tcPr>
            <w:tcW w:w="708" w:type="pct"/>
            <w:shd w:val="clear" w:color="auto" w:fill="F1F1F1" w:themeFill="background1" w:themeFillShade="F2"/>
            <w:noWrap/>
            <w:vAlign w:val="center"/>
          </w:tcPr>
          <w:p w14:paraId="5BF9507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133.67 (96.99, 179.12)</w:t>
            </w:r>
          </w:p>
        </w:tc>
        <w:tc>
          <w:tcPr>
            <w:tcW w:w="549" w:type="pct"/>
            <w:shd w:val="clear" w:color="auto" w:fill="F1F1F1" w:themeFill="background1" w:themeFillShade="F2"/>
            <w:noWrap/>
            <w:vAlign w:val="center"/>
          </w:tcPr>
          <w:p w14:paraId="068FB58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1.88 (1.73, 2.03)</w:t>
            </w:r>
          </w:p>
        </w:tc>
      </w:tr>
      <w:tr w14:paraId="057EDB3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242EEF80">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Low-middle SDI</w:t>
            </w:r>
          </w:p>
        </w:tc>
        <w:tc>
          <w:tcPr>
            <w:tcW w:w="883" w:type="pct"/>
            <w:noWrap/>
            <w:vAlign w:val="center"/>
          </w:tcPr>
          <w:p w14:paraId="37A6B85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632473 (452251, 842685)</w:t>
            </w:r>
          </w:p>
        </w:tc>
        <w:tc>
          <w:tcPr>
            <w:tcW w:w="883" w:type="pct"/>
            <w:noWrap/>
            <w:vAlign w:val="center"/>
          </w:tcPr>
          <w:p w14:paraId="11FB06A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273555 (196296, 365253)</w:t>
            </w:r>
          </w:p>
        </w:tc>
        <w:tc>
          <w:tcPr>
            <w:tcW w:w="740" w:type="pct"/>
            <w:noWrap/>
            <w:vAlign w:val="center"/>
          </w:tcPr>
          <w:p w14:paraId="663BD43E">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69.07 (49.39, 92.03)</w:t>
            </w:r>
          </w:p>
        </w:tc>
        <w:tc>
          <w:tcPr>
            <w:tcW w:w="708" w:type="pct"/>
            <w:noWrap/>
            <w:vAlign w:val="center"/>
          </w:tcPr>
          <w:p w14:paraId="204A2D9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58.25 (41.8, 77.78)</w:t>
            </w:r>
          </w:p>
        </w:tc>
        <w:tc>
          <w:tcPr>
            <w:tcW w:w="549" w:type="pct"/>
            <w:noWrap/>
            <w:vAlign w:val="center"/>
          </w:tcPr>
          <w:p w14:paraId="58C4806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0.59 (0.55, 0.62)</w:t>
            </w:r>
          </w:p>
        </w:tc>
      </w:tr>
      <w:tr w14:paraId="05C502B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6EAD9B9C">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High-middle SDI</w:t>
            </w:r>
          </w:p>
        </w:tc>
        <w:tc>
          <w:tcPr>
            <w:tcW w:w="883" w:type="pct"/>
            <w:shd w:val="clear" w:color="auto" w:fill="F1F1F1" w:themeFill="background1" w:themeFillShade="F2"/>
            <w:noWrap/>
            <w:vAlign w:val="center"/>
          </w:tcPr>
          <w:p w14:paraId="1537917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868593 (605411, 1170160)</w:t>
            </w:r>
          </w:p>
        </w:tc>
        <w:tc>
          <w:tcPr>
            <w:tcW w:w="883" w:type="pct"/>
            <w:shd w:val="clear" w:color="auto" w:fill="F1F1F1" w:themeFill="background1" w:themeFillShade="F2"/>
            <w:noWrap/>
            <w:vAlign w:val="center"/>
          </w:tcPr>
          <w:p w14:paraId="0FD3EAA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465026 (336823, 620201)</w:t>
            </w:r>
          </w:p>
        </w:tc>
        <w:tc>
          <w:tcPr>
            <w:tcW w:w="740" w:type="pct"/>
            <w:shd w:val="clear" w:color="auto" w:fill="F1F1F1" w:themeFill="background1" w:themeFillShade="F2"/>
            <w:noWrap/>
            <w:vAlign w:val="center"/>
          </w:tcPr>
          <w:p w14:paraId="4FDCF40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132.81 (92.57, 178.93)</w:t>
            </w:r>
          </w:p>
        </w:tc>
        <w:tc>
          <w:tcPr>
            <w:tcW w:w="708" w:type="pct"/>
            <w:shd w:val="clear" w:color="auto" w:fill="F1F1F1" w:themeFill="background1" w:themeFillShade="F2"/>
            <w:noWrap/>
            <w:vAlign w:val="center"/>
          </w:tcPr>
          <w:p w14:paraId="6A89E28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89.28 (64.67, 119.08)</w:t>
            </w:r>
          </w:p>
        </w:tc>
        <w:tc>
          <w:tcPr>
            <w:tcW w:w="549" w:type="pct"/>
            <w:shd w:val="clear" w:color="auto" w:fill="F1F1F1" w:themeFill="background1" w:themeFillShade="F2"/>
            <w:noWrap/>
            <w:vAlign w:val="center"/>
          </w:tcPr>
          <w:p w14:paraId="46C4C4F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1.42 (1.37, 1.47)</w:t>
            </w:r>
          </w:p>
        </w:tc>
      </w:tr>
      <w:tr w14:paraId="4707C4F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7206B951">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Middle SDI</w:t>
            </w:r>
          </w:p>
        </w:tc>
        <w:tc>
          <w:tcPr>
            <w:tcW w:w="883" w:type="pct"/>
            <w:noWrap/>
            <w:vAlign w:val="center"/>
          </w:tcPr>
          <w:p w14:paraId="07003C2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1331279 (944162, 1787476)</w:t>
            </w:r>
          </w:p>
        </w:tc>
        <w:tc>
          <w:tcPr>
            <w:tcW w:w="883" w:type="pct"/>
            <w:noWrap/>
            <w:vAlign w:val="center"/>
          </w:tcPr>
          <w:p w14:paraId="2F109B6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625721 (450156, 827739)</w:t>
            </w:r>
          </w:p>
        </w:tc>
        <w:tc>
          <w:tcPr>
            <w:tcW w:w="740" w:type="pct"/>
            <w:noWrap/>
            <w:vAlign w:val="center"/>
          </w:tcPr>
          <w:p w14:paraId="2B25B1B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108.28 (76.79, 145.38)</w:t>
            </w:r>
          </w:p>
        </w:tc>
        <w:tc>
          <w:tcPr>
            <w:tcW w:w="708" w:type="pct"/>
            <w:noWrap/>
            <w:vAlign w:val="center"/>
          </w:tcPr>
          <w:p w14:paraId="601F1B9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79.73 (57.36, 105.47)</w:t>
            </w:r>
          </w:p>
        </w:tc>
        <w:tc>
          <w:tcPr>
            <w:tcW w:w="549" w:type="pct"/>
            <w:noWrap/>
            <w:vAlign w:val="center"/>
          </w:tcPr>
          <w:p w14:paraId="2472112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1.17 (1.11, 1.22)</w:t>
            </w:r>
          </w:p>
        </w:tc>
      </w:tr>
      <w:tr w14:paraId="1B01940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101C882F">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Low SDI</w:t>
            </w:r>
          </w:p>
        </w:tc>
        <w:tc>
          <w:tcPr>
            <w:tcW w:w="883" w:type="pct"/>
            <w:shd w:val="clear" w:color="auto" w:fill="F1F1F1" w:themeFill="background1" w:themeFillShade="F2"/>
            <w:noWrap/>
            <w:vAlign w:val="center"/>
          </w:tcPr>
          <w:p w14:paraId="31A132F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261837 (187749, 351022)</w:t>
            </w:r>
          </w:p>
        </w:tc>
        <w:tc>
          <w:tcPr>
            <w:tcW w:w="883" w:type="pct"/>
            <w:shd w:val="clear" w:color="auto" w:fill="F1F1F1" w:themeFill="background1" w:themeFillShade="F2"/>
            <w:noWrap/>
            <w:vAlign w:val="center"/>
          </w:tcPr>
          <w:p w14:paraId="102DEB6E">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100564 (72157, 135068)</w:t>
            </w:r>
          </w:p>
        </w:tc>
        <w:tc>
          <w:tcPr>
            <w:tcW w:w="740" w:type="pct"/>
            <w:shd w:val="clear" w:color="auto" w:fill="F1F1F1" w:themeFill="background1" w:themeFillShade="F2"/>
            <w:noWrap/>
            <w:vAlign w:val="center"/>
          </w:tcPr>
          <w:p w14:paraId="4CAD946E">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58.04 (41.62, 77.81)</w:t>
            </w:r>
          </w:p>
        </w:tc>
        <w:tc>
          <w:tcPr>
            <w:tcW w:w="708" w:type="pct"/>
            <w:shd w:val="clear" w:color="auto" w:fill="F1F1F1" w:themeFill="background1" w:themeFillShade="F2"/>
            <w:noWrap/>
            <w:vAlign w:val="center"/>
          </w:tcPr>
          <w:p w14:paraId="3A24260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54.53 (39.13, 73.24)</w:t>
            </w:r>
          </w:p>
        </w:tc>
        <w:tc>
          <w:tcPr>
            <w:tcW w:w="549" w:type="pct"/>
            <w:shd w:val="clear" w:color="auto" w:fill="F1F1F1" w:themeFill="background1" w:themeFillShade="F2"/>
            <w:noWrap/>
            <w:vAlign w:val="center"/>
          </w:tcPr>
          <w:p w14:paraId="17D32A1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0.24 (0.19, 0.29)</w:t>
            </w:r>
          </w:p>
        </w:tc>
      </w:tr>
      <w:tr w14:paraId="7092D74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2697F5A8">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High SDI</w:t>
            </w:r>
          </w:p>
        </w:tc>
        <w:tc>
          <w:tcPr>
            <w:tcW w:w="883" w:type="pct"/>
            <w:noWrap/>
            <w:vAlign w:val="center"/>
          </w:tcPr>
          <w:p w14:paraId="2EB7FB3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780504 (565838, 1036657)</w:t>
            </w:r>
          </w:p>
        </w:tc>
        <w:tc>
          <w:tcPr>
            <w:tcW w:w="883" w:type="pct"/>
            <w:noWrap/>
            <w:vAlign w:val="center"/>
          </w:tcPr>
          <w:p w14:paraId="632CFD8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464434 (334472, 622171)</w:t>
            </w:r>
          </w:p>
        </w:tc>
        <w:tc>
          <w:tcPr>
            <w:tcW w:w="740" w:type="pct"/>
            <w:noWrap/>
            <w:vAlign w:val="center"/>
          </w:tcPr>
          <w:p w14:paraId="5007767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151.17 (109.59, 200.78)</w:t>
            </w:r>
          </w:p>
        </w:tc>
        <w:tc>
          <w:tcPr>
            <w:tcW w:w="708" w:type="pct"/>
            <w:noWrap/>
            <w:vAlign w:val="center"/>
          </w:tcPr>
          <w:p w14:paraId="4957A8B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105.14 (75.72, 140.84)</w:t>
            </w:r>
          </w:p>
        </w:tc>
        <w:tc>
          <w:tcPr>
            <w:tcW w:w="549" w:type="pct"/>
            <w:noWrap/>
            <w:vAlign w:val="center"/>
          </w:tcPr>
          <w:p w14:paraId="42EF476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1.23 (1.16, 1.3)</w:t>
            </w:r>
          </w:p>
        </w:tc>
      </w:tr>
      <w:tr w14:paraId="00695D6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4C5922EB">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Andean Latin America</w:t>
            </w:r>
          </w:p>
        </w:tc>
        <w:tc>
          <w:tcPr>
            <w:tcW w:w="883" w:type="pct"/>
            <w:shd w:val="clear" w:color="auto" w:fill="F1F1F1" w:themeFill="background1" w:themeFillShade="F2"/>
            <w:noWrap/>
            <w:vAlign w:val="center"/>
          </w:tcPr>
          <w:p w14:paraId="129D7BB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17989 (12797, 24089)</w:t>
            </w:r>
          </w:p>
        </w:tc>
        <w:tc>
          <w:tcPr>
            <w:tcW w:w="883" w:type="pct"/>
            <w:shd w:val="clear" w:color="auto" w:fill="F1F1F1" w:themeFill="background1" w:themeFillShade="F2"/>
            <w:noWrap/>
            <w:vAlign w:val="center"/>
          </w:tcPr>
          <w:p w14:paraId="3E9F2BD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5954 (4292, 7950)</w:t>
            </w:r>
          </w:p>
        </w:tc>
        <w:tc>
          <w:tcPr>
            <w:tcW w:w="740" w:type="pct"/>
            <w:shd w:val="clear" w:color="auto" w:fill="F1F1F1" w:themeFill="background1" w:themeFillShade="F2"/>
            <w:noWrap/>
            <w:vAlign w:val="center"/>
          </w:tcPr>
          <w:p w14:paraId="7B61983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55.26 (39.31, 74)</w:t>
            </w:r>
          </w:p>
        </w:tc>
        <w:tc>
          <w:tcPr>
            <w:tcW w:w="708" w:type="pct"/>
            <w:shd w:val="clear" w:color="auto" w:fill="F1F1F1" w:themeFill="background1" w:themeFillShade="F2"/>
            <w:noWrap/>
            <w:vAlign w:val="center"/>
          </w:tcPr>
          <w:p w14:paraId="6A19704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37.97 (27.37, 50.7)</w:t>
            </w:r>
          </w:p>
        </w:tc>
        <w:tc>
          <w:tcPr>
            <w:tcW w:w="549" w:type="pct"/>
            <w:shd w:val="clear" w:color="auto" w:fill="F1F1F1" w:themeFill="background1" w:themeFillShade="F2"/>
            <w:noWrap/>
            <w:vAlign w:val="center"/>
          </w:tcPr>
          <w:p w14:paraId="6CF4A4F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 (1.26, 1.33)</w:t>
            </w:r>
          </w:p>
        </w:tc>
      </w:tr>
      <w:tr w14:paraId="26F4DF3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653182A6">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Australasia</w:t>
            </w:r>
          </w:p>
        </w:tc>
        <w:tc>
          <w:tcPr>
            <w:tcW w:w="883" w:type="pct"/>
            <w:noWrap/>
            <w:vAlign w:val="center"/>
          </w:tcPr>
          <w:p w14:paraId="376DFDA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25176 (18093, 34327)</w:t>
            </w:r>
          </w:p>
        </w:tc>
        <w:tc>
          <w:tcPr>
            <w:tcW w:w="883" w:type="pct"/>
            <w:noWrap/>
            <w:vAlign w:val="center"/>
          </w:tcPr>
          <w:p w14:paraId="11A91F1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12638 (9257, 16926)</w:t>
            </w:r>
          </w:p>
        </w:tc>
        <w:tc>
          <w:tcPr>
            <w:tcW w:w="740" w:type="pct"/>
            <w:noWrap/>
            <w:vAlign w:val="center"/>
          </w:tcPr>
          <w:p w14:paraId="2019FE3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172.61 (124.05, 235.35)</w:t>
            </w:r>
          </w:p>
        </w:tc>
        <w:tc>
          <w:tcPr>
            <w:tcW w:w="708" w:type="pct"/>
            <w:noWrap/>
            <w:vAlign w:val="center"/>
          </w:tcPr>
          <w:p w14:paraId="203A1D1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125.58 (91.98, 168.19)</w:t>
            </w:r>
          </w:p>
        </w:tc>
        <w:tc>
          <w:tcPr>
            <w:tcW w:w="549" w:type="pct"/>
            <w:noWrap/>
            <w:vAlign w:val="center"/>
          </w:tcPr>
          <w:p w14:paraId="707A82B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0.93 (0.83, 1.03)</w:t>
            </w:r>
          </w:p>
        </w:tc>
      </w:tr>
      <w:tr w14:paraId="2F1E597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1B247197">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Caribbean</w:t>
            </w:r>
          </w:p>
        </w:tc>
        <w:tc>
          <w:tcPr>
            <w:tcW w:w="883" w:type="pct"/>
            <w:shd w:val="clear" w:color="auto" w:fill="F1F1F1" w:themeFill="background1" w:themeFillShade="F2"/>
            <w:noWrap/>
            <w:vAlign w:val="center"/>
          </w:tcPr>
          <w:p w14:paraId="6026663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11364 (8068, 15399)</w:t>
            </w:r>
          </w:p>
        </w:tc>
        <w:tc>
          <w:tcPr>
            <w:tcW w:w="883" w:type="pct"/>
            <w:shd w:val="clear" w:color="auto" w:fill="F1F1F1" w:themeFill="background1" w:themeFillShade="F2"/>
            <w:noWrap/>
            <w:vAlign w:val="center"/>
          </w:tcPr>
          <w:p w14:paraId="3C2BA32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5624 (3992, 7579)</w:t>
            </w:r>
          </w:p>
        </w:tc>
        <w:tc>
          <w:tcPr>
            <w:tcW w:w="740" w:type="pct"/>
            <w:shd w:val="clear" w:color="auto" w:fill="F1F1F1" w:themeFill="background1" w:themeFillShade="F2"/>
            <w:noWrap/>
            <w:vAlign w:val="center"/>
          </w:tcPr>
          <w:p w14:paraId="711E9C8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49.54 (35.17, 67.13)</w:t>
            </w:r>
          </w:p>
        </w:tc>
        <w:tc>
          <w:tcPr>
            <w:tcW w:w="708" w:type="pct"/>
            <w:shd w:val="clear" w:color="auto" w:fill="F1F1F1" w:themeFill="background1" w:themeFillShade="F2"/>
            <w:noWrap/>
            <w:vAlign w:val="center"/>
          </w:tcPr>
          <w:p w14:paraId="3E66E77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35.41 (25.13, 47.72)</w:t>
            </w:r>
          </w:p>
        </w:tc>
        <w:tc>
          <w:tcPr>
            <w:tcW w:w="549" w:type="pct"/>
            <w:shd w:val="clear" w:color="auto" w:fill="F1F1F1" w:themeFill="background1" w:themeFillShade="F2"/>
            <w:noWrap/>
            <w:vAlign w:val="center"/>
          </w:tcPr>
          <w:p w14:paraId="0CC9A72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1.15 (1.1, 1.2)</w:t>
            </w:r>
          </w:p>
        </w:tc>
      </w:tr>
      <w:tr w14:paraId="248CFD6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3A5BCD7A">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Central Asia</w:t>
            </w:r>
          </w:p>
        </w:tc>
        <w:tc>
          <w:tcPr>
            <w:tcW w:w="883" w:type="pct"/>
            <w:noWrap/>
            <w:vAlign w:val="center"/>
          </w:tcPr>
          <w:p w14:paraId="6EE69C9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34924 (24915, 46923)</w:t>
            </w:r>
          </w:p>
        </w:tc>
        <w:tc>
          <w:tcPr>
            <w:tcW w:w="883" w:type="pct"/>
            <w:noWrap/>
            <w:vAlign w:val="center"/>
          </w:tcPr>
          <w:p w14:paraId="2011E31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16894 (12199, 22133)</w:t>
            </w:r>
          </w:p>
        </w:tc>
        <w:tc>
          <w:tcPr>
            <w:tcW w:w="740" w:type="pct"/>
            <w:noWrap/>
            <w:vAlign w:val="center"/>
          </w:tcPr>
          <w:p w14:paraId="6942811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74.89 (53.43, 100.62)</w:t>
            </w:r>
          </w:p>
        </w:tc>
        <w:tc>
          <w:tcPr>
            <w:tcW w:w="708" w:type="pct"/>
            <w:noWrap/>
            <w:vAlign w:val="center"/>
          </w:tcPr>
          <w:p w14:paraId="375E1F2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56.82 (41.03, 74.44)</w:t>
            </w:r>
          </w:p>
        </w:tc>
        <w:tc>
          <w:tcPr>
            <w:tcW w:w="549" w:type="pct"/>
            <w:noWrap/>
            <w:vAlign w:val="center"/>
          </w:tcPr>
          <w:p w14:paraId="30DCE01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1.03 (0.96, 1.09)</w:t>
            </w:r>
          </w:p>
        </w:tc>
      </w:tr>
      <w:tr w14:paraId="7B64A9A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4FE1998D">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Central Europe</w:t>
            </w:r>
          </w:p>
        </w:tc>
        <w:tc>
          <w:tcPr>
            <w:tcW w:w="883" w:type="pct"/>
            <w:shd w:val="clear" w:color="auto" w:fill="F1F1F1" w:themeFill="background1" w:themeFillShade="F2"/>
            <w:noWrap/>
            <w:vAlign w:val="center"/>
          </w:tcPr>
          <w:p w14:paraId="1CCCA73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40118 (27843, 54608)</w:t>
            </w:r>
          </w:p>
        </w:tc>
        <w:tc>
          <w:tcPr>
            <w:tcW w:w="883" w:type="pct"/>
            <w:shd w:val="clear" w:color="auto" w:fill="F1F1F1" w:themeFill="background1" w:themeFillShade="F2"/>
            <w:noWrap/>
            <w:vAlign w:val="center"/>
          </w:tcPr>
          <w:p w14:paraId="7237BF8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32952 (23461, 44548)</w:t>
            </w:r>
          </w:p>
        </w:tc>
        <w:tc>
          <w:tcPr>
            <w:tcW w:w="740" w:type="pct"/>
            <w:shd w:val="clear" w:color="auto" w:fill="F1F1F1" w:themeFill="background1" w:themeFillShade="F2"/>
            <w:noWrap/>
            <w:vAlign w:val="center"/>
          </w:tcPr>
          <w:p w14:paraId="5FBB49A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73.37 (50.92, 99.87)</w:t>
            </w:r>
          </w:p>
        </w:tc>
        <w:tc>
          <w:tcPr>
            <w:tcW w:w="708" w:type="pct"/>
            <w:shd w:val="clear" w:color="auto" w:fill="F1F1F1" w:themeFill="background1" w:themeFillShade="F2"/>
            <w:noWrap/>
            <w:vAlign w:val="center"/>
          </w:tcPr>
          <w:p w14:paraId="2F055AB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55.56 (39.56, 75.12)</w:t>
            </w:r>
          </w:p>
        </w:tc>
        <w:tc>
          <w:tcPr>
            <w:tcW w:w="549" w:type="pct"/>
            <w:shd w:val="clear" w:color="auto" w:fill="F1F1F1" w:themeFill="background1" w:themeFillShade="F2"/>
            <w:noWrap/>
            <w:vAlign w:val="center"/>
          </w:tcPr>
          <w:p w14:paraId="7B76108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0.8 (0.76, 0.84)</w:t>
            </w:r>
          </w:p>
        </w:tc>
      </w:tr>
      <w:tr w14:paraId="5FF413C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5FCEAA04">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Central Latin America</w:t>
            </w:r>
          </w:p>
        </w:tc>
        <w:tc>
          <w:tcPr>
            <w:tcW w:w="883" w:type="pct"/>
            <w:noWrap/>
            <w:vAlign w:val="center"/>
          </w:tcPr>
          <w:p w14:paraId="165D36A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51498 (36444, 69415)</w:t>
            </w:r>
          </w:p>
        </w:tc>
        <w:tc>
          <w:tcPr>
            <w:tcW w:w="883" w:type="pct"/>
            <w:noWrap/>
            <w:vAlign w:val="center"/>
          </w:tcPr>
          <w:p w14:paraId="11060D9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19928 (14478, 26802)</w:t>
            </w:r>
          </w:p>
        </w:tc>
        <w:tc>
          <w:tcPr>
            <w:tcW w:w="740" w:type="pct"/>
            <w:noWrap/>
            <w:vAlign w:val="center"/>
          </w:tcPr>
          <w:p w14:paraId="304435C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41.21 (29.17, 55.55)</w:t>
            </w:r>
          </w:p>
        </w:tc>
        <w:tc>
          <w:tcPr>
            <w:tcW w:w="708" w:type="pct"/>
            <w:noWrap/>
            <w:vAlign w:val="center"/>
          </w:tcPr>
          <w:p w14:paraId="43D081B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29.22 (21.23, 39.29)</w:t>
            </w:r>
          </w:p>
        </w:tc>
        <w:tc>
          <w:tcPr>
            <w:tcW w:w="549" w:type="pct"/>
            <w:noWrap/>
            <w:vAlign w:val="center"/>
          </w:tcPr>
          <w:p w14:paraId="310D229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1.17 (1.15, 1.19)</w:t>
            </w:r>
          </w:p>
        </w:tc>
      </w:tr>
      <w:tr w14:paraId="1EFF10E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31A6AF5A">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Central Sub-Saharan Africa</w:t>
            </w:r>
          </w:p>
        </w:tc>
        <w:tc>
          <w:tcPr>
            <w:tcW w:w="883" w:type="pct"/>
            <w:shd w:val="clear" w:color="auto" w:fill="F1F1F1" w:themeFill="background1" w:themeFillShade="F2"/>
            <w:noWrap/>
            <w:vAlign w:val="center"/>
          </w:tcPr>
          <w:p w14:paraId="62A1DA2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32279 (22908, 43032)</w:t>
            </w:r>
          </w:p>
        </w:tc>
        <w:tc>
          <w:tcPr>
            <w:tcW w:w="883" w:type="pct"/>
            <w:shd w:val="clear" w:color="auto" w:fill="F1F1F1" w:themeFill="background1" w:themeFillShade="F2"/>
            <w:noWrap/>
            <w:vAlign w:val="center"/>
          </w:tcPr>
          <w:p w14:paraId="763BB8F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10796 (7711, 14486)</w:t>
            </w:r>
          </w:p>
        </w:tc>
        <w:tc>
          <w:tcPr>
            <w:tcW w:w="740" w:type="pct"/>
            <w:shd w:val="clear" w:color="auto" w:fill="F1F1F1" w:themeFill="background1" w:themeFillShade="F2"/>
            <w:noWrap/>
            <w:vAlign w:val="center"/>
          </w:tcPr>
          <w:p w14:paraId="6C3342D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59.4 (42.15, 79.18)</w:t>
            </w:r>
          </w:p>
        </w:tc>
        <w:tc>
          <w:tcPr>
            <w:tcW w:w="708" w:type="pct"/>
            <w:shd w:val="clear" w:color="auto" w:fill="F1F1F1" w:themeFill="background1" w:themeFillShade="F2"/>
            <w:noWrap/>
            <w:vAlign w:val="center"/>
          </w:tcPr>
          <w:p w14:paraId="059899B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53.41 (38.15, 71.66)</w:t>
            </w:r>
          </w:p>
        </w:tc>
        <w:tc>
          <w:tcPr>
            <w:tcW w:w="549" w:type="pct"/>
            <w:shd w:val="clear" w:color="auto" w:fill="F1F1F1" w:themeFill="background1" w:themeFillShade="F2"/>
            <w:noWrap/>
            <w:vAlign w:val="center"/>
          </w:tcPr>
          <w:p w14:paraId="4A4D9FF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0.36 (0.34, 0.39)</w:t>
            </w:r>
          </w:p>
        </w:tc>
      </w:tr>
      <w:tr w14:paraId="2829F31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3A37B0DA">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East Asia</w:t>
            </w:r>
          </w:p>
        </w:tc>
        <w:tc>
          <w:tcPr>
            <w:tcW w:w="883" w:type="pct"/>
            <w:noWrap/>
            <w:vAlign w:val="center"/>
          </w:tcPr>
          <w:p w14:paraId="0588739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1265287 (890899, 1704469)</w:t>
            </w:r>
          </w:p>
        </w:tc>
        <w:tc>
          <w:tcPr>
            <w:tcW w:w="883" w:type="pct"/>
            <w:noWrap/>
            <w:vAlign w:val="center"/>
          </w:tcPr>
          <w:p w14:paraId="5EC80E6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663324 (479453, 880426)</w:t>
            </w:r>
          </w:p>
        </w:tc>
        <w:tc>
          <w:tcPr>
            <w:tcW w:w="740" w:type="pct"/>
            <w:noWrap/>
            <w:vAlign w:val="center"/>
          </w:tcPr>
          <w:p w14:paraId="3BDD3A0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171.98 (121.09, 231.68)</w:t>
            </w:r>
          </w:p>
        </w:tc>
        <w:tc>
          <w:tcPr>
            <w:tcW w:w="708" w:type="pct"/>
            <w:noWrap/>
            <w:vAlign w:val="center"/>
          </w:tcPr>
          <w:p w14:paraId="310798E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109.04 (78.81, 144.72)</w:t>
            </w:r>
          </w:p>
        </w:tc>
        <w:tc>
          <w:tcPr>
            <w:tcW w:w="549" w:type="pct"/>
            <w:noWrap/>
            <w:vAlign w:val="center"/>
          </w:tcPr>
          <w:p w14:paraId="0B827E0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1.69 (1.6, 1.78)</w:t>
            </w:r>
          </w:p>
        </w:tc>
      </w:tr>
      <w:tr w14:paraId="34FC0E3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6C608330">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Eastern Sub-Saharan Africa</w:t>
            </w:r>
          </w:p>
        </w:tc>
        <w:tc>
          <w:tcPr>
            <w:tcW w:w="883" w:type="pct"/>
            <w:shd w:val="clear" w:color="auto" w:fill="F1F1F1" w:themeFill="background1" w:themeFillShade="F2"/>
            <w:noWrap/>
            <w:vAlign w:val="center"/>
          </w:tcPr>
          <w:p w14:paraId="4D95B89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98969 (70649, 132713)</w:t>
            </w:r>
          </w:p>
        </w:tc>
        <w:tc>
          <w:tcPr>
            <w:tcW w:w="883" w:type="pct"/>
            <w:shd w:val="clear" w:color="auto" w:fill="F1F1F1" w:themeFill="background1" w:themeFillShade="F2"/>
            <w:noWrap/>
            <w:vAlign w:val="center"/>
          </w:tcPr>
          <w:p w14:paraId="03D7E90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35857 (25770, 48015)</w:t>
            </w:r>
          </w:p>
        </w:tc>
        <w:tc>
          <w:tcPr>
            <w:tcW w:w="740" w:type="pct"/>
            <w:shd w:val="clear" w:color="auto" w:fill="F1F1F1" w:themeFill="background1" w:themeFillShade="F2"/>
            <w:noWrap/>
            <w:vAlign w:val="center"/>
          </w:tcPr>
          <w:p w14:paraId="0D1284E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57.72 (41.2, 77.39)</w:t>
            </w:r>
          </w:p>
        </w:tc>
        <w:tc>
          <w:tcPr>
            <w:tcW w:w="708" w:type="pct"/>
            <w:shd w:val="clear" w:color="auto" w:fill="F1F1F1" w:themeFill="background1" w:themeFillShade="F2"/>
            <w:noWrap/>
            <w:vAlign w:val="center"/>
          </w:tcPr>
          <w:p w14:paraId="1A81A54E">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52.92 (38.03, 70.86)</w:t>
            </w:r>
          </w:p>
        </w:tc>
        <w:tc>
          <w:tcPr>
            <w:tcW w:w="549" w:type="pct"/>
            <w:shd w:val="clear" w:color="auto" w:fill="F1F1F1" w:themeFill="background1" w:themeFillShade="F2"/>
            <w:noWrap/>
            <w:vAlign w:val="center"/>
          </w:tcPr>
          <w:p w14:paraId="7AAF5FD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0.32 (0.25, 0.38)</w:t>
            </w:r>
          </w:p>
        </w:tc>
      </w:tr>
      <w:tr w14:paraId="2A9B4FA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44BA8230">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High-income Asia Pacific</w:t>
            </w:r>
          </w:p>
        </w:tc>
        <w:tc>
          <w:tcPr>
            <w:tcW w:w="883" w:type="pct"/>
            <w:noWrap/>
            <w:vAlign w:val="center"/>
          </w:tcPr>
          <w:p w14:paraId="4221515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111507 (77963, 150792)</w:t>
            </w:r>
          </w:p>
        </w:tc>
        <w:tc>
          <w:tcPr>
            <w:tcW w:w="883" w:type="pct"/>
            <w:noWrap/>
            <w:vAlign w:val="center"/>
          </w:tcPr>
          <w:p w14:paraId="133A51A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93239 (66115, 126814)</w:t>
            </w:r>
          </w:p>
        </w:tc>
        <w:tc>
          <w:tcPr>
            <w:tcW w:w="740" w:type="pct"/>
            <w:noWrap/>
            <w:vAlign w:val="center"/>
          </w:tcPr>
          <w:p w14:paraId="3F5AF50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132.5 (92.64, 179.19)</w:t>
            </w:r>
          </w:p>
        </w:tc>
        <w:tc>
          <w:tcPr>
            <w:tcW w:w="708" w:type="pct"/>
            <w:noWrap/>
            <w:vAlign w:val="center"/>
          </w:tcPr>
          <w:p w14:paraId="1F767EA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105.85 (75.06, 143.97)</w:t>
            </w:r>
          </w:p>
        </w:tc>
        <w:tc>
          <w:tcPr>
            <w:tcW w:w="549" w:type="pct"/>
            <w:noWrap/>
            <w:vAlign w:val="center"/>
          </w:tcPr>
          <w:p w14:paraId="1FE4E11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0.72 (0.67, 0.76)</w:t>
            </w:r>
          </w:p>
        </w:tc>
      </w:tr>
      <w:tr w14:paraId="1EF6DEE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234C550C">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North Africa and Middle East</w:t>
            </w:r>
          </w:p>
        </w:tc>
        <w:tc>
          <w:tcPr>
            <w:tcW w:w="883" w:type="pct"/>
            <w:shd w:val="clear" w:color="auto" w:fill="F1F1F1" w:themeFill="background1" w:themeFillShade="F2"/>
            <w:noWrap/>
            <w:vAlign w:val="center"/>
          </w:tcPr>
          <w:p w14:paraId="426785D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262354 (185918, 354169)</w:t>
            </w:r>
          </w:p>
        </w:tc>
        <w:tc>
          <w:tcPr>
            <w:tcW w:w="883" w:type="pct"/>
            <w:shd w:val="clear" w:color="auto" w:fill="F1F1F1" w:themeFill="background1" w:themeFillShade="F2"/>
            <w:noWrap/>
            <w:vAlign w:val="center"/>
          </w:tcPr>
          <w:p w14:paraId="1886C38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81012 (58308, 108187)</w:t>
            </w:r>
          </w:p>
        </w:tc>
        <w:tc>
          <w:tcPr>
            <w:tcW w:w="740" w:type="pct"/>
            <w:shd w:val="clear" w:color="auto" w:fill="F1F1F1" w:themeFill="background1" w:themeFillShade="F2"/>
            <w:noWrap/>
            <w:vAlign w:val="center"/>
          </w:tcPr>
          <w:p w14:paraId="0507E8E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84.56 (59.92, 114.15)</w:t>
            </w:r>
          </w:p>
        </w:tc>
        <w:tc>
          <w:tcPr>
            <w:tcW w:w="708" w:type="pct"/>
            <w:shd w:val="clear" w:color="auto" w:fill="F1F1F1" w:themeFill="background1" w:themeFillShade="F2"/>
            <w:noWrap/>
            <w:vAlign w:val="center"/>
          </w:tcPr>
          <w:p w14:paraId="1B7E13F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60.39 (43.46, 80.64)</w:t>
            </w:r>
          </w:p>
        </w:tc>
        <w:tc>
          <w:tcPr>
            <w:tcW w:w="549" w:type="pct"/>
            <w:shd w:val="clear" w:color="auto" w:fill="F1F1F1" w:themeFill="background1" w:themeFillShade="F2"/>
            <w:noWrap/>
            <w:vAlign w:val="center"/>
          </w:tcPr>
          <w:p w14:paraId="4ED00FB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1.09 (1.04, 1.14)</w:t>
            </w:r>
          </w:p>
        </w:tc>
      </w:tr>
      <w:tr w14:paraId="7EA8CF5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7FD22971">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Oceania</w:t>
            </w:r>
          </w:p>
        </w:tc>
        <w:tc>
          <w:tcPr>
            <w:tcW w:w="883" w:type="pct"/>
            <w:noWrap/>
            <w:vAlign w:val="center"/>
          </w:tcPr>
          <w:p w14:paraId="3C8CD8F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6889 (4934, 9214)</w:t>
            </w:r>
          </w:p>
        </w:tc>
        <w:tc>
          <w:tcPr>
            <w:tcW w:w="883" w:type="pct"/>
            <w:noWrap/>
            <w:vAlign w:val="center"/>
          </w:tcPr>
          <w:p w14:paraId="026CAB4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2588 (1884, 3442)</w:t>
            </w:r>
          </w:p>
        </w:tc>
        <w:tc>
          <w:tcPr>
            <w:tcW w:w="740" w:type="pct"/>
            <w:noWrap/>
            <w:vAlign w:val="center"/>
          </w:tcPr>
          <w:p w14:paraId="1DF3FFC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109.23 (78.23, 146.1)</w:t>
            </w:r>
          </w:p>
        </w:tc>
        <w:tc>
          <w:tcPr>
            <w:tcW w:w="708" w:type="pct"/>
            <w:noWrap/>
            <w:vAlign w:val="center"/>
          </w:tcPr>
          <w:p w14:paraId="34A7B96E">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95.77 (69.73, 127.38)</w:t>
            </w:r>
          </w:p>
        </w:tc>
        <w:tc>
          <w:tcPr>
            <w:tcW w:w="549" w:type="pct"/>
            <w:noWrap/>
            <w:vAlign w:val="center"/>
          </w:tcPr>
          <w:p w14:paraId="2181766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0.41 (0.4, 0.43)</w:t>
            </w:r>
          </w:p>
        </w:tc>
      </w:tr>
      <w:tr w14:paraId="4797213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2D265E92">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South Asia</w:t>
            </w:r>
          </w:p>
        </w:tc>
        <w:tc>
          <w:tcPr>
            <w:tcW w:w="883" w:type="pct"/>
            <w:shd w:val="clear" w:color="auto" w:fill="F1F1F1" w:themeFill="background1" w:themeFillShade="F2"/>
            <w:noWrap/>
            <w:vAlign w:val="center"/>
          </w:tcPr>
          <w:p w14:paraId="3406E28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599907 (427678, 802171)</w:t>
            </w:r>
          </w:p>
        </w:tc>
        <w:tc>
          <w:tcPr>
            <w:tcW w:w="883" w:type="pct"/>
            <w:shd w:val="clear" w:color="auto" w:fill="F1F1F1" w:themeFill="background1" w:themeFillShade="F2"/>
            <w:noWrap/>
            <w:vAlign w:val="center"/>
          </w:tcPr>
          <w:p w14:paraId="072D269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258747 (184479, 348227)</w:t>
            </w:r>
          </w:p>
        </w:tc>
        <w:tc>
          <w:tcPr>
            <w:tcW w:w="740" w:type="pct"/>
            <w:shd w:val="clear" w:color="auto" w:fill="F1F1F1" w:themeFill="background1" w:themeFillShade="F2"/>
            <w:noWrap/>
            <w:vAlign w:val="center"/>
          </w:tcPr>
          <w:p w14:paraId="6A2D542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65.58 (46.75, 87.69)</w:t>
            </w:r>
          </w:p>
        </w:tc>
        <w:tc>
          <w:tcPr>
            <w:tcW w:w="708" w:type="pct"/>
            <w:shd w:val="clear" w:color="auto" w:fill="F1F1F1" w:themeFill="background1" w:themeFillShade="F2"/>
            <w:noWrap/>
            <w:vAlign w:val="center"/>
          </w:tcPr>
          <w:p w14:paraId="68014C7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56.74 (40.45, 76.36)</w:t>
            </w:r>
          </w:p>
        </w:tc>
        <w:tc>
          <w:tcPr>
            <w:tcW w:w="549" w:type="pct"/>
            <w:shd w:val="clear" w:color="auto" w:fill="F1F1F1" w:themeFill="background1" w:themeFillShade="F2"/>
            <w:noWrap/>
            <w:vAlign w:val="center"/>
          </w:tcPr>
          <w:p w14:paraId="14DEEF8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0.49 (0.46, 0.51)</w:t>
            </w:r>
          </w:p>
        </w:tc>
      </w:tr>
      <w:tr w14:paraId="71A13DF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0BE3519F">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Southeast Asia</w:t>
            </w:r>
          </w:p>
        </w:tc>
        <w:tc>
          <w:tcPr>
            <w:tcW w:w="883" w:type="pct"/>
            <w:noWrap/>
            <w:vAlign w:val="center"/>
          </w:tcPr>
          <w:p w14:paraId="2ABEEB2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423581 (303107, 565832)</w:t>
            </w:r>
          </w:p>
        </w:tc>
        <w:tc>
          <w:tcPr>
            <w:tcW w:w="883" w:type="pct"/>
            <w:noWrap/>
            <w:vAlign w:val="center"/>
          </w:tcPr>
          <w:p w14:paraId="7950C97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169622 (122367, 225545)</w:t>
            </w:r>
          </w:p>
        </w:tc>
        <w:tc>
          <w:tcPr>
            <w:tcW w:w="740" w:type="pct"/>
            <w:noWrap/>
            <w:vAlign w:val="center"/>
          </w:tcPr>
          <w:p w14:paraId="2B4E4D0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119.49 (85.51, 159.62)</w:t>
            </w:r>
          </w:p>
        </w:tc>
        <w:tc>
          <w:tcPr>
            <w:tcW w:w="708" w:type="pct"/>
            <w:noWrap/>
            <w:vAlign w:val="center"/>
          </w:tcPr>
          <w:p w14:paraId="75ECC04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83.45 (60.2, 110.96)</w:t>
            </w:r>
          </w:p>
        </w:tc>
        <w:tc>
          <w:tcPr>
            <w:tcW w:w="549" w:type="pct"/>
            <w:noWrap/>
            <w:vAlign w:val="center"/>
          </w:tcPr>
          <w:p w14:paraId="169873D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1.29 (1.25, 1.33)</w:t>
            </w:r>
          </w:p>
        </w:tc>
      </w:tr>
      <w:tr w14:paraId="596BB96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51D25F41">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Southern Latin America</w:t>
            </w:r>
          </w:p>
        </w:tc>
        <w:tc>
          <w:tcPr>
            <w:tcW w:w="883" w:type="pct"/>
            <w:shd w:val="clear" w:color="auto" w:fill="F1F1F1" w:themeFill="background1" w:themeFillShade="F2"/>
            <w:noWrap/>
            <w:vAlign w:val="center"/>
          </w:tcPr>
          <w:p w14:paraId="0E9D21A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43704 (31696, 58606)</w:t>
            </w:r>
          </w:p>
        </w:tc>
        <w:tc>
          <w:tcPr>
            <w:tcW w:w="883" w:type="pct"/>
            <w:shd w:val="clear" w:color="auto" w:fill="F1F1F1" w:themeFill="background1" w:themeFillShade="F2"/>
            <w:noWrap/>
            <w:vAlign w:val="center"/>
          </w:tcPr>
          <w:p w14:paraId="3D20996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22721 (16408, 30346)</w:t>
            </w:r>
          </w:p>
        </w:tc>
        <w:tc>
          <w:tcPr>
            <w:tcW w:w="740" w:type="pct"/>
            <w:shd w:val="clear" w:color="auto" w:fill="F1F1F1" w:themeFill="background1" w:themeFillShade="F2"/>
            <w:noWrap/>
            <w:vAlign w:val="center"/>
          </w:tcPr>
          <w:p w14:paraId="26A9AB7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130.58 (94.7, 175.11)</w:t>
            </w:r>
          </w:p>
        </w:tc>
        <w:tc>
          <w:tcPr>
            <w:tcW w:w="708" w:type="pct"/>
            <w:shd w:val="clear" w:color="auto" w:fill="F1F1F1" w:themeFill="background1" w:themeFillShade="F2"/>
            <w:noWrap/>
            <w:vAlign w:val="center"/>
          </w:tcPr>
          <w:p w14:paraId="5623735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102.18 (73.79, 136.46)</w:t>
            </w:r>
          </w:p>
        </w:tc>
        <w:tc>
          <w:tcPr>
            <w:tcW w:w="549" w:type="pct"/>
            <w:shd w:val="clear" w:color="auto" w:fill="F1F1F1" w:themeFill="background1" w:themeFillShade="F2"/>
            <w:noWrap/>
            <w:vAlign w:val="center"/>
          </w:tcPr>
          <w:p w14:paraId="290C56D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0.72 (0.67, 0.76)</w:t>
            </w:r>
          </w:p>
        </w:tc>
      </w:tr>
      <w:tr w14:paraId="4CC6AFF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14B4EC68">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Southern Sub-Saharan Africa</w:t>
            </w:r>
          </w:p>
        </w:tc>
        <w:tc>
          <w:tcPr>
            <w:tcW w:w="883" w:type="pct"/>
            <w:noWrap/>
            <w:vAlign w:val="center"/>
          </w:tcPr>
          <w:p w14:paraId="7BDDFD8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32868 (23577, 44342)</w:t>
            </w:r>
          </w:p>
        </w:tc>
        <w:tc>
          <w:tcPr>
            <w:tcW w:w="883" w:type="pct"/>
            <w:noWrap/>
            <w:vAlign w:val="center"/>
          </w:tcPr>
          <w:p w14:paraId="0E5473F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14405 (10409, 19126)</w:t>
            </w:r>
          </w:p>
        </w:tc>
        <w:tc>
          <w:tcPr>
            <w:tcW w:w="740" w:type="pct"/>
            <w:noWrap/>
            <w:vAlign w:val="center"/>
          </w:tcPr>
          <w:p w14:paraId="58F1CD0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83.63 (59.99, 112.82)</w:t>
            </w:r>
          </w:p>
        </w:tc>
        <w:tc>
          <w:tcPr>
            <w:tcW w:w="708" w:type="pct"/>
            <w:noWrap/>
            <w:vAlign w:val="center"/>
          </w:tcPr>
          <w:p w14:paraId="4F5380E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66.9 (48.34, 88.82)</w:t>
            </w:r>
          </w:p>
        </w:tc>
        <w:tc>
          <w:tcPr>
            <w:tcW w:w="549" w:type="pct"/>
            <w:noWrap/>
            <w:vAlign w:val="center"/>
          </w:tcPr>
          <w:p w14:paraId="5183EA7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0.67 (0.61, 0.72)</w:t>
            </w:r>
          </w:p>
        </w:tc>
      </w:tr>
      <w:tr w14:paraId="0937CEC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7D58B326">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Tropical Latin America</w:t>
            </w:r>
          </w:p>
        </w:tc>
        <w:tc>
          <w:tcPr>
            <w:tcW w:w="883" w:type="pct"/>
            <w:shd w:val="clear" w:color="auto" w:fill="F1F1F1" w:themeFill="background1" w:themeFillShade="F2"/>
            <w:noWrap/>
            <w:vAlign w:val="center"/>
          </w:tcPr>
          <w:p w14:paraId="4EDDA9A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60850 (43032, 83365)</w:t>
            </w:r>
          </w:p>
        </w:tc>
        <w:tc>
          <w:tcPr>
            <w:tcW w:w="883" w:type="pct"/>
            <w:shd w:val="clear" w:color="auto" w:fill="F1F1F1" w:themeFill="background1" w:themeFillShade="F2"/>
            <w:noWrap/>
            <w:vAlign w:val="center"/>
          </w:tcPr>
          <w:p w14:paraId="28C20E1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24168 (17171, 32713)</w:t>
            </w:r>
          </w:p>
        </w:tc>
        <w:tc>
          <w:tcPr>
            <w:tcW w:w="740" w:type="pct"/>
            <w:shd w:val="clear" w:color="auto" w:fill="F1F1F1" w:themeFill="background1" w:themeFillShade="F2"/>
            <w:noWrap/>
            <w:vAlign w:val="center"/>
          </w:tcPr>
          <w:p w14:paraId="37A23D9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52.17 (36.89, 71.47)</w:t>
            </w:r>
          </w:p>
        </w:tc>
        <w:tc>
          <w:tcPr>
            <w:tcW w:w="708" w:type="pct"/>
            <w:shd w:val="clear" w:color="auto" w:fill="F1F1F1" w:themeFill="background1" w:themeFillShade="F2"/>
            <w:noWrap/>
            <w:vAlign w:val="center"/>
          </w:tcPr>
          <w:p w14:paraId="662202D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35.46 (25.2, 48)</w:t>
            </w:r>
          </w:p>
        </w:tc>
        <w:tc>
          <w:tcPr>
            <w:tcW w:w="549" w:type="pct"/>
            <w:shd w:val="clear" w:color="auto" w:fill="F1F1F1" w:themeFill="background1" w:themeFillShade="F2"/>
            <w:noWrap/>
            <w:vAlign w:val="center"/>
          </w:tcPr>
          <w:p w14:paraId="41D4511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1.28 (1.25, 1.31)</w:t>
            </w:r>
          </w:p>
        </w:tc>
      </w:tr>
      <w:tr w14:paraId="5A51161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noWrap/>
            <w:vAlign w:val="center"/>
          </w:tcPr>
          <w:p w14:paraId="3D045F97">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Western Europe</w:t>
            </w:r>
          </w:p>
        </w:tc>
        <w:tc>
          <w:tcPr>
            <w:tcW w:w="883" w:type="pct"/>
            <w:noWrap/>
            <w:vAlign w:val="center"/>
          </w:tcPr>
          <w:p w14:paraId="6BD3FFA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189782 (135048, 255727)</w:t>
            </w:r>
          </w:p>
        </w:tc>
        <w:tc>
          <w:tcPr>
            <w:tcW w:w="883" w:type="pct"/>
            <w:noWrap/>
            <w:vAlign w:val="center"/>
          </w:tcPr>
          <w:p w14:paraId="3F0323F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149375 (105223, 201130)</w:t>
            </w:r>
          </w:p>
        </w:tc>
        <w:tc>
          <w:tcPr>
            <w:tcW w:w="740" w:type="pct"/>
            <w:noWrap/>
            <w:vAlign w:val="center"/>
          </w:tcPr>
          <w:p w14:paraId="7687E8C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96.56 (68.71, 130.11)</w:t>
            </w:r>
          </w:p>
        </w:tc>
        <w:tc>
          <w:tcPr>
            <w:tcW w:w="708" w:type="pct"/>
            <w:noWrap/>
            <w:vAlign w:val="center"/>
          </w:tcPr>
          <w:p w14:paraId="56FA655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79.05 (55.69, 106.44)</w:t>
            </w:r>
          </w:p>
        </w:tc>
        <w:tc>
          <w:tcPr>
            <w:tcW w:w="549" w:type="pct"/>
            <w:noWrap/>
            <w:vAlign w:val="center"/>
          </w:tcPr>
          <w:p w14:paraId="5F0EEAC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0.71 (0.65, 0.76)</w:t>
            </w:r>
          </w:p>
        </w:tc>
      </w:tr>
      <w:tr w14:paraId="0F22673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233" w:type="pct"/>
            <w:tcBorders>
              <w:right w:val="single" w:color="7E7E7E" w:themeColor="text1" w:themeTint="80" w:sz="4" w:space="0"/>
              <w:insideV w:val="single" w:sz="4" w:space="0"/>
            </w:tcBorders>
            <w:shd w:val="clear" w:color="auto" w:fill="F1F1F1" w:themeFill="background1" w:themeFillShade="F2"/>
            <w:noWrap/>
            <w:vAlign w:val="center"/>
          </w:tcPr>
          <w:p w14:paraId="73C9C66C">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Western Sub-Saharan Africa</w:t>
            </w:r>
          </w:p>
        </w:tc>
        <w:tc>
          <w:tcPr>
            <w:tcW w:w="883" w:type="pct"/>
            <w:shd w:val="clear" w:color="auto" w:fill="F1F1F1" w:themeFill="background1" w:themeFillShade="F2"/>
            <w:noWrap/>
            <w:vAlign w:val="center"/>
          </w:tcPr>
          <w:p w14:paraId="1ECE1B6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113252 (81233, 151777)</w:t>
            </w:r>
          </w:p>
        </w:tc>
        <w:tc>
          <w:tcPr>
            <w:tcW w:w="883" w:type="pct"/>
            <w:shd w:val="clear" w:color="auto" w:fill="F1F1F1" w:themeFill="background1" w:themeFillShade="F2"/>
            <w:noWrap/>
            <w:vAlign w:val="center"/>
          </w:tcPr>
          <w:p w14:paraId="63FE86D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41206 (29544, 54922)</w:t>
            </w:r>
          </w:p>
        </w:tc>
        <w:tc>
          <w:tcPr>
            <w:tcW w:w="740" w:type="pct"/>
            <w:shd w:val="clear" w:color="auto" w:fill="F1F1F1" w:themeFill="background1" w:themeFillShade="F2"/>
            <w:noWrap/>
            <w:vAlign w:val="center"/>
          </w:tcPr>
          <w:p w14:paraId="36882EC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59.89 (42.96, 80.26)</w:t>
            </w:r>
          </w:p>
        </w:tc>
        <w:tc>
          <w:tcPr>
            <w:tcW w:w="708" w:type="pct"/>
            <w:shd w:val="clear" w:color="auto" w:fill="F1F1F1" w:themeFill="background1" w:themeFillShade="F2"/>
            <w:noWrap/>
            <w:vAlign w:val="center"/>
          </w:tcPr>
          <w:p w14:paraId="2176D95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57.85 (41.48, 77.11)</w:t>
            </w:r>
          </w:p>
        </w:tc>
        <w:tc>
          <w:tcPr>
            <w:tcW w:w="549" w:type="pct"/>
            <w:shd w:val="clear" w:color="auto" w:fill="F1F1F1" w:themeFill="background1" w:themeFillShade="F2"/>
            <w:noWrap/>
            <w:vAlign w:val="center"/>
          </w:tcPr>
          <w:p w14:paraId="677BB02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0.11 (0.09, 0.13)</w:t>
            </w:r>
          </w:p>
        </w:tc>
      </w:tr>
    </w:tbl>
    <w:p w14:paraId="6BEABA0D">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cs="Times New Roman" w:eastAsiaTheme="minorEastAsia"/>
          <w:sz w:val="24"/>
          <w:szCs w:val="24"/>
        </w:rPr>
      </w:pPr>
    </w:p>
    <w:p w14:paraId="070DBA4F">
      <w:pPr>
        <w:spacing w:after="0" w:line="240" w:lineRule="auto"/>
        <w:ind w:firstLine="480" w:firstLineChars="200"/>
        <w:jc w:val="center"/>
        <w:rPr>
          <w:rFonts w:ascii="Times New Roman" w:hAnsi="Times New Roman" w:cs="Times New Roman"/>
          <w:sz w:val="24"/>
        </w:rPr>
      </w:pPr>
      <w:r>
        <w:rPr>
          <w:rFonts w:hint="eastAsia" w:ascii="Times New Roman" w:hAnsi="Times New Roman" w:cs="Times New Roman"/>
          <w:b/>
          <w:bCs/>
          <w:sz w:val="24"/>
        </w:rPr>
        <w:t>Table 2</w:t>
      </w:r>
      <w:r>
        <w:rPr>
          <w:rFonts w:hint="eastAsia" w:ascii="Times New Roman" w:hAnsi="Times New Roman" w:cs="Times New Roman"/>
          <w:sz w:val="24"/>
          <w:lang w:val="en-US" w:eastAsia="zh-CN"/>
        </w:rPr>
        <w:t>.</w:t>
      </w:r>
      <w:r>
        <w:rPr>
          <w:rFonts w:hint="eastAsia" w:ascii="Times New Roman" w:hAnsi="Times New Roman" w:cs="Times New Roman"/>
          <w:sz w:val="24"/>
        </w:rPr>
        <w:t xml:space="preserve"> The Number and Rate of Prevalence of Gout in 1990 and 2021 for both sexes by aged 20-54 years, with Rate EAPC from 1990 to 2021</w:t>
      </w:r>
    </w:p>
    <w:tbl>
      <w:tblPr>
        <w:tblStyle w:val="12"/>
        <w:tblW w:w="5000" w:type="pct"/>
        <w:jc w:val="center"/>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996"/>
        <w:gridCol w:w="1586"/>
        <w:gridCol w:w="1484"/>
        <w:gridCol w:w="1356"/>
        <w:gridCol w:w="1203"/>
        <w:gridCol w:w="897"/>
      </w:tblGrid>
      <w:tr w14:paraId="553D43A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171" w:type="pct"/>
            <w:tcBorders>
              <w:bottom w:val="single" w:color="7E7E7E" w:themeColor="text1" w:themeTint="80" w:sz="4" w:space="0"/>
              <w:right w:val="nil"/>
              <w:insideH w:val="single" w:sz="4" w:space="0"/>
            </w:tcBorders>
            <w:noWrap/>
            <w:vAlign w:val="center"/>
          </w:tcPr>
          <w:p w14:paraId="34B12192">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location_name</w:t>
            </w:r>
          </w:p>
        </w:tc>
        <w:tc>
          <w:tcPr>
            <w:tcW w:w="930" w:type="pct"/>
            <w:tcBorders>
              <w:bottom w:val="single" w:color="7E7E7E" w:themeColor="text1" w:themeTint="80" w:sz="4" w:space="0"/>
              <w:insideH w:val="single" w:sz="4" w:space="0"/>
            </w:tcBorders>
            <w:noWrap/>
            <w:vAlign w:val="center"/>
          </w:tcPr>
          <w:p w14:paraId="0A61B2B6">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Number_2021</w:t>
            </w:r>
          </w:p>
        </w:tc>
        <w:tc>
          <w:tcPr>
            <w:tcW w:w="870" w:type="pct"/>
            <w:tcBorders>
              <w:bottom w:val="single" w:color="7E7E7E" w:themeColor="text1" w:themeTint="80" w:sz="4" w:space="0"/>
              <w:insideH w:val="single" w:sz="4" w:space="0"/>
            </w:tcBorders>
            <w:noWrap/>
            <w:vAlign w:val="center"/>
          </w:tcPr>
          <w:p w14:paraId="6111AD55">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Number_1990</w:t>
            </w:r>
          </w:p>
        </w:tc>
        <w:tc>
          <w:tcPr>
            <w:tcW w:w="795" w:type="pct"/>
            <w:tcBorders>
              <w:bottom w:val="single" w:color="7E7E7E" w:themeColor="text1" w:themeTint="80" w:sz="4" w:space="0"/>
              <w:insideH w:val="single" w:sz="4" w:space="0"/>
            </w:tcBorders>
            <w:noWrap/>
            <w:vAlign w:val="center"/>
          </w:tcPr>
          <w:p w14:paraId="7E337F13">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Rate_2021</w:t>
            </w:r>
          </w:p>
        </w:tc>
        <w:tc>
          <w:tcPr>
            <w:tcW w:w="705" w:type="pct"/>
            <w:tcBorders>
              <w:bottom w:val="single" w:color="7E7E7E" w:themeColor="text1" w:themeTint="80" w:sz="4" w:space="0"/>
              <w:insideH w:val="single" w:sz="4" w:space="0"/>
            </w:tcBorders>
            <w:noWrap/>
            <w:vAlign w:val="center"/>
          </w:tcPr>
          <w:p w14:paraId="189EFD02">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Rate_1990</w:t>
            </w:r>
          </w:p>
        </w:tc>
        <w:tc>
          <w:tcPr>
            <w:tcW w:w="526" w:type="pct"/>
            <w:tcBorders>
              <w:bottom w:val="single" w:color="7E7E7E" w:themeColor="text1" w:themeTint="80" w:sz="4" w:space="0"/>
              <w:insideH w:val="single" w:sz="4" w:space="0"/>
            </w:tcBorders>
            <w:noWrap/>
            <w:vAlign w:val="center"/>
          </w:tcPr>
          <w:p w14:paraId="265CE801">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EAPC_Rate</w:t>
            </w:r>
          </w:p>
        </w:tc>
      </w:tr>
      <w:tr w14:paraId="4C82F15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2A586C74">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Global</w:t>
            </w:r>
          </w:p>
        </w:tc>
        <w:tc>
          <w:tcPr>
            <w:tcW w:w="930" w:type="pct"/>
            <w:shd w:val="clear" w:color="auto" w:fill="F1F1F1" w:themeFill="background1" w:themeFillShade="F2"/>
            <w:noWrap/>
            <w:vAlign w:val="center"/>
          </w:tcPr>
          <w:p w14:paraId="1D45666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19221517 (13705460, 25371091)</w:t>
            </w:r>
          </w:p>
        </w:tc>
        <w:tc>
          <w:tcPr>
            <w:tcW w:w="870" w:type="pct"/>
            <w:shd w:val="clear" w:color="auto" w:fill="F1F1F1" w:themeFill="background1" w:themeFillShade="F2"/>
            <w:noWrap/>
            <w:vAlign w:val="center"/>
          </w:tcPr>
          <w:p w14:paraId="0A75284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9120289 (6521824, 12216297)</w:t>
            </w:r>
          </w:p>
        </w:tc>
        <w:tc>
          <w:tcPr>
            <w:tcW w:w="795" w:type="pct"/>
            <w:shd w:val="clear" w:color="auto" w:fill="F1F1F1" w:themeFill="background1" w:themeFillShade="F2"/>
            <w:noWrap/>
            <w:vAlign w:val="center"/>
          </w:tcPr>
          <w:p w14:paraId="4B95DBA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509.92 (363.59, 673.06)</w:t>
            </w:r>
          </w:p>
        </w:tc>
        <w:tc>
          <w:tcPr>
            <w:tcW w:w="705" w:type="pct"/>
            <w:shd w:val="clear" w:color="auto" w:fill="F1F1F1" w:themeFill="background1" w:themeFillShade="F2"/>
            <w:noWrap/>
            <w:vAlign w:val="center"/>
          </w:tcPr>
          <w:p w14:paraId="4F180BD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379.44 (271.33, 508.25)</w:t>
            </w:r>
          </w:p>
        </w:tc>
        <w:tc>
          <w:tcPr>
            <w:tcW w:w="526" w:type="pct"/>
            <w:shd w:val="clear" w:color="auto" w:fill="F1F1F1" w:themeFill="background1" w:themeFillShade="F2"/>
            <w:noWrap/>
            <w:vAlign w:val="center"/>
          </w:tcPr>
          <w:p w14:paraId="688B8BE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1.11 (1.06, 1.16)</w:t>
            </w:r>
          </w:p>
        </w:tc>
      </w:tr>
      <w:tr w14:paraId="616BA6E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56724B75">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China</w:t>
            </w:r>
          </w:p>
        </w:tc>
        <w:tc>
          <w:tcPr>
            <w:tcW w:w="930" w:type="pct"/>
            <w:noWrap/>
            <w:vAlign w:val="center"/>
          </w:tcPr>
          <w:p w14:paraId="79C5BD1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5931952 (4177272, 7868531)</w:t>
            </w:r>
          </w:p>
        </w:tc>
        <w:tc>
          <w:tcPr>
            <w:tcW w:w="870" w:type="pct"/>
            <w:noWrap/>
            <w:vAlign w:val="center"/>
          </w:tcPr>
          <w:p w14:paraId="31F30EC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2899204 (2075500, 3853742)</w:t>
            </w:r>
          </w:p>
        </w:tc>
        <w:tc>
          <w:tcPr>
            <w:tcW w:w="795" w:type="pct"/>
            <w:noWrap/>
            <w:vAlign w:val="center"/>
          </w:tcPr>
          <w:p w14:paraId="548B3E8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836.09 (588.77, 1109.05)</w:t>
            </w:r>
          </w:p>
        </w:tc>
        <w:tc>
          <w:tcPr>
            <w:tcW w:w="705" w:type="pct"/>
            <w:noWrap/>
            <w:vAlign w:val="center"/>
          </w:tcPr>
          <w:p w14:paraId="7CEA0D5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493.15 (353.04, 655.51)</w:t>
            </w:r>
          </w:p>
        </w:tc>
        <w:tc>
          <w:tcPr>
            <w:tcW w:w="526" w:type="pct"/>
            <w:noWrap/>
            <w:vAlign w:val="center"/>
          </w:tcPr>
          <w:p w14:paraId="3A0EB61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1.98 (1.88, 2.09)</w:t>
            </w:r>
          </w:p>
        </w:tc>
      </w:tr>
      <w:tr w14:paraId="1319D7C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79EFE2DB">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United States of America</w:t>
            </w:r>
          </w:p>
        </w:tc>
        <w:tc>
          <w:tcPr>
            <w:tcW w:w="930" w:type="pct"/>
            <w:shd w:val="clear" w:color="auto" w:fill="F1F1F1" w:themeFill="background1" w:themeFillShade="F2"/>
            <w:noWrap/>
            <w:vAlign w:val="center"/>
          </w:tcPr>
          <w:p w14:paraId="02DEE91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2336377 (1752051, 3000584)</w:t>
            </w:r>
          </w:p>
        </w:tc>
        <w:tc>
          <w:tcPr>
            <w:tcW w:w="870" w:type="pct"/>
            <w:shd w:val="clear" w:color="auto" w:fill="F1F1F1" w:themeFill="background1" w:themeFillShade="F2"/>
            <w:noWrap/>
            <w:vAlign w:val="center"/>
          </w:tcPr>
          <w:p w14:paraId="3C9FEE3E">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996181 (719723, 1351202)</w:t>
            </w:r>
          </w:p>
        </w:tc>
        <w:tc>
          <w:tcPr>
            <w:tcW w:w="795" w:type="pct"/>
            <w:shd w:val="clear" w:color="auto" w:fill="F1F1F1" w:themeFill="background1" w:themeFillShade="F2"/>
            <w:noWrap/>
            <w:vAlign w:val="center"/>
          </w:tcPr>
          <w:p w14:paraId="5E839BC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1546.42 (1159.66, 1986.05)</w:t>
            </w:r>
          </w:p>
        </w:tc>
        <w:tc>
          <w:tcPr>
            <w:tcW w:w="705" w:type="pct"/>
            <w:shd w:val="clear" w:color="auto" w:fill="F1F1F1" w:themeFill="background1" w:themeFillShade="F2"/>
            <w:noWrap/>
            <w:vAlign w:val="center"/>
          </w:tcPr>
          <w:p w14:paraId="79FC680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780.79 (564.1, 1059.04)</w:t>
            </w:r>
          </w:p>
        </w:tc>
        <w:tc>
          <w:tcPr>
            <w:tcW w:w="526" w:type="pct"/>
            <w:shd w:val="clear" w:color="auto" w:fill="F1F1F1" w:themeFill="background1" w:themeFillShade="F2"/>
            <w:noWrap/>
            <w:vAlign w:val="center"/>
          </w:tcPr>
          <w:p w14:paraId="632EBD1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2.56 (2.37, 2.76)</w:t>
            </w:r>
          </w:p>
        </w:tc>
      </w:tr>
      <w:tr w14:paraId="62D71FC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6177C9C1">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Low-middle SDI</w:t>
            </w:r>
          </w:p>
        </w:tc>
        <w:tc>
          <w:tcPr>
            <w:tcW w:w="930" w:type="pct"/>
            <w:noWrap/>
            <w:vAlign w:val="center"/>
          </w:tcPr>
          <w:p w14:paraId="4B83D07F">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2810521 (1993372, 3793537)</w:t>
            </w:r>
          </w:p>
        </w:tc>
        <w:tc>
          <w:tcPr>
            <w:tcW w:w="870" w:type="pct"/>
            <w:noWrap/>
            <w:vAlign w:val="center"/>
          </w:tcPr>
          <w:p w14:paraId="1AE27ABF">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1197835 (854074, 1622846)</w:t>
            </w:r>
          </w:p>
        </w:tc>
        <w:tc>
          <w:tcPr>
            <w:tcW w:w="795" w:type="pct"/>
            <w:noWrap/>
            <w:vAlign w:val="center"/>
          </w:tcPr>
          <w:p w14:paraId="7D8BA65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306.95 (217.7, 414.3)</w:t>
            </w:r>
          </w:p>
        </w:tc>
        <w:tc>
          <w:tcPr>
            <w:tcW w:w="705" w:type="pct"/>
            <w:noWrap/>
            <w:vAlign w:val="center"/>
          </w:tcPr>
          <w:p w14:paraId="717A015E">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255.08 (181.88, 345.59)</w:t>
            </w:r>
          </w:p>
        </w:tc>
        <w:tc>
          <w:tcPr>
            <w:tcW w:w="526" w:type="pct"/>
            <w:noWrap/>
            <w:vAlign w:val="center"/>
          </w:tcPr>
          <w:p w14:paraId="70936D5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0.65 (0.61, 0.68)</w:t>
            </w:r>
          </w:p>
        </w:tc>
      </w:tr>
      <w:tr w14:paraId="5E0EDC3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71EB593A">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High-middle SDI</w:t>
            </w:r>
          </w:p>
        </w:tc>
        <w:tc>
          <w:tcPr>
            <w:tcW w:w="930" w:type="pct"/>
            <w:shd w:val="clear" w:color="auto" w:fill="F1F1F1" w:themeFill="background1" w:themeFillShade="F2"/>
            <w:noWrap/>
            <w:vAlign w:val="center"/>
          </w:tcPr>
          <w:p w14:paraId="6CCB05E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4251812 (2993876, 5647044)</w:t>
            </w:r>
          </w:p>
        </w:tc>
        <w:tc>
          <w:tcPr>
            <w:tcW w:w="870" w:type="pct"/>
            <w:shd w:val="clear" w:color="auto" w:fill="F1F1F1" w:themeFill="background1" w:themeFillShade="F2"/>
            <w:noWrap/>
            <w:vAlign w:val="center"/>
          </w:tcPr>
          <w:p w14:paraId="43AE1DE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2155699 (1541292, 2857558)</w:t>
            </w:r>
          </w:p>
        </w:tc>
        <w:tc>
          <w:tcPr>
            <w:tcW w:w="795" w:type="pct"/>
            <w:shd w:val="clear" w:color="auto" w:fill="F1F1F1" w:themeFill="background1" w:themeFillShade="F2"/>
            <w:noWrap/>
            <w:vAlign w:val="center"/>
          </w:tcPr>
          <w:p w14:paraId="09BDD63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650.13 (457.79, 863.47)</w:t>
            </w:r>
          </w:p>
        </w:tc>
        <w:tc>
          <w:tcPr>
            <w:tcW w:w="705" w:type="pct"/>
            <w:shd w:val="clear" w:color="auto" w:fill="F1F1F1" w:themeFill="background1" w:themeFillShade="F2"/>
            <w:noWrap/>
            <w:vAlign w:val="center"/>
          </w:tcPr>
          <w:p w14:paraId="52CF2D9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413.89 (295.92, 548.64)</w:t>
            </w:r>
          </w:p>
        </w:tc>
        <w:tc>
          <w:tcPr>
            <w:tcW w:w="526" w:type="pct"/>
            <w:shd w:val="clear" w:color="auto" w:fill="F1F1F1" w:themeFill="background1" w:themeFillShade="F2"/>
            <w:noWrap/>
            <w:vAlign w:val="center"/>
          </w:tcPr>
          <w:p w14:paraId="71156D4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1.62 (1.56, 1.69)</w:t>
            </w:r>
          </w:p>
        </w:tc>
      </w:tr>
      <w:tr w14:paraId="6ACDF3A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7B23217D">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Middle SDI</w:t>
            </w:r>
          </w:p>
        </w:tc>
        <w:tc>
          <w:tcPr>
            <w:tcW w:w="930" w:type="pct"/>
            <w:noWrap/>
            <w:vAlign w:val="center"/>
          </w:tcPr>
          <w:p w14:paraId="0DC8ADC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6277279 (4455095, 8357876)</w:t>
            </w:r>
          </w:p>
        </w:tc>
        <w:tc>
          <w:tcPr>
            <w:tcW w:w="870" w:type="pct"/>
            <w:noWrap/>
            <w:vAlign w:val="center"/>
          </w:tcPr>
          <w:p w14:paraId="66BE639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2811512 (2012811, 3773148)</w:t>
            </w:r>
          </w:p>
        </w:tc>
        <w:tc>
          <w:tcPr>
            <w:tcW w:w="795" w:type="pct"/>
            <w:noWrap/>
            <w:vAlign w:val="center"/>
          </w:tcPr>
          <w:p w14:paraId="31002EB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510.56 (362.35, 679.78)</w:t>
            </w:r>
          </w:p>
        </w:tc>
        <w:tc>
          <w:tcPr>
            <w:tcW w:w="705" w:type="pct"/>
            <w:noWrap/>
            <w:vAlign w:val="center"/>
          </w:tcPr>
          <w:p w14:paraId="6F0DE50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358.25 (256.48, 480.78)</w:t>
            </w:r>
          </w:p>
        </w:tc>
        <w:tc>
          <w:tcPr>
            <w:tcW w:w="526" w:type="pct"/>
            <w:noWrap/>
            <w:vAlign w:val="center"/>
          </w:tcPr>
          <w:p w14:paraId="0318D5C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1.37 (1.3, 1.43)</w:t>
            </w:r>
          </w:p>
        </w:tc>
      </w:tr>
      <w:tr w14:paraId="26BF4BC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7A094EFE">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Low SDI</w:t>
            </w:r>
          </w:p>
        </w:tc>
        <w:tc>
          <w:tcPr>
            <w:tcW w:w="930" w:type="pct"/>
            <w:shd w:val="clear" w:color="auto" w:fill="F1F1F1" w:themeFill="background1" w:themeFillShade="F2"/>
            <w:noWrap/>
            <w:vAlign w:val="center"/>
          </w:tcPr>
          <w:p w14:paraId="52286AD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1127468 (805385, 1531040)</w:t>
            </w:r>
          </w:p>
        </w:tc>
        <w:tc>
          <w:tcPr>
            <w:tcW w:w="870" w:type="pct"/>
            <w:shd w:val="clear" w:color="auto" w:fill="F1F1F1" w:themeFill="background1" w:themeFillShade="F2"/>
            <w:noWrap/>
            <w:vAlign w:val="center"/>
          </w:tcPr>
          <w:p w14:paraId="7396E09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433701 (310316, 590883)</w:t>
            </w:r>
          </w:p>
        </w:tc>
        <w:tc>
          <w:tcPr>
            <w:tcW w:w="795" w:type="pct"/>
            <w:shd w:val="clear" w:color="auto" w:fill="F1F1F1" w:themeFill="background1" w:themeFillShade="F2"/>
            <w:noWrap/>
            <w:vAlign w:val="center"/>
          </w:tcPr>
          <w:p w14:paraId="7E31F23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249.93 (178.53, 339.39)</w:t>
            </w:r>
          </w:p>
        </w:tc>
        <w:tc>
          <w:tcPr>
            <w:tcW w:w="705" w:type="pct"/>
            <w:shd w:val="clear" w:color="auto" w:fill="F1F1F1" w:themeFill="background1" w:themeFillShade="F2"/>
            <w:noWrap/>
            <w:vAlign w:val="center"/>
          </w:tcPr>
          <w:p w14:paraId="5D2521A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235.18 (168.27, 320.41)</w:t>
            </w:r>
          </w:p>
        </w:tc>
        <w:tc>
          <w:tcPr>
            <w:tcW w:w="526" w:type="pct"/>
            <w:shd w:val="clear" w:color="auto" w:fill="F1F1F1" w:themeFill="background1" w:themeFillShade="F2"/>
            <w:noWrap/>
            <w:vAlign w:val="center"/>
          </w:tcPr>
          <w:p w14:paraId="748829F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0.24 (0.19, 0.29)</w:t>
            </w:r>
          </w:p>
        </w:tc>
      </w:tr>
      <w:tr w14:paraId="63E87FE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13CA6011">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High SDI</w:t>
            </w:r>
          </w:p>
        </w:tc>
        <w:tc>
          <w:tcPr>
            <w:tcW w:w="930" w:type="pct"/>
            <w:noWrap/>
            <w:vAlign w:val="center"/>
          </w:tcPr>
          <w:p w14:paraId="55D4390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4743293 (3468645, 6280731)</w:t>
            </w:r>
          </w:p>
        </w:tc>
        <w:tc>
          <w:tcPr>
            <w:tcW w:w="870" w:type="pct"/>
            <w:noWrap/>
            <w:vAlign w:val="center"/>
          </w:tcPr>
          <w:p w14:paraId="499D8F8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2515487 (1802383, 3421372)</w:t>
            </w:r>
          </w:p>
        </w:tc>
        <w:tc>
          <w:tcPr>
            <w:tcW w:w="795" w:type="pct"/>
            <w:noWrap/>
            <w:vAlign w:val="center"/>
          </w:tcPr>
          <w:p w14:paraId="3C96EAEE">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918.69 (671.81, 1216.46)</w:t>
            </w:r>
          </w:p>
        </w:tc>
        <w:tc>
          <w:tcPr>
            <w:tcW w:w="705" w:type="pct"/>
            <w:noWrap/>
            <w:vAlign w:val="center"/>
          </w:tcPr>
          <w:p w14:paraId="04BF869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569.44 (408.01, 774.5)</w:t>
            </w:r>
          </w:p>
        </w:tc>
        <w:tc>
          <w:tcPr>
            <w:tcW w:w="526" w:type="pct"/>
            <w:noWrap/>
            <w:vAlign w:val="center"/>
          </w:tcPr>
          <w:p w14:paraId="429B892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1.68 (1.57, 1.8)</w:t>
            </w:r>
          </w:p>
        </w:tc>
      </w:tr>
      <w:tr w14:paraId="6ADED23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697F43EA">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Andean Latin America</w:t>
            </w:r>
          </w:p>
        </w:tc>
        <w:tc>
          <w:tcPr>
            <w:tcW w:w="930" w:type="pct"/>
            <w:shd w:val="clear" w:color="auto" w:fill="F1F1F1" w:themeFill="background1" w:themeFillShade="F2"/>
            <w:noWrap/>
            <w:vAlign w:val="center"/>
          </w:tcPr>
          <w:p w14:paraId="525D4C0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84734 (60334, 114495)</w:t>
            </w:r>
          </w:p>
        </w:tc>
        <w:tc>
          <w:tcPr>
            <w:tcW w:w="870" w:type="pct"/>
            <w:shd w:val="clear" w:color="auto" w:fill="F1F1F1" w:themeFill="background1" w:themeFillShade="F2"/>
            <w:noWrap/>
            <w:vAlign w:val="center"/>
          </w:tcPr>
          <w:p w14:paraId="603AE1E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27172 (19113, 37542)</w:t>
            </w:r>
          </w:p>
        </w:tc>
        <w:tc>
          <w:tcPr>
            <w:tcW w:w="795" w:type="pct"/>
            <w:shd w:val="clear" w:color="auto" w:fill="F1F1F1" w:themeFill="background1" w:themeFillShade="F2"/>
            <w:noWrap/>
            <w:vAlign w:val="center"/>
          </w:tcPr>
          <w:p w14:paraId="4DF9B66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260.29 (185.34, 351.72)</w:t>
            </w:r>
          </w:p>
        </w:tc>
        <w:tc>
          <w:tcPr>
            <w:tcW w:w="705" w:type="pct"/>
            <w:shd w:val="clear" w:color="auto" w:fill="F1F1F1" w:themeFill="background1" w:themeFillShade="F2"/>
            <w:noWrap/>
            <w:vAlign w:val="center"/>
          </w:tcPr>
          <w:p w14:paraId="7FD6A86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173.28 (121.89, 239.41)</w:t>
            </w:r>
          </w:p>
        </w:tc>
        <w:tc>
          <w:tcPr>
            <w:tcW w:w="526" w:type="pct"/>
            <w:shd w:val="clear" w:color="auto" w:fill="F1F1F1" w:themeFill="background1" w:themeFillShade="F2"/>
            <w:noWrap/>
            <w:vAlign w:val="center"/>
          </w:tcPr>
          <w:p w14:paraId="6907CA0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1.41 (1.37, 1.46)</w:t>
            </w:r>
          </w:p>
        </w:tc>
      </w:tr>
      <w:tr w14:paraId="2395B2C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0134BB51">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Australasia</w:t>
            </w:r>
          </w:p>
        </w:tc>
        <w:tc>
          <w:tcPr>
            <w:tcW w:w="930" w:type="pct"/>
            <w:noWrap/>
            <w:vAlign w:val="center"/>
          </w:tcPr>
          <w:p w14:paraId="5F02D2C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142642 (100415, 195415)</w:t>
            </w:r>
          </w:p>
        </w:tc>
        <w:tc>
          <w:tcPr>
            <w:tcW w:w="870" w:type="pct"/>
            <w:noWrap/>
            <w:vAlign w:val="center"/>
          </w:tcPr>
          <w:p w14:paraId="0A5D6A5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66830 (48247, 88365)</w:t>
            </w:r>
          </w:p>
        </w:tc>
        <w:tc>
          <w:tcPr>
            <w:tcW w:w="795" w:type="pct"/>
            <w:noWrap/>
            <w:vAlign w:val="center"/>
          </w:tcPr>
          <w:p w14:paraId="3CC5AAE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977.98 (688.46, 1339.8)</w:t>
            </w:r>
          </w:p>
        </w:tc>
        <w:tc>
          <w:tcPr>
            <w:tcW w:w="705" w:type="pct"/>
            <w:noWrap/>
            <w:vAlign w:val="center"/>
          </w:tcPr>
          <w:p w14:paraId="063A403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664.08 (479.42, 878.06)</w:t>
            </w:r>
          </w:p>
        </w:tc>
        <w:tc>
          <w:tcPr>
            <w:tcW w:w="526" w:type="pct"/>
            <w:noWrap/>
            <w:vAlign w:val="center"/>
          </w:tcPr>
          <w:p w14:paraId="03BDCE0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 (1.07, 1.33)</w:t>
            </w:r>
          </w:p>
        </w:tc>
      </w:tr>
      <w:tr w14:paraId="5584695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40F8DDD4">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Caribbean</w:t>
            </w:r>
          </w:p>
        </w:tc>
        <w:tc>
          <w:tcPr>
            <w:tcW w:w="930" w:type="pct"/>
            <w:shd w:val="clear" w:color="auto" w:fill="F1F1F1" w:themeFill="background1" w:themeFillShade="F2"/>
            <w:noWrap/>
            <w:vAlign w:val="center"/>
          </w:tcPr>
          <w:p w14:paraId="2662DDD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54255 (38523, 73762)</w:t>
            </w:r>
          </w:p>
        </w:tc>
        <w:tc>
          <w:tcPr>
            <w:tcW w:w="870" w:type="pct"/>
            <w:shd w:val="clear" w:color="auto" w:fill="F1F1F1" w:themeFill="background1" w:themeFillShade="F2"/>
            <w:noWrap/>
            <w:vAlign w:val="center"/>
          </w:tcPr>
          <w:p w14:paraId="39E45F9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25960 (18187, 35661)</w:t>
            </w:r>
          </w:p>
        </w:tc>
        <w:tc>
          <w:tcPr>
            <w:tcW w:w="795" w:type="pct"/>
            <w:shd w:val="clear" w:color="auto" w:fill="F1F1F1" w:themeFill="background1" w:themeFillShade="F2"/>
            <w:noWrap/>
            <w:vAlign w:val="center"/>
          </w:tcPr>
          <w:p w14:paraId="0932D97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236.53 (167.95, 321.57)</w:t>
            </w:r>
          </w:p>
        </w:tc>
        <w:tc>
          <w:tcPr>
            <w:tcW w:w="705" w:type="pct"/>
            <w:shd w:val="clear" w:color="auto" w:fill="F1F1F1" w:themeFill="background1" w:themeFillShade="F2"/>
            <w:noWrap/>
            <w:vAlign w:val="center"/>
          </w:tcPr>
          <w:p w14:paraId="7ECDDFB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163.44 (114.5, 224.51)</w:t>
            </w:r>
          </w:p>
        </w:tc>
        <w:tc>
          <w:tcPr>
            <w:tcW w:w="526" w:type="pct"/>
            <w:shd w:val="clear" w:color="auto" w:fill="F1F1F1" w:themeFill="background1" w:themeFillShade="F2"/>
            <w:noWrap/>
            <w:vAlign w:val="center"/>
          </w:tcPr>
          <w:p w14:paraId="3B0BFA0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1.28 (1.22, 1.35)</w:t>
            </w:r>
          </w:p>
        </w:tc>
      </w:tr>
      <w:tr w14:paraId="754607E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53CAE7CE">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Central Asia</w:t>
            </w:r>
          </w:p>
        </w:tc>
        <w:tc>
          <w:tcPr>
            <w:tcW w:w="930" w:type="pct"/>
            <w:noWrap/>
            <w:vAlign w:val="center"/>
          </w:tcPr>
          <w:p w14:paraId="2A2BAD9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158772 (112501, 214399)</w:t>
            </w:r>
          </w:p>
        </w:tc>
        <w:tc>
          <w:tcPr>
            <w:tcW w:w="870" w:type="pct"/>
            <w:noWrap/>
            <w:vAlign w:val="center"/>
          </w:tcPr>
          <w:p w14:paraId="68AE647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74731 (53495, 100948)</w:t>
            </w:r>
          </w:p>
        </w:tc>
        <w:tc>
          <w:tcPr>
            <w:tcW w:w="795" w:type="pct"/>
            <w:noWrap/>
            <w:vAlign w:val="center"/>
          </w:tcPr>
          <w:p w14:paraId="0550624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340.46 (241.24, 459.74)</w:t>
            </w:r>
          </w:p>
        </w:tc>
        <w:tc>
          <w:tcPr>
            <w:tcW w:w="705" w:type="pct"/>
            <w:noWrap/>
            <w:vAlign w:val="center"/>
          </w:tcPr>
          <w:p w14:paraId="77D6F0BE">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251.33 (179.91, 339.5)</w:t>
            </w:r>
          </w:p>
        </w:tc>
        <w:tc>
          <w:tcPr>
            <w:tcW w:w="526" w:type="pct"/>
            <w:noWrap/>
            <w:vAlign w:val="center"/>
          </w:tcPr>
          <w:p w14:paraId="0BDE96A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1.16 (1.08, 1.24)</w:t>
            </w:r>
          </w:p>
        </w:tc>
      </w:tr>
      <w:tr w14:paraId="677C574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1AA98867">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Central Europe</w:t>
            </w:r>
          </w:p>
        </w:tc>
        <w:tc>
          <w:tcPr>
            <w:tcW w:w="930" w:type="pct"/>
            <w:shd w:val="clear" w:color="auto" w:fill="F1F1F1" w:themeFill="background1" w:themeFillShade="F2"/>
            <w:noWrap/>
            <w:vAlign w:val="center"/>
          </w:tcPr>
          <w:p w14:paraId="74E2917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183066 (128511, 250062)</w:t>
            </w:r>
          </w:p>
        </w:tc>
        <w:tc>
          <w:tcPr>
            <w:tcW w:w="870" w:type="pct"/>
            <w:shd w:val="clear" w:color="auto" w:fill="F1F1F1" w:themeFill="background1" w:themeFillShade="F2"/>
            <w:noWrap/>
            <w:vAlign w:val="center"/>
          </w:tcPr>
          <w:p w14:paraId="32F4397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147147 (104738, 199023)</w:t>
            </w:r>
          </w:p>
        </w:tc>
        <w:tc>
          <w:tcPr>
            <w:tcW w:w="795" w:type="pct"/>
            <w:shd w:val="clear" w:color="auto" w:fill="F1F1F1" w:themeFill="background1" w:themeFillShade="F2"/>
            <w:noWrap/>
            <w:vAlign w:val="center"/>
          </w:tcPr>
          <w:p w14:paraId="5E4E123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334.8 (235.03, 457.33)</w:t>
            </w:r>
          </w:p>
        </w:tc>
        <w:tc>
          <w:tcPr>
            <w:tcW w:w="705" w:type="pct"/>
            <w:shd w:val="clear" w:color="auto" w:fill="F1F1F1" w:themeFill="background1" w:themeFillShade="F2"/>
            <w:noWrap/>
            <w:vAlign w:val="center"/>
          </w:tcPr>
          <w:p w14:paraId="741D2BA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248.13 (176.61, 335.6)</w:t>
            </w:r>
          </w:p>
        </w:tc>
        <w:tc>
          <w:tcPr>
            <w:tcW w:w="526" w:type="pct"/>
            <w:shd w:val="clear" w:color="auto" w:fill="F1F1F1" w:themeFill="background1" w:themeFillShade="F2"/>
            <w:noWrap/>
            <w:vAlign w:val="center"/>
          </w:tcPr>
          <w:p w14:paraId="1E20B2E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0.85 (0.81, 0.9)</w:t>
            </w:r>
          </w:p>
        </w:tc>
      </w:tr>
      <w:tr w14:paraId="6088854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282C44D0">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Central Latin America</w:t>
            </w:r>
          </w:p>
        </w:tc>
        <w:tc>
          <w:tcPr>
            <w:tcW w:w="930" w:type="pct"/>
            <w:noWrap/>
            <w:vAlign w:val="center"/>
          </w:tcPr>
          <w:p w14:paraId="45589E2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246939 (174539, 339994)</w:t>
            </w:r>
          </w:p>
        </w:tc>
        <w:tc>
          <w:tcPr>
            <w:tcW w:w="870" w:type="pct"/>
            <w:noWrap/>
            <w:vAlign w:val="center"/>
          </w:tcPr>
          <w:p w14:paraId="73B7252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92546 (65769, 127118)</w:t>
            </w:r>
          </w:p>
        </w:tc>
        <w:tc>
          <w:tcPr>
            <w:tcW w:w="795" w:type="pct"/>
            <w:noWrap/>
            <w:vAlign w:val="center"/>
          </w:tcPr>
          <w:p w14:paraId="5419998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197.63 (139.69, 272.1)</w:t>
            </w:r>
          </w:p>
        </w:tc>
        <w:tc>
          <w:tcPr>
            <w:tcW w:w="705" w:type="pct"/>
            <w:noWrap/>
            <w:vAlign w:val="center"/>
          </w:tcPr>
          <w:p w14:paraId="752448E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135.68 (96.43, 186.37)</w:t>
            </w:r>
          </w:p>
        </w:tc>
        <w:tc>
          <w:tcPr>
            <w:tcW w:w="526" w:type="pct"/>
            <w:noWrap/>
            <w:vAlign w:val="center"/>
          </w:tcPr>
          <w:p w14:paraId="0C0CC25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1.25 (1.24, 1.27)</w:t>
            </w:r>
          </w:p>
        </w:tc>
      </w:tr>
      <w:tr w14:paraId="582A383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706EEB48">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Central Sub-Saharan Africa</w:t>
            </w:r>
          </w:p>
        </w:tc>
        <w:tc>
          <w:tcPr>
            <w:tcW w:w="930" w:type="pct"/>
            <w:shd w:val="clear" w:color="auto" w:fill="F1F1F1" w:themeFill="background1" w:themeFillShade="F2"/>
            <w:noWrap/>
            <w:vAlign w:val="center"/>
          </w:tcPr>
          <w:p w14:paraId="6A45233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139320 (99086, 186301)</w:t>
            </w:r>
          </w:p>
        </w:tc>
        <w:tc>
          <w:tcPr>
            <w:tcW w:w="870" w:type="pct"/>
            <w:shd w:val="clear" w:color="auto" w:fill="F1F1F1" w:themeFill="background1" w:themeFillShade="F2"/>
            <w:noWrap/>
            <w:vAlign w:val="center"/>
          </w:tcPr>
          <w:p w14:paraId="7964CAC5">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46350 (32803, 63743)</w:t>
            </w:r>
          </w:p>
        </w:tc>
        <w:tc>
          <w:tcPr>
            <w:tcW w:w="795" w:type="pct"/>
            <w:shd w:val="clear" w:color="auto" w:fill="F1F1F1" w:themeFill="background1" w:themeFillShade="F2"/>
            <w:noWrap/>
            <w:vAlign w:val="center"/>
          </w:tcPr>
          <w:p w14:paraId="2AC3E6F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256.37 (182.33, 342.82)</w:t>
            </w:r>
          </w:p>
        </w:tc>
        <w:tc>
          <w:tcPr>
            <w:tcW w:w="705" w:type="pct"/>
            <w:shd w:val="clear" w:color="auto" w:fill="F1F1F1" w:themeFill="background1" w:themeFillShade="F2"/>
            <w:noWrap/>
            <w:vAlign w:val="center"/>
          </w:tcPr>
          <w:p w14:paraId="387FA3A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229.3 (162.27, 315.34)</w:t>
            </w:r>
          </w:p>
        </w:tc>
        <w:tc>
          <w:tcPr>
            <w:tcW w:w="526" w:type="pct"/>
            <w:shd w:val="clear" w:color="auto" w:fill="F1F1F1" w:themeFill="background1" w:themeFillShade="F2"/>
            <w:noWrap/>
            <w:vAlign w:val="center"/>
          </w:tcPr>
          <w:p w14:paraId="13B66AC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0.4 (0.36, 0.43)</w:t>
            </w:r>
          </w:p>
        </w:tc>
      </w:tr>
      <w:tr w14:paraId="1CC0869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66BB8878">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East Asia</w:t>
            </w:r>
          </w:p>
        </w:tc>
        <w:tc>
          <w:tcPr>
            <w:tcW w:w="930" w:type="pct"/>
            <w:noWrap/>
            <w:vAlign w:val="center"/>
          </w:tcPr>
          <w:p w14:paraId="436F526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6176028 (4351221, 8185390)</w:t>
            </w:r>
          </w:p>
        </w:tc>
        <w:tc>
          <w:tcPr>
            <w:tcW w:w="870" w:type="pct"/>
            <w:noWrap/>
            <w:vAlign w:val="center"/>
          </w:tcPr>
          <w:p w14:paraId="20B978C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3027376 (2168016, 4022545)</w:t>
            </w:r>
          </w:p>
        </w:tc>
        <w:tc>
          <w:tcPr>
            <w:tcW w:w="795" w:type="pct"/>
            <w:noWrap/>
            <w:vAlign w:val="center"/>
          </w:tcPr>
          <w:p w14:paraId="065B8D6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839.47 (591.44, 1112.6)</w:t>
            </w:r>
          </w:p>
        </w:tc>
        <w:tc>
          <w:tcPr>
            <w:tcW w:w="705" w:type="pct"/>
            <w:noWrap/>
            <w:vAlign w:val="center"/>
          </w:tcPr>
          <w:p w14:paraId="014CDF8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497.64 (356.38, 661.23)</w:t>
            </w:r>
          </w:p>
        </w:tc>
        <w:tc>
          <w:tcPr>
            <w:tcW w:w="526" w:type="pct"/>
            <w:noWrap/>
            <w:vAlign w:val="center"/>
          </w:tcPr>
          <w:p w14:paraId="7D28AEA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1.95 (1.84, 2.06)</w:t>
            </w:r>
          </w:p>
        </w:tc>
      </w:tr>
      <w:tr w14:paraId="2894229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20F76EE0">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Eastern Sub-Saharan Africa</w:t>
            </w:r>
          </w:p>
        </w:tc>
        <w:tc>
          <w:tcPr>
            <w:tcW w:w="930" w:type="pct"/>
            <w:shd w:val="clear" w:color="auto" w:fill="F1F1F1" w:themeFill="background1" w:themeFillShade="F2"/>
            <w:noWrap/>
            <w:vAlign w:val="center"/>
          </w:tcPr>
          <w:p w14:paraId="4F65471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423799 (303935, 580844)</w:t>
            </w:r>
          </w:p>
        </w:tc>
        <w:tc>
          <w:tcPr>
            <w:tcW w:w="870" w:type="pct"/>
            <w:shd w:val="clear" w:color="auto" w:fill="F1F1F1" w:themeFill="background1" w:themeFillShade="F2"/>
            <w:noWrap/>
            <w:vAlign w:val="center"/>
          </w:tcPr>
          <w:p w14:paraId="7B6419C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153125 (109887, 208976)</w:t>
            </w:r>
          </w:p>
        </w:tc>
        <w:tc>
          <w:tcPr>
            <w:tcW w:w="795" w:type="pct"/>
            <w:shd w:val="clear" w:color="auto" w:fill="F1F1F1" w:themeFill="background1" w:themeFillShade="F2"/>
            <w:noWrap/>
            <w:vAlign w:val="center"/>
          </w:tcPr>
          <w:p w14:paraId="4A3E203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247.15 (177.25, 338.73)</w:t>
            </w:r>
          </w:p>
        </w:tc>
        <w:tc>
          <w:tcPr>
            <w:tcW w:w="705" w:type="pct"/>
            <w:shd w:val="clear" w:color="auto" w:fill="F1F1F1" w:themeFill="background1" w:themeFillShade="F2"/>
            <w:noWrap/>
            <w:vAlign w:val="center"/>
          </w:tcPr>
          <w:p w14:paraId="4C66C2E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225.98 (162.17, 308.4)</w:t>
            </w:r>
          </w:p>
        </w:tc>
        <w:tc>
          <w:tcPr>
            <w:tcW w:w="526" w:type="pct"/>
            <w:shd w:val="clear" w:color="auto" w:fill="F1F1F1" w:themeFill="background1" w:themeFillShade="F2"/>
            <w:noWrap/>
            <w:vAlign w:val="center"/>
          </w:tcPr>
          <w:p w14:paraId="1D5031D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0.32 (0.25, 0.39)</w:t>
            </w:r>
          </w:p>
        </w:tc>
      </w:tr>
      <w:tr w14:paraId="3A02FC9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55FF40B6">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High-income Asia Pacific</w:t>
            </w:r>
          </w:p>
        </w:tc>
        <w:tc>
          <w:tcPr>
            <w:tcW w:w="930" w:type="pct"/>
            <w:noWrap/>
            <w:vAlign w:val="center"/>
          </w:tcPr>
          <w:p w14:paraId="3C6261C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603685 (418251, 824249)</w:t>
            </w:r>
          </w:p>
        </w:tc>
        <w:tc>
          <w:tcPr>
            <w:tcW w:w="870" w:type="pct"/>
            <w:noWrap/>
            <w:vAlign w:val="center"/>
          </w:tcPr>
          <w:p w14:paraId="254D0893">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477759 (334198, 652590)</w:t>
            </w:r>
          </w:p>
        </w:tc>
        <w:tc>
          <w:tcPr>
            <w:tcW w:w="795" w:type="pct"/>
            <w:noWrap/>
            <w:vAlign w:val="center"/>
          </w:tcPr>
          <w:p w14:paraId="174EB29E">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717.36 (497.01, 979.45)</w:t>
            </w:r>
          </w:p>
        </w:tc>
        <w:tc>
          <w:tcPr>
            <w:tcW w:w="705" w:type="pct"/>
            <w:noWrap/>
            <w:vAlign w:val="center"/>
          </w:tcPr>
          <w:p w14:paraId="4127084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542.38 (379.4, 740.86)</w:t>
            </w:r>
          </w:p>
        </w:tc>
        <w:tc>
          <w:tcPr>
            <w:tcW w:w="526" w:type="pct"/>
            <w:noWrap/>
            <w:vAlign w:val="center"/>
          </w:tcPr>
          <w:p w14:paraId="1174699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0.9 (0.86, 0.95)</w:t>
            </w:r>
          </w:p>
        </w:tc>
      </w:tr>
      <w:tr w14:paraId="4536AF6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1FA07AE1">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North Africa and Middle East</w:t>
            </w:r>
          </w:p>
        </w:tc>
        <w:tc>
          <w:tcPr>
            <w:tcW w:w="930" w:type="pct"/>
            <w:shd w:val="clear" w:color="auto" w:fill="F1F1F1" w:themeFill="background1" w:themeFillShade="F2"/>
            <w:noWrap/>
            <w:vAlign w:val="center"/>
          </w:tcPr>
          <w:p w14:paraId="6A96DDA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1187839 (844972, 1606479)</w:t>
            </w:r>
          </w:p>
        </w:tc>
        <w:tc>
          <w:tcPr>
            <w:tcW w:w="870" w:type="pct"/>
            <w:shd w:val="clear" w:color="auto" w:fill="F1F1F1" w:themeFill="background1" w:themeFillShade="F2"/>
            <w:noWrap/>
            <w:vAlign w:val="center"/>
          </w:tcPr>
          <w:p w14:paraId="38C260A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354534 (254400, 478614)</w:t>
            </w:r>
          </w:p>
        </w:tc>
        <w:tc>
          <w:tcPr>
            <w:tcW w:w="795" w:type="pct"/>
            <w:shd w:val="clear" w:color="auto" w:fill="F1F1F1" w:themeFill="background1" w:themeFillShade="F2"/>
            <w:noWrap/>
            <w:vAlign w:val="center"/>
          </w:tcPr>
          <w:p w14:paraId="1402D2B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382.83 (272.33, 517.76)</w:t>
            </w:r>
          </w:p>
        </w:tc>
        <w:tc>
          <w:tcPr>
            <w:tcW w:w="705" w:type="pct"/>
            <w:shd w:val="clear" w:color="auto" w:fill="F1F1F1" w:themeFill="background1" w:themeFillShade="F2"/>
            <w:noWrap/>
            <w:vAlign w:val="center"/>
          </w:tcPr>
          <w:p w14:paraId="4B5A8D7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264.27 (189.63, 356.76)</w:t>
            </w:r>
          </w:p>
        </w:tc>
        <w:tc>
          <w:tcPr>
            <w:tcW w:w="526" w:type="pct"/>
            <w:shd w:val="clear" w:color="auto" w:fill="F1F1F1" w:themeFill="background1" w:themeFillShade="F2"/>
            <w:noWrap/>
            <w:vAlign w:val="center"/>
          </w:tcPr>
          <w:p w14:paraId="6BF2305F">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1.19 (1.13, 1.26)</w:t>
            </w:r>
          </w:p>
        </w:tc>
      </w:tr>
      <w:tr w14:paraId="1DCE330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5DF43592">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Oceania</w:t>
            </w:r>
          </w:p>
        </w:tc>
        <w:tc>
          <w:tcPr>
            <w:tcW w:w="930" w:type="pct"/>
            <w:noWrap/>
            <w:vAlign w:val="center"/>
          </w:tcPr>
          <w:p w14:paraId="7CB8077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31480 (22639, 42355)</w:t>
            </w:r>
          </w:p>
        </w:tc>
        <w:tc>
          <w:tcPr>
            <w:tcW w:w="870" w:type="pct"/>
            <w:noWrap/>
            <w:vAlign w:val="center"/>
          </w:tcPr>
          <w:p w14:paraId="3B04445E">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11583 (8478, 15327)</w:t>
            </w:r>
          </w:p>
        </w:tc>
        <w:tc>
          <w:tcPr>
            <w:tcW w:w="795" w:type="pct"/>
            <w:noWrap/>
            <w:vAlign w:val="center"/>
          </w:tcPr>
          <w:p w14:paraId="2DBF8AAA">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499.12 (358.94, 671.55)</w:t>
            </w:r>
          </w:p>
        </w:tc>
        <w:tc>
          <w:tcPr>
            <w:tcW w:w="705" w:type="pct"/>
            <w:noWrap/>
            <w:vAlign w:val="center"/>
          </w:tcPr>
          <w:p w14:paraId="28375E4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428.6 (313.73, 567.13)</w:t>
            </w:r>
          </w:p>
        </w:tc>
        <w:tc>
          <w:tcPr>
            <w:tcW w:w="526" w:type="pct"/>
            <w:noWrap/>
            <w:vAlign w:val="center"/>
          </w:tcPr>
          <w:p w14:paraId="6F29487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0.48 (0.47, 0.49)</w:t>
            </w:r>
          </w:p>
        </w:tc>
      </w:tr>
      <w:tr w14:paraId="79EF293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0A87A0AE">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South Asia</w:t>
            </w:r>
          </w:p>
        </w:tc>
        <w:tc>
          <w:tcPr>
            <w:tcW w:w="930" w:type="pct"/>
            <w:shd w:val="clear" w:color="auto" w:fill="F1F1F1" w:themeFill="background1" w:themeFillShade="F2"/>
            <w:noWrap/>
            <w:vAlign w:val="center"/>
          </w:tcPr>
          <w:p w14:paraId="102BFB9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2623251 (1867585, 3558220)</w:t>
            </w:r>
          </w:p>
        </w:tc>
        <w:tc>
          <w:tcPr>
            <w:tcW w:w="870" w:type="pct"/>
            <w:shd w:val="clear" w:color="auto" w:fill="F1F1F1" w:themeFill="background1" w:themeFillShade="F2"/>
            <w:noWrap/>
            <w:vAlign w:val="center"/>
          </w:tcPr>
          <w:p w14:paraId="025FBB8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1120630 (795351, 1524285)</w:t>
            </w:r>
          </w:p>
        </w:tc>
        <w:tc>
          <w:tcPr>
            <w:tcW w:w="795" w:type="pct"/>
            <w:shd w:val="clear" w:color="auto" w:fill="F1F1F1" w:themeFill="background1" w:themeFillShade="F2"/>
            <w:noWrap/>
            <w:vAlign w:val="center"/>
          </w:tcPr>
          <w:p w14:paraId="2DAA048F">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286.76 (204.16, 388.97)</w:t>
            </w:r>
          </w:p>
        </w:tc>
        <w:tc>
          <w:tcPr>
            <w:tcW w:w="705" w:type="pct"/>
            <w:shd w:val="clear" w:color="auto" w:fill="F1F1F1" w:themeFill="background1" w:themeFillShade="F2"/>
            <w:noWrap/>
            <w:vAlign w:val="center"/>
          </w:tcPr>
          <w:p w14:paraId="6E7DA59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245.73 (174.4, 334.24)</w:t>
            </w:r>
          </w:p>
        </w:tc>
        <w:tc>
          <w:tcPr>
            <w:tcW w:w="526" w:type="pct"/>
            <w:shd w:val="clear" w:color="auto" w:fill="F1F1F1" w:themeFill="background1" w:themeFillShade="F2"/>
            <w:noWrap/>
            <w:vAlign w:val="center"/>
          </w:tcPr>
          <w:p w14:paraId="6547435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0.53 (0.5, 0.55)</w:t>
            </w:r>
          </w:p>
        </w:tc>
      </w:tr>
      <w:tr w14:paraId="3F1C6AD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670CD6D4">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Southeast Asia</w:t>
            </w:r>
          </w:p>
        </w:tc>
        <w:tc>
          <w:tcPr>
            <w:tcW w:w="930" w:type="pct"/>
            <w:noWrap/>
            <w:vAlign w:val="center"/>
          </w:tcPr>
          <w:p w14:paraId="729A778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1966364 (1401354, 2630795)</w:t>
            </w:r>
          </w:p>
        </w:tc>
        <w:tc>
          <w:tcPr>
            <w:tcW w:w="870" w:type="pct"/>
            <w:noWrap/>
            <w:vAlign w:val="center"/>
          </w:tcPr>
          <w:p w14:paraId="2AE8613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752270 (536916, 1013725)</w:t>
            </w:r>
          </w:p>
        </w:tc>
        <w:tc>
          <w:tcPr>
            <w:tcW w:w="795" w:type="pct"/>
            <w:noWrap/>
            <w:vAlign w:val="center"/>
          </w:tcPr>
          <w:p w14:paraId="2FE5650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554.72 (395.33, 742.16)</w:t>
            </w:r>
          </w:p>
        </w:tc>
        <w:tc>
          <w:tcPr>
            <w:tcW w:w="705" w:type="pct"/>
            <w:noWrap/>
            <w:vAlign w:val="center"/>
          </w:tcPr>
          <w:p w14:paraId="0E626BCF">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370.09 (264.15, 498.72)</w:t>
            </w:r>
          </w:p>
        </w:tc>
        <w:tc>
          <w:tcPr>
            <w:tcW w:w="526" w:type="pct"/>
            <w:noWrap/>
            <w:vAlign w:val="center"/>
          </w:tcPr>
          <w:p w14:paraId="70CE8DA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1.47 (1.42, 1.51)</w:t>
            </w:r>
          </w:p>
        </w:tc>
      </w:tr>
      <w:tr w14:paraId="1D76D75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403BEF5B">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Southern Latin America</w:t>
            </w:r>
          </w:p>
        </w:tc>
        <w:tc>
          <w:tcPr>
            <w:tcW w:w="930" w:type="pct"/>
            <w:shd w:val="clear" w:color="auto" w:fill="F1F1F1" w:themeFill="background1" w:themeFillShade="F2"/>
            <w:noWrap/>
            <w:vAlign w:val="center"/>
          </w:tcPr>
          <w:p w14:paraId="565A5ECF">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246592 (176827, 332270)</w:t>
            </w:r>
          </w:p>
        </w:tc>
        <w:tc>
          <w:tcPr>
            <w:tcW w:w="870" w:type="pct"/>
            <w:shd w:val="clear" w:color="auto" w:fill="F1F1F1" w:themeFill="background1" w:themeFillShade="F2"/>
            <w:noWrap/>
            <w:vAlign w:val="center"/>
          </w:tcPr>
          <w:p w14:paraId="63F4027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122223 (86337, 166342)</w:t>
            </w:r>
          </w:p>
        </w:tc>
        <w:tc>
          <w:tcPr>
            <w:tcW w:w="795" w:type="pct"/>
            <w:shd w:val="clear" w:color="auto" w:fill="F1F1F1" w:themeFill="background1" w:themeFillShade="F2"/>
            <w:noWrap/>
            <w:vAlign w:val="center"/>
          </w:tcPr>
          <w:p w14:paraId="231066B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736.78 (528.34, 992.78)</w:t>
            </w:r>
          </w:p>
        </w:tc>
        <w:tc>
          <w:tcPr>
            <w:tcW w:w="705" w:type="pct"/>
            <w:shd w:val="clear" w:color="auto" w:fill="F1F1F1" w:themeFill="background1" w:themeFillShade="F2"/>
            <w:noWrap/>
            <w:vAlign w:val="center"/>
          </w:tcPr>
          <w:p w14:paraId="4740D371">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549.62 (388.25, 748.02)</w:t>
            </w:r>
          </w:p>
        </w:tc>
        <w:tc>
          <w:tcPr>
            <w:tcW w:w="526" w:type="pct"/>
            <w:shd w:val="clear" w:color="auto" w:fill="F1F1F1" w:themeFill="background1" w:themeFillShade="F2"/>
            <w:noWrap/>
            <w:vAlign w:val="center"/>
          </w:tcPr>
          <w:p w14:paraId="1CFC7DE7">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0.89 (0.82, 0.95)</w:t>
            </w:r>
          </w:p>
        </w:tc>
      </w:tr>
      <w:tr w14:paraId="00FA52C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732F1471">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Southern Sub-Saharan Africa</w:t>
            </w:r>
          </w:p>
        </w:tc>
        <w:tc>
          <w:tcPr>
            <w:tcW w:w="930" w:type="pct"/>
            <w:noWrap/>
            <w:vAlign w:val="center"/>
          </w:tcPr>
          <w:p w14:paraId="703020F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144400 (103359, 191902)</w:t>
            </w:r>
          </w:p>
        </w:tc>
        <w:tc>
          <w:tcPr>
            <w:tcW w:w="870" w:type="pct"/>
            <w:noWrap/>
            <w:vAlign w:val="center"/>
          </w:tcPr>
          <w:p w14:paraId="016DB5E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62105 (43963, 83950)</w:t>
            </w:r>
          </w:p>
        </w:tc>
        <w:tc>
          <w:tcPr>
            <w:tcW w:w="795" w:type="pct"/>
            <w:noWrap/>
            <w:vAlign w:val="center"/>
          </w:tcPr>
          <w:p w14:paraId="68E8BA8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367.39 (262.97, 488.25)</w:t>
            </w:r>
          </w:p>
        </w:tc>
        <w:tc>
          <w:tcPr>
            <w:tcW w:w="705" w:type="pct"/>
            <w:noWrap/>
            <w:vAlign w:val="center"/>
          </w:tcPr>
          <w:p w14:paraId="4348DC2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288.42 (204.17, 389.87)</w:t>
            </w:r>
          </w:p>
        </w:tc>
        <w:tc>
          <w:tcPr>
            <w:tcW w:w="526" w:type="pct"/>
            <w:noWrap/>
            <w:vAlign w:val="center"/>
          </w:tcPr>
          <w:p w14:paraId="5D32CD4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0.71 (0.65, 0.77)</w:t>
            </w:r>
          </w:p>
        </w:tc>
      </w:tr>
      <w:tr w14:paraId="2A72963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1E471774">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Tropical Latin America</w:t>
            </w:r>
          </w:p>
        </w:tc>
        <w:tc>
          <w:tcPr>
            <w:tcW w:w="930" w:type="pct"/>
            <w:shd w:val="clear" w:color="auto" w:fill="F1F1F1" w:themeFill="background1" w:themeFillShade="F2"/>
            <w:noWrap/>
            <w:vAlign w:val="center"/>
          </w:tcPr>
          <w:p w14:paraId="285B9196">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288193 (204140, 397448)</w:t>
            </w:r>
          </w:p>
        </w:tc>
        <w:tc>
          <w:tcPr>
            <w:tcW w:w="870" w:type="pct"/>
            <w:shd w:val="clear" w:color="auto" w:fill="F1F1F1" w:themeFill="background1" w:themeFillShade="F2"/>
            <w:noWrap/>
            <w:vAlign w:val="center"/>
          </w:tcPr>
          <w:p w14:paraId="5BED01A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110497 (77778, 152336)</w:t>
            </w:r>
          </w:p>
        </w:tc>
        <w:tc>
          <w:tcPr>
            <w:tcW w:w="795" w:type="pct"/>
            <w:shd w:val="clear" w:color="auto" w:fill="F1F1F1" w:themeFill="background1" w:themeFillShade="F2"/>
            <w:noWrap/>
            <w:vAlign w:val="center"/>
          </w:tcPr>
          <w:p w14:paraId="2E65DAF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247.08 (175.02, 340.75)</w:t>
            </w:r>
          </w:p>
        </w:tc>
        <w:tc>
          <w:tcPr>
            <w:tcW w:w="705" w:type="pct"/>
            <w:shd w:val="clear" w:color="auto" w:fill="F1F1F1" w:themeFill="background1" w:themeFillShade="F2"/>
            <w:noWrap/>
            <w:vAlign w:val="center"/>
          </w:tcPr>
          <w:p w14:paraId="148E362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162.14 (114.13, 223.53)</w:t>
            </w:r>
          </w:p>
        </w:tc>
        <w:tc>
          <w:tcPr>
            <w:tcW w:w="526" w:type="pct"/>
            <w:shd w:val="clear" w:color="auto" w:fill="F1F1F1" w:themeFill="background1" w:themeFillShade="F2"/>
            <w:noWrap/>
            <w:vAlign w:val="center"/>
          </w:tcPr>
          <w:p w14:paraId="2EC0831C">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1.39 (1.36, 1.42)</w:t>
            </w:r>
          </w:p>
        </w:tc>
      </w:tr>
      <w:tr w14:paraId="0EACF7C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noWrap/>
            <w:vAlign w:val="center"/>
          </w:tcPr>
          <w:p w14:paraId="08F8F1E1">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Western Europe</w:t>
            </w:r>
          </w:p>
        </w:tc>
        <w:tc>
          <w:tcPr>
            <w:tcW w:w="930" w:type="pct"/>
            <w:noWrap/>
            <w:vAlign w:val="center"/>
          </w:tcPr>
          <w:p w14:paraId="516405E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1079110 (744800, 1478030)</w:t>
            </w:r>
          </w:p>
        </w:tc>
        <w:tc>
          <w:tcPr>
            <w:tcW w:w="870" w:type="pct"/>
            <w:noWrap/>
            <w:vAlign w:val="center"/>
          </w:tcPr>
          <w:p w14:paraId="05442FF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796679 (548775, 1093081)</w:t>
            </w:r>
          </w:p>
        </w:tc>
        <w:tc>
          <w:tcPr>
            <w:tcW w:w="795" w:type="pct"/>
            <w:noWrap/>
            <w:vAlign w:val="center"/>
          </w:tcPr>
          <w:p w14:paraId="23F1BD0D">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549.04 (378.95, 752.01)</w:t>
            </w:r>
          </w:p>
        </w:tc>
        <w:tc>
          <w:tcPr>
            <w:tcW w:w="705" w:type="pct"/>
            <w:noWrap/>
            <w:vAlign w:val="center"/>
          </w:tcPr>
          <w:p w14:paraId="0BEE61C9">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421.62 (290.43, 578.49)</w:t>
            </w:r>
          </w:p>
        </w:tc>
        <w:tc>
          <w:tcPr>
            <w:tcW w:w="526" w:type="pct"/>
            <w:noWrap/>
            <w:vAlign w:val="center"/>
          </w:tcPr>
          <w:p w14:paraId="532A0920">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0.94 (0.88, 1.01)</w:t>
            </w:r>
          </w:p>
        </w:tc>
      </w:tr>
      <w:tr w14:paraId="6C7EBEA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171" w:type="pct"/>
            <w:tcBorders>
              <w:right w:val="single" w:color="7E7E7E" w:themeColor="text1" w:themeTint="80" w:sz="4" w:space="0"/>
              <w:insideV w:val="single" w:sz="4" w:space="0"/>
            </w:tcBorders>
            <w:shd w:val="clear" w:color="auto" w:fill="F1F1F1" w:themeFill="background1" w:themeFillShade="F2"/>
            <w:noWrap/>
            <w:vAlign w:val="center"/>
          </w:tcPr>
          <w:p w14:paraId="1CAB51E3">
            <w:pPr>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Western Sub-Saharan Africa</w:t>
            </w:r>
          </w:p>
        </w:tc>
        <w:tc>
          <w:tcPr>
            <w:tcW w:w="930" w:type="pct"/>
            <w:shd w:val="clear" w:color="auto" w:fill="F1F1F1" w:themeFill="background1" w:themeFillShade="F2"/>
            <w:noWrap/>
            <w:vAlign w:val="center"/>
          </w:tcPr>
          <w:p w14:paraId="73711FD8">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491910 (351958, 666116)</w:t>
            </w:r>
          </w:p>
        </w:tc>
        <w:tc>
          <w:tcPr>
            <w:tcW w:w="870" w:type="pct"/>
            <w:shd w:val="clear" w:color="auto" w:fill="F1F1F1" w:themeFill="background1" w:themeFillShade="F2"/>
            <w:noWrap/>
            <w:vAlign w:val="center"/>
          </w:tcPr>
          <w:p w14:paraId="55DF8C04">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178840 (127544, 241994)</w:t>
            </w:r>
          </w:p>
        </w:tc>
        <w:tc>
          <w:tcPr>
            <w:tcW w:w="795" w:type="pct"/>
            <w:shd w:val="clear" w:color="auto" w:fill="F1F1F1" w:themeFill="background1" w:themeFillShade="F2"/>
            <w:noWrap/>
            <w:vAlign w:val="center"/>
          </w:tcPr>
          <w:p w14:paraId="7C0B5AAE">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260.12 (186.11, 352.24)</w:t>
            </w:r>
          </w:p>
        </w:tc>
        <w:tc>
          <w:tcPr>
            <w:tcW w:w="705" w:type="pct"/>
            <w:shd w:val="clear" w:color="auto" w:fill="F1F1F1" w:themeFill="background1" w:themeFillShade="F2"/>
            <w:noWrap/>
            <w:vAlign w:val="center"/>
          </w:tcPr>
          <w:p w14:paraId="5AA2AE42">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251.08 (179.06, 339.74)</w:t>
            </w:r>
          </w:p>
        </w:tc>
        <w:tc>
          <w:tcPr>
            <w:tcW w:w="526" w:type="pct"/>
            <w:shd w:val="clear" w:color="auto" w:fill="F1F1F1" w:themeFill="background1" w:themeFillShade="F2"/>
            <w:noWrap/>
            <w:vAlign w:val="center"/>
          </w:tcPr>
          <w:p w14:paraId="2E040D4B">
            <w:pPr>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0.12 (0.09, 0.14)</w:t>
            </w:r>
          </w:p>
        </w:tc>
      </w:tr>
    </w:tbl>
    <w:p w14:paraId="6FEDBED9">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default" w:ascii="宋体" w:hAnsi="宋体" w:eastAsia="宋体" w:cs="宋体"/>
          <w:sz w:val="24"/>
          <w:szCs w:val="24"/>
        </w:rPr>
      </w:pPr>
    </w:p>
    <w:p w14:paraId="3946EAAC">
      <w:pPr>
        <w:keepNext/>
        <w:spacing w:after="0" w:line="240" w:lineRule="auto"/>
        <w:ind w:firstLine="480" w:firstLineChars="200"/>
        <w:jc w:val="center"/>
        <w:rPr>
          <w:rFonts w:ascii="Times New Roman" w:hAnsi="Times New Roman" w:cs="Times New Roman"/>
          <w:sz w:val="24"/>
        </w:rPr>
      </w:pPr>
      <w:r>
        <w:rPr>
          <w:rFonts w:hint="eastAsia" w:ascii="Times New Roman" w:hAnsi="Times New Roman" w:cs="Times New Roman"/>
          <w:b/>
          <w:bCs/>
          <w:sz w:val="24"/>
        </w:rPr>
        <w:t>Table 3</w:t>
      </w:r>
      <w:r>
        <w:rPr>
          <w:rFonts w:hint="eastAsia" w:ascii="Times New Roman" w:hAnsi="Times New Roman" w:cs="Times New Roman"/>
          <w:sz w:val="24"/>
          <w:lang w:val="en-US" w:eastAsia="zh-CN"/>
        </w:rPr>
        <w:t>.</w:t>
      </w:r>
      <w:r>
        <w:rPr>
          <w:rFonts w:hint="eastAsia" w:ascii="Times New Roman" w:hAnsi="Times New Roman" w:cs="Times New Roman"/>
          <w:sz w:val="24"/>
        </w:rPr>
        <w:t xml:space="preserve"> The Number and Rate of DALYs of Gout in 1990 and 2021 for both sexes by aged 20-54 years, with Rate EAPC from 1990 to 2021</w:t>
      </w:r>
    </w:p>
    <w:tbl>
      <w:tblPr>
        <w:tblStyle w:val="12"/>
        <w:tblW w:w="5000" w:type="pct"/>
        <w:jc w:val="center"/>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273"/>
        <w:gridCol w:w="1444"/>
        <w:gridCol w:w="1444"/>
        <w:gridCol w:w="1179"/>
        <w:gridCol w:w="1179"/>
        <w:gridCol w:w="1003"/>
      </w:tblGrid>
      <w:tr w14:paraId="25C0BA4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333" w:type="pct"/>
            <w:tcBorders>
              <w:bottom w:val="single" w:color="7E7E7E" w:themeColor="text1" w:themeTint="80" w:sz="4" w:space="0"/>
              <w:right w:val="nil"/>
              <w:insideH w:val="single" w:sz="4" w:space="0"/>
            </w:tcBorders>
            <w:noWrap/>
            <w:vAlign w:val="center"/>
          </w:tcPr>
          <w:p w14:paraId="70A58B51">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location_name</w:t>
            </w:r>
          </w:p>
        </w:tc>
        <w:tc>
          <w:tcPr>
            <w:tcW w:w="847" w:type="pct"/>
            <w:tcBorders>
              <w:bottom w:val="single" w:color="7E7E7E" w:themeColor="text1" w:themeTint="80" w:sz="4" w:space="0"/>
              <w:insideH w:val="single" w:sz="4" w:space="0"/>
            </w:tcBorders>
            <w:noWrap/>
            <w:vAlign w:val="center"/>
          </w:tcPr>
          <w:p w14:paraId="19DEA388">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Number_2021</w:t>
            </w:r>
          </w:p>
        </w:tc>
        <w:tc>
          <w:tcPr>
            <w:tcW w:w="847" w:type="pct"/>
            <w:tcBorders>
              <w:bottom w:val="single" w:color="7E7E7E" w:themeColor="text1" w:themeTint="80" w:sz="4" w:space="0"/>
              <w:insideH w:val="single" w:sz="4" w:space="0"/>
            </w:tcBorders>
            <w:noWrap/>
            <w:vAlign w:val="center"/>
          </w:tcPr>
          <w:p w14:paraId="0D344AB0">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Number_1990</w:t>
            </w:r>
          </w:p>
        </w:tc>
        <w:tc>
          <w:tcPr>
            <w:tcW w:w="691" w:type="pct"/>
            <w:tcBorders>
              <w:bottom w:val="single" w:color="7E7E7E" w:themeColor="text1" w:themeTint="80" w:sz="4" w:space="0"/>
              <w:insideH w:val="single" w:sz="4" w:space="0"/>
            </w:tcBorders>
            <w:noWrap/>
            <w:vAlign w:val="center"/>
          </w:tcPr>
          <w:p w14:paraId="2A21F0D8">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Rate_2021</w:t>
            </w:r>
          </w:p>
        </w:tc>
        <w:tc>
          <w:tcPr>
            <w:tcW w:w="691" w:type="pct"/>
            <w:tcBorders>
              <w:bottom w:val="single" w:color="7E7E7E" w:themeColor="text1" w:themeTint="80" w:sz="4" w:space="0"/>
              <w:insideH w:val="single" w:sz="4" w:space="0"/>
            </w:tcBorders>
            <w:noWrap/>
            <w:vAlign w:val="center"/>
          </w:tcPr>
          <w:p w14:paraId="73215D11">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Rate_1990</w:t>
            </w:r>
          </w:p>
        </w:tc>
        <w:tc>
          <w:tcPr>
            <w:tcW w:w="588" w:type="pct"/>
            <w:tcBorders>
              <w:bottom w:val="single" w:color="7E7E7E" w:themeColor="text1" w:themeTint="80" w:sz="4" w:space="0"/>
              <w:insideH w:val="single" w:sz="4" w:space="0"/>
            </w:tcBorders>
            <w:noWrap/>
            <w:vAlign w:val="center"/>
          </w:tcPr>
          <w:p w14:paraId="61FC43C5">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EAPC_Rate</w:t>
            </w:r>
          </w:p>
        </w:tc>
      </w:tr>
      <w:tr w14:paraId="0CD9335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6DB7FEBA">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Global</w:t>
            </w:r>
          </w:p>
        </w:tc>
        <w:tc>
          <w:tcPr>
            <w:tcW w:w="847" w:type="pct"/>
            <w:shd w:val="clear" w:color="auto" w:fill="F1F1F1" w:themeFill="background1" w:themeFillShade="F2"/>
            <w:noWrap/>
            <w:vAlign w:val="center"/>
          </w:tcPr>
          <w:p w14:paraId="46B40ED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629303 (386588, 959547)</w:t>
            </w:r>
          </w:p>
        </w:tc>
        <w:tc>
          <w:tcPr>
            <w:tcW w:w="847" w:type="pct"/>
            <w:shd w:val="clear" w:color="auto" w:fill="F1F1F1" w:themeFill="background1" w:themeFillShade="F2"/>
            <w:noWrap/>
            <w:vAlign w:val="center"/>
          </w:tcPr>
          <w:p w14:paraId="04AA5641">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300043 (186574, 451667)</w:t>
            </w:r>
          </w:p>
        </w:tc>
        <w:tc>
          <w:tcPr>
            <w:tcW w:w="691" w:type="pct"/>
            <w:shd w:val="clear" w:color="auto" w:fill="F1F1F1" w:themeFill="background1" w:themeFillShade="F2"/>
            <w:noWrap/>
            <w:vAlign w:val="center"/>
          </w:tcPr>
          <w:p w14:paraId="15BBB0AA">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16.69 (10.26, 25.46)</w:t>
            </w:r>
          </w:p>
        </w:tc>
        <w:tc>
          <w:tcPr>
            <w:tcW w:w="691" w:type="pct"/>
            <w:shd w:val="clear" w:color="auto" w:fill="F1F1F1" w:themeFill="background1" w:themeFillShade="F2"/>
            <w:noWrap/>
            <w:vAlign w:val="center"/>
          </w:tcPr>
          <w:p w14:paraId="5C75344F">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12.48 (7.76, 18.79)</w:t>
            </w:r>
          </w:p>
        </w:tc>
        <w:tc>
          <w:tcPr>
            <w:tcW w:w="588" w:type="pct"/>
            <w:shd w:val="clear" w:color="auto" w:fill="F1F1F1" w:themeFill="background1" w:themeFillShade="F2"/>
            <w:noWrap/>
            <w:vAlign w:val="center"/>
          </w:tcPr>
          <w:p w14:paraId="1764B0A4">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 (1.05, 1.15)</w:t>
            </w:r>
          </w:p>
        </w:tc>
      </w:tr>
      <w:tr w14:paraId="0BAF3D6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03922C3A">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China</w:t>
            </w:r>
          </w:p>
        </w:tc>
        <w:tc>
          <w:tcPr>
            <w:tcW w:w="847" w:type="pct"/>
            <w:noWrap/>
            <w:vAlign w:val="center"/>
          </w:tcPr>
          <w:p w14:paraId="19B76E56">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195318 (118227, 300653)</w:t>
            </w:r>
          </w:p>
        </w:tc>
        <w:tc>
          <w:tcPr>
            <w:tcW w:w="847" w:type="pct"/>
            <w:noWrap/>
            <w:vAlign w:val="center"/>
          </w:tcPr>
          <w:p w14:paraId="2D1094BD">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96058 (59672, 146121)</w:t>
            </w:r>
          </w:p>
        </w:tc>
        <w:tc>
          <w:tcPr>
            <w:tcW w:w="691" w:type="pct"/>
            <w:noWrap/>
            <w:vAlign w:val="center"/>
          </w:tcPr>
          <w:p w14:paraId="7026D2AD">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27.53 (16.66, 42.38)</w:t>
            </w:r>
          </w:p>
        </w:tc>
        <w:tc>
          <w:tcPr>
            <w:tcW w:w="691" w:type="pct"/>
            <w:noWrap/>
            <w:vAlign w:val="center"/>
          </w:tcPr>
          <w:p w14:paraId="1C6D23A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16.34 (10.15, 24.85)</w:t>
            </w:r>
          </w:p>
        </w:tc>
        <w:tc>
          <w:tcPr>
            <w:tcW w:w="588" w:type="pct"/>
            <w:noWrap/>
            <w:vAlign w:val="center"/>
          </w:tcPr>
          <w:p w14:paraId="21FD40E4">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1.96 (1.86, 2.07)</w:t>
            </w:r>
          </w:p>
        </w:tc>
      </w:tr>
      <w:tr w14:paraId="2D110EE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5CD35256">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United States of America</w:t>
            </w:r>
          </w:p>
        </w:tc>
        <w:tc>
          <w:tcPr>
            <w:tcW w:w="847" w:type="pct"/>
            <w:shd w:val="clear" w:color="auto" w:fill="F1F1F1" w:themeFill="background1" w:themeFillShade="F2"/>
            <w:noWrap/>
            <w:vAlign w:val="center"/>
          </w:tcPr>
          <w:p w14:paraId="320A96BE">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74808 (47127, 111523)</w:t>
            </w:r>
          </w:p>
        </w:tc>
        <w:tc>
          <w:tcPr>
            <w:tcW w:w="847" w:type="pct"/>
            <w:shd w:val="clear" w:color="auto" w:fill="F1F1F1" w:themeFill="background1" w:themeFillShade="F2"/>
            <w:noWrap/>
            <w:vAlign w:val="center"/>
          </w:tcPr>
          <w:p w14:paraId="5B45C74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32337 (19865, 49071)</w:t>
            </w:r>
          </w:p>
        </w:tc>
        <w:tc>
          <w:tcPr>
            <w:tcW w:w="691" w:type="pct"/>
            <w:shd w:val="clear" w:color="auto" w:fill="F1F1F1" w:themeFill="background1" w:themeFillShade="F2"/>
            <w:noWrap/>
            <w:vAlign w:val="center"/>
          </w:tcPr>
          <w:p w14:paraId="1EFA9083">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49.51 (31.19, 73.82)</w:t>
            </w:r>
          </w:p>
        </w:tc>
        <w:tc>
          <w:tcPr>
            <w:tcW w:w="691" w:type="pct"/>
            <w:shd w:val="clear" w:color="auto" w:fill="F1F1F1" w:themeFill="background1" w:themeFillShade="F2"/>
            <w:noWrap/>
            <w:vAlign w:val="center"/>
          </w:tcPr>
          <w:p w14:paraId="0D86C164">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25.35 (15.57, 38.46)</w:t>
            </w:r>
          </w:p>
        </w:tc>
        <w:tc>
          <w:tcPr>
            <w:tcW w:w="588" w:type="pct"/>
            <w:shd w:val="clear" w:color="auto" w:fill="F1F1F1" w:themeFill="background1" w:themeFillShade="F2"/>
            <w:noWrap/>
            <w:vAlign w:val="center"/>
          </w:tcPr>
          <w:p w14:paraId="05B5DDF7">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2.53 (2.33, 2.73)</w:t>
            </w:r>
          </w:p>
        </w:tc>
      </w:tr>
      <w:tr w14:paraId="4F6CFFC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02752995">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Low-middle SDI</w:t>
            </w:r>
          </w:p>
        </w:tc>
        <w:tc>
          <w:tcPr>
            <w:tcW w:w="847" w:type="pct"/>
            <w:noWrap/>
            <w:vAlign w:val="center"/>
          </w:tcPr>
          <w:p w14:paraId="63C8EA0E">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92207 (56944, 142624)</w:t>
            </w:r>
          </w:p>
        </w:tc>
        <w:tc>
          <w:tcPr>
            <w:tcW w:w="847" w:type="pct"/>
            <w:noWrap/>
            <w:vAlign w:val="center"/>
          </w:tcPr>
          <w:p w14:paraId="2DC80C62">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39371 (24561, 60194)</w:t>
            </w:r>
          </w:p>
        </w:tc>
        <w:tc>
          <w:tcPr>
            <w:tcW w:w="691" w:type="pct"/>
            <w:noWrap/>
            <w:vAlign w:val="center"/>
          </w:tcPr>
          <w:p w14:paraId="6E8FC84A">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10.07 (6.22, 15.58)</w:t>
            </w:r>
          </w:p>
        </w:tc>
        <w:tc>
          <w:tcPr>
            <w:tcW w:w="691" w:type="pct"/>
            <w:noWrap/>
            <w:vAlign w:val="center"/>
          </w:tcPr>
          <w:p w14:paraId="1D03C40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8.38 (5.23, 12.82)</w:t>
            </w:r>
          </w:p>
        </w:tc>
        <w:tc>
          <w:tcPr>
            <w:tcW w:w="588" w:type="pct"/>
            <w:noWrap/>
            <w:vAlign w:val="center"/>
          </w:tcPr>
          <w:p w14:paraId="34843834">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0.65 (0.62, 0.69)</w:t>
            </w:r>
          </w:p>
        </w:tc>
      </w:tr>
      <w:tr w14:paraId="55E14F9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239E3E4E">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High-middle SDI</w:t>
            </w:r>
          </w:p>
        </w:tc>
        <w:tc>
          <w:tcPr>
            <w:tcW w:w="847" w:type="pct"/>
            <w:shd w:val="clear" w:color="auto" w:fill="F1F1F1" w:themeFill="background1" w:themeFillShade="F2"/>
            <w:noWrap/>
            <w:vAlign w:val="center"/>
          </w:tcPr>
          <w:p w14:paraId="08C9003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139671 (83936, 216686)</w:t>
            </w:r>
          </w:p>
        </w:tc>
        <w:tc>
          <w:tcPr>
            <w:tcW w:w="847" w:type="pct"/>
            <w:shd w:val="clear" w:color="auto" w:fill="F1F1F1" w:themeFill="background1" w:themeFillShade="F2"/>
            <w:noWrap/>
            <w:vAlign w:val="center"/>
          </w:tcPr>
          <w:p w14:paraId="221A1B91">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71074 (44169, 108249)</w:t>
            </w:r>
          </w:p>
        </w:tc>
        <w:tc>
          <w:tcPr>
            <w:tcW w:w="691" w:type="pct"/>
            <w:shd w:val="clear" w:color="auto" w:fill="F1F1F1" w:themeFill="background1" w:themeFillShade="F2"/>
            <w:noWrap/>
            <w:vAlign w:val="center"/>
          </w:tcPr>
          <w:p w14:paraId="5EA05E7E">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21.36 (12.83, 33.13)</w:t>
            </w:r>
          </w:p>
        </w:tc>
        <w:tc>
          <w:tcPr>
            <w:tcW w:w="691" w:type="pct"/>
            <w:shd w:val="clear" w:color="auto" w:fill="F1F1F1" w:themeFill="background1" w:themeFillShade="F2"/>
            <w:noWrap/>
            <w:vAlign w:val="center"/>
          </w:tcPr>
          <w:p w14:paraId="4955F94A">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13.65 (8.48, 20.78)</w:t>
            </w:r>
          </w:p>
        </w:tc>
        <w:tc>
          <w:tcPr>
            <w:tcW w:w="588" w:type="pct"/>
            <w:shd w:val="clear" w:color="auto" w:fill="F1F1F1" w:themeFill="background1" w:themeFillShade="F2"/>
            <w:noWrap/>
            <w:vAlign w:val="center"/>
          </w:tcPr>
          <w:p w14:paraId="02496CD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1.62 (1.55, 1.68)</w:t>
            </w:r>
          </w:p>
        </w:tc>
      </w:tr>
      <w:tr w14:paraId="5F0712E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3FB74BBE">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Middle SDI</w:t>
            </w:r>
          </w:p>
        </w:tc>
        <w:tc>
          <w:tcPr>
            <w:tcW w:w="847" w:type="pct"/>
            <w:noWrap/>
            <w:vAlign w:val="center"/>
          </w:tcPr>
          <w:p w14:paraId="75E19A7A">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206310 (126463, 314454)</w:t>
            </w:r>
          </w:p>
        </w:tc>
        <w:tc>
          <w:tcPr>
            <w:tcW w:w="847" w:type="pct"/>
            <w:noWrap/>
            <w:vAlign w:val="center"/>
          </w:tcPr>
          <w:p w14:paraId="6AF02E1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92961 (57225, 140854)</w:t>
            </w:r>
          </w:p>
        </w:tc>
        <w:tc>
          <w:tcPr>
            <w:tcW w:w="691" w:type="pct"/>
            <w:noWrap/>
            <w:vAlign w:val="center"/>
          </w:tcPr>
          <w:p w14:paraId="1B24CDE6">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16.78 (10.29, 25.58)</w:t>
            </w:r>
          </w:p>
        </w:tc>
        <w:tc>
          <w:tcPr>
            <w:tcW w:w="691" w:type="pct"/>
            <w:noWrap/>
            <w:vAlign w:val="center"/>
          </w:tcPr>
          <w:p w14:paraId="6DFBA42E">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11.85 (7.29, 17.95)</w:t>
            </w:r>
          </w:p>
        </w:tc>
        <w:tc>
          <w:tcPr>
            <w:tcW w:w="588" w:type="pct"/>
            <w:noWrap/>
            <w:vAlign w:val="center"/>
          </w:tcPr>
          <w:p w14:paraId="69D65851">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1.35 (1.29, 1.41)</w:t>
            </w:r>
          </w:p>
        </w:tc>
      </w:tr>
      <w:tr w14:paraId="6D77854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2D6E502A">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Low SDI</w:t>
            </w:r>
          </w:p>
        </w:tc>
        <w:tc>
          <w:tcPr>
            <w:tcW w:w="847" w:type="pct"/>
            <w:shd w:val="clear" w:color="auto" w:fill="F1F1F1" w:themeFill="background1" w:themeFillShade="F2"/>
            <w:noWrap/>
            <w:vAlign w:val="center"/>
          </w:tcPr>
          <w:p w14:paraId="7C061FF7">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37046 (23083, 57143)</w:t>
            </w:r>
          </w:p>
        </w:tc>
        <w:tc>
          <w:tcPr>
            <w:tcW w:w="847" w:type="pct"/>
            <w:shd w:val="clear" w:color="auto" w:fill="F1F1F1" w:themeFill="background1" w:themeFillShade="F2"/>
            <w:noWrap/>
            <w:vAlign w:val="center"/>
          </w:tcPr>
          <w:p w14:paraId="1205363A">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14175 (8711, 21798)</w:t>
            </w:r>
          </w:p>
        </w:tc>
        <w:tc>
          <w:tcPr>
            <w:tcW w:w="691" w:type="pct"/>
            <w:shd w:val="clear" w:color="auto" w:fill="F1F1F1" w:themeFill="background1" w:themeFillShade="F2"/>
            <w:noWrap/>
            <w:vAlign w:val="center"/>
          </w:tcPr>
          <w:p w14:paraId="6CFE0D5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8.21 (5.12, 12.67)</w:t>
            </w:r>
          </w:p>
        </w:tc>
        <w:tc>
          <w:tcPr>
            <w:tcW w:w="691" w:type="pct"/>
            <w:shd w:val="clear" w:color="auto" w:fill="F1F1F1" w:themeFill="background1" w:themeFillShade="F2"/>
            <w:noWrap/>
            <w:vAlign w:val="center"/>
          </w:tcPr>
          <w:p w14:paraId="695273E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7.69 (4.72, 11.82)</w:t>
            </w:r>
          </w:p>
        </w:tc>
        <w:tc>
          <w:tcPr>
            <w:tcW w:w="588" w:type="pct"/>
            <w:shd w:val="clear" w:color="auto" w:fill="F1F1F1" w:themeFill="background1" w:themeFillShade="F2"/>
            <w:noWrap/>
            <w:vAlign w:val="center"/>
          </w:tcPr>
          <w:p w14:paraId="1B357934">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0.26 (0.21, 0.32)</w:t>
            </w:r>
          </w:p>
        </w:tc>
      </w:tr>
      <w:tr w14:paraId="4A5F59A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1D40AFEA">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High SDI</w:t>
            </w:r>
          </w:p>
        </w:tc>
        <w:tc>
          <w:tcPr>
            <w:tcW w:w="847" w:type="pct"/>
            <w:noWrap/>
            <w:vAlign w:val="center"/>
          </w:tcPr>
          <w:p w14:paraId="55A9639F">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153703 (96509, 233985)</w:t>
            </w:r>
          </w:p>
        </w:tc>
        <w:tc>
          <w:tcPr>
            <w:tcW w:w="847" w:type="pct"/>
            <w:noWrap/>
            <w:vAlign w:val="center"/>
          </w:tcPr>
          <w:p w14:paraId="5E5FACC4">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82263 (51159, 124724)</w:t>
            </w:r>
          </w:p>
        </w:tc>
        <w:tc>
          <w:tcPr>
            <w:tcW w:w="691" w:type="pct"/>
            <w:noWrap/>
            <w:vAlign w:val="center"/>
          </w:tcPr>
          <w:p w14:paraId="1773CB86">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29.77 (18.69, 45.32)</w:t>
            </w:r>
          </w:p>
        </w:tc>
        <w:tc>
          <w:tcPr>
            <w:tcW w:w="691" w:type="pct"/>
            <w:noWrap/>
            <w:vAlign w:val="center"/>
          </w:tcPr>
          <w:p w14:paraId="505391DF">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18.62 (11.58, 28.23)</w:t>
            </w:r>
          </w:p>
        </w:tc>
        <w:tc>
          <w:tcPr>
            <w:tcW w:w="588" w:type="pct"/>
            <w:noWrap/>
            <w:vAlign w:val="center"/>
          </w:tcPr>
          <w:p w14:paraId="310FE8B6">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1.66 (1.54, 1.77)</w:t>
            </w:r>
          </w:p>
        </w:tc>
      </w:tr>
      <w:tr w14:paraId="1BA64B3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46FEEC60">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Andean Latin America</w:t>
            </w:r>
          </w:p>
        </w:tc>
        <w:tc>
          <w:tcPr>
            <w:tcW w:w="847" w:type="pct"/>
            <w:shd w:val="clear" w:color="auto" w:fill="F1F1F1" w:themeFill="background1" w:themeFillShade="F2"/>
            <w:noWrap/>
            <w:vAlign w:val="center"/>
          </w:tcPr>
          <w:p w14:paraId="3CBF0C1F">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2816 (1674, 4440)</w:t>
            </w:r>
          </w:p>
        </w:tc>
        <w:tc>
          <w:tcPr>
            <w:tcW w:w="847" w:type="pct"/>
            <w:shd w:val="clear" w:color="auto" w:fill="F1F1F1" w:themeFill="background1" w:themeFillShade="F2"/>
            <w:noWrap/>
            <w:vAlign w:val="center"/>
          </w:tcPr>
          <w:p w14:paraId="0840D4A9">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908 (554, 1408)</w:t>
            </w:r>
          </w:p>
        </w:tc>
        <w:tc>
          <w:tcPr>
            <w:tcW w:w="691" w:type="pct"/>
            <w:shd w:val="clear" w:color="auto" w:fill="F1F1F1" w:themeFill="background1" w:themeFillShade="F2"/>
            <w:noWrap/>
            <w:vAlign w:val="center"/>
          </w:tcPr>
          <w:p w14:paraId="3A2B113D">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8.65 (5.14, 13.64)</w:t>
            </w:r>
          </w:p>
        </w:tc>
        <w:tc>
          <w:tcPr>
            <w:tcW w:w="691" w:type="pct"/>
            <w:shd w:val="clear" w:color="auto" w:fill="F1F1F1" w:themeFill="background1" w:themeFillShade="F2"/>
            <w:noWrap/>
            <w:vAlign w:val="center"/>
          </w:tcPr>
          <w:p w14:paraId="214133B1">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5.79 (3.53, 8.98)</w:t>
            </w:r>
          </w:p>
        </w:tc>
        <w:tc>
          <w:tcPr>
            <w:tcW w:w="588" w:type="pct"/>
            <w:shd w:val="clear" w:color="auto" w:fill="F1F1F1" w:themeFill="background1" w:themeFillShade="F2"/>
            <w:noWrap/>
            <w:vAlign w:val="center"/>
          </w:tcPr>
          <w:p w14:paraId="5D68E1AB">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1.38 (1.33, 1.42)</w:t>
            </w:r>
          </w:p>
        </w:tc>
      </w:tr>
      <w:tr w14:paraId="7510FAD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559F6A1F">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Australasia</w:t>
            </w:r>
          </w:p>
        </w:tc>
        <w:tc>
          <w:tcPr>
            <w:tcW w:w="847" w:type="pct"/>
            <w:noWrap/>
            <w:vAlign w:val="center"/>
          </w:tcPr>
          <w:p w14:paraId="5FB70080">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4629 (2723, 7305)</w:t>
            </w:r>
          </w:p>
        </w:tc>
        <w:tc>
          <w:tcPr>
            <w:tcW w:w="847" w:type="pct"/>
            <w:noWrap/>
            <w:vAlign w:val="center"/>
          </w:tcPr>
          <w:p w14:paraId="0A9B152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2174 (1338, 3271)</w:t>
            </w:r>
          </w:p>
        </w:tc>
        <w:tc>
          <w:tcPr>
            <w:tcW w:w="691" w:type="pct"/>
            <w:noWrap/>
            <w:vAlign w:val="center"/>
          </w:tcPr>
          <w:p w14:paraId="7A874D29">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31.74 (18.67, 50.08)</w:t>
            </w:r>
          </w:p>
        </w:tc>
        <w:tc>
          <w:tcPr>
            <w:tcW w:w="691" w:type="pct"/>
            <w:noWrap/>
            <w:vAlign w:val="center"/>
          </w:tcPr>
          <w:p w14:paraId="33A80F7D">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21.61 (13.3, 32.51)</w:t>
            </w:r>
          </w:p>
        </w:tc>
        <w:tc>
          <w:tcPr>
            <w:tcW w:w="588" w:type="pct"/>
            <w:noWrap/>
            <w:vAlign w:val="center"/>
          </w:tcPr>
          <w:p w14:paraId="5166EFF9">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1.19 (1.06, 1.32)</w:t>
            </w:r>
          </w:p>
        </w:tc>
      </w:tr>
      <w:tr w14:paraId="1FE0611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2773428D">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Caribbean</w:t>
            </w:r>
          </w:p>
        </w:tc>
        <w:tc>
          <w:tcPr>
            <w:tcW w:w="847" w:type="pct"/>
            <w:shd w:val="clear" w:color="auto" w:fill="F1F1F1" w:themeFill="background1" w:themeFillShade="F2"/>
            <w:noWrap/>
            <w:vAlign w:val="center"/>
          </w:tcPr>
          <w:p w14:paraId="0BCCE33B">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1799 (1093, 2785)</w:t>
            </w:r>
          </w:p>
        </w:tc>
        <w:tc>
          <w:tcPr>
            <w:tcW w:w="847" w:type="pct"/>
            <w:shd w:val="clear" w:color="auto" w:fill="F1F1F1" w:themeFill="background1" w:themeFillShade="F2"/>
            <w:noWrap/>
            <w:vAlign w:val="center"/>
          </w:tcPr>
          <w:p w14:paraId="4E361743">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865 (514, 1351)</w:t>
            </w:r>
          </w:p>
        </w:tc>
        <w:tc>
          <w:tcPr>
            <w:tcW w:w="691" w:type="pct"/>
            <w:shd w:val="clear" w:color="auto" w:fill="F1F1F1" w:themeFill="background1" w:themeFillShade="F2"/>
            <w:noWrap/>
            <w:vAlign w:val="center"/>
          </w:tcPr>
          <w:p w14:paraId="0C275476">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7.84 (4.76, 12.14)</w:t>
            </w:r>
          </w:p>
        </w:tc>
        <w:tc>
          <w:tcPr>
            <w:tcW w:w="691" w:type="pct"/>
            <w:shd w:val="clear" w:color="auto" w:fill="F1F1F1" w:themeFill="background1" w:themeFillShade="F2"/>
            <w:noWrap/>
            <w:vAlign w:val="center"/>
          </w:tcPr>
          <w:p w14:paraId="5BDFF4A7">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5.44 (3.24, 8.5)</w:t>
            </w:r>
          </w:p>
        </w:tc>
        <w:tc>
          <w:tcPr>
            <w:tcW w:w="588" w:type="pct"/>
            <w:shd w:val="clear" w:color="auto" w:fill="F1F1F1" w:themeFill="background1" w:themeFillShade="F2"/>
            <w:noWrap/>
            <w:vAlign w:val="center"/>
          </w:tcPr>
          <w:p w14:paraId="39B996F1">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1.26 (1.2, 1.33)</w:t>
            </w:r>
          </w:p>
        </w:tc>
      </w:tr>
      <w:tr w14:paraId="093D4B3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7DF9520B">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Central Asia</w:t>
            </w:r>
          </w:p>
        </w:tc>
        <w:tc>
          <w:tcPr>
            <w:tcW w:w="847" w:type="pct"/>
            <w:noWrap/>
            <w:vAlign w:val="center"/>
          </w:tcPr>
          <w:p w14:paraId="60CD740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5234 (3266, 8103)</w:t>
            </w:r>
          </w:p>
        </w:tc>
        <w:tc>
          <w:tcPr>
            <w:tcW w:w="847" w:type="pct"/>
            <w:noWrap/>
            <w:vAlign w:val="center"/>
          </w:tcPr>
          <w:p w14:paraId="44E8BFC1">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2463 (1498, 3734)</w:t>
            </w:r>
          </w:p>
        </w:tc>
        <w:tc>
          <w:tcPr>
            <w:tcW w:w="691" w:type="pct"/>
            <w:noWrap/>
            <w:vAlign w:val="center"/>
          </w:tcPr>
          <w:p w14:paraId="3011241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11.22 (7, 17.37)</w:t>
            </w:r>
          </w:p>
        </w:tc>
        <w:tc>
          <w:tcPr>
            <w:tcW w:w="691" w:type="pct"/>
            <w:noWrap/>
            <w:vAlign w:val="center"/>
          </w:tcPr>
          <w:p w14:paraId="1CA212B9">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8.28 (5.04, 12.56)</w:t>
            </w:r>
          </w:p>
        </w:tc>
        <w:tc>
          <w:tcPr>
            <w:tcW w:w="588" w:type="pct"/>
            <w:noWrap/>
            <w:vAlign w:val="center"/>
          </w:tcPr>
          <w:p w14:paraId="10B4F590">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1.14 (1.07, 1.22)</w:t>
            </w:r>
          </w:p>
        </w:tc>
      </w:tr>
      <w:tr w14:paraId="2663198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0F7A3AEB">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Central Europe</w:t>
            </w:r>
          </w:p>
        </w:tc>
        <w:tc>
          <w:tcPr>
            <w:tcW w:w="847" w:type="pct"/>
            <w:shd w:val="clear" w:color="auto" w:fill="F1F1F1" w:themeFill="background1" w:themeFillShade="F2"/>
            <w:noWrap/>
            <w:vAlign w:val="center"/>
          </w:tcPr>
          <w:p w14:paraId="5F3311FA">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5999 (3551, 9298)</w:t>
            </w:r>
          </w:p>
        </w:tc>
        <w:tc>
          <w:tcPr>
            <w:tcW w:w="847" w:type="pct"/>
            <w:shd w:val="clear" w:color="auto" w:fill="F1F1F1" w:themeFill="background1" w:themeFillShade="F2"/>
            <w:noWrap/>
            <w:vAlign w:val="center"/>
          </w:tcPr>
          <w:p w14:paraId="45457E09">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4831 (2959, 7498)</w:t>
            </w:r>
          </w:p>
        </w:tc>
        <w:tc>
          <w:tcPr>
            <w:tcW w:w="691" w:type="pct"/>
            <w:shd w:val="clear" w:color="auto" w:fill="F1F1F1" w:themeFill="background1" w:themeFillShade="F2"/>
            <w:noWrap/>
            <w:vAlign w:val="center"/>
          </w:tcPr>
          <w:p w14:paraId="1600ED6C">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10.97 (6.49, 17)</w:t>
            </w:r>
          </w:p>
        </w:tc>
        <w:tc>
          <w:tcPr>
            <w:tcW w:w="691" w:type="pct"/>
            <w:shd w:val="clear" w:color="auto" w:fill="F1F1F1" w:themeFill="background1" w:themeFillShade="F2"/>
            <w:noWrap/>
            <w:vAlign w:val="center"/>
          </w:tcPr>
          <w:p w14:paraId="3CA10D0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8.15 (4.99, 12.64)</w:t>
            </w:r>
          </w:p>
        </w:tc>
        <w:tc>
          <w:tcPr>
            <w:tcW w:w="588" w:type="pct"/>
            <w:shd w:val="clear" w:color="auto" w:fill="F1F1F1" w:themeFill="background1" w:themeFillShade="F2"/>
            <w:noWrap/>
            <w:vAlign w:val="center"/>
          </w:tcPr>
          <w:p w14:paraId="097D48EB">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0.86 (0.82, 0.9)</w:t>
            </w:r>
          </w:p>
        </w:tc>
      </w:tr>
      <w:tr w14:paraId="58D4CE5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42D6B4FE">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Central Latin America</w:t>
            </w:r>
          </w:p>
        </w:tc>
        <w:tc>
          <w:tcPr>
            <w:tcW w:w="847" w:type="pct"/>
            <w:noWrap/>
            <w:vAlign w:val="center"/>
          </w:tcPr>
          <w:p w14:paraId="41EA5E86">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8185 (5048, 12771)</w:t>
            </w:r>
          </w:p>
        </w:tc>
        <w:tc>
          <w:tcPr>
            <w:tcW w:w="847" w:type="pct"/>
            <w:noWrap/>
            <w:vAlign w:val="center"/>
          </w:tcPr>
          <w:p w14:paraId="573903E2">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3086 (1849, 4719)</w:t>
            </w:r>
          </w:p>
        </w:tc>
        <w:tc>
          <w:tcPr>
            <w:tcW w:w="691" w:type="pct"/>
            <w:noWrap/>
            <w:vAlign w:val="center"/>
          </w:tcPr>
          <w:p w14:paraId="4156E0B3">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6.55 (4.04, 10.22)</w:t>
            </w:r>
          </w:p>
        </w:tc>
        <w:tc>
          <w:tcPr>
            <w:tcW w:w="691" w:type="pct"/>
            <w:noWrap/>
            <w:vAlign w:val="center"/>
          </w:tcPr>
          <w:p w14:paraId="3CF70693">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4.52 (2.71, 6.92)</w:t>
            </w:r>
          </w:p>
        </w:tc>
        <w:tc>
          <w:tcPr>
            <w:tcW w:w="588" w:type="pct"/>
            <w:noWrap/>
            <w:vAlign w:val="center"/>
          </w:tcPr>
          <w:p w14:paraId="6BC3FD2E">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1.23 (1.21, 1.24)</w:t>
            </w:r>
          </w:p>
        </w:tc>
      </w:tr>
      <w:tr w14:paraId="7EAF659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76FD9AFA">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Central Sub-Saharan Africa</w:t>
            </w:r>
          </w:p>
        </w:tc>
        <w:tc>
          <w:tcPr>
            <w:tcW w:w="847" w:type="pct"/>
            <w:shd w:val="clear" w:color="auto" w:fill="F1F1F1" w:themeFill="background1" w:themeFillShade="F2"/>
            <w:noWrap/>
            <w:vAlign w:val="center"/>
          </w:tcPr>
          <w:p w14:paraId="7A2F56D0">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4552 (2763, 7244)</w:t>
            </w:r>
          </w:p>
        </w:tc>
        <w:tc>
          <w:tcPr>
            <w:tcW w:w="847" w:type="pct"/>
            <w:shd w:val="clear" w:color="auto" w:fill="F1F1F1" w:themeFill="background1" w:themeFillShade="F2"/>
            <w:noWrap/>
            <w:vAlign w:val="center"/>
          </w:tcPr>
          <w:p w14:paraId="05225C4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1507 (909, 2342)</w:t>
            </w:r>
          </w:p>
        </w:tc>
        <w:tc>
          <w:tcPr>
            <w:tcW w:w="691" w:type="pct"/>
            <w:shd w:val="clear" w:color="auto" w:fill="F1F1F1" w:themeFill="background1" w:themeFillShade="F2"/>
            <w:noWrap/>
            <w:vAlign w:val="center"/>
          </w:tcPr>
          <w:p w14:paraId="123AED3B">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8.38 (5.08, 13.33)</w:t>
            </w:r>
          </w:p>
        </w:tc>
        <w:tc>
          <w:tcPr>
            <w:tcW w:w="691" w:type="pct"/>
            <w:shd w:val="clear" w:color="auto" w:fill="F1F1F1" w:themeFill="background1" w:themeFillShade="F2"/>
            <w:noWrap/>
            <w:vAlign w:val="center"/>
          </w:tcPr>
          <w:p w14:paraId="79ABB750">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7.45 (4.49, 11.59)</w:t>
            </w:r>
          </w:p>
        </w:tc>
        <w:tc>
          <w:tcPr>
            <w:tcW w:w="588" w:type="pct"/>
            <w:shd w:val="clear" w:color="auto" w:fill="F1F1F1" w:themeFill="background1" w:themeFillShade="F2"/>
            <w:noWrap/>
            <w:vAlign w:val="center"/>
          </w:tcPr>
          <w:p w14:paraId="4BA471D2">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0.43 (0.4, 0.46)</w:t>
            </w:r>
          </w:p>
        </w:tc>
      </w:tr>
      <w:tr w14:paraId="740AE1E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29D87B8A">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East Asia</w:t>
            </w:r>
          </w:p>
        </w:tc>
        <w:tc>
          <w:tcPr>
            <w:tcW w:w="847" w:type="pct"/>
            <w:noWrap/>
            <w:vAlign w:val="center"/>
          </w:tcPr>
          <w:p w14:paraId="71082D61">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203374 (123245, 313345)</w:t>
            </w:r>
          </w:p>
        </w:tc>
        <w:tc>
          <w:tcPr>
            <w:tcW w:w="847" w:type="pct"/>
            <w:noWrap/>
            <w:vAlign w:val="center"/>
          </w:tcPr>
          <w:p w14:paraId="61C1D0AE">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100326 (62415, 152245)</w:t>
            </w:r>
          </w:p>
        </w:tc>
        <w:tc>
          <w:tcPr>
            <w:tcW w:w="691" w:type="pct"/>
            <w:noWrap/>
            <w:vAlign w:val="center"/>
          </w:tcPr>
          <w:p w14:paraId="636F998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27.64 (16.75, 42.59)</w:t>
            </w:r>
          </w:p>
        </w:tc>
        <w:tc>
          <w:tcPr>
            <w:tcW w:w="691" w:type="pct"/>
            <w:noWrap/>
            <w:vAlign w:val="center"/>
          </w:tcPr>
          <w:p w14:paraId="4B617C40">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16.49 (10.26, 25.03)</w:t>
            </w:r>
          </w:p>
        </w:tc>
        <w:tc>
          <w:tcPr>
            <w:tcW w:w="588" w:type="pct"/>
            <w:noWrap/>
            <w:vAlign w:val="center"/>
          </w:tcPr>
          <w:p w14:paraId="75E8838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1.93 (1.82, 2.04)</w:t>
            </w:r>
          </w:p>
        </w:tc>
      </w:tr>
      <w:tr w14:paraId="6AADB74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60895187">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Eastern Sub-Saharan Africa</w:t>
            </w:r>
          </w:p>
        </w:tc>
        <w:tc>
          <w:tcPr>
            <w:tcW w:w="847" w:type="pct"/>
            <w:shd w:val="clear" w:color="auto" w:fill="F1F1F1" w:themeFill="background1" w:themeFillShade="F2"/>
            <w:noWrap/>
            <w:vAlign w:val="center"/>
          </w:tcPr>
          <w:p w14:paraId="0F099691">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13949 (8578, 21811)</w:t>
            </w:r>
          </w:p>
        </w:tc>
        <w:tc>
          <w:tcPr>
            <w:tcW w:w="847" w:type="pct"/>
            <w:shd w:val="clear" w:color="auto" w:fill="F1F1F1" w:themeFill="background1" w:themeFillShade="F2"/>
            <w:noWrap/>
            <w:vAlign w:val="center"/>
          </w:tcPr>
          <w:p w14:paraId="7DE1E913">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5020 (3091, 7863)</w:t>
            </w:r>
          </w:p>
        </w:tc>
        <w:tc>
          <w:tcPr>
            <w:tcW w:w="691" w:type="pct"/>
            <w:shd w:val="clear" w:color="auto" w:fill="F1F1F1" w:themeFill="background1" w:themeFillShade="F2"/>
            <w:noWrap/>
            <w:vAlign w:val="center"/>
          </w:tcPr>
          <w:p w14:paraId="5EB78B24">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8.13 (5, 12.72)</w:t>
            </w:r>
          </w:p>
        </w:tc>
        <w:tc>
          <w:tcPr>
            <w:tcW w:w="691" w:type="pct"/>
            <w:shd w:val="clear" w:color="auto" w:fill="F1F1F1" w:themeFill="background1" w:themeFillShade="F2"/>
            <w:noWrap/>
            <w:vAlign w:val="center"/>
          </w:tcPr>
          <w:p w14:paraId="4261CD0E">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7.41 (4.56, 11.6)</w:t>
            </w:r>
          </w:p>
        </w:tc>
        <w:tc>
          <w:tcPr>
            <w:tcW w:w="588" w:type="pct"/>
            <w:shd w:val="clear" w:color="auto" w:fill="F1F1F1" w:themeFill="background1" w:themeFillShade="F2"/>
            <w:noWrap/>
            <w:vAlign w:val="center"/>
          </w:tcPr>
          <w:p w14:paraId="3D0457EB">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0.34 (0.27, 0.41)</w:t>
            </w:r>
          </w:p>
        </w:tc>
      </w:tr>
      <w:tr w14:paraId="46AA5A5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255DD227">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High-income Asia Pacific</w:t>
            </w:r>
          </w:p>
        </w:tc>
        <w:tc>
          <w:tcPr>
            <w:tcW w:w="847" w:type="pct"/>
            <w:noWrap/>
            <w:vAlign w:val="center"/>
          </w:tcPr>
          <w:p w14:paraId="1B53D91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19865 (12085, 30838)</w:t>
            </w:r>
          </w:p>
        </w:tc>
        <w:tc>
          <w:tcPr>
            <w:tcW w:w="847" w:type="pct"/>
            <w:noWrap/>
            <w:vAlign w:val="center"/>
          </w:tcPr>
          <w:p w14:paraId="7ABC26A9">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15739 (9493, 24238)</w:t>
            </w:r>
          </w:p>
        </w:tc>
        <w:tc>
          <w:tcPr>
            <w:tcW w:w="691" w:type="pct"/>
            <w:noWrap/>
            <w:vAlign w:val="center"/>
          </w:tcPr>
          <w:p w14:paraId="1F242366">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23.61 (14.36, 36.65)</w:t>
            </w:r>
          </w:p>
        </w:tc>
        <w:tc>
          <w:tcPr>
            <w:tcW w:w="691" w:type="pct"/>
            <w:noWrap/>
            <w:vAlign w:val="center"/>
          </w:tcPr>
          <w:p w14:paraId="486EB93A">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17.87 (10.78, 27.52)</w:t>
            </w:r>
          </w:p>
        </w:tc>
        <w:tc>
          <w:tcPr>
            <w:tcW w:w="588" w:type="pct"/>
            <w:noWrap/>
            <w:vAlign w:val="center"/>
          </w:tcPr>
          <w:p w14:paraId="5AC4B03F">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0.9 (0.85, 0.95)</w:t>
            </w:r>
          </w:p>
        </w:tc>
      </w:tr>
      <w:tr w14:paraId="10DD723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1058CCAB">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North Africa and Middle East</w:t>
            </w:r>
          </w:p>
        </w:tc>
        <w:tc>
          <w:tcPr>
            <w:tcW w:w="847" w:type="pct"/>
            <w:shd w:val="clear" w:color="auto" w:fill="F1F1F1" w:themeFill="background1" w:themeFillShade="F2"/>
            <w:noWrap/>
            <w:vAlign w:val="center"/>
          </w:tcPr>
          <w:p w14:paraId="39B088C6">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38830 (23688, 59399)</w:t>
            </w:r>
          </w:p>
        </w:tc>
        <w:tc>
          <w:tcPr>
            <w:tcW w:w="847" w:type="pct"/>
            <w:shd w:val="clear" w:color="auto" w:fill="F1F1F1" w:themeFill="background1" w:themeFillShade="F2"/>
            <w:noWrap/>
            <w:vAlign w:val="center"/>
          </w:tcPr>
          <w:p w14:paraId="447BE6CD">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11700 (7222, 18470)</w:t>
            </w:r>
          </w:p>
        </w:tc>
        <w:tc>
          <w:tcPr>
            <w:tcW w:w="691" w:type="pct"/>
            <w:shd w:val="clear" w:color="auto" w:fill="F1F1F1" w:themeFill="background1" w:themeFillShade="F2"/>
            <w:noWrap/>
            <w:vAlign w:val="center"/>
          </w:tcPr>
          <w:p w14:paraId="60521C44">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12.51 (7.63, 19.14)</w:t>
            </w:r>
          </w:p>
        </w:tc>
        <w:tc>
          <w:tcPr>
            <w:tcW w:w="691" w:type="pct"/>
            <w:shd w:val="clear" w:color="auto" w:fill="F1F1F1" w:themeFill="background1" w:themeFillShade="F2"/>
            <w:noWrap/>
            <w:vAlign w:val="center"/>
          </w:tcPr>
          <w:p w14:paraId="491335B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8.72 (5.38, 13.77)</w:t>
            </w:r>
          </w:p>
        </w:tc>
        <w:tc>
          <w:tcPr>
            <w:tcW w:w="588" w:type="pct"/>
            <w:shd w:val="clear" w:color="auto" w:fill="F1F1F1" w:themeFill="background1" w:themeFillShade="F2"/>
            <w:noWrap/>
            <w:vAlign w:val="center"/>
          </w:tcPr>
          <w:p w14:paraId="0100A59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1.18 (1.11, 1.24)</w:t>
            </w:r>
          </w:p>
        </w:tc>
      </w:tr>
      <w:tr w14:paraId="18A0FB8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1A737217">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Oceania</w:t>
            </w:r>
          </w:p>
        </w:tc>
        <w:tc>
          <w:tcPr>
            <w:tcW w:w="847" w:type="pct"/>
            <w:noWrap/>
            <w:vAlign w:val="center"/>
          </w:tcPr>
          <w:p w14:paraId="59EC8D9F">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1031 (613, 1558)</w:t>
            </w:r>
          </w:p>
        </w:tc>
        <w:tc>
          <w:tcPr>
            <w:tcW w:w="847" w:type="pct"/>
            <w:noWrap/>
            <w:vAlign w:val="center"/>
          </w:tcPr>
          <w:p w14:paraId="6301E3DD">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380 (232, 582)</w:t>
            </w:r>
          </w:p>
        </w:tc>
        <w:tc>
          <w:tcPr>
            <w:tcW w:w="691" w:type="pct"/>
            <w:noWrap/>
            <w:vAlign w:val="center"/>
          </w:tcPr>
          <w:p w14:paraId="5A8F8860">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16.35 (9.72, 24.71)</w:t>
            </w:r>
          </w:p>
        </w:tc>
        <w:tc>
          <w:tcPr>
            <w:tcW w:w="691" w:type="pct"/>
            <w:noWrap/>
            <w:vAlign w:val="center"/>
          </w:tcPr>
          <w:p w14:paraId="4F6FA4B7">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14.05 (8.6, 21.52)</w:t>
            </w:r>
          </w:p>
        </w:tc>
        <w:tc>
          <w:tcPr>
            <w:tcW w:w="588" w:type="pct"/>
            <w:noWrap/>
            <w:vAlign w:val="center"/>
          </w:tcPr>
          <w:p w14:paraId="090ED22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0.48 (0.46, 0.49)</w:t>
            </w:r>
          </w:p>
        </w:tc>
      </w:tr>
      <w:tr w14:paraId="58FBAC6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72DF6B2C">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South Asia</w:t>
            </w:r>
          </w:p>
        </w:tc>
        <w:tc>
          <w:tcPr>
            <w:tcW w:w="847" w:type="pct"/>
            <w:shd w:val="clear" w:color="auto" w:fill="F1F1F1" w:themeFill="background1" w:themeFillShade="F2"/>
            <w:noWrap/>
            <w:vAlign w:val="center"/>
          </w:tcPr>
          <w:p w14:paraId="001F691B">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85827 (52712, 133820)</w:t>
            </w:r>
          </w:p>
        </w:tc>
        <w:tc>
          <w:tcPr>
            <w:tcW w:w="847" w:type="pct"/>
            <w:shd w:val="clear" w:color="auto" w:fill="F1F1F1" w:themeFill="background1" w:themeFillShade="F2"/>
            <w:noWrap/>
            <w:vAlign w:val="center"/>
          </w:tcPr>
          <w:p w14:paraId="500FD67F">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36683 (22519, 56898)</w:t>
            </w:r>
          </w:p>
        </w:tc>
        <w:tc>
          <w:tcPr>
            <w:tcW w:w="691" w:type="pct"/>
            <w:shd w:val="clear" w:color="auto" w:fill="F1F1F1" w:themeFill="background1" w:themeFillShade="F2"/>
            <w:noWrap/>
            <w:vAlign w:val="center"/>
          </w:tcPr>
          <w:p w14:paraId="0AA4ADFE">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9.38 (5.76, 14.63)</w:t>
            </w:r>
          </w:p>
        </w:tc>
        <w:tc>
          <w:tcPr>
            <w:tcW w:w="691" w:type="pct"/>
            <w:shd w:val="clear" w:color="auto" w:fill="F1F1F1" w:themeFill="background1" w:themeFillShade="F2"/>
            <w:noWrap/>
            <w:vAlign w:val="center"/>
          </w:tcPr>
          <w:p w14:paraId="6AB3A1B1">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8.04 (4.94, 12.48)</w:t>
            </w:r>
          </w:p>
        </w:tc>
        <w:tc>
          <w:tcPr>
            <w:tcW w:w="588" w:type="pct"/>
            <w:shd w:val="clear" w:color="auto" w:fill="F1F1F1" w:themeFill="background1" w:themeFillShade="F2"/>
            <w:noWrap/>
            <w:vAlign w:val="center"/>
          </w:tcPr>
          <w:p w14:paraId="084EFAE4">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0.53 (0.51, 0.55)</w:t>
            </w:r>
          </w:p>
        </w:tc>
      </w:tr>
      <w:tr w14:paraId="3987D1F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4A11F8BC">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Southeast Asia</w:t>
            </w:r>
          </w:p>
        </w:tc>
        <w:tc>
          <w:tcPr>
            <w:tcW w:w="847" w:type="pct"/>
            <w:noWrap/>
            <w:vAlign w:val="center"/>
          </w:tcPr>
          <w:p w14:paraId="2E800DCE">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64801 (39390, 97405)</w:t>
            </w:r>
          </w:p>
        </w:tc>
        <w:tc>
          <w:tcPr>
            <w:tcW w:w="847" w:type="pct"/>
            <w:noWrap/>
            <w:vAlign w:val="center"/>
          </w:tcPr>
          <w:p w14:paraId="019E529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24879 (15348, 37954)</w:t>
            </w:r>
          </w:p>
        </w:tc>
        <w:tc>
          <w:tcPr>
            <w:tcW w:w="691" w:type="pct"/>
            <w:noWrap/>
            <w:vAlign w:val="center"/>
          </w:tcPr>
          <w:p w14:paraId="31D2E131">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18.28 (11.11, 27.48)</w:t>
            </w:r>
          </w:p>
        </w:tc>
        <w:tc>
          <w:tcPr>
            <w:tcW w:w="691" w:type="pct"/>
            <w:noWrap/>
            <w:vAlign w:val="center"/>
          </w:tcPr>
          <w:p w14:paraId="0215DE16">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12.24 (7.55, 18.67)</w:t>
            </w:r>
          </w:p>
        </w:tc>
        <w:tc>
          <w:tcPr>
            <w:tcW w:w="588" w:type="pct"/>
            <w:noWrap/>
            <w:vAlign w:val="center"/>
          </w:tcPr>
          <w:p w14:paraId="1BF5A356">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1.46 (1.42, 1.51)</w:t>
            </w:r>
          </w:p>
        </w:tc>
      </w:tr>
      <w:tr w14:paraId="71C1A16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2A8E5D37">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Southern Latin America</w:t>
            </w:r>
          </w:p>
        </w:tc>
        <w:tc>
          <w:tcPr>
            <w:tcW w:w="847" w:type="pct"/>
            <w:shd w:val="clear" w:color="auto" w:fill="F1F1F1" w:themeFill="background1" w:themeFillShade="F2"/>
            <w:noWrap/>
            <w:vAlign w:val="center"/>
          </w:tcPr>
          <w:p w14:paraId="329AC16D">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8010 (4878, 11986)</w:t>
            </w:r>
          </w:p>
        </w:tc>
        <w:tc>
          <w:tcPr>
            <w:tcW w:w="847" w:type="pct"/>
            <w:shd w:val="clear" w:color="auto" w:fill="F1F1F1" w:themeFill="background1" w:themeFillShade="F2"/>
            <w:noWrap/>
            <w:vAlign w:val="center"/>
          </w:tcPr>
          <w:p w14:paraId="75FB402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3995 (2457, 5970)</w:t>
            </w:r>
          </w:p>
        </w:tc>
        <w:tc>
          <w:tcPr>
            <w:tcW w:w="691" w:type="pct"/>
            <w:shd w:val="clear" w:color="auto" w:fill="F1F1F1" w:themeFill="background1" w:themeFillShade="F2"/>
            <w:noWrap/>
            <w:vAlign w:val="center"/>
          </w:tcPr>
          <w:p w14:paraId="42D8CB92">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23.93 (14.57, 35.81)</w:t>
            </w:r>
          </w:p>
        </w:tc>
        <w:tc>
          <w:tcPr>
            <w:tcW w:w="691" w:type="pct"/>
            <w:shd w:val="clear" w:color="auto" w:fill="F1F1F1" w:themeFill="background1" w:themeFillShade="F2"/>
            <w:noWrap/>
            <w:vAlign w:val="center"/>
          </w:tcPr>
          <w:p w14:paraId="12066AE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17.96 (11.05, 26.84)</w:t>
            </w:r>
          </w:p>
        </w:tc>
        <w:tc>
          <w:tcPr>
            <w:tcW w:w="588" w:type="pct"/>
            <w:shd w:val="clear" w:color="auto" w:fill="F1F1F1" w:themeFill="background1" w:themeFillShade="F2"/>
            <w:noWrap/>
            <w:vAlign w:val="center"/>
          </w:tcPr>
          <w:p w14:paraId="1B3F9847">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0.88 (0.82, 0.94)</w:t>
            </w:r>
          </w:p>
        </w:tc>
      </w:tr>
      <w:tr w14:paraId="0E58B07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2C59BC71">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Southern Sub-Saharan Africa</w:t>
            </w:r>
          </w:p>
        </w:tc>
        <w:tc>
          <w:tcPr>
            <w:tcW w:w="847" w:type="pct"/>
            <w:noWrap/>
            <w:vAlign w:val="center"/>
          </w:tcPr>
          <w:p w14:paraId="099F149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4640 (2835, 7104)</w:t>
            </w:r>
          </w:p>
        </w:tc>
        <w:tc>
          <w:tcPr>
            <w:tcW w:w="847" w:type="pct"/>
            <w:noWrap/>
            <w:vAlign w:val="center"/>
          </w:tcPr>
          <w:p w14:paraId="36E5C10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2022 (1247, 3091)</w:t>
            </w:r>
          </w:p>
        </w:tc>
        <w:tc>
          <w:tcPr>
            <w:tcW w:w="691" w:type="pct"/>
            <w:noWrap/>
            <w:vAlign w:val="center"/>
          </w:tcPr>
          <w:p w14:paraId="272AA054">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11.81 (7.21, 18.07)</w:t>
            </w:r>
          </w:p>
        </w:tc>
        <w:tc>
          <w:tcPr>
            <w:tcW w:w="691" w:type="pct"/>
            <w:noWrap/>
            <w:vAlign w:val="center"/>
          </w:tcPr>
          <w:p w14:paraId="2955833E">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9.39 (5.79, 14.35)</w:t>
            </w:r>
          </w:p>
        </w:tc>
        <w:tc>
          <w:tcPr>
            <w:tcW w:w="588" w:type="pct"/>
            <w:noWrap/>
            <w:vAlign w:val="center"/>
          </w:tcPr>
          <w:p w14:paraId="5098BB5D">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0.66 (0.6, 0.72)</w:t>
            </w:r>
          </w:p>
        </w:tc>
      </w:tr>
      <w:tr w14:paraId="628411E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7B7651E4">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Tropical Latin America</w:t>
            </w:r>
          </w:p>
        </w:tc>
        <w:tc>
          <w:tcPr>
            <w:tcW w:w="847" w:type="pct"/>
            <w:shd w:val="clear" w:color="auto" w:fill="F1F1F1" w:themeFill="background1" w:themeFillShade="F2"/>
            <w:noWrap/>
            <w:vAlign w:val="center"/>
          </w:tcPr>
          <w:p w14:paraId="05308C6C">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9474 (5739, 14366)</w:t>
            </w:r>
          </w:p>
        </w:tc>
        <w:tc>
          <w:tcPr>
            <w:tcW w:w="847" w:type="pct"/>
            <w:shd w:val="clear" w:color="auto" w:fill="F1F1F1" w:themeFill="background1" w:themeFillShade="F2"/>
            <w:noWrap/>
            <w:vAlign w:val="center"/>
          </w:tcPr>
          <w:p w14:paraId="3287B0A0">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3664 (2224, 5633)</w:t>
            </w:r>
          </w:p>
        </w:tc>
        <w:tc>
          <w:tcPr>
            <w:tcW w:w="691" w:type="pct"/>
            <w:shd w:val="clear" w:color="auto" w:fill="F1F1F1" w:themeFill="background1" w:themeFillShade="F2"/>
            <w:noWrap/>
            <w:vAlign w:val="center"/>
          </w:tcPr>
          <w:p w14:paraId="1A8FB61B">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8.12 (4.92, 12.32)</w:t>
            </w:r>
          </w:p>
        </w:tc>
        <w:tc>
          <w:tcPr>
            <w:tcW w:w="691" w:type="pct"/>
            <w:shd w:val="clear" w:color="auto" w:fill="F1F1F1" w:themeFill="background1" w:themeFillShade="F2"/>
            <w:noWrap/>
            <w:vAlign w:val="center"/>
          </w:tcPr>
          <w:p w14:paraId="1649E45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5.38 (3.26, 8.27)</w:t>
            </w:r>
          </w:p>
        </w:tc>
        <w:tc>
          <w:tcPr>
            <w:tcW w:w="588" w:type="pct"/>
            <w:shd w:val="clear" w:color="auto" w:fill="F1F1F1" w:themeFill="background1" w:themeFillShade="F2"/>
            <w:noWrap/>
            <w:vAlign w:val="center"/>
          </w:tcPr>
          <w:p w14:paraId="2BC93F09">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1.38 (1.34, 1.41)</w:t>
            </w:r>
          </w:p>
        </w:tc>
      </w:tr>
      <w:tr w14:paraId="56CBA56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noWrap/>
            <w:vAlign w:val="center"/>
          </w:tcPr>
          <w:p w14:paraId="7FB00915">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Western Europe</w:t>
            </w:r>
          </w:p>
        </w:tc>
        <w:tc>
          <w:tcPr>
            <w:tcW w:w="847" w:type="pct"/>
            <w:noWrap/>
            <w:vAlign w:val="center"/>
          </w:tcPr>
          <w:p w14:paraId="1F596AFC">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35280 (21003, 54590)</w:t>
            </w:r>
          </w:p>
        </w:tc>
        <w:tc>
          <w:tcPr>
            <w:tcW w:w="847" w:type="pct"/>
            <w:noWrap/>
            <w:vAlign w:val="center"/>
          </w:tcPr>
          <w:p w14:paraId="4469FEDE">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26079 (15516, 40144)</w:t>
            </w:r>
          </w:p>
        </w:tc>
        <w:tc>
          <w:tcPr>
            <w:tcW w:w="691" w:type="pct"/>
            <w:noWrap/>
            <w:vAlign w:val="center"/>
          </w:tcPr>
          <w:p w14:paraId="316362C4">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17.95 (10.69, 27.78)</w:t>
            </w:r>
          </w:p>
        </w:tc>
        <w:tc>
          <w:tcPr>
            <w:tcW w:w="691" w:type="pct"/>
            <w:noWrap/>
            <w:vAlign w:val="center"/>
          </w:tcPr>
          <w:p w14:paraId="4CD0C40E">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13.8 (8.21, 21.25)</w:t>
            </w:r>
          </w:p>
        </w:tc>
        <w:tc>
          <w:tcPr>
            <w:tcW w:w="588" w:type="pct"/>
            <w:noWrap/>
            <w:vAlign w:val="center"/>
          </w:tcPr>
          <w:p w14:paraId="7FFE3888">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0.94 (0.87, 1.01)</w:t>
            </w:r>
          </w:p>
        </w:tc>
      </w:tr>
      <w:tr w14:paraId="4E06BDE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333" w:type="pct"/>
            <w:tcBorders>
              <w:right w:val="single" w:color="7E7E7E" w:themeColor="text1" w:themeTint="80" w:sz="4" w:space="0"/>
              <w:insideV w:val="single" w:sz="4" w:space="0"/>
            </w:tcBorders>
            <w:shd w:val="clear" w:color="auto" w:fill="F1F1F1" w:themeFill="background1" w:themeFillShade="F2"/>
            <w:noWrap/>
            <w:vAlign w:val="center"/>
          </w:tcPr>
          <w:p w14:paraId="5D944A56">
            <w:pPr>
              <w:keepNext/>
              <w:widowControl/>
              <w:snapToGrid w:val="0"/>
              <w:spacing w:after="0" w:line="240" w:lineRule="auto"/>
              <w:ind w:left="0" w:leftChars="0" w:right="0" w:rightChars="0" w:firstLine="0" w:firstLineChars="0"/>
              <w:jc w:val="center"/>
              <w:rPr>
                <w:rFonts w:ascii="Times New Roman" w:hAnsi="Times New Roman" w:eastAsia="等线" w:cs="Times New Roman"/>
                <w:b/>
                <w:bCs/>
                <w:caps/>
                <w:color w:val="000000"/>
                <w:kern w:val="0"/>
                <w:sz w:val="21"/>
                <w:szCs w:val="21"/>
                <w14:ligatures w14:val="none"/>
              </w:rPr>
            </w:pPr>
            <w:r>
              <w:rPr>
                <w:rFonts w:ascii="Times New Roman" w:hAnsi="Times New Roman" w:eastAsia="等线" w:cs="Times New Roman"/>
                <w:b/>
                <w:bCs/>
                <w:caps/>
                <w:color w:val="000000"/>
                <w:kern w:val="0"/>
                <w:sz w:val="21"/>
                <w:szCs w:val="21"/>
                <w14:ligatures w14:val="none"/>
              </w:rPr>
              <w:t>Western Sub-Saharan Africa</w:t>
            </w:r>
          </w:p>
        </w:tc>
        <w:tc>
          <w:tcPr>
            <w:tcW w:w="847" w:type="pct"/>
            <w:shd w:val="clear" w:color="auto" w:fill="F1F1F1" w:themeFill="background1" w:themeFillShade="F2"/>
            <w:noWrap/>
            <w:vAlign w:val="center"/>
          </w:tcPr>
          <w:p w14:paraId="1CF4A5C1">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16244 (10005, 25023)</w:t>
            </w:r>
          </w:p>
        </w:tc>
        <w:tc>
          <w:tcPr>
            <w:tcW w:w="847" w:type="pct"/>
            <w:shd w:val="clear" w:color="auto" w:fill="F1F1F1" w:themeFill="background1" w:themeFillShade="F2"/>
            <w:noWrap/>
            <w:vAlign w:val="center"/>
          </w:tcPr>
          <w:p w14:paraId="70878ECA">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5870 (3582, 9035)</w:t>
            </w:r>
          </w:p>
        </w:tc>
        <w:tc>
          <w:tcPr>
            <w:tcW w:w="691" w:type="pct"/>
            <w:shd w:val="clear" w:color="auto" w:fill="F1F1F1" w:themeFill="background1" w:themeFillShade="F2"/>
            <w:noWrap/>
            <w:vAlign w:val="center"/>
          </w:tcPr>
          <w:p w14:paraId="1B7DC5A2">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8.59 (5.29, 13.23)</w:t>
            </w:r>
          </w:p>
        </w:tc>
        <w:tc>
          <w:tcPr>
            <w:tcW w:w="691" w:type="pct"/>
            <w:shd w:val="clear" w:color="auto" w:fill="F1F1F1" w:themeFill="background1" w:themeFillShade="F2"/>
            <w:noWrap/>
            <w:vAlign w:val="center"/>
          </w:tcPr>
          <w:p w14:paraId="4313A135">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8.24 (5.03, 12.68)</w:t>
            </w:r>
          </w:p>
        </w:tc>
        <w:tc>
          <w:tcPr>
            <w:tcW w:w="588" w:type="pct"/>
            <w:shd w:val="clear" w:color="auto" w:fill="F1F1F1" w:themeFill="background1" w:themeFillShade="F2"/>
            <w:noWrap/>
            <w:vAlign w:val="center"/>
          </w:tcPr>
          <w:p w14:paraId="631C416C">
            <w:pPr>
              <w:keepNext/>
              <w:widowControl/>
              <w:snapToGrid w:val="0"/>
              <w:spacing w:after="0" w:line="240" w:lineRule="auto"/>
              <w:ind w:left="0" w:leftChars="0" w:right="0" w:rightChars="0" w:firstLine="0" w:firstLineChars="0"/>
              <w:jc w:val="right"/>
              <w:rPr>
                <w:rFonts w:ascii="Times New Roman" w:hAnsi="Times New Roman" w:eastAsia="等线" w:cs="Times New Roman"/>
                <w:color w:val="000000"/>
                <w:kern w:val="0"/>
                <w:sz w:val="21"/>
                <w:szCs w:val="21"/>
                <w14:ligatures w14:val="none"/>
              </w:rPr>
            </w:pPr>
            <w:r>
              <w:rPr>
                <w:rFonts w:ascii="Times New Roman" w:hAnsi="Times New Roman" w:eastAsia="等线" w:cs="Times New Roman"/>
                <w:color w:val="000000"/>
                <w:kern w:val="0"/>
                <w:sz w:val="21"/>
                <w:szCs w:val="21"/>
                <w14:ligatures w14:val="none"/>
              </w:rPr>
              <w:t>0.14 (0.12, 0.17)</w:t>
            </w:r>
          </w:p>
        </w:tc>
      </w:tr>
    </w:tbl>
    <w:p w14:paraId="22CC1531">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cs="Times New Roman" w:eastAsiaTheme="minorEastAsia"/>
          <w:sz w:val="24"/>
          <w:szCs w:val="24"/>
        </w:rPr>
      </w:pPr>
      <w:r>
        <w:rPr>
          <w:rFonts w:hint="eastAsia" w:ascii="Times New Roman" w:hAnsi="Times New Roman" w:cs="Times New Roman"/>
          <w:sz w:val="24"/>
        </w:rPr>
        <w:drawing>
          <wp:inline distT="0" distB="0" distL="114300" distR="114300">
            <wp:extent cx="5252720" cy="2279650"/>
            <wp:effectExtent l="0" t="0" r="5080" b="6350"/>
            <wp:docPr id="7" name="图片 7" descr="figure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1_01"/>
                    <pic:cNvPicPr>
                      <a:picLocks noChangeAspect="1"/>
                    </pic:cNvPicPr>
                  </pic:nvPicPr>
                  <pic:blipFill>
                    <a:blip r:embed="rId6"/>
                    <a:stretch>
                      <a:fillRect/>
                    </a:stretch>
                  </pic:blipFill>
                  <pic:spPr>
                    <a:xfrm>
                      <a:off x="0" y="0"/>
                      <a:ext cx="5252720" cy="2279650"/>
                    </a:xfrm>
                    <a:prstGeom prst="rect">
                      <a:avLst/>
                    </a:prstGeom>
                  </pic:spPr>
                </pic:pic>
              </a:graphicData>
            </a:graphic>
          </wp:inline>
        </w:drawing>
      </w:r>
      <w:r>
        <w:rPr>
          <w:rFonts w:hint="eastAsia" w:ascii="Times New Roman" w:hAnsi="Times New Roman" w:cs="Times New Roman"/>
          <w:sz w:val="24"/>
        </w:rPr>
        <w:cr/>
      </w:r>
      <w:r>
        <w:rPr>
          <w:rFonts w:hint="eastAsia" w:ascii="Times New Roman" w:hAnsi="Times New Roman" w:cs="Times New Roman" w:eastAsiaTheme="minorEastAsia"/>
          <w:b/>
          <w:bCs/>
          <w:sz w:val="24"/>
          <w:szCs w:val="24"/>
        </w:rPr>
        <w:t>Figure 1</w:t>
      </w:r>
      <w:r>
        <w:rPr>
          <w:rFonts w:hint="eastAsia" w:ascii="Times New Roman" w:hAnsi="Times New Roman" w:cs="Times New Roman" w:eastAsiaTheme="minorEastAsia"/>
          <w:sz w:val="24"/>
          <w:szCs w:val="24"/>
        </w:rPr>
        <w:t>. Global number and rate of incidence, prevalence, and DALYs of gout from 1990 to 2021, by sex</w:t>
      </w:r>
    </w:p>
    <w:p w14:paraId="66735BC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59705" cy="2954020"/>
            <wp:effectExtent l="0" t="0" r="17145" b="17780"/>
            <wp:docPr id="3" name="图片 3"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2"/>
                    <pic:cNvPicPr>
                      <a:picLocks noChangeAspect="1"/>
                    </pic:cNvPicPr>
                  </pic:nvPicPr>
                  <pic:blipFill>
                    <a:blip r:embed="rId7"/>
                    <a:stretch>
                      <a:fillRect/>
                    </a:stretch>
                  </pic:blipFill>
                  <pic:spPr>
                    <a:xfrm>
                      <a:off x="0" y="0"/>
                      <a:ext cx="5259705" cy="2954020"/>
                    </a:xfrm>
                    <a:prstGeom prst="rect">
                      <a:avLst/>
                    </a:prstGeom>
                  </pic:spPr>
                </pic:pic>
              </a:graphicData>
            </a:graphic>
          </wp:inline>
        </w:drawing>
      </w:r>
    </w:p>
    <w:p w14:paraId="6AB2B87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cs="Times New Roman" w:eastAsiaTheme="minorEastAsia"/>
          <w:sz w:val="24"/>
          <w:szCs w:val="24"/>
        </w:rPr>
      </w:pPr>
      <w:r>
        <w:rPr>
          <w:rFonts w:hint="eastAsia" w:ascii="Times New Roman" w:hAnsi="Times New Roman" w:cs="Times New Roman" w:eastAsiaTheme="minorEastAsia"/>
          <w:b/>
          <w:bCs/>
          <w:sz w:val="24"/>
          <w:szCs w:val="24"/>
        </w:rPr>
        <w:t>Figure 2</w:t>
      </w:r>
      <w:r>
        <w:rPr>
          <w:rFonts w:hint="eastAsia" w:ascii="Times New Roman" w:hAnsi="Times New Roman" w:cs="Times New Roman" w:eastAsiaTheme="minorEastAsia"/>
          <w:sz w:val="24"/>
          <w:szCs w:val="24"/>
        </w:rPr>
        <w:t>. National</w:t>
      </w:r>
      <w:r>
        <w:rPr>
          <w:rFonts w:hint="eastAsia" w:ascii="Times New Roman" w:hAnsi="Times New Roman" w:cs="Times New Roman" w:eastAsiaTheme="minorEastAsia"/>
          <w:sz w:val="24"/>
          <w:szCs w:val="24"/>
        </w:rPr>
        <w:noBreakHyphen/>
      </w:r>
      <w:r>
        <w:rPr>
          <w:rFonts w:hint="eastAsia" w:ascii="Times New Roman" w:hAnsi="Times New Roman" w:cs="Times New Roman" w:eastAsiaTheme="minorEastAsia"/>
          <w:sz w:val="24"/>
          <w:szCs w:val="24"/>
        </w:rPr>
        <w:t>level burden of gout: number and rate of incidence, prevalence, and DALYs across the world</w:t>
      </w:r>
    </w:p>
    <w:p w14:paraId="2C872200">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cs="Times New Roman" w:eastAsiaTheme="minorEastAsia"/>
          <w:sz w:val="24"/>
          <w:szCs w:val="24"/>
        </w:rPr>
      </w:pPr>
    </w:p>
    <w:p w14:paraId="4A5C5273">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rPr>
      </w:pPr>
      <w:r>
        <w:rPr>
          <w:rFonts w:hint="eastAsia" w:ascii="Times New Roman" w:hAnsi="Times New Roman" w:cs="Times New Roman"/>
          <w:b/>
          <w:bCs/>
          <w:sz w:val="24"/>
          <w:lang w:val="en-US" w:eastAsia="zh-CN"/>
        </w:rPr>
        <w:t xml:space="preserve">3.2. </w:t>
      </w:r>
      <w:r>
        <w:rPr>
          <w:rFonts w:hint="eastAsia" w:ascii="Times New Roman" w:hAnsi="Times New Roman" w:cs="Times New Roman"/>
          <w:b/>
          <w:bCs/>
          <w:sz w:val="24"/>
        </w:rPr>
        <w:t>Global trends in Gout burden using joinpoint regression analysis</w:t>
      </w:r>
      <w:r>
        <w:rPr>
          <w:rFonts w:hint="eastAsia" w:ascii="Times New Roman" w:hAnsi="Times New Roman" w:cs="Times New Roman"/>
          <w:b/>
          <w:bCs/>
          <w:sz w:val="24"/>
        </w:rPr>
        <w:cr/>
      </w:r>
      <w:r>
        <w:rPr>
          <w:rFonts w:hint="eastAsia" w:ascii="Times New Roman" w:hAnsi="Times New Roman" w:cs="Times New Roman"/>
          <w:sz w:val="24"/>
        </w:rPr>
        <w:t xml:space="preserve">The results of joinpoint regression analysis on the burden of Gout were demonstrated in </w:t>
      </w:r>
      <w:r>
        <w:rPr>
          <w:rFonts w:hint="eastAsia" w:ascii="Times New Roman" w:hAnsi="Times New Roman" w:cs="Times New Roman"/>
          <w:b/>
          <w:bCs/>
          <w:sz w:val="24"/>
        </w:rPr>
        <w:t>Figure 3</w:t>
      </w:r>
      <w:r>
        <w:rPr>
          <w:rFonts w:hint="eastAsia" w:ascii="Times New Roman" w:hAnsi="Times New Roman" w:cs="Times New Roman"/>
          <w:sz w:val="24"/>
        </w:rPr>
        <w:t xml:space="preserve"> and </w:t>
      </w:r>
      <w:r>
        <w:rPr>
          <w:rFonts w:hint="eastAsia" w:ascii="Times New Roman" w:hAnsi="Times New Roman" w:cs="Times New Roman"/>
          <w:b/>
          <w:bCs/>
          <w:sz w:val="24"/>
        </w:rPr>
        <w:t>Table 4</w:t>
      </w:r>
      <w:r>
        <w:rPr>
          <w:rFonts w:hint="eastAsia" w:ascii="Times New Roman" w:hAnsi="Times New Roman" w:cs="Times New Roman"/>
          <w:sz w:val="24"/>
        </w:rPr>
        <w:t xml:space="preserve">. </w:t>
      </w:r>
    </w:p>
    <w:p w14:paraId="29C1FAA8">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4"/>
        </w:rPr>
      </w:pPr>
      <w:r>
        <w:rPr>
          <w:rFonts w:hint="default" w:ascii="Times New Roman" w:hAnsi="Times New Roman" w:cs="Times New Roman"/>
          <w:sz w:val="24"/>
        </w:rPr>
        <w:t>Between 1990 and 2021, continuously dramatically increasing trends for aged 20-54 years (Number and Rate) of incidence, prevalence and DALYs of Gout occurred. Globally, the gout incidence Rate in individuals aged 20–54 years increased between 1990 and 2021 ,AAPC 0.80 [95% CI 0.75 to 0.88] ,with the most rapidly increasing period at 1996–2005 after undergoing six joinpoints; As for the gout incidence Number also increased between 1990 and 2021, AAPC 2.28 [95% CI 2.24 to 2.32] ,with the most rapidly increasing period at 1996–2004 after undergoing six joinpoints. Accordingly, the gout prevalence also increased between 1990 and 2021</w:t>
      </w:r>
      <w:r>
        <w:rPr>
          <w:rFonts w:hint="eastAsia" w:ascii="Times New Roman" w:hAnsi="Times New Roman" w:cs="Times New Roman"/>
          <w:sz w:val="24"/>
          <w:lang w:val="en-US" w:eastAsia="zh-CN"/>
        </w:rPr>
        <w:t xml:space="preserve">. </w:t>
      </w:r>
      <w:r>
        <w:rPr>
          <w:rFonts w:hint="default" w:ascii="Times New Roman" w:hAnsi="Times New Roman" w:cs="Times New Roman"/>
          <w:sz w:val="24"/>
          <w:lang w:val="en-US" w:eastAsia="zh-CN"/>
        </w:rPr>
        <w:t>S</w:t>
      </w:r>
      <w:r>
        <w:rPr>
          <w:rFonts w:hint="default" w:ascii="Times New Roman" w:hAnsi="Times New Roman" w:cs="Times New Roman"/>
          <w:sz w:val="24"/>
        </w:rPr>
        <w:t xml:space="preserve">pecifically, the trend for the Rate of Prevalence experienced six joinpoints of no changes in 2018–2021, with the most rapidly increasing period at 1996–2004 , AAPC 0.96 [95% CI 0.93 to 1.00]. Meanwhile, the trend for the Number of prevalence </w:t>
      </w:r>
      <w:r>
        <w:rPr>
          <w:rFonts w:hint="eastAsia" w:ascii="Times New Roman" w:hAnsi="Times New Roman" w:cs="Times New Roman"/>
          <w:sz w:val="24"/>
        </w:rPr>
        <w:t xml:space="preserve">demonstrated six joinpoints of increases in all periods, with the most rapidly </w:t>
      </w:r>
      <w:r>
        <w:rPr>
          <w:rFonts w:hint="default" w:ascii="Times New Roman" w:hAnsi="Times New Roman" w:cs="Times New Roman"/>
          <w:sz w:val="24"/>
        </w:rPr>
        <w:t>increasing period at 1996–2003 , AAPC 2.44 [95% CI 2.38 to 2.50]. Regarding the trend for the Rate of DALYs, it underwent six joinpoints of no changes in 2018–2021, with the most rapidly increasing period at 1996–2004 , AAPC 0.95 [95% CI 0.91 to 0.99]; the Rate of DALYs, it underwent six joinpoints of increase in all periods, with the most rapidly increasing period at 1996–2003 , AAPC 2.42 [95% CI 2.36 to 2.48]. The Joinpoint regression analysis of globally in aged 20-54 years incidence, prevalence and DALYs for gout Rate and Number in each period between 1990 and 2021 can be found in online supplemental data.</w:t>
      </w:r>
    </w:p>
    <w:p w14:paraId="7CAF5AD0">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drawing>
          <wp:inline distT="0" distB="0" distL="114300" distR="114300">
            <wp:extent cx="5271135" cy="2603500"/>
            <wp:effectExtent l="0" t="0" r="5715" b="6350"/>
            <wp:docPr id="4" name="图片 4"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3"/>
                    <pic:cNvPicPr>
                      <a:picLocks noChangeAspect="1"/>
                    </pic:cNvPicPr>
                  </pic:nvPicPr>
                  <pic:blipFill>
                    <a:blip r:embed="rId8"/>
                    <a:stretch>
                      <a:fillRect/>
                    </a:stretch>
                  </pic:blipFill>
                  <pic:spPr>
                    <a:xfrm>
                      <a:off x="0" y="0"/>
                      <a:ext cx="5271135" cy="2603500"/>
                    </a:xfrm>
                    <a:prstGeom prst="rect">
                      <a:avLst/>
                    </a:prstGeom>
                  </pic:spPr>
                </pic:pic>
              </a:graphicData>
            </a:graphic>
          </wp:inline>
        </w:drawing>
      </w:r>
    </w:p>
    <w:p w14:paraId="0021F6B3">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center"/>
        <w:textAlignment w:val="auto"/>
        <w:rPr>
          <w:rFonts w:hint="default" w:ascii="Times New Roman" w:hAnsi="Times New Roman" w:cs="Times New Roman"/>
          <w:sz w:val="24"/>
        </w:rPr>
      </w:pPr>
      <w:r>
        <w:rPr>
          <w:rFonts w:hint="eastAsia" w:ascii="Times New Roman" w:hAnsi="Times New Roman" w:cs="Times New Roman"/>
          <w:b/>
          <w:bCs/>
          <w:sz w:val="24"/>
        </w:rPr>
        <w:t>Figure 3</w:t>
      </w:r>
      <w:r>
        <w:rPr>
          <w:rFonts w:hint="eastAsia" w:ascii="Times New Roman" w:hAnsi="Times New Roman" w:cs="Times New Roman"/>
          <w:sz w:val="24"/>
          <w:lang w:val="en-US" w:eastAsia="zh-CN"/>
        </w:rPr>
        <w:t>.</w:t>
      </w:r>
      <w:r>
        <w:rPr>
          <w:rFonts w:hint="eastAsia" w:ascii="Times New Roman" w:hAnsi="Times New Roman" w:cs="Times New Roman"/>
          <w:sz w:val="24"/>
        </w:rPr>
        <w:t xml:space="preserve"> The joinpoint regression analysis on the number and rate of incidence, prevalence, and DALYs for gout globally in individuals aged 20–54 years from 1990 to 2021.</w:t>
      </w:r>
    </w:p>
    <w:p w14:paraId="6D5D36A3">
      <w:pPr>
        <w:jc w:val="center"/>
        <w:rPr>
          <w:rFonts w:ascii="Times New Roman" w:hAnsi="Times New Roman" w:cs="Times New Roman"/>
          <w:sz w:val="21"/>
          <w:szCs w:val="21"/>
        </w:rPr>
      </w:pPr>
    </w:p>
    <w:p w14:paraId="392625D6">
      <w:pPr>
        <w:jc w:val="center"/>
        <w:rPr>
          <w:rFonts w:ascii="Times New Roman" w:hAnsi="Times New Roman" w:cs="Times New Roman"/>
          <w:sz w:val="24"/>
          <w:szCs w:val="24"/>
        </w:rPr>
      </w:pPr>
      <w:r>
        <w:rPr>
          <w:rFonts w:ascii="Times New Roman" w:hAnsi="Times New Roman" w:cs="Times New Roman"/>
          <w:b/>
          <w:bCs/>
          <w:sz w:val="24"/>
          <w:szCs w:val="24"/>
        </w:rPr>
        <w:t>Table 4</w:t>
      </w:r>
      <w:r>
        <w:rPr>
          <w:rFonts w:hint="eastAsia" w:ascii="Times New Roman" w:hAnsi="Times New Roman" w:cs="Times New Roman"/>
          <w:sz w:val="24"/>
          <w:szCs w:val="24"/>
          <w:lang w:val="en-US" w:eastAsia="zh-CN"/>
        </w:rPr>
        <w:t>.</w:t>
      </w:r>
      <w:r>
        <w:rPr>
          <w:rFonts w:ascii="Times New Roman" w:hAnsi="Times New Roman" w:cs="Times New Roman"/>
          <w:sz w:val="24"/>
          <w:szCs w:val="24"/>
        </w:rPr>
        <w:t xml:space="preserve"> The APC and AAPC in </w:t>
      </w:r>
      <w:r>
        <w:rPr>
          <w:rFonts w:hint="eastAsia" w:ascii="Times New Roman" w:hAnsi="Times New Roman" w:cs="Times New Roman"/>
          <w:sz w:val="24"/>
          <w:szCs w:val="24"/>
        </w:rPr>
        <w:t>20-54 years</w:t>
      </w:r>
      <w:r>
        <w:rPr>
          <w:rFonts w:ascii="Times New Roman" w:hAnsi="Times New Roman" w:cs="Times New Roman"/>
          <w:sz w:val="24"/>
          <w:szCs w:val="24"/>
        </w:rPr>
        <w:t xml:space="preserve"> of </w:t>
      </w:r>
      <w:r>
        <w:rPr>
          <w:rFonts w:hint="eastAsia" w:ascii="Times New Roman" w:hAnsi="Times New Roman" w:cs="Times New Roman"/>
          <w:sz w:val="24"/>
          <w:szCs w:val="24"/>
        </w:rPr>
        <w:t>Gouts</w:t>
      </w:r>
      <w:r>
        <w:rPr>
          <w:rFonts w:ascii="Times New Roman" w:hAnsi="Times New Roman" w:cs="Times New Roman"/>
          <w:sz w:val="24"/>
          <w:szCs w:val="24"/>
        </w:rPr>
        <w:t xml:space="preserve"> incidence, prevalence and DALYs for both sexes from 1990 to 20</w:t>
      </w:r>
      <w:r>
        <w:rPr>
          <w:rFonts w:hint="eastAsia" w:ascii="Times New Roman" w:hAnsi="Times New Roman" w:cs="Times New Roman"/>
          <w:sz w:val="24"/>
          <w:szCs w:val="24"/>
        </w:rPr>
        <w:t>21</w:t>
      </w:r>
    </w:p>
    <w:p w14:paraId="4869B400">
      <w:pPr>
        <w:rPr>
          <w:rFonts w:ascii="Times New Roman" w:hAnsi="Times New Roman" w:cs="Times New Roman"/>
          <w:sz w:val="24"/>
          <w:szCs w:val="24"/>
        </w:rPr>
      </w:pPr>
      <w:r>
        <w:rPr>
          <w:rFonts w:hint="eastAsia" w:ascii="Times New Roman" w:hAnsi="Times New Roman" w:cs="Times New Roman"/>
          <w:sz w:val="24"/>
          <w:szCs w:val="24"/>
        </w:rPr>
        <w:t>Incidence_Rate_APC</w:t>
      </w:r>
    </w:p>
    <w:tbl>
      <w:tblPr>
        <w:tblStyle w:val="7"/>
        <w:tblW w:w="5000" w:type="pct"/>
        <w:jc w:val="center"/>
        <w:tblCellSpacing w:w="15"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15" w:type="dxa"/>
          <w:left w:w="15" w:type="dxa"/>
          <w:bottom w:w="15" w:type="dxa"/>
          <w:right w:w="15" w:type="dxa"/>
        </w:tblCellMar>
      </w:tblPr>
      <w:tblGrid>
        <w:gridCol w:w="717"/>
        <w:gridCol w:w="830"/>
        <w:gridCol w:w="1126"/>
        <w:gridCol w:w="1126"/>
        <w:gridCol w:w="745"/>
        <w:gridCol w:w="794"/>
        <w:gridCol w:w="739"/>
        <w:gridCol w:w="1364"/>
        <w:gridCol w:w="955"/>
      </w:tblGrid>
      <w:tr w14:paraId="7A93676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Header/>
          <w:tblCellSpacing w:w="15" w:type="dxa"/>
          <w:jc w:val="center"/>
        </w:trPr>
        <w:tc>
          <w:tcPr>
            <w:tcW w:w="378" w:type="pct"/>
            <w:tcBorders>
              <w:bottom w:val="single" w:color="auto" w:sz="4" w:space="0"/>
            </w:tcBorders>
            <w:vAlign w:val="center"/>
          </w:tcPr>
          <w:p w14:paraId="1D0D995F">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Cohort</w:t>
            </w:r>
          </w:p>
        </w:tc>
        <w:tc>
          <w:tcPr>
            <w:tcW w:w="438" w:type="pct"/>
            <w:tcBorders>
              <w:bottom w:val="single" w:color="auto" w:sz="4" w:space="0"/>
            </w:tcBorders>
            <w:vAlign w:val="center"/>
          </w:tcPr>
          <w:p w14:paraId="2DC19D7E">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Segment</w:t>
            </w:r>
          </w:p>
        </w:tc>
        <w:tc>
          <w:tcPr>
            <w:tcW w:w="661" w:type="pct"/>
            <w:tcBorders>
              <w:bottom w:val="single" w:color="auto" w:sz="4" w:space="0"/>
            </w:tcBorders>
            <w:vAlign w:val="center"/>
          </w:tcPr>
          <w:p w14:paraId="77C3A54A">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Endpoint</w:t>
            </w:r>
          </w:p>
        </w:tc>
        <w:tc>
          <w:tcPr>
            <w:tcW w:w="661" w:type="pct"/>
            <w:tcBorders>
              <w:bottom w:val="single" w:color="auto" w:sz="4" w:space="0"/>
            </w:tcBorders>
            <w:vAlign w:val="center"/>
          </w:tcPr>
          <w:p w14:paraId="27A902C4">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Endpoint</w:t>
            </w:r>
          </w:p>
        </w:tc>
        <w:tc>
          <w:tcPr>
            <w:tcW w:w="434" w:type="pct"/>
            <w:tcBorders>
              <w:bottom w:val="single" w:color="auto" w:sz="4" w:space="0"/>
            </w:tcBorders>
            <w:vAlign w:val="center"/>
          </w:tcPr>
          <w:p w14:paraId="19DBEED9">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APC</w:t>
            </w:r>
          </w:p>
        </w:tc>
        <w:tc>
          <w:tcPr>
            <w:tcW w:w="463" w:type="pct"/>
            <w:tcBorders>
              <w:bottom w:val="single" w:color="auto" w:sz="4" w:space="0"/>
            </w:tcBorders>
            <w:vAlign w:val="center"/>
          </w:tcPr>
          <w:p w14:paraId="2566C5EA">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CI</w:t>
            </w:r>
          </w:p>
        </w:tc>
        <w:tc>
          <w:tcPr>
            <w:tcW w:w="430" w:type="pct"/>
            <w:tcBorders>
              <w:bottom w:val="single" w:color="auto" w:sz="4" w:space="0"/>
            </w:tcBorders>
            <w:vAlign w:val="center"/>
          </w:tcPr>
          <w:p w14:paraId="72C355A1">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CI</w:t>
            </w:r>
          </w:p>
        </w:tc>
        <w:tc>
          <w:tcPr>
            <w:tcW w:w="802" w:type="pct"/>
            <w:tcBorders>
              <w:bottom w:val="single" w:color="auto" w:sz="4" w:space="0"/>
            </w:tcBorders>
            <w:vAlign w:val="center"/>
          </w:tcPr>
          <w:p w14:paraId="4AB90776">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Test Statistic (t)</w:t>
            </w:r>
          </w:p>
        </w:tc>
        <w:tc>
          <w:tcPr>
            <w:tcW w:w="550" w:type="pct"/>
            <w:tcBorders>
              <w:bottom w:val="single" w:color="auto" w:sz="4" w:space="0"/>
            </w:tcBorders>
            <w:vAlign w:val="center"/>
          </w:tcPr>
          <w:p w14:paraId="37600B04">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Prob &gt; |t|</w:t>
            </w:r>
          </w:p>
        </w:tc>
      </w:tr>
      <w:tr w14:paraId="7669D8A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03F3ABA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360DAEB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w:t>
            </w:r>
          </w:p>
        </w:tc>
        <w:tc>
          <w:tcPr>
            <w:tcW w:w="661" w:type="pct"/>
            <w:vAlign w:val="center"/>
          </w:tcPr>
          <w:p w14:paraId="45F3818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1990</w:t>
            </w:r>
          </w:p>
        </w:tc>
        <w:tc>
          <w:tcPr>
            <w:tcW w:w="661" w:type="pct"/>
            <w:vAlign w:val="center"/>
          </w:tcPr>
          <w:p w14:paraId="29BD385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1993</w:t>
            </w:r>
          </w:p>
        </w:tc>
        <w:tc>
          <w:tcPr>
            <w:tcW w:w="434" w:type="pct"/>
            <w:vAlign w:val="center"/>
          </w:tcPr>
          <w:p w14:paraId="5B26433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0.1098</w:t>
            </w:r>
          </w:p>
        </w:tc>
        <w:tc>
          <w:tcPr>
            <w:tcW w:w="463" w:type="pct"/>
            <w:vAlign w:val="center"/>
          </w:tcPr>
          <w:p w14:paraId="65ED228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-0.0551</w:t>
            </w:r>
          </w:p>
        </w:tc>
        <w:tc>
          <w:tcPr>
            <w:tcW w:w="430" w:type="pct"/>
            <w:vAlign w:val="center"/>
          </w:tcPr>
          <w:p w14:paraId="5553039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0.2750</w:t>
            </w:r>
          </w:p>
        </w:tc>
        <w:tc>
          <w:tcPr>
            <w:tcW w:w="802" w:type="pct"/>
            <w:vAlign w:val="center"/>
          </w:tcPr>
          <w:p w14:paraId="6CBE850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1.4504</w:t>
            </w:r>
          </w:p>
        </w:tc>
        <w:tc>
          <w:tcPr>
            <w:tcW w:w="550" w:type="pct"/>
            <w:vAlign w:val="center"/>
          </w:tcPr>
          <w:p w14:paraId="6403874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0.172575</w:t>
            </w:r>
          </w:p>
        </w:tc>
      </w:tr>
      <w:tr w14:paraId="43BF397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55A9766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6130317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w:t>
            </w:r>
          </w:p>
        </w:tc>
        <w:tc>
          <w:tcPr>
            <w:tcW w:w="661" w:type="pct"/>
            <w:vAlign w:val="center"/>
          </w:tcPr>
          <w:p w14:paraId="10E5CF1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1993</w:t>
            </w:r>
          </w:p>
        </w:tc>
        <w:tc>
          <w:tcPr>
            <w:tcW w:w="661" w:type="pct"/>
            <w:vAlign w:val="center"/>
          </w:tcPr>
          <w:p w14:paraId="5B455AD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1996</w:t>
            </w:r>
          </w:p>
        </w:tc>
        <w:tc>
          <w:tcPr>
            <w:tcW w:w="434" w:type="pct"/>
            <w:vAlign w:val="center"/>
          </w:tcPr>
          <w:p w14:paraId="0EBA2B7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0.5964*</w:t>
            </w:r>
          </w:p>
        </w:tc>
        <w:tc>
          <w:tcPr>
            <w:tcW w:w="463" w:type="pct"/>
            <w:vAlign w:val="center"/>
          </w:tcPr>
          <w:p w14:paraId="172253C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0.2666</w:t>
            </w:r>
          </w:p>
        </w:tc>
        <w:tc>
          <w:tcPr>
            <w:tcW w:w="430" w:type="pct"/>
            <w:vAlign w:val="center"/>
          </w:tcPr>
          <w:p w14:paraId="1AF4506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0.9273</w:t>
            </w:r>
          </w:p>
        </w:tc>
        <w:tc>
          <w:tcPr>
            <w:tcW w:w="802" w:type="pct"/>
            <w:vAlign w:val="center"/>
          </w:tcPr>
          <w:p w14:paraId="29BC92B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3.9455</w:t>
            </w:r>
          </w:p>
        </w:tc>
        <w:tc>
          <w:tcPr>
            <w:tcW w:w="550" w:type="pct"/>
            <w:vAlign w:val="center"/>
          </w:tcPr>
          <w:p w14:paraId="4254A15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0.001944</w:t>
            </w:r>
          </w:p>
        </w:tc>
      </w:tr>
      <w:tr w14:paraId="1F15A01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1A0B509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3F1E53B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w:t>
            </w:r>
          </w:p>
        </w:tc>
        <w:tc>
          <w:tcPr>
            <w:tcW w:w="661" w:type="pct"/>
            <w:vAlign w:val="center"/>
          </w:tcPr>
          <w:p w14:paraId="097F790B">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1996</w:t>
            </w:r>
          </w:p>
        </w:tc>
        <w:tc>
          <w:tcPr>
            <w:tcW w:w="661" w:type="pct"/>
            <w:vAlign w:val="center"/>
          </w:tcPr>
          <w:p w14:paraId="7A53466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2005</w:t>
            </w:r>
          </w:p>
        </w:tc>
        <w:tc>
          <w:tcPr>
            <w:tcW w:w="434" w:type="pct"/>
            <w:vAlign w:val="center"/>
          </w:tcPr>
          <w:p w14:paraId="67BFD79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1.2388*</w:t>
            </w:r>
          </w:p>
        </w:tc>
        <w:tc>
          <w:tcPr>
            <w:tcW w:w="463" w:type="pct"/>
            <w:vAlign w:val="center"/>
          </w:tcPr>
          <w:p w14:paraId="45BED2D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1.2021</w:t>
            </w:r>
          </w:p>
        </w:tc>
        <w:tc>
          <w:tcPr>
            <w:tcW w:w="430" w:type="pct"/>
            <w:vAlign w:val="center"/>
          </w:tcPr>
          <w:p w14:paraId="44AB35C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1.2754</w:t>
            </w:r>
          </w:p>
        </w:tc>
        <w:tc>
          <w:tcPr>
            <w:tcW w:w="802" w:type="pct"/>
            <w:vAlign w:val="center"/>
          </w:tcPr>
          <w:p w14:paraId="773C066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74.0910</w:t>
            </w:r>
          </w:p>
        </w:tc>
        <w:tc>
          <w:tcPr>
            <w:tcW w:w="550" w:type="pct"/>
            <w:vAlign w:val="center"/>
          </w:tcPr>
          <w:p w14:paraId="54CEDD8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44B058C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1BAC867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44AEC4A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4</w:t>
            </w:r>
          </w:p>
        </w:tc>
        <w:tc>
          <w:tcPr>
            <w:tcW w:w="661" w:type="pct"/>
            <w:vAlign w:val="center"/>
          </w:tcPr>
          <w:p w14:paraId="7FBB944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2005</w:t>
            </w:r>
          </w:p>
        </w:tc>
        <w:tc>
          <w:tcPr>
            <w:tcW w:w="661" w:type="pct"/>
            <w:vAlign w:val="center"/>
          </w:tcPr>
          <w:p w14:paraId="5A33946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2012</w:t>
            </w:r>
          </w:p>
        </w:tc>
        <w:tc>
          <w:tcPr>
            <w:tcW w:w="434" w:type="pct"/>
            <w:vAlign w:val="center"/>
          </w:tcPr>
          <w:p w14:paraId="07D0E09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0.6982*</w:t>
            </w:r>
          </w:p>
        </w:tc>
        <w:tc>
          <w:tcPr>
            <w:tcW w:w="463" w:type="pct"/>
            <w:vAlign w:val="center"/>
          </w:tcPr>
          <w:p w14:paraId="73453BB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0.6421</w:t>
            </w:r>
          </w:p>
        </w:tc>
        <w:tc>
          <w:tcPr>
            <w:tcW w:w="430" w:type="pct"/>
            <w:vAlign w:val="center"/>
          </w:tcPr>
          <w:p w14:paraId="421128D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0.7543</w:t>
            </w:r>
          </w:p>
        </w:tc>
        <w:tc>
          <w:tcPr>
            <w:tcW w:w="802" w:type="pct"/>
            <w:vAlign w:val="center"/>
          </w:tcPr>
          <w:p w14:paraId="2759551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27.2192</w:t>
            </w:r>
          </w:p>
        </w:tc>
        <w:tc>
          <w:tcPr>
            <w:tcW w:w="550" w:type="pct"/>
            <w:vAlign w:val="center"/>
          </w:tcPr>
          <w:p w14:paraId="2923278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2858729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3C49E7D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7A4FE30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5</w:t>
            </w:r>
          </w:p>
        </w:tc>
        <w:tc>
          <w:tcPr>
            <w:tcW w:w="661" w:type="pct"/>
            <w:vAlign w:val="center"/>
          </w:tcPr>
          <w:p w14:paraId="65C50E5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2012</w:t>
            </w:r>
          </w:p>
        </w:tc>
        <w:tc>
          <w:tcPr>
            <w:tcW w:w="661" w:type="pct"/>
            <w:vAlign w:val="center"/>
          </w:tcPr>
          <w:p w14:paraId="53C3B2B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2015</w:t>
            </w:r>
          </w:p>
        </w:tc>
        <w:tc>
          <w:tcPr>
            <w:tcW w:w="434" w:type="pct"/>
            <w:vAlign w:val="center"/>
          </w:tcPr>
          <w:p w14:paraId="15ABD62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1.1602*</w:t>
            </w:r>
          </w:p>
        </w:tc>
        <w:tc>
          <w:tcPr>
            <w:tcW w:w="463" w:type="pct"/>
            <w:vAlign w:val="center"/>
          </w:tcPr>
          <w:p w14:paraId="7C44189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0.8271</w:t>
            </w:r>
          </w:p>
        </w:tc>
        <w:tc>
          <w:tcPr>
            <w:tcW w:w="430" w:type="pct"/>
            <w:vAlign w:val="center"/>
          </w:tcPr>
          <w:p w14:paraId="5B706B6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1.4945</w:t>
            </w:r>
          </w:p>
        </w:tc>
        <w:tc>
          <w:tcPr>
            <w:tcW w:w="802" w:type="pct"/>
            <w:vAlign w:val="center"/>
          </w:tcPr>
          <w:p w14:paraId="02D5A67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7.6196</w:t>
            </w:r>
          </w:p>
        </w:tc>
        <w:tc>
          <w:tcPr>
            <w:tcW w:w="550" w:type="pct"/>
            <w:vAlign w:val="center"/>
          </w:tcPr>
          <w:p w14:paraId="595EE3D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0.000006</w:t>
            </w:r>
          </w:p>
        </w:tc>
      </w:tr>
      <w:tr w14:paraId="4134733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6430415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2A47EC4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6</w:t>
            </w:r>
          </w:p>
        </w:tc>
        <w:tc>
          <w:tcPr>
            <w:tcW w:w="661" w:type="pct"/>
            <w:vAlign w:val="center"/>
          </w:tcPr>
          <w:p w14:paraId="243FCCF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2015</w:t>
            </w:r>
          </w:p>
        </w:tc>
        <w:tc>
          <w:tcPr>
            <w:tcW w:w="661" w:type="pct"/>
            <w:vAlign w:val="center"/>
          </w:tcPr>
          <w:p w14:paraId="3EA7C90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2018</w:t>
            </w:r>
          </w:p>
        </w:tc>
        <w:tc>
          <w:tcPr>
            <w:tcW w:w="434" w:type="pct"/>
            <w:vAlign w:val="center"/>
          </w:tcPr>
          <w:p w14:paraId="45D8A19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0.8655*</w:t>
            </w:r>
          </w:p>
        </w:tc>
        <w:tc>
          <w:tcPr>
            <w:tcW w:w="463" w:type="pct"/>
            <w:vAlign w:val="center"/>
          </w:tcPr>
          <w:p w14:paraId="22BCA5C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0.5321</w:t>
            </w:r>
          </w:p>
        </w:tc>
        <w:tc>
          <w:tcPr>
            <w:tcW w:w="430" w:type="pct"/>
            <w:vAlign w:val="center"/>
          </w:tcPr>
          <w:p w14:paraId="3A2FACE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1.1999</w:t>
            </w:r>
          </w:p>
        </w:tc>
        <w:tc>
          <w:tcPr>
            <w:tcW w:w="802" w:type="pct"/>
            <w:vAlign w:val="center"/>
          </w:tcPr>
          <w:p w14:paraId="520951A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5.6714</w:t>
            </w:r>
          </w:p>
        </w:tc>
        <w:tc>
          <w:tcPr>
            <w:tcW w:w="550" w:type="pct"/>
            <w:vAlign w:val="center"/>
          </w:tcPr>
          <w:p w14:paraId="4A8DE91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0.000104</w:t>
            </w:r>
          </w:p>
        </w:tc>
      </w:tr>
      <w:tr w14:paraId="0993E80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14341C7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2E347F6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7</w:t>
            </w:r>
          </w:p>
        </w:tc>
        <w:tc>
          <w:tcPr>
            <w:tcW w:w="661" w:type="pct"/>
            <w:vAlign w:val="center"/>
          </w:tcPr>
          <w:p w14:paraId="2F09916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2018</w:t>
            </w:r>
          </w:p>
        </w:tc>
        <w:tc>
          <w:tcPr>
            <w:tcW w:w="661" w:type="pct"/>
            <w:vAlign w:val="center"/>
          </w:tcPr>
          <w:p w14:paraId="1D1AF7B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2021</w:t>
            </w:r>
          </w:p>
        </w:tc>
        <w:tc>
          <w:tcPr>
            <w:tcW w:w="434" w:type="pct"/>
            <w:vAlign w:val="center"/>
          </w:tcPr>
          <w:p w14:paraId="2E9E6AF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0.2223*</w:t>
            </w:r>
          </w:p>
        </w:tc>
        <w:tc>
          <w:tcPr>
            <w:tcW w:w="463" w:type="pct"/>
            <w:vAlign w:val="center"/>
          </w:tcPr>
          <w:p w14:paraId="0E7A821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0.0535</w:t>
            </w:r>
          </w:p>
        </w:tc>
        <w:tc>
          <w:tcPr>
            <w:tcW w:w="430" w:type="pct"/>
            <w:vAlign w:val="center"/>
          </w:tcPr>
          <w:p w14:paraId="0CDE5A1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0.3913</w:t>
            </w:r>
          </w:p>
        </w:tc>
        <w:tc>
          <w:tcPr>
            <w:tcW w:w="802" w:type="pct"/>
            <w:vAlign w:val="center"/>
          </w:tcPr>
          <w:p w14:paraId="4933101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2.8710</w:t>
            </w:r>
          </w:p>
        </w:tc>
        <w:tc>
          <w:tcPr>
            <w:tcW w:w="550" w:type="pct"/>
            <w:vAlign w:val="center"/>
          </w:tcPr>
          <w:p w14:paraId="46FD96E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0.014063</w:t>
            </w:r>
          </w:p>
        </w:tc>
      </w:tr>
    </w:tbl>
    <w:p w14:paraId="4CF55CC2">
      <w:pPr>
        <w:rPr>
          <w:rFonts w:ascii="Times New Roman" w:hAnsi="Times New Roman" w:cs="Times New Roman"/>
          <w:sz w:val="21"/>
          <w:szCs w:val="21"/>
        </w:rPr>
      </w:pPr>
    </w:p>
    <w:p w14:paraId="6AF084F0">
      <w:pPr>
        <w:rPr>
          <w:rFonts w:ascii="Times New Roman" w:hAnsi="Times New Roman" w:cs="Times New Roman"/>
          <w:sz w:val="24"/>
          <w:szCs w:val="24"/>
        </w:rPr>
      </w:pPr>
      <w:r>
        <w:rPr>
          <w:rFonts w:hint="eastAsia" w:ascii="Times New Roman" w:hAnsi="Times New Roman" w:cs="Times New Roman"/>
          <w:sz w:val="24"/>
          <w:szCs w:val="24"/>
        </w:rPr>
        <w:t>Incidence_Rate_AAPC</w:t>
      </w:r>
    </w:p>
    <w:tbl>
      <w:tblPr>
        <w:tblStyle w:val="7"/>
        <w:tblW w:w="5000" w:type="pct"/>
        <w:jc w:val="center"/>
        <w:tblCellSpacing w:w="15"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15" w:type="dxa"/>
          <w:left w:w="15" w:type="dxa"/>
          <w:bottom w:w="15" w:type="dxa"/>
          <w:right w:w="15" w:type="dxa"/>
        </w:tblCellMar>
      </w:tblPr>
      <w:tblGrid>
        <w:gridCol w:w="717"/>
        <w:gridCol w:w="815"/>
        <w:gridCol w:w="1230"/>
        <w:gridCol w:w="1225"/>
        <w:gridCol w:w="743"/>
        <w:gridCol w:w="791"/>
        <w:gridCol w:w="783"/>
        <w:gridCol w:w="1119"/>
        <w:gridCol w:w="973"/>
      </w:tblGrid>
      <w:tr w14:paraId="56F27DB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Header/>
          <w:tblCellSpacing w:w="15" w:type="dxa"/>
          <w:jc w:val="center"/>
        </w:trPr>
        <w:tc>
          <w:tcPr>
            <w:tcW w:w="400" w:type="pct"/>
            <w:tcBorders>
              <w:bottom w:val="single" w:color="auto" w:sz="4" w:space="0"/>
            </w:tcBorders>
            <w:vAlign w:val="center"/>
          </w:tcPr>
          <w:p w14:paraId="0F742EF8">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Cohort</w:t>
            </w:r>
          </w:p>
        </w:tc>
        <w:tc>
          <w:tcPr>
            <w:tcW w:w="467" w:type="pct"/>
            <w:tcBorders>
              <w:bottom w:val="single" w:color="auto" w:sz="4" w:space="0"/>
            </w:tcBorders>
            <w:vAlign w:val="center"/>
          </w:tcPr>
          <w:p w14:paraId="773A9DD5">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Range</w:t>
            </w:r>
          </w:p>
        </w:tc>
        <w:tc>
          <w:tcPr>
            <w:tcW w:w="714" w:type="pct"/>
            <w:tcBorders>
              <w:bottom w:val="single" w:color="auto" w:sz="4" w:space="0"/>
            </w:tcBorders>
            <w:vAlign w:val="center"/>
          </w:tcPr>
          <w:p w14:paraId="1EC5E7FF">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Endpoint</w:t>
            </w:r>
          </w:p>
        </w:tc>
        <w:tc>
          <w:tcPr>
            <w:tcW w:w="711" w:type="pct"/>
            <w:tcBorders>
              <w:bottom w:val="single" w:color="auto" w:sz="4" w:space="0"/>
            </w:tcBorders>
            <w:vAlign w:val="center"/>
          </w:tcPr>
          <w:p w14:paraId="2961DF9B">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Endpoint</w:t>
            </w:r>
          </w:p>
        </w:tc>
        <w:tc>
          <w:tcPr>
            <w:tcW w:w="424" w:type="pct"/>
            <w:tcBorders>
              <w:bottom w:val="single" w:color="auto" w:sz="4" w:space="0"/>
            </w:tcBorders>
            <w:vAlign w:val="center"/>
          </w:tcPr>
          <w:p w14:paraId="2ACBF91A">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AAPC</w:t>
            </w:r>
          </w:p>
        </w:tc>
        <w:tc>
          <w:tcPr>
            <w:tcW w:w="453" w:type="pct"/>
            <w:tcBorders>
              <w:bottom w:val="single" w:color="auto" w:sz="4" w:space="0"/>
            </w:tcBorders>
            <w:vAlign w:val="center"/>
          </w:tcPr>
          <w:p w14:paraId="6E203255">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CI</w:t>
            </w:r>
          </w:p>
        </w:tc>
        <w:tc>
          <w:tcPr>
            <w:tcW w:w="448" w:type="pct"/>
            <w:tcBorders>
              <w:bottom w:val="single" w:color="auto" w:sz="4" w:space="0"/>
            </w:tcBorders>
            <w:vAlign w:val="center"/>
          </w:tcPr>
          <w:p w14:paraId="6437E98D">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CI</w:t>
            </w:r>
          </w:p>
        </w:tc>
        <w:tc>
          <w:tcPr>
            <w:tcW w:w="648" w:type="pct"/>
            <w:tcBorders>
              <w:bottom w:val="single" w:color="auto" w:sz="4" w:space="0"/>
            </w:tcBorders>
            <w:vAlign w:val="center"/>
          </w:tcPr>
          <w:p w14:paraId="5007BE08">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Test Statistic</w:t>
            </w:r>
          </w:p>
        </w:tc>
        <w:tc>
          <w:tcPr>
            <w:tcW w:w="552" w:type="pct"/>
            <w:tcBorders>
              <w:bottom w:val="single" w:color="auto" w:sz="4" w:space="0"/>
            </w:tcBorders>
            <w:vAlign w:val="center"/>
          </w:tcPr>
          <w:p w14:paraId="541223C1">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P-Value</w:t>
            </w:r>
          </w:p>
        </w:tc>
      </w:tr>
      <w:tr w14:paraId="4DBF214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2FCD2D0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67" w:type="pct"/>
            <w:vAlign w:val="center"/>
          </w:tcPr>
          <w:p w14:paraId="6D44EF5B">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Full Range</w:t>
            </w:r>
          </w:p>
        </w:tc>
        <w:tc>
          <w:tcPr>
            <w:tcW w:w="714" w:type="pct"/>
            <w:vAlign w:val="center"/>
          </w:tcPr>
          <w:p w14:paraId="089F6E6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1990</w:t>
            </w:r>
          </w:p>
        </w:tc>
        <w:tc>
          <w:tcPr>
            <w:tcW w:w="711" w:type="pct"/>
            <w:vAlign w:val="center"/>
          </w:tcPr>
          <w:p w14:paraId="675AE7B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2021</w:t>
            </w:r>
          </w:p>
        </w:tc>
        <w:tc>
          <w:tcPr>
            <w:tcW w:w="424" w:type="pct"/>
            <w:vAlign w:val="center"/>
          </w:tcPr>
          <w:p w14:paraId="25792FB4">
            <w:pPr>
              <w:widowControl/>
              <w:snapToGrid w:val="0"/>
              <w:spacing w:after="0" w:line="240" w:lineRule="auto"/>
              <w:ind w:left="0" w:leftChars="0" w:right="0" w:rightChars="0" w:firstLine="0" w:firstLineChars="0"/>
              <w:jc w:val="right"/>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0.8024*</w:t>
            </w:r>
          </w:p>
        </w:tc>
        <w:tc>
          <w:tcPr>
            <w:tcW w:w="453" w:type="pct"/>
            <w:vAlign w:val="center"/>
          </w:tcPr>
          <w:p w14:paraId="3527D167">
            <w:pPr>
              <w:widowControl/>
              <w:snapToGrid w:val="0"/>
              <w:spacing w:after="0" w:line="240" w:lineRule="auto"/>
              <w:ind w:left="0" w:leftChars="0" w:right="0" w:rightChars="0" w:firstLine="0" w:firstLineChars="0"/>
              <w:jc w:val="right"/>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0.7462</w:t>
            </w:r>
          </w:p>
        </w:tc>
        <w:tc>
          <w:tcPr>
            <w:tcW w:w="448" w:type="pct"/>
            <w:vAlign w:val="center"/>
          </w:tcPr>
          <w:p w14:paraId="53991B0F">
            <w:pPr>
              <w:widowControl/>
              <w:snapToGrid w:val="0"/>
              <w:spacing w:after="0" w:line="240" w:lineRule="auto"/>
              <w:ind w:left="0" w:leftChars="0" w:right="0" w:rightChars="0" w:firstLine="0" w:firstLineChars="0"/>
              <w:jc w:val="right"/>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0.8587</w:t>
            </w:r>
          </w:p>
        </w:tc>
        <w:tc>
          <w:tcPr>
            <w:tcW w:w="648" w:type="pct"/>
            <w:vAlign w:val="center"/>
          </w:tcPr>
          <w:p w14:paraId="33AFE298">
            <w:pPr>
              <w:widowControl/>
              <w:snapToGrid w:val="0"/>
              <w:spacing w:after="0" w:line="240" w:lineRule="auto"/>
              <w:ind w:left="0" w:leftChars="0" w:right="0" w:rightChars="0" w:firstLine="0" w:firstLineChars="0"/>
              <w:jc w:val="right"/>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28.0852</w:t>
            </w:r>
          </w:p>
        </w:tc>
        <w:tc>
          <w:tcPr>
            <w:tcW w:w="552" w:type="pct"/>
            <w:vAlign w:val="center"/>
          </w:tcPr>
          <w:p w14:paraId="7D94BA6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bl>
    <w:p w14:paraId="322FF8D3">
      <w:pPr>
        <w:rPr>
          <w:rFonts w:ascii="Times New Roman" w:hAnsi="Times New Roman" w:cs="Times New Roman"/>
          <w:sz w:val="21"/>
          <w:szCs w:val="21"/>
        </w:rPr>
      </w:pPr>
    </w:p>
    <w:p w14:paraId="4049FC52">
      <w:pPr>
        <w:rPr>
          <w:rFonts w:ascii="Times New Roman" w:hAnsi="Times New Roman" w:cs="Times New Roman"/>
          <w:sz w:val="21"/>
          <w:szCs w:val="21"/>
        </w:rPr>
      </w:pPr>
    </w:p>
    <w:p w14:paraId="33D8C4DA">
      <w:pPr>
        <w:rPr>
          <w:rFonts w:ascii="Times New Roman" w:hAnsi="Times New Roman" w:cs="Times New Roman"/>
          <w:sz w:val="24"/>
          <w:szCs w:val="24"/>
        </w:rPr>
      </w:pPr>
      <w:r>
        <w:rPr>
          <w:rFonts w:hint="eastAsia" w:ascii="Times New Roman" w:hAnsi="Times New Roman" w:cs="Times New Roman"/>
          <w:sz w:val="24"/>
          <w:szCs w:val="24"/>
        </w:rPr>
        <w:t>Incidence_Number_APC</w:t>
      </w:r>
    </w:p>
    <w:tbl>
      <w:tblPr>
        <w:tblStyle w:val="7"/>
        <w:tblW w:w="5000" w:type="pct"/>
        <w:jc w:val="center"/>
        <w:tblCellSpacing w:w="15"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15" w:type="dxa"/>
          <w:left w:w="15" w:type="dxa"/>
          <w:bottom w:w="15" w:type="dxa"/>
          <w:right w:w="15" w:type="dxa"/>
        </w:tblCellMar>
      </w:tblPr>
      <w:tblGrid>
        <w:gridCol w:w="717"/>
        <w:gridCol w:w="830"/>
        <w:gridCol w:w="1138"/>
        <w:gridCol w:w="1138"/>
        <w:gridCol w:w="745"/>
        <w:gridCol w:w="742"/>
        <w:gridCol w:w="742"/>
        <w:gridCol w:w="1384"/>
        <w:gridCol w:w="960"/>
      </w:tblGrid>
      <w:tr w14:paraId="7411136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Header/>
          <w:tblCellSpacing w:w="15" w:type="dxa"/>
          <w:jc w:val="center"/>
        </w:trPr>
        <w:tc>
          <w:tcPr>
            <w:tcW w:w="378" w:type="pct"/>
            <w:vAlign w:val="center"/>
          </w:tcPr>
          <w:p w14:paraId="75F17B95">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Cohort</w:t>
            </w:r>
          </w:p>
        </w:tc>
        <w:tc>
          <w:tcPr>
            <w:tcW w:w="438" w:type="pct"/>
            <w:vAlign w:val="center"/>
          </w:tcPr>
          <w:p w14:paraId="4C1F02BB">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Segment</w:t>
            </w:r>
          </w:p>
        </w:tc>
        <w:tc>
          <w:tcPr>
            <w:tcW w:w="668" w:type="pct"/>
            <w:vAlign w:val="center"/>
          </w:tcPr>
          <w:p w14:paraId="5CB8A6A9">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Endpoint</w:t>
            </w:r>
          </w:p>
        </w:tc>
        <w:tc>
          <w:tcPr>
            <w:tcW w:w="668" w:type="pct"/>
            <w:vAlign w:val="center"/>
          </w:tcPr>
          <w:p w14:paraId="32DE7C5C">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Endpoint</w:t>
            </w:r>
          </w:p>
        </w:tc>
        <w:tc>
          <w:tcPr>
            <w:tcW w:w="434" w:type="pct"/>
            <w:vAlign w:val="center"/>
          </w:tcPr>
          <w:p w14:paraId="1C559C88">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APC</w:t>
            </w:r>
          </w:p>
        </w:tc>
        <w:tc>
          <w:tcPr>
            <w:tcW w:w="432" w:type="pct"/>
            <w:vAlign w:val="center"/>
          </w:tcPr>
          <w:p w14:paraId="1B62CF59">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CI</w:t>
            </w:r>
          </w:p>
        </w:tc>
        <w:tc>
          <w:tcPr>
            <w:tcW w:w="432" w:type="pct"/>
            <w:vAlign w:val="center"/>
          </w:tcPr>
          <w:p w14:paraId="38B936D0">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CI</w:t>
            </w:r>
          </w:p>
        </w:tc>
        <w:tc>
          <w:tcPr>
            <w:tcW w:w="814" w:type="pct"/>
            <w:vAlign w:val="center"/>
          </w:tcPr>
          <w:p w14:paraId="3478AD38">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Test Statistic (t)</w:t>
            </w:r>
          </w:p>
        </w:tc>
        <w:tc>
          <w:tcPr>
            <w:tcW w:w="553" w:type="pct"/>
            <w:vAlign w:val="center"/>
          </w:tcPr>
          <w:p w14:paraId="149A0727">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Prob &gt; |t|</w:t>
            </w:r>
          </w:p>
        </w:tc>
      </w:tr>
      <w:tr w14:paraId="6E34D93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4E22EF2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2D3E5C3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w:t>
            </w:r>
          </w:p>
        </w:tc>
        <w:tc>
          <w:tcPr>
            <w:tcW w:w="668" w:type="pct"/>
            <w:vAlign w:val="center"/>
          </w:tcPr>
          <w:p w14:paraId="4C63FBF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1990</w:t>
            </w:r>
          </w:p>
        </w:tc>
        <w:tc>
          <w:tcPr>
            <w:tcW w:w="668" w:type="pct"/>
            <w:vAlign w:val="center"/>
          </w:tcPr>
          <w:p w14:paraId="32C66B6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1996</w:t>
            </w:r>
          </w:p>
        </w:tc>
        <w:tc>
          <w:tcPr>
            <w:tcW w:w="434" w:type="pct"/>
            <w:vAlign w:val="center"/>
          </w:tcPr>
          <w:p w14:paraId="01142AF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2.2669*</w:t>
            </w:r>
          </w:p>
        </w:tc>
        <w:tc>
          <w:tcPr>
            <w:tcW w:w="432" w:type="pct"/>
            <w:vAlign w:val="center"/>
          </w:tcPr>
          <w:p w14:paraId="7DC1DF1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2.2284</w:t>
            </w:r>
          </w:p>
        </w:tc>
        <w:tc>
          <w:tcPr>
            <w:tcW w:w="432" w:type="pct"/>
            <w:vAlign w:val="center"/>
          </w:tcPr>
          <w:p w14:paraId="11982B2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2.3055</w:t>
            </w:r>
          </w:p>
        </w:tc>
        <w:tc>
          <w:tcPr>
            <w:tcW w:w="814" w:type="pct"/>
            <w:vAlign w:val="center"/>
          </w:tcPr>
          <w:p w14:paraId="15BC6C9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129.5219</w:t>
            </w:r>
          </w:p>
        </w:tc>
        <w:tc>
          <w:tcPr>
            <w:tcW w:w="553" w:type="pct"/>
            <w:vAlign w:val="center"/>
          </w:tcPr>
          <w:p w14:paraId="789E5BC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3E2332D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7C7DAB5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7C22B71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w:t>
            </w:r>
          </w:p>
        </w:tc>
        <w:tc>
          <w:tcPr>
            <w:tcW w:w="668" w:type="pct"/>
            <w:vAlign w:val="center"/>
          </w:tcPr>
          <w:p w14:paraId="5AD5E34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1996</w:t>
            </w:r>
          </w:p>
        </w:tc>
        <w:tc>
          <w:tcPr>
            <w:tcW w:w="668" w:type="pct"/>
            <w:vAlign w:val="center"/>
          </w:tcPr>
          <w:p w14:paraId="5A7C645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2004</w:t>
            </w:r>
          </w:p>
        </w:tc>
        <w:tc>
          <w:tcPr>
            <w:tcW w:w="434" w:type="pct"/>
            <w:vAlign w:val="center"/>
          </w:tcPr>
          <w:p w14:paraId="7121759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2.9710*</w:t>
            </w:r>
          </w:p>
        </w:tc>
        <w:tc>
          <w:tcPr>
            <w:tcW w:w="432" w:type="pct"/>
            <w:vAlign w:val="center"/>
          </w:tcPr>
          <w:p w14:paraId="2BA990A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2.9401</w:t>
            </w:r>
          </w:p>
        </w:tc>
        <w:tc>
          <w:tcPr>
            <w:tcW w:w="432" w:type="pct"/>
            <w:vAlign w:val="center"/>
          </w:tcPr>
          <w:p w14:paraId="231F2C5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3.0020</w:t>
            </w:r>
          </w:p>
        </w:tc>
        <w:tc>
          <w:tcPr>
            <w:tcW w:w="814" w:type="pct"/>
            <w:vAlign w:val="center"/>
          </w:tcPr>
          <w:p w14:paraId="7DF3C42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212.3716</w:t>
            </w:r>
          </w:p>
        </w:tc>
        <w:tc>
          <w:tcPr>
            <w:tcW w:w="553" w:type="pct"/>
            <w:vAlign w:val="center"/>
          </w:tcPr>
          <w:p w14:paraId="0BB8731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44D0ABF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6762FA0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5B1F1C7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w:t>
            </w:r>
          </w:p>
        </w:tc>
        <w:tc>
          <w:tcPr>
            <w:tcW w:w="668" w:type="pct"/>
            <w:vAlign w:val="center"/>
          </w:tcPr>
          <w:p w14:paraId="5394AC7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2004</w:t>
            </w:r>
          </w:p>
        </w:tc>
        <w:tc>
          <w:tcPr>
            <w:tcW w:w="668" w:type="pct"/>
            <w:vAlign w:val="center"/>
          </w:tcPr>
          <w:p w14:paraId="09AA49C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2008</w:t>
            </w:r>
          </w:p>
        </w:tc>
        <w:tc>
          <w:tcPr>
            <w:tcW w:w="434" w:type="pct"/>
            <w:vAlign w:val="center"/>
          </w:tcPr>
          <w:p w14:paraId="64DBF46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2.5621*</w:t>
            </w:r>
          </w:p>
        </w:tc>
        <w:tc>
          <w:tcPr>
            <w:tcW w:w="432" w:type="pct"/>
            <w:vAlign w:val="center"/>
          </w:tcPr>
          <w:p w14:paraId="653C39A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2.4470</w:t>
            </w:r>
          </w:p>
        </w:tc>
        <w:tc>
          <w:tcPr>
            <w:tcW w:w="432" w:type="pct"/>
            <w:vAlign w:val="center"/>
          </w:tcPr>
          <w:p w14:paraId="527DCAB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2.6773</w:t>
            </w:r>
          </w:p>
        </w:tc>
        <w:tc>
          <w:tcPr>
            <w:tcW w:w="814" w:type="pct"/>
            <w:vAlign w:val="center"/>
          </w:tcPr>
          <w:p w14:paraId="3ED7782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49.0858</w:t>
            </w:r>
          </w:p>
        </w:tc>
        <w:tc>
          <w:tcPr>
            <w:tcW w:w="553" w:type="pct"/>
            <w:vAlign w:val="center"/>
          </w:tcPr>
          <w:p w14:paraId="6B29FCB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52373A8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1461A7C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016D511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4</w:t>
            </w:r>
          </w:p>
        </w:tc>
        <w:tc>
          <w:tcPr>
            <w:tcW w:w="668" w:type="pct"/>
            <w:vAlign w:val="center"/>
          </w:tcPr>
          <w:p w14:paraId="59CD694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2008</w:t>
            </w:r>
          </w:p>
        </w:tc>
        <w:tc>
          <w:tcPr>
            <w:tcW w:w="668" w:type="pct"/>
            <w:vAlign w:val="center"/>
          </w:tcPr>
          <w:p w14:paraId="384C94E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2011</w:t>
            </w:r>
          </w:p>
        </w:tc>
        <w:tc>
          <w:tcPr>
            <w:tcW w:w="434" w:type="pct"/>
            <w:vAlign w:val="center"/>
          </w:tcPr>
          <w:p w14:paraId="6CF9F5A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2.0141*</w:t>
            </w:r>
          </w:p>
        </w:tc>
        <w:tc>
          <w:tcPr>
            <w:tcW w:w="432" w:type="pct"/>
            <w:vAlign w:val="center"/>
          </w:tcPr>
          <w:p w14:paraId="4C51F24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1.7883</w:t>
            </w:r>
          </w:p>
        </w:tc>
        <w:tc>
          <w:tcPr>
            <w:tcW w:w="432" w:type="pct"/>
            <w:vAlign w:val="center"/>
          </w:tcPr>
          <w:p w14:paraId="7EC8ED0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2.2405</w:t>
            </w:r>
          </w:p>
        </w:tc>
        <w:tc>
          <w:tcPr>
            <w:tcW w:w="814" w:type="pct"/>
            <w:vAlign w:val="center"/>
          </w:tcPr>
          <w:p w14:paraId="7D391D5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19.6018</w:t>
            </w:r>
          </w:p>
        </w:tc>
        <w:tc>
          <w:tcPr>
            <w:tcW w:w="553" w:type="pct"/>
            <w:vAlign w:val="center"/>
          </w:tcPr>
          <w:p w14:paraId="1326CA9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2772F16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2BCC486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57031DB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5</w:t>
            </w:r>
          </w:p>
        </w:tc>
        <w:tc>
          <w:tcPr>
            <w:tcW w:w="668" w:type="pct"/>
            <w:vAlign w:val="center"/>
          </w:tcPr>
          <w:p w14:paraId="2D98D8F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2011</w:t>
            </w:r>
          </w:p>
        </w:tc>
        <w:tc>
          <w:tcPr>
            <w:tcW w:w="668" w:type="pct"/>
            <w:vAlign w:val="center"/>
          </w:tcPr>
          <w:p w14:paraId="5BC7640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2015</w:t>
            </w:r>
          </w:p>
        </w:tc>
        <w:tc>
          <w:tcPr>
            <w:tcW w:w="434" w:type="pct"/>
            <w:vAlign w:val="center"/>
          </w:tcPr>
          <w:p w14:paraId="0B5434A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2.2840*</w:t>
            </w:r>
          </w:p>
        </w:tc>
        <w:tc>
          <w:tcPr>
            <w:tcW w:w="432" w:type="pct"/>
            <w:vAlign w:val="center"/>
          </w:tcPr>
          <w:p w14:paraId="3874F70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2.1698</w:t>
            </w:r>
          </w:p>
        </w:tc>
        <w:tc>
          <w:tcPr>
            <w:tcW w:w="432" w:type="pct"/>
            <w:vAlign w:val="center"/>
          </w:tcPr>
          <w:p w14:paraId="7A34E9BB">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2.3984</w:t>
            </w:r>
          </w:p>
        </w:tc>
        <w:tc>
          <w:tcPr>
            <w:tcW w:w="814" w:type="pct"/>
            <w:vAlign w:val="center"/>
          </w:tcPr>
          <w:p w14:paraId="5AF79B4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44.0223</w:t>
            </w:r>
          </w:p>
        </w:tc>
        <w:tc>
          <w:tcPr>
            <w:tcW w:w="553" w:type="pct"/>
            <w:vAlign w:val="center"/>
          </w:tcPr>
          <w:p w14:paraId="680BCAE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29AE70B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7FA3EA2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4E5C113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6</w:t>
            </w:r>
          </w:p>
        </w:tc>
        <w:tc>
          <w:tcPr>
            <w:tcW w:w="668" w:type="pct"/>
            <w:vAlign w:val="center"/>
          </w:tcPr>
          <w:p w14:paraId="3D0E879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2015</w:t>
            </w:r>
          </w:p>
        </w:tc>
        <w:tc>
          <w:tcPr>
            <w:tcW w:w="668" w:type="pct"/>
            <w:vAlign w:val="center"/>
          </w:tcPr>
          <w:p w14:paraId="717550D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2018</w:t>
            </w:r>
          </w:p>
        </w:tc>
        <w:tc>
          <w:tcPr>
            <w:tcW w:w="434" w:type="pct"/>
            <w:vAlign w:val="center"/>
          </w:tcPr>
          <w:p w14:paraId="3CAA90B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1.7689*</w:t>
            </w:r>
          </w:p>
        </w:tc>
        <w:tc>
          <w:tcPr>
            <w:tcW w:w="432" w:type="pct"/>
            <w:vAlign w:val="center"/>
          </w:tcPr>
          <w:p w14:paraId="767F4D4B">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1.5409</w:t>
            </w:r>
          </w:p>
        </w:tc>
        <w:tc>
          <w:tcPr>
            <w:tcW w:w="432" w:type="pct"/>
            <w:vAlign w:val="center"/>
          </w:tcPr>
          <w:p w14:paraId="0CC51DA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1.9974</w:t>
            </w:r>
          </w:p>
        </w:tc>
        <w:tc>
          <w:tcPr>
            <w:tcW w:w="814" w:type="pct"/>
            <w:vAlign w:val="center"/>
          </w:tcPr>
          <w:p w14:paraId="010F364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17.0343</w:t>
            </w:r>
          </w:p>
        </w:tc>
        <w:tc>
          <w:tcPr>
            <w:tcW w:w="553" w:type="pct"/>
            <w:vAlign w:val="center"/>
          </w:tcPr>
          <w:p w14:paraId="3FA14A5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1BE67D6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24279BE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1E951BA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7</w:t>
            </w:r>
          </w:p>
        </w:tc>
        <w:tc>
          <w:tcPr>
            <w:tcW w:w="668" w:type="pct"/>
            <w:vAlign w:val="center"/>
          </w:tcPr>
          <w:p w14:paraId="59529F9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2018</w:t>
            </w:r>
          </w:p>
        </w:tc>
        <w:tc>
          <w:tcPr>
            <w:tcW w:w="668" w:type="pct"/>
            <w:vAlign w:val="center"/>
          </w:tcPr>
          <w:p w14:paraId="51C27B5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2021</w:t>
            </w:r>
          </w:p>
        </w:tc>
        <w:tc>
          <w:tcPr>
            <w:tcW w:w="434" w:type="pct"/>
            <w:vAlign w:val="center"/>
          </w:tcPr>
          <w:p w14:paraId="2D01A32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0.8707*</w:t>
            </w:r>
          </w:p>
        </w:tc>
        <w:tc>
          <w:tcPr>
            <w:tcW w:w="432" w:type="pct"/>
            <w:vAlign w:val="center"/>
          </w:tcPr>
          <w:p w14:paraId="32DBCE2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0.7556</w:t>
            </w:r>
          </w:p>
        </w:tc>
        <w:tc>
          <w:tcPr>
            <w:tcW w:w="432" w:type="pct"/>
            <w:vAlign w:val="center"/>
          </w:tcPr>
          <w:p w14:paraId="35808B9B">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0.9859</w:t>
            </w:r>
          </w:p>
        </w:tc>
        <w:tc>
          <w:tcPr>
            <w:tcW w:w="814" w:type="pct"/>
            <w:vAlign w:val="center"/>
          </w:tcPr>
          <w:p w14:paraId="1F78803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16.5476</w:t>
            </w:r>
          </w:p>
        </w:tc>
        <w:tc>
          <w:tcPr>
            <w:tcW w:w="553" w:type="pct"/>
            <w:vAlign w:val="center"/>
          </w:tcPr>
          <w:p w14:paraId="6CDAAB3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bl>
    <w:p w14:paraId="4D4D91A2">
      <w:pPr>
        <w:rPr>
          <w:rFonts w:ascii="Times New Roman" w:hAnsi="Times New Roman" w:cs="Times New Roman"/>
          <w:sz w:val="21"/>
          <w:szCs w:val="21"/>
        </w:rPr>
      </w:pPr>
    </w:p>
    <w:p w14:paraId="47932DA9">
      <w:pPr>
        <w:rPr>
          <w:rFonts w:ascii="Times New Roman" w:hAnsi="Times New Roman" w:cs="Times New Roman"/>
          <w:sz w:val="24"/>
          <w:szCs w:val="24"/>
        </w:rPr>
      </w:pPr>
      <w:r>
        <w:rPr>
          <w:rFonts w:hint="eastAsia" w:ascii="Times New Roman" w:hAnsi="Times New Roman" w:cs="Times New Roman"/>
          <w:sz w:val="24"/>
          <w:szCs w:val="24"/>
        </w:rPr>
        <w:t>Incidence_Numer_AAPC</w:t>
      </w:r>
    </w:p>
    <w:tbl>
      <w:tblPr>
        <w:tblStyle w:val="7"/>
        <w:tblW w:w="0" w:type="auto"/>
        <w:tblCellSpacing w:w="15" w:type="dxa"/>
        <w:tblInd w:w="0"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15" w:type="dxa"/>
          <w:left w:w="15" w:type="dxa"/>
          <w:bottom w:w="15" w:type="dxa"/>
          <w:right w:w="15" w:type="dxa"/>
        </w:tblCellMar>
      </w:tblPr>
      <w:tblGrid>
        <w:gridCol w:w="748"/>
        <w:gridCol w:w="817"/>
        <w:gridCol w:w="1223"/>
        <w:gridCol w:w="1218"/>
        <w:gridCol w:w="775"/>
        <w:gridCol w:w="798"/>
        <w:gridCol w:w="790"/>
        <w:gridCol w:w="1051"/>
        <w:gridCol w:w="976"/>
      </w:tblGrid>
      <w:tr w14:paraId="6B8662B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blHeader/>
          <w:tblCellSpacing w:w="15" w:type="dxa"/>
        </w:trPr>
        <w:tc>
          <w:tcPr>
            <w:tcW w:w="0" w:type="auto"/>
            <w:vAlign w:val="center"/>
          </w:tcPr>
          <w:p w14:paraId="0902ABEA">
            <w:pPr>
              <w:widowControl/>
              <w:spacing w:after="0" w:line="240" w:lineRule="auto"/>
              <w:jc w:val="center"/>
              <w:rPr>
                <w:rFonts w:hint="default" w:ascii="Times New Roman" w:hAnsi="Times New Roman" w:eastAsia="宋体" w:cs="Times New Roman"/>
                <w:b/>
                <w:bCs/>
                <w:kern w:val="0"/>
                <w:sz w:val="22"/>
                <w:szCs w:val="22"/>
                <w14:ligatures w14:val="none"/>
              </w:rPr>
            </w:pPr>
            <w:r>
              <w:rPr>
                <w:rFonts w:hint="default" w:ascii="Times New Roman" w:hAnsi="Times New Roman" w:eastAsia="宋体" w:cs="Times New Roman"/>
                <w:b/>
                <w:bCs/>
                <w:kern w:val="0"/>
                <w:sz w:val="22"/>
                <w:szCs w:val="22"/>
                <w14:ligatures w14:val="none"/>
              </w:rPr>
              <w:t>Cohort</w:t>
            </w:r>
          </w:p>
        </w:tc>
        <w:tc>
          <w:tcPr>
            <w:tcW w:w="0" w:type="auto"/>
            <w:vAlign w:val="center"/>
          </w:tcPr>
          <w:p w14:paraId="4689D2B3">
            <w:pPr>
              <w:widowControl/>
              <w:spacing w:after="0" w:line="240" w:lineRule="auto"/>
              <w:jc w:val="center"/>
              <w:rPr>
                <w:rFonts w:hint="default" w:ascii="Times New Roman" w:hAnsi="Times New Roman" w:eastAsia="宋体" w:cs="Times New Roman"/>
                <w:b/>
                <w:bCs/>
                <w:kern w:val="0"/>
                <w:sz w:val="22"/>
                <w:szCs w:val="22"/>
                <w14:ligatures w14:val="none"/>
              </w:rPr>
            </w:pPr>
            <w:r>
              <w:rPr>
                <w:rFonts w:hint="default" w:ascii="Times New Roman" w:hAnsi="Times New Roman" w:eastAsia="宋体" w:cs="Times New Roman"/>
                <w:b/>
                <w:bCs/>
                <w:kern w:val="0"/>
                <w:sz w:val="22"/>
                <w:szCs w:val="22"/>
                <w14:ligatures w14:val="none"/>
              </w:rPr>
              <w:t>Range</w:t>
            </w:r>
          </w:p>
        </w:tc>
        <w:tc>
          <w:tcPr>
            <w:tcW w:w="0" w:type="auto"/>
            <w:vAlign w:val="center"/>
          </w:tcPr>
          <w:p w14:paraId="3064FAB0">
            <w:pPr>
              <w:widowControl/>
              <w:spacing w:after="0" w:line="240" w:lineRule="auto"/>
              <w:jc w:val="center"/>
              <w:rPr>
                <w:rFonts w:hint="default" w:ascii="Times New Roman" w:hAnsi="Times New Roman" w:eastAsia="宋体" w:cs="Times New Roman"/>
                <w:b/>
                <w:bCs/>
                <w:kern w:val="0"/>
                <w:sz w:val="22"/>
                <w:szCs w:val="22"/>
                <w14:ligatures w14:val="none"/>
              </w:rPr>
            </w:pPr>
            <w:r>
              <w:rPr>
                <w:rFonts w:hint="default" w:ascii="Times New Roman" w:hAnsi="Times New Roman" w:eastAsia="宋体" w:cs="Times New Roman"/>
                <w:b/>
                <w:bCs/>
                <w:kern w:val="0"/>
                <w:sz w:val="22"/>
                <w:szCs w:val="22"/>
                <w14:ligatures w14:val="none"/>
              </w:rPr>
              <w:t>Lower Endpoint</w:t>
            </w:r>
          </w:p>
        </w:tc>
        <w:tc>
          <w:tcPr>
            <w:tcW w:w="0" w:type="auto"/>
            <w:vAlign w:val="center"/>
          </w:tcPr>
          <w:p w14:paraId="2CF20DBA">
            <w:pPr>
              <w:widowControl/>
              <w:spacing w:after="0" w:line="240" w:lineRule="auto"/>
              <w:jc w:val="center"/>
              <w:rPr>
                <w:rFonts w:hint="default" w:ascii="Times New Roman" w:hAnsi="Times New Roman" w:eastAsia="宋体" w:cs="Times New Roman"/>
                <w:b/>
                <w:bCs/>
                <w:kern w:val="0"/>
                <w:sz w:val="22"/>
                <w:szCs w:val="22"/>
                <w14:ligatures w14:val="none"/>
              </w:rPr>
            </w:pPr>
            <w:r>
              <w:rPr>
                <w:rFonts w:hint="default" w:ascii="Times New Roman" w:hAnsi="Times New Roman" w:eastAsia="宋体" w:cs="Times New Roman"/>
                <w:b/>
                <w:bCs/>
                <w:kern w:val="0"/>
                <w:sz w:val="22"/>
                <w:szCs w:val="22"/>
                <w14:ligatures w14:val="none"/>
              </w:rPr>
              <w:t>Upper Endpoint</w:t>
            </w:r>
          </w:p>
        </w:tc>
        <w:tc>
          <w:tcPr>
            <w:tcW w:w="0" w:type="auto"/>
            <w:vAlign w:val="center"/>
          </w:tcPr>
          <w:p w14:paraId="5D055F9A">
            <w:pPr>
              <w:widowControl/>
              <w:spacing w:after="0" w:line="240" w:lineRule="auto"/>
              <w:jc w:val="center"/>
              <w:rPr>
                <w:rFonts w:hint="default" w:ascii="Times New Roman" w:hAnsi="Times New Roman" w:eastAsia="宋体" w:cs="Times New Roman"/>
                <w:b/>
                <w:bCs/>
                <w:kern w:val="0"/>
                <w:sz w:val="22"/>
                <w:szCs w:val="22"/>
                <w14:ligatures w14:val="none"/>
              </w:rPr>
            </w:pPr>
            <w:r>
              <w:rPr>
                <w:rFonts w:hint="default" w:ascii="Times New Roman" w:hAnsi="Times New Roman" w:eastAsia="宋体" w:cs="Times New Roman"/>
                <w:b/>
                <w:bCs/>
                <w:kern w:val="0"/>
                <w:sz w:val="22"/>
                <w:szCs w:val="22"/>
                <w14:ligatures w14:val="none"/>
              </w:rPr>
              <w:t>AAPC</w:t>
            </w:r>
          </w:p>
        </w:tc>
        <w:tc>
          <w:tcPr>
            <w:tcW w:w="0" w:type="auto"/>
            <w:vAlign w:val="center"/>
          </w:tcPr>
          <w:p w14:paraId="32317847">
            <w:pPr>
              <w:widowControl/>
              <w:spacing w:after="0" w:line="240" w:lineRule="auto"/>
              <w:jc w:val="center"/>
              <w:rPr>
                <w:rFonts w:hint="default" w:ascii="Times New Roman" w:hAnsi="Times New Roman" w:eastAsia="宋体" w:cs="Times New Roman"/>
                <w:b/>
                <w:bCs/>
                <w:kern w:val="0"/>
                <w:sz w:val="22"/>
                <w:szCs w:val="22"/>
                <w14:ligatures w14:val="none"/>
              </w:rPr>
            </w:pPr>
            <w:r>
              <w:rPr>
                <w:rFonts w:hint="default" w:ascii="Times New Roman" w:hAnsi="Times New Roman" w:eastAsia="宋体" w:cs="Times New Roman"/>
                <w:b/>
                <w:bCs/>
                <w:kern w:val="0"/>
                <w:sz w:val="22"/>
                <w:szCs w:val="22"/>
                <w14:ligatures w14:val="none"/>
              </w:rPr>
              <w:t>Lower CI</w:t>
            </w:r>
          </w:p>
        </w:tc>
        <w:tc>
          <w:tcPr>
            <w:tcW w:w="0" w:type="auto"/>
            <w:vAlign w:val="center"/>
          </w:tcPr>
          <w:p w14:paraId="2EE013C3">
            <w:pPr>
              <w:widowControl/>
              <w:spacing w:after="0" w:line="240" w:lineRule="auto"/>
              <w:jc w:val="center"/>
              <w:rPr>
                <w:rFonts w:hint="default" w:ascii="Times New Roman" w:hAnsi="Times New Roman" w:eastAsia="宋体" w:cs="Times New Roman"/>
                <w:b/>
                <w:bCs/>
                <w:kern w:val="0"/>
                <w:sz w:val="22"/>
                <w:szCs w:val="22"/>
                <w14:ligatures w14:val="none"/>
              </w:rPr>
            </w:pPr>
            <w:r>
              <w:rPr>
                <w:rFonts w:hint="default" w:ascii="Times New Roman" w:hAnsi="Times New Roman" w:eastAsia="宋体" w:cs="Times New Roman"/>
                <w:b/>
                <w:bCs/>
                <w:kern w:val="0"/>
                <w:sz w:val="22"/>
                <w:szCs w:val="22"/>
                <w14:ligatures w14:val="none"/>
              </w:rPr>
              <w:t>Upper CI</w:t>
            </w:r>
          </w:p>
        </w:tc>
        <w:tc>
          <w:tcPr>
            <w:tcW w:w="0" w:type="auto"/>
            <w:vAlign w:val="center"/>
          </w:tcPr>
          <w:p w14:paraId="6562DCC1">
            <w:pPr>
              <w:widowControl/>
              <w:spacing w:after="0" w:line="240" w:lineRule="auto"/>
              <w:jc w:val="center"/>
              <w:rPr>
                <w:rFonts w:hint="default" w:ascii="Times New Roman" w:hAnsi="Times New Roman" w:eastAsia="宋体" w:cs="Times New Roman"/>
                <w:b/>
                <w:bCs/>
                <w:kern w:val="0"/>
                <w:sz w:val="22"/>
                <w:szCs w:val="22"/>
                <w14:ligatures w14:val="none"/>
              </w:rPr>
            </w:pPr>
            <w:r>
              <w:rPr>
                <w:rFonts w:hint="default" w:ascii="Times New Roman" w:hAnsi="Times New Roman" w:eastAsia="宋体" w:cs="Times New Roman"/>
                <w:b/>
                <w:bCs/>
                <w:kern w:val="0"/>
                <w:sz w:val="22"/>
                <w:szCs w:val="22"/>
                <w14:ligatures w14:val="none"/>
              </w:rPr>
              <w:t>Test Statistic</w:t>
            </w:r>
          </w:p>
        </w:tc>
        <w:tc>
          <w:tcPr>
            <w:tcW w:w="0" w:type="auto"/>
            <w:vAlign w:val="center"/>
          </w:tcPr>
          <w:p w14:paraId="1CBBCBCE">
            <w:pPr>
              <w:widowControl/>
              <w:spacing w:after="0" w:line="240" w:lineRule="auto"/>
              <w:jc w:val="center"/>
              <w:rPr>
                <w:rFonts w:hint="default" w:ascii="Times New Roman" w:hAnsi="Times New Roman" w:eastAsia="宋体" w:cs="Times New Roman"/>
                <w:b/>
                <w:bCs/>
                <w:kern w:val="0"/>
                <w:sz w:val="22"/>
                <w:szCs w:val="22"/>
                <w14:ligatures w14:val="none"/>
              </w:rPr>
            </w:pPr>
            <w:r>
              <w:rPr>
                <w:rFonts w:hint="default" w:ascii="Times New Roman" w:hAnsi="Times New Roman" w:eastAsia="宋体" w:cs="Times New Roman"/>
                <w:b/>
                <w:bCs/>
                <w:kern w:val="0"/>
                <w:sz w:val="22"/>
                <w:szCs w:val="22"/>
                <w14:ligatures w14:val="none"/>
              </w:rPr>
              <w:t>P-Value</w:t>
            </w:r>
          </w:p>
        </w:tc>
      </w:tr>
      <w:tr w14:paraId="24AC09A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blCellSpacing w:w="15" w:type="dxa"/>
        </w:trPr>
        <w:tc>
          <w:tcPr>
            <w:tcW w:w="0" w:type="auto"/>
            <w:vAlign w:val="center"/>
          </w:tcPr>
          <w:p w14:paraId="1D851DBC">
            <w:pPr>
              <w:widowControl/>
              <w:spacing w:after="0" w:line="240" w:lineRule="auto"/>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Both</w:t>
            </w:r>
          </w:p>
        </w:tc>
        <w:tc>
          <w:tcPr>
            <w:tcW w:w="0" w:type="auto"/>
            <w:vAlign w:val="center"/>
          </w:tcPr>
          <w:p w14:paraId="16D26B79">
            <w:pPr>
              <w:widowControl/>
              <w:spacing w:after="0" w:line="240" w:lineRule="auto"/>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Full Range</w:t>
            </w:r>
          </w:p>
        </w:tc>
        <w:tc>
          <w:tcPr>
            <w:tcW w:w="0" w:type="auto"/>
            <w:vAlign w:val="center"/>
          </w:tcPr>
          <w:p w14:paraId="2171C0F3">
            <w:pPr>
              <w:widowControl/>
              <w:spacing w:after="0" w:line="240" w:lineRule="auto"/>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1990</w:t>
            </w:r>
          </w:p>
        </w:tc>
        <w:tc>
          <w:tcPr>
            <w:tcW w:w="0" w:type="auto"/>
            <w:vAlign w:val="center"/>
          </w:tcPr>
          <w:p w14:paraId="2403E267">
            <w:pPr>
              <w:widowControl/>
              <w:spacing w:after="0" w:line="240" w:lineRule="auto"/>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2021</w:t>
            </w:r>
          </w:p>
        </w:tc>
        <w:tc>
          <w:tcPr>
            <w:tcW w:w="0" w:type="auto"/>
            <w:vAlign w:val="center"/>
          </w:tcPr>
          <w:p w14:paraId="44113EC4">
            <w:pPr>
              <w:widowControl/>
              <w:spacing w:after="0" w:line="240" w:lineRule="auto"/>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2.2794*</w:t>
            </w:r>
          </w:p>
        </w:tc>
        <w:tc>
          <w:tcPr>
            <w:tcW w:w="0" w:type="auto"/>
            <w:vAlign w:val="center"/>
          </w:tcPr>
          <w:p w14:paraId="64A1CBA1">
            <w:pPr>
              <w:widowControl/>
              <w:spacing w:after="0" w:line="240" w:lineRule="auto"/>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2.2428</w:t>
            </w:r>
          </w:p>
        </w:tc>
        <w:tc>
          <w:tcPr>
            <w:tcW w:w="0" w:type="auto"/>
            <w:vAlign w:val="center"/>
          </w:tcPr>
          <w:p w14:paraId="2E0DC4F1">
            <w:pPr>
              <w:widowControl/>
              <w:spacing w:after="0" w:line="240" w:lineRule="auto"/>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2.3160</w:t>
            </w:r>
          </w:p>
        </w:tc>
        <w:tc>
          <w:tcPr>
            <w:tcW w:w="0" w:type="auto"/>
            <w:vAlign w:val="center"/>
          </w:tcPr>
          <w:p w14:paraId="61492924">
            <w:pPr>
              <w:widowControl/>
              <w:spacing w:after="0" w:line="240" w:lineRule="auto"/>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123.3639</w:t>
            </w:r>
          </w:p>
        </w:tc>
        <w:tc>
          <w:tcPr>
            <w:tcW w:w="0" w:type="auto"/>
            <w:vAlign w:val="center"/>
          </w:tcPr>
          <w:p w14:paraId="4EBC30E1">
            <w:pPr>
              <w:widowControl/>
              <w:spacing w:after="0" w:line="240" w:lineRule="auto"/>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&lt; 0.000001</w:t>
            </w:r>
          </w:p>
        </w:tc>
      </w:tr>
    </w:tbl>
    <w:p w14:paraId="38C0F7F0">
      <w:pPr>
        <w:rPr>
          <w:rFonts w:hint="eastAsia" w:ascii="Times New Roman" w:hAnsi="Times New Roman" w:cs="Times New Roman"/>
          <w:sz w:val="21"/>
          <w:szCs w:val="21"/>
        </w:rPr>
      </w:pPr>
    </w:p>
    <w:p w14:paraId="5BA60EA2">
      <w:pPr>
        <w:rPr>
          <w:rFonts w:ascii="Times New Roman" w:hAnsi="Times New Roman" w:cs="Times New Roman"/>
          <w:sz w:val="24"/>
          <w:szCs w:val="24"/>
        </w:rPr>
      </w:pPr>
      <w:r>
        <w:rPr>
          <w:rFonts w:hint="eastAsia" w:ascii="Times New Roman" w:hAnsi="Times New Roman" w:cs="Times New Roman"/>
          <w:sz w:val="24"/>
          <w:szCs w:val="24"/>
        </w:rPr>
        <w:t>Prevalence_Rate_APC</w:t>
      </w:r>
    </w:p>
    <w:tbl>
      <w:tblPr>
        <w:tblStyle w:val="7"/>
        <w:tblW w:w="5000" w:type="pct"/>
        <w:jc w:val="center"/>
        <w:tblCellSpacing w:w="15"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15" w:type="dxa"/>
          <w:left w:w="15" w:type="dxa"/>
          <w:bottom w:w="15" w:type="dxa"/>
          <w:right w:w="15" w:type="dxa"/>
        </w:tblCellMar>
      </w:tblPr>
      <w:tblGrid>
        <w:gridCol w:w="717"/>
        <w:gridCol w:w="830"/>
        <w:gridCol w:w="1209"/>
        <w:gridCol w:w="1205"/>
        <w:gridCol w:w="743"/>
        <w:gridCol w:w="816"/>
        <w:gridCol w:w="774"/>
        <w:gridCol w:w="1156"/>
        <w:gridCol w:w="946"/>
      </w:tblGrid>
      <w:tr w14:paraId="6A79FA2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Header/>
          <w:tblCellSpacing w:w="15" w:type="dxa"/>
          <w:jc w:val="center"/>
        </w:trPr>
        <w:tc>
          <w:tcPr>
            <w:tcW w:w="400" w:type="pct"/>
            <w:vAlign w:val="center"/>
          </w:tcPr>
          <w:p w14:paraId="11E15955">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Cohort</w:t>
            </w:r>
          </w:p>
        </w:tc>
        <w:tc>
          <w:tcPr>
            <w:tcW w:w="476" w:type="pct"/>
            <w:vAlign w:val="center"/>
          </w:tcPr>
          <w:p w14:paraId="0D2CD684">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Segment</w:t>
            </w:r>
          </w:p>
        </w:tc>
        <w:tc>
          <w:tcPr>
            <w:tcW w:w="702" w:type="pct"/>
            <w:vAlign w:val="center"/>
          </w:tcPr>
          <w:p w14:paraId="0C2E481E">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Endpoint</w:t>
            </w:r>
          </w:p>
        </w:tc>
        <w:tc>
          <w:tcPr>
            <w:tcW w:w="699" w:type="pct"/>
            <w:vAlign w:val="center"/>
          </w:tcPr>
          <w:p w14:paraId="66916948">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Endpoint</w:t>
            </w:r>
          </w:p>
        </w:tc>
        <w:tc>
          <w:tcPr>
            <w:tcW w:w="424" w:type="pct"/>
            <w:vAlign w:val="center"/>
          </w:tcPr>
          <w:p w14:paraId="7380ECCF">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APC</w:t>
            </w:r>
          </w:p>
        </w:tc>
        <w:tc>
          <w:tcPr>
            <w:tcW w:w="468" w:type="pct"/>
            <w:vAlign w:val="center"/>
          </w:tcPr>
          <w:p w14:paraId="3409B27E">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CI</w:t>
            </w:r>
          </w:p>
        </w:tc>
        <w:tc>
          <w:tcPr>
            <w:tcW w:w="443" w:type="pct"/>
            <w:vAlign w:val="center"/>
          </w:tcPr>
          <w:p w14:paraId="731157D3">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CI</w:t>
            </w:r>
          </w:p>
        </w:tc>
        <w:tc>
          <w:tcPr>
            <w:tcW w:w="670" w:type="pct"/>
            <w:vAlign w:val="center"/>
          </w:tcPr>
          <w:p w14:paraId="7B632180">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Test Statistic (t)</w:t>
            </w:r>
          </w:p>
        </w:tc>
        <w:tc>
          <w:tcPr>
            <w:tcW w:w="536" w:type="pct"/>
            <w:vAlign w:val="center"/>
          </w:tcPr>
          <w:p w14:paraId="2509226A">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Prob &gt; |t|</w:t>
            </w:r>
          </w:p>
        </w:tc>
      </w:tr>
      <w:tr w14:paraId="3C5D15E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647F56A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042B46D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w:t>
            </w:r>
          </w:p>
        </w:tc>
        <w:tc>
          <w:tcPr>
            <w:tcW w:w="702" w:type="pct"/>
            <w:vAlign w:val="center"/>
          </w:tcPr>
          <w:p w14:paraId="0B4A671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1990</w:t>
            </w:r>
          </w:p>
        </w:tc>
        <w:tc>
          <w:tcPr>
            <w:tcW w:w="699" w:type="pct"/>
            <w:vAlign w:val="center"/>
          </w:tcPr>
          <w:p w14:paraId="4062099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1993</w:t>
            </w:r>
          </w:p>
        </w:tc>
        <w:tc>
          <w:tcPr>
            <w:tcW w:w="424" w:type="pct"/>
            <w:vAlign w:val="center"/>
          </w:tcPr>
          <w:p w14:paraId="0C17BC9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0.2122*</w:t>
            </w:r>
          </w:p>
        </w:tc>
        <w:tc>
          <w:tcPr>
            <w:tcW w:w="468" w:type="pct"/>
            <w:vAlign w:val="center"/>
          </w:tcPr>
          <w:p w14:paraId="05AA4CD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0.0856</w:t>
            </w:r>
          </w:p>
        </w:tc>
        <w:tc>
          <w:tcPr>
            <w:tcW w:w="443" w:type="pct"/>
            <w:vAlign w:val="center"/>
          </w:tcPr>
          <w:p w14:paraId="71537E9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0.3389</w:t>
            </w:r>
          </w:p>
        </w:tc>
        <w:tc>
          <w:tcPr>
            <w:tcW w:w="670" w:type="pct"/>
            <w:vAlign w:val="center"/>
          </w:tcPr>
          <w:p w14:paraId="2B2D666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3.6539</w:t>
            </w:r>
          </w:p>
        </w:tc>
        <w:tc>
          <w:tcPr>
            <w:tcW w:w="536" w:type="pct"/>
            <w:vAlign w:val="center"/>
          </w:tcPr>
          <w:p w14:paraId="07BEC37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0.003303</w:t>
            </w:r>
          </w:p>
        </w:tc>
      </w:tr>
      <w:tr w14:paraId="22AEE40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5A1E13C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4EEAE4A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w:t>
            </w:r>
          </w:p>
        </w:tc>
        <w:tc>
          <w:tcPr>
            <w:tcW w:w="702" w:type="pct"/>
            <w:vAlign w:val="center"/>
          </w:tcPr>
          <w:p w14:paraId="2453EA6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1993</w:t>
            </w:r>
          </w:p>
        </w:tc>
        <w:tc>
          <w:tcPr>
            <w:tcW w:w="699" w:type="pct"/>
            <w:vAlign w:val="center"/>
          </w:tcPr>
          <w:p w14:paraId="42549A0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1996</w:t>
            </w:r>
          </w:p>
        </w:tc>
        <w:tc>
          <w:tcPr>
            <w:tcW w:w="424" w:type="pct"/>
            <w:vAlign w:val="center"/>
          </w:tcPr>
          <w:p w14:paraId="42A50CB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0.9245*</w:t>
            </w:r>
          </w:p>
        </w:tc>
        <w:tc>
          <w:tcPr>
            <w:tcW w:w="468" w:type="pct"/>
            <w:vAlign w:val="center"/>
          </w:tcPr>
          <w:p w14:paraId="50E618C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0.6730</w:t>
            </w:r>
          </w:p>
        </w:tc>
        <w:tc>
          <w:tcPr>
            <w:tcW w:w="443" w:type="pct"/>
            <w:vAlign w:val="center"/>
          </w:tcPr>
          <w:p w14:paraId="2651890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1.1766</w:t>
            </w:r>
          </w:p>
        </w:tc>
        <w:tc>
          <w:tcPr>
            <w:tcW w:w="670" w:type="pct"/>
            <w:vAlign w:val="center"/>
          </w:tcPr>
          <w:p w14:paraId="21017E6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8.0367</w:t>
            </w:r>
          </w:p>
        </w:tc>
        <w:tc>
          <w:tcPr>
            <w:tcW w:w="536" w:type="pct"/>
            <w:vAlign w:val="center"/>
          </w:tcPr>
          <w:p w14:paraId="515AC7C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0.000004</w:t>
            </w:r>
          </w:p>
        </w:tc>
      </w:tr>
      <w:tr w14:paraId="276D155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2A6EA60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71E3367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w:t>
            </w:r>
          </w:p>
        </w:tc>
        <w:tc>
          <w:tcPr>
            <w:tcW w:w="702" w:type="pct"/>
            <w:vAlign w:val="center"/>
          </w:tcPr>
          <w:p w14:paraId="34ACBB8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1996</w:t>
            </w:r>
          </w:p>
        </w:tc>
        <w:tc>
          <w:tcPr>
            <w:tcW w:w="699" w:type="pct"/>
            <w:vAlign w:val="center"/>
          </w:tcPr>
          <w:p w14:paraId="61A4386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2004</w:t>
            </w:r>
          </w:p>
        </w:tc>
        <w:tc>
          <w:tcPr>
            <w:tcW w:w="424" w:type="pct"/>
            <w:vAlign w:val="center"/>
          </w:tcPr>
          <w:p w14:paraId="7415F23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1.6092*</w:t>
            </w:r>
          </w:p>
        </w:tc>
        <w:tc>
          <w:tcPr>
            <w:tcW w:w="468" w:type="pct"/>
            <w:vAlign w:val="center"/>
          </w:tcPr>
          <w:p w14:paraId="08F9CD1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1.5758</w:t>
            </w:r>
          </w:p>
        </w:tc>
        <w:tc>
          <w:tcPr>
            <w:tcW w:w="443" w:type="pct"/>
            <w:vAlign w:val="center"/>
          </w:tcPr>
          <w:p w14:paraId="723D021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1.6425</w:t>
            </w:r>
          </w:p>
        </w:tc>
        <w:tc>
          <w:tcPr>
            <w:tcW w:w="670" w:type="pct"/>
            <w:vAlign w:val="center"/>
          </w:tcPr>
          <w:p w14:paraId="2985B19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105.9631</w:t>
            </w:r>
          </w:p>
        </w:tc>
        <w:tc>
          <w:tcPr>
            <w:tcW w:w="536" w:type="pct"/>
            <w:vAlign w:val="center"/>
          </w:tcPr>
          <w:p w14:paraId="08FB300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7D3BC71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1ED7897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4DC04C5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4</w:t>
            </w:r>
          </w:p>
        </w:tc>
        <w:tc>
          <w:tcPr>
            <w:tcW w:w="702" w:type="pct"/>
            <w:vAlign w:val="center"/>
          </w:tcPr>
          <w:p w14:paraId="653D06A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2004</w:t>
            </w:r>
          </w:p>
        </w:tc>
        <w:tc>
          <w:tcPr>
            <w:tcW w:w="699" w:type="pct"/>
            <w:vAlign w:val="center"/>
          </w:tcPr>
          <w:p w14:paraId="71355A8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2008</w:t>
            </w:r>
          </w:p>
        </w:tc>
        <w:tc>
          <w:tcPr>
            <w:tcW w:w="424" w:type="pct"/>
            <w:vAlign w:val="center"/>
          </w:tcPr>
          <w:p w14:paraId="26DFFFA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1.0537*</w:t>
            </w:r>
          </w:p>
        </w:tc>
        <w:tc>
          <w:tcPr>
            <w:tcW w:w="468" w:type="pct"/>
            <w:vAlign w:val="center"/>
          </w:tcPr>
          <w:p w14:paraId="7A5EC20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0.9328</w:t>
            </w:r>
          </w:p>
        </w:tc>
        <w:tc>
          <w:tcPr>
            <w:tcW w:w="443" w:type="pct"/>
            <w:vAlign w:val="center"/>
          </w:tcPr>
          <w:p w14:paraId="2046F1D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1.1748</w:t>
            </w:r>
          </w:p>
        </w:tc>
        <w:tc>
          <w:tcPr>
            <w:tcW w:w="670" w:type="pct"/>
            <w:vAlign w:val="center"/>
          </w:tcPr>
          <w:p w14:paraId="5CB7C64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19.0682</w:t>
            </w:r>
          </w:p>
        </w:tc>
        <w:tc>
          <w:tcPr>
            <w:tcW w:w="536" w:type="pct"/>
            <w:vAlign w:val="center"/>
          </w:tcPr>
          <w:p w14:paraId="113D719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625178C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79515BE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4140712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5</w:t>
            </w:r>
          </w:p>
        </w:tc>
        <w:tc>
          <w:tcPr>
            <w:tcW w:w="702" w:type="pct"/>
            <w:vAlign w:val="center"/>
          </w:tcPr>
          <w:p w14:paraId="6040FDB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2008</w:t>
            </w:r>
          </w:p>
        </w:tc>
        <w:tc>
          <w:tcPr>
            <w:tcW w:w="699" w:type="pct"/>
            <w:vAlign w:val="center"/>
          </w:tcPr>
          <w:p w14:paraId="38514F0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2011</w:t>
            </w:r>
          </w:p>
        </w:tc>
        <w:tc>
          <w:tcPr>
            <w:tcW w:w="424" w:type="pct"/>
            <w:vAlign w:val="center"/>
          </w:tcPr>
          <w:p w14:paraId="2252D18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0.7142*</w:t>
            </w:r>
          </w:p>
        </w:tc>
        <w:tc>
          <w:tcPr>
            <w:tcW w:w="468" w:type="pct"/>
            <w:vAlign w:val="center"/>
          </w:tcPr>
          <w:p w14:paraId="5E3D3B8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0.4758</w:t>
            </w:r>
          </w:p>
        </w:tc>
        <w:tc>
          <w:tcPr>
            <w:tcW w:w="443" w:type="pct"/>
            <w:vAlign w:val="center"/>
          </w:tcPr>
          <w:p w14:paraId="6E20895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0.9531</w:t>
            </w:r>
          </w:p>
        </w:tc>
        <w:tc>
          <w:tcPr>
            <w:tcW w:w="670" w:type="pct"/>
            <w:vAlign w:val="center"/>
          </w:tcPr>
          <w:p w14:paraId="7140F73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6.5434</w:t>
            </w:r>
          </w:p>
        </w:tc>
        <w:tc>
          <w:tcPr>
            <w:tcW w:w="536" w:type="pct"/>
            <w:vAlign w:val="center"/>
          </w:tcPr>
          <w:p w14:paraId="6459C11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0.000028</w:t>
            </w:r>
          </w:p>
        </w:tc>
      </w:tr>
      <w:tr w14:paraId="6E18BA2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6A9359E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31EE186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6</w:t>
            </w:r>
          </w:p>
        </w:tc>
        <w:tc>
          <w:tcPr>
            <w:tcW w:w="702" w:type="pct"/>
            <w:vAlign w:val="center"/>
          </w:tcPr>
          <w:p w14:paraId="162A83C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2011</w:t>
            </w:r>
          </w:p>
        </w:tc>
        <w:tc>
          <w:tcPr>
            <w:tcW w:w="699" w:type="pct"/>
            <w:vAlign w:val="center"/>
          </w:tcPr>
          <w:p w14:paraId="780D4B4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2018</w:t>
            </w:r>
          </w:p>
        </w:tc>
        <w:tc>
          <w:tcPr>
            <w:tcW w:w="424" w:type="pct"/>
            <w:vAlign w:val="center"/>
          </w:tcPr>
          <w:p w14:paraId="310D6CD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1.0217*</w:t>
            </w:r>
          </w:p>
        </w:tc>
        <w:tc>
          <w:tcPr>
            <w:tcW w:w="468" w:type="pct"/>
            <w:vAlign w:val="center"/>
          </w:tcPr>
          <w:p w14:paraId="6B150E6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0.9816</w:t>
            </w:r>
          </w:p>
        </w:tc>
        <w:tc>
          <w:tcPr>
            <w:tcW w:w="443" w:type="pct"/>
            <w:vAlign w:val="center"/>
          </w:tcPr>
          <w:p w14:paraId="21D67C4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1.0618</w:t>
            </w:r>
          </w:p>
        </w:tc>
        <w:tc>
          <w:tcPr>
            <w:tcW w:w="670" w:type="pct"/>
            <w:vAlign w:val="center"/>
          </w:tcPr>
          <w:p w14:paraId="3C69A6C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55.7997</w:t>
            </w:r>
          </w:p>
        </w:tc>
        <w:tc>
          <w:tcPr>
            <w:tcW w:w="536" w:type="pct"/>
            <w:vAlign w:val="center"/>
          </w:tcPr>
          <w:p w14:paraId="3C2EE51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1E3CD5D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45A9D5C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1F7B70A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7</w:t>
            </w:r>
          </w:p>
        </w:tc>
        <w:tc>
          <w:tcPr>
            <w:tcW w:w="702" w:type="pct"/>
            <w:vAlign w:val="center"/>
          </w:tcPr>
          <w:p w14:paraId="5D9CF74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2018</w:t>
            </w:r>
          </w:p>
        </w:tc>
        <w:tc>
          <w:tcPr>
            <w:tcW w:w="699" w:type="pct"/>
            <w:vAlign w:val="center"/>
          </w:tcPr>
          <w:p w14:paraId="69C7455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2021</w:t>
            </w:r>
          </w:p>
        </w:tc>
        <w:tc>
          <w:tcPr>
            <w:tcW w:w="424" w:type="pct"/>
            <w:vAlign w:val="center"/>
          </w:tcPr>
          <w:p w14:paraId="1CBD1A8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0.0427</w:t>
            </w:r>
          </w:p>
        </w:tc>
        <w:tc>
          <w:tcPr>
            <w:tcW w:w="468" w:type="pct"/>
            <w:vAlign w:val="center"/>
          </w:tcPr>
          <w:p w14:paraId="1DAFEF7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-0.0788</w:t>
            </w:r>
          </w:p>
        </w:tc>
        <w:tc>
          <w:tcPr>
            <w:tcW w:w="443" w:type="pct"/>
            <w:vAlign w:val="center"/>
          </w:tcPr>
          <w:p w14:paraId="0183293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0.1644</w:t>
            </w:r>
          </w:p>
        </w:tc>
        <w:tc>
          <w:tcPr>
            <w:tcW w:w="670" w:type="pct"/>
            <w:vAlign w:val="center"/>
          </w:tcPr>
          <w:p w14:paraId="1FD1BDB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0.7657</w:t>
            </w:r>
          </w:p>
        </w:tc>
        <w:tc>
          <w:tcPr>
            <w:tcW w:w="536" w:type="pct"/>
            <w:vAlign w:val="center"/>
          </w:tcPr>
          <w:p w14:paraId="4C66C91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0.458663</w:t>
            </w:r>
          </w:p>
        </w:tc>
      </w:tr>
    </w:tbl>
    <w:p w14:paraId="0C8C344C">
      <w:pPr>
        <w:rPr>
          <w:rFonts w:ascii="Times New Roman" w:hAnsi="Times New Roman" w:cs="Times New Roman"/>
          <w:sz w:val="21"/>
          <w:szCs w:val="21"/>
        </w:rPr>
      </w:pPr>
    </w:p>
    <w:p w14:paraId="79BEFA1C">
      <w:pPr>
        <w:rPr>
          <w:rFonts w:ascii="Times New Roman" w:hAnsi="Times New Roman" w:cs="Times New Roman"/>
          <w:sz w:val="24"/>
          <w:szCs w:val="24"/>
        </w:rPr>
      </w:pPr>
      <w:r>
        <w:rPr>
          <w:rFonts w:hint="eastAsia" w:ascii="Times New Roman" w:hAnsi="Times New Roman" w:cs="Times New Roman"/>
          <w:sz w:val="24"/>
          <w:szCs w:val="24"/>
        </w:rPr>
        <w:t>Prevalence_Rate _AAPC</w:t>
      </w:r>
    </w:p>
    <w:tbl>
      <w:tblPr>
        <w:tblStyle w:val="7"/>
        <w:tblW w:w="5000" w:type="pct"/>
        <w:jc w:val="center"/>
        <w:tblCellSpacing w:w="15"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15" w:type="dxa"/>
          <w:left w:w="15" w:type="dxa"/>
          <w:bottom w:w="15" w:type="dxa"/>
          <w:right w:w="15" w:type="dxa"/>
        </w:tblCellMar>
      </w:tblPr>
      <w:tblGrid>
        <w:gridCol w:w="717"/>
        <w:gridCol w:w="815"/>
        <w:gridCol w:w="1230"/>
        <w:gridCol w:w="1225"/>
        <w:gridCol w:w="743"/>
        <w:gridCol w:w="791"/>
        <w:gridCol w:w="783"/>
        <w:gridCol w:w="1119"/>
        <w:gridCol w:w="973"/>
      </w:tblGrid>
      <w:tr w14:paraId="4D2E83F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Header/>
          <w:tblCellSpacing w:w="15" w:type="dxa"/>
          <w:jc w:val="center"/>
        </w:trPr>
        <w:tc>
          <w:tcPr>
            <w:tcW w:w="400" w:type="pct"/>
            <w:vAlign w:val="center"/>
          </w:tcPr>
          <w:p w14:paraId="6D8873BE">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Cohort</w:t>
            </w:r>
          </w:p>
        </w:tc>
        <w:tc>
          <w:tcPr>
            <w:tcW w:w="467" w:type="pct"/>
            <w:vAlign w:val="center"/>
          </w:tcPr>
          <w:p w14:paraId="26CD2F55">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Range</w:t>
            </w:r>
          </w:p>
        </w:tc>
        <w:tc>
          <w:tcPr>
            <w:tcW w:w="714" w:type="pct"/>
            <w:vAlign w:val="center"/>
          </w:tcPr>
          <w:p w14:paraId="289D8FF2">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Endpoint</w:t>
            </w:r>
          </w:p>
        </w:tc>
        <w:tc>
          <w:tcPr>
            <w:tcW w:w="711" w:type="pct"/>
            <w:vAlign w:val="center"/>
          </w:tcPr>
          <w:p w14:paraId="3FA7F601">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Endpoint</w:t>
            </w:r>
          </w:p>
        </w:tc>
        <w:tc>
          <w:tcPr>
            <w:tcW w:w="424" w:type="pct"/>
            <w:vAlign w:val="center"/>
          </w:tcPr>
          <w:p w14:paraId="29955BF5">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AAPC</w:t>
            </w:r>
          </w:p>
        </w:tc>
        <w:tc>
          <w:tcPr>
            <w:tcW w:w="453" w:type="pct"/>
            <w:vAlign w:val="center"/>
          </w:tcPr>
          <w:p w14:paraId="61F58671">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CI</w:t>
            </w:r>
          </w:p>
        </w:tc>
        <w:tc>
          <w:tcPr>
            <w:tcW w:w="448" w:type="pct"/>
            <w:vAlign w:val="center"/>
          </w:tcPr>
          <w:p w14:paraId="23337EFC">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CI</w:t>
            </w:r>
          </w:p>
        </w:tc>
        <w:tc>
          <w:tcPr>
            <w:tcW w:w="648" w:type="pct"/>
            <w:vAlign w:val="center"/>
          </w:tcPr>
          <w:p w14:paraId="099B4C89">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Test Statistic</w:t>
            </w:r>
          </w:p>
        </w:tc>
        <w:tc>
          <w:tcPr>
            <w:tcW w:w="552" w:type="pct"/>
            <w:vAlign w:val="center"/>
          </w:tcPr>
          <w:p w14:paraId="25D3E615">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P-Value</w:t>
            </w:r>
          </w:p>
        </w:tc>
      </w:tr>
      <w:tr w14:paraId="04DFD16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0C88F6B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67" w:type="pct"/>
            <w:vAlign w:val="center"/>
          </w:tcPr>
          <w:p w14:paraId="7D6CAFF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Full Range</w:t>
            </w:r>
          </w:p>
        </w:tc>
        <w:tc>
          <w:tcPr>
            <w:tcW w:w="714" w:type="pct"/>
            <w:vAlign w:val="center"/>
          </w:tcPr>
          <w:p w14:paraId="4DA7F53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1990</w:t>
            </w:r>
          </w:p>
        </w:tc>
        <w:tc>
          <w:tcPr>
            <w:tcW w:w="711" w:type="pct"/>
            <w:vAlign w:val="center"/>
          </w:tcPr>
          <w:p w14:paraId="3F763DE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2021</w:t>
            </w:r>
          </w:p>
        </w:tc>
        <w:tc>
          <w:tcPr>
            <w:tcW w:w="424" w:type="pct"/>
            <w:vAlign w:val="center"/>
          </w:tcPr>
          <w:p w14:paraId="3630BBDA">
            <w:pPr>
              <w:widowControl/>
              <w:snapToGrid w:val="0"/>
              <w:spacing w:after="0" w:line="240" w:lineRule="auto"/>
              <w:ind w:left="0" w:leftChars="0" w:right="0" w:rightChars="0" w:firstLine="0" w:firstLineChars="0"/>
              <w:jc w:val="right"/>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0.9639*</w:t>
            </w:r>
          </w:p>
        </w:tc>
        <w:tc>
          <w:tcPr>
            <w:tcW w:w="453" w:type="pct"/>
            <w:vAlign w:val="center"/>
          </w:tcPr>
          <w:p w14:paraId="06A36F3E">
            <w:pPr>
              <w:widowControl/>
              <w:snapToGrid w:val="0"/>
              <w:spacing w:after="0" w:line="240" w:lineRule="auto"/>
              <w:ind w:left="0" w:leftChars="0" w:right="0" w:rightChars="0" w:firstLine="0" w:firstLineChars="0"/>
              <w:jc w:val="right"/>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0.9255</w:t>
            </w:r>
          </w:p>
        </w:tc>
        <w:tc>
          <w:tcPr>
            <w:tcW w:w="448" w:type="pct"/>
            <w:vAlign w:val="center"/>
          </w:tcPr>
          <w:p w14:paraId="46EF5738">
            <w:pPr>
              <w:widowControl/>
              <w:snapToGrid w:val="0"/>
              <w:spacing w:after="0" w:line="240" w:lineRule="auto"/>
              <w:ind w:left="0" w:leftChars="0" w:right="0" w:rightChars="0" w:firstLine="0" w:firstLineChars="0"/>
              <w:jc w:val="right"/>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1.0023</w:t>
            </w:r>
          </w:p>
        </w:tc>
        <w:tc>
          <w:tcPr>
            <w:tcW w:w="648" w:type="pct"/>
            <w:vAlign w:val="center"/>
          </w:tcPr>
          <w:p w14:paraId="66F1D3F0">
            <w:pPr>
              <w:widowControl/>
              <w:snapToGrid w:val="0"/>
              <w:spacing w:after="0" w:line="240" w:lineRule="auto"/>
              <w:ind w:left="0" w:leftChars="0" w:right="0" w:rightChars="0" w:firstLine="0" w:firstLineChars="0"/>
              <w:jc w:val="right"/>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49.4356</w:t>
            </w:r>
          </w:p>
        </w:tc>
        <w:tc>
          <w:tcPr>
            <w:tcW w:w="552" w:type="pct"/>
            <w:vAlign w:val="center"/>
          </w:tcPr>
          <w:p w14:paraId="665C7AC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bl>
    <w:p w14:paraId="4E6F5E14">
      <w:pPr>
        <w:rPr>
          <w:rFonts w:hint="eastAsia" w:ascii="Times New Roman" w:hAnsi="Times New Roman" w:cs="Times New Roman"/>
          <w:sz w:val="24"/>
          <w:szCs w:val="24"/>
        </w:rPr>
      </w:pPr>
    </w:p>
    <w:p w14:paraId="1F371FCE">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cs="Times New Roman"/>
          <w:sz w:val="24"/>
          <w:szCs w:val="24"/>
        </w:rPr>
      </w:pPr>
      <w:r>
        <w:rPr>
          <w:rFonts w:hint="eastAsia" w:ascii="Times New Roman" w:hAnsi="Times New Roman" w:cs="Times New Roman"/>
          <w:sz w:val="24"/>
          <w:szCs w:val="24"/>
        </w:rPr>
        <w:t>Prevalence _Number_APC</w:t>
      </w:r>
    </w:p>
    <w:tbl>
      <w:tblPr>
        <w:tblStyle w:val="7"/>
        <w:tblW w:w="5000" w:type="pct"/>
        <w:jc w:val="center"/>
        <w:tblCellSpacing w:w="15"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15" w:type="dxa"/>
          <w:left w:w="15" w:type="dxa"/>
          <w:bottom w:w="15" w:type="dxa"/>
          <w:right w:w="15" w:type="dxa"/>
        </w:tblCellMar>
      </w:tblPr>
      <w:tblGrid>
        <w:gridCol w:w="717"/>
        <w:gridCol w:w="830"/>
        <w:gridCol w:w="1218"/>
        <w:gridCol w:w="1212"/>
        <w:gridCol w:w="743"/>
        <w:gridCol w:w="786"/>
        <w:gridCol w:w="776"/>
        <w:gridCol w:w="1165"/>
        <w:gridCol w:w="949"/>
      </w:tblGrid>
      <w:tr w14:paraId="7DB7057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Header/>
          <w:tblCellSpacing w:w="15" w:type="dxa"/>
          <w:jc w:val="center"/>
        </w:trPr>
        <w:tc>
          <w:tcPr>
            <w:tcW w:w="400" w:type="pct"/>
            <w:vAlign w:val="center"/>
          </w:tcPr>
          <w:p w14:paraId="0BA1D4F9">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Cohort</w:t>
            </w:r>
          </w:p>
        </w:tc>
        <w:tc>
          <w:tcPr>
            <w:tcW w:w="476" w:type="pct"/>
            <w:vAlign w:val="center"/>
          </w:tcPr>
          <w:p w14:paraId="43F3B44B">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Segment</w:t>
            </w:r>
          </w:p>
        </w:tc>
        <w:tc>
          <w:tcPr>
            <w:tcW w:w="707" w:type="pct"/>
            <w:vAlign w:val="center"/>
          </w:tcPr>
          <w:p w14:paraId="3ACBC59B">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Endpoint</w:t>
            </w:r>
          </w:p>
        </w:tc>
        <w:tc>
          <w:tcPr>
            <w:tcW w:w="703" w:type="pct"/>
            <w:vAlign w:val="center"/>
          </w:tcPr>
          <w:p w14:paraId="2AB18A90">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Endpoint</w:t>
            </w:r>
          </w:p>
        </w:tc>
        <w:tc>
          <w:tcPr>
            <w:tcW w:w="424" w:type="pct"/>
            <w:vAlign w:val="center"/>
          </w:tcPr>
          <w:p w14:paraId="2B78CDCB">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APC</w:t>
            </w:r>
          </w:p>
        </w:tc>
        <w:tc>
          <w:tcPr>
            <w:tcW w:w="450" w:type="pct"/>
            <w:vAlign w:val="center"/>
          </w:tcPr>
          <w:p w14:paraId="4C8B3052">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CI</w:t>
            </w:r>
          </w:p>
        </w:tc>
        <w:tc>
          <w:tcPr>
            <w:tcW w:w="444" w:type="pct"/>
            <w:vAlign w:val="center"/>
          </w:tcPr>
          <w:p w14:paraId="7DC19489">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CI</w:t>
            </w:r>
          </w:p>
        </w:tc>
        <w:tc>
          <w:tcPr>
            <w:tcW w:w="675" w:type="pct"/>
            <w:vAlign w:val="center"/>
          </w:tcPr>
          <w:p w14:paraId="3F948E67">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Test Statistic (t)</w:t>
            </w:r>
          </w:p>
        </w:tc>
        <w:tc>
          <w:tcPr>
            <w:tcW w:w="538" w:type="pct"/>
            <w:vAlign w:val="center"/>
          </w:tcPr>
          <w:p w14:paraId="5C485C3D">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Prob &gt; |t|</w:t>
            </w:r>
          </w:p>
        </w:tc>
      </w:tr>
      <w:tr w14:paraId="2E1ED25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29739A4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069DE93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w:t>
            </w:r>
          </w:p>
        </w:tc>
        <w:tc>
          <w:tcPr>
            <w:tcW w:w="707" w:type="pct"/>
            <w:vAlign w:val="center"/>
          </w:tcPr>
          <w:p w14:paraId="496D7F3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1990</w:t>
            </w:r>
          </w:p>
        </w:tc>
        <w:tc>
          <w:tcPr>
            <w:tcW w:w="703" w:type="pct"/>
            <w:vAlign w:val="center"/>
          </w:tcPr>
          <w:p w14:paraId="0597710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1993</w:t>
            </w:r>
          </w:p>
        </w:tc>
        <w:tc>
          <w:tcPr>
            <w:tcW w:w="424" w:type="pct"/>
            <w:vAlign w:val="center"/>
          </w:tcPr>
          <w:p w14:paraId="4873EBF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2.2757*</w:t>
            </w:r>
          </w:p>
        </w:tc>
        <w:tc>
          <w:tcPr>
            <w:tcW w:w="450" w:type="pct"/>
            <w:vAlign w:val="center"/>
          </w:tcPr>
          <w:p w14:paraId="34BC19D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2.0756</w:t>
            </w:r>
          </w:p>
        </w:tc>
        <w:tc>
          <w:tcPr>
            <w:tcW w:w="444" w:type="pct"/>
            <w:vAlign w:val="center"/>
          </w:tcPr>
          <w:p w14:paraId="5F5C236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2.4762</w:t>
            </w:r>
          </w:p>
        </w:tc>
        <w:tc>
          <w:tcPr>
            <w:tcW w:w="675" w:type="pct"/>
            <w:vAlign w:val="center"/>
          </w:tcPr>
          <w:p w14:paraId="07A9D99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25.0361</w:t>
            </w:r>
          </w:p>
        </w:tc>
        <w:tc>
          <w:tcPr>
            <w:tcW w:w="538" w:type="pct"/>
            <w:vAlign w:val="center"/>
          </w:tcPr>
          <w:p w14:paraId="7144F1D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55E93C3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7CF7BC6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25445A3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w:t>
            </w:r>
          </w:p>
        </w:tc>
        <w:tc>
          <w:tcPr>
            <w:tcW w:w="707" w:type="pct"/>
            <w:vAlign w:val="center"/>
          </w:tcPr>
          <w:p w14:paraId="4F609A8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1993</w:t>
            </w:r>
          </w:p>
        </w:tc>
        <w:tc>
          <w:tcPr>
            <w:tcW w:w="703" w:type="pct"/>
            <w:vAlign w:val="center"/>
          </w:tcPr>
          <w:p w14:paraId="0F66B17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1996</w:t>
            </w:r>
          </w:p>
        </w:tc>
        <w:tc>
          <w:tcPr>
            <w:tcW w:w="424" w:type="pct"/>
            <w:vAlign w:val="center"/>
          </w:tcPr>
          <w:p w14:paraId="5D85C4F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2.6542*</w:t>
            </w:r>
          </w:p>
        </w:tc>
        <w:tc>
          <w:tcPr>
            <w:tcW w:w="450" w:type="pct"/>
            <w:vAlign w:val="center"/>
          </w:tcPr>
          <w:p w14:paraId="13B825B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2.2582</w:t>
            </w:r>
          </w:p>
        </w:tc>
        <w:tc>
          <w:tcPr>
            <w:tcW w:w="444" w:type="pct"/>
            <w:vAlign w:val="center"/>
          </w:tcPr>
          <w:p w14:paraId="25D3F1E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3.0518</w:t>
            </w:r>
          </w:p>
        </w:tc>
        <w:tc>
          <w:tcPr>
            <w:tcW w:w="675" w:type="pct"/>
            <w:vAlign w:val="center"/>
          </w:tcPr>
          <w:p w14:paraId="74FDF14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14.7664</w:t>
            </w:r>
          </w:p>
        </w:tc>
        <w:tc>
          <w:tcPr>
            <w:tcW w:w="538" w:type="pct"/>
            <w:vAlign w:val="center"/>
          </w:tcPr>
          <w:p w14:paraId="7FB6A5A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10806DC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6D16E06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0B15E0B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w:t>
            </w:r>
          </w:p>
        </w:tc>
        <w:tc>
          <w:tcPr>
            <w:tcW w:w="707" w:type="pct"/>
            <w:vAlign w:val="center"/>
          </w:tcPr>
          <w:p w14:paraId="6F2C807B">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1996</w:t>
            </w:r>
          </w:p>
        </w:tc>
        <w:tc>
          <w:tcPr>
            <w:tcW w:w="703" w:type="pct"/>
            <w:vAlign w:val="center"/>
          </w:tcPr>
          <w:p w14:paraId="54C223B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2003</w:t>
            </w:r>
          </w:p>
        </w:tc>
        <w:tc>
          <w:tcPr>
            <w:tcW w:w="424" w:type="pct"/>
            <w:vAlign w:val="center"/>
          </w:tcPr>
          <w:p w14:paraId="3E26A7A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3.3676*</w:t>
            </w:r>
          </w:p>
        </w:tc>
        <w:tc>
          <w:tcPr>
            <w:tcW w:w="450" w:type="pct"/>
            <w:vAlign w:val="center"/>
          </w:tcPr>
          <w:p w14:paraId="42B42B7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3.3010</w:t>
            </w:r>
          </w:p>
        </w:tc>
        <w:tc>
          <w:tcPr>
            <w:tcW w:w="444" w:type="pct"/>
            <w:vAlign w:val="center"/>
          </w:tcPr>
          <w:p w14:paraId="3523571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3.4342</w:t>
            </w:r>
          </w:p>
        </w:tc>
        <w:tc>
          <w:tcPr>
            <w:tcW w:w="675" w:type="pct"/>
            <w:vAlign w:val="center"/>
          </w:tcPr>
          <w:p w14:paraId="0232B59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112.0176</w:t>
            </w:r>
          </w:p>
        </w:tc>
        <w:tc>
          <w:tcPr>
            <w:tcW w:w="538" w:type="pct"/>
            <w:vAlign w:val="center"/>
          </w:tcPr>
          <w:p w14:paraId="6C02639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459232F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27EB5D2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195C9CCB">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4</w:t>
            </w:r>
          </w:p>
        </w:tc>
        <w:tc>
          <w:tcPr>
            <w:tcW w:w="707" w:type="pct"/>
            <w:vAlign w:val="center"/>
          </w:tcPr>
          <w:p w14:paraId="6D87258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2003</w:t>
            </w:r>
          </w:p>
        </w:tc>
        <w:tc>
          <w:tcPr>
            <w:tcW w:w="703" w:type="pct"/>
            <w:vAlign w:val="center"/>
          </w:tcPr>
          <w:p w14:paraId="3AB34EA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2008</w:t>
            </w:r>
          </w:p>
        </w:tc>
        <w:tc>
          <w:tcPr>
            <w:tcW w:w="424" w:type="pct"/>
            <w:vAlign w:val="center"/>
          </w:tcPr>
          <w:p w14:paraId="38432E9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2.8230*</w:t>
            </w:r>
          </w:p>
        </w:tc>
        <w:tc>
          <w:tcPr>
            <w:tcW w:w="450" w:type="pct"/>
            <w:vAlign w:val="center"/>
          </w:tcPr>
          <w:p w14:paraId="615C904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2.7021</w:t>
            </w:r>
          </w:p>
        </w:tc>
        <w:tc>
          <w:tcPr>
            <w:tcW w:w="444" w:type="pct"/>
            <w:vAlign w:val="center"/>
          </w:tcPr>
          <w:p w14:paraId="1B26112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2.9441</w:t>
            </w:r>
          </w:p>
        </w:tc>
        <w:tc>
          <w:tcPr>
            <w:tcW w:w="675" w:type="pct"/>
            <w:vAlign w:val="center"/>
          </w:tcPr>
          <w:p w14:paraId="62BA109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51.5376</w:t>
            </w:r>
          </w:p>
        </w:tc>
        <w:tc>
          <w:tcPr>
            <w:tcW w:w="538" w:type="pct"/>
            <w:vAlign w:val="center"/>
          </w:tcPr>
          <w:p w14:paraId="6BB884C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5673A5E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53D9612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1A91FBF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5</w:t>
            </w:r>
          </w:p>
        </w:tc>
        <w:tc>
          <w:tcPr>
            <w:tcW w:w="707" w:type="pct"/>
            <w:vAlign w:val="center"/>
          </w:tcPr>
          <w:p w14:paraId="29D1C4B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2008</w:t>
            </w:r>
          </w:p>
        </w:tc>
        <w:tc>
          <w:tcPr>
            <w:tcW w:w="703" w:type="pct"/>
            <w:vAlign w:val="center"/>
          </w:tcPr>
          <w:p w14:paraId="5A30808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2015</w:t>
            </w:r>
          </w:p>
        </w:tc>
        <w:tc>
          <w:tcPr>
            <w:tcW w:w="424" w:type="pct"/>
            <w:vAlign w:val="center"/>
          </w:tcPr>
          <w:p w14:paraId="4DB70AA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2.2126*</w:t>
            </w:r>
          </w:p>
        </w:tc>
        <w:tc>
          <w:tcPr>
            <w:tcW w:w="450" w:type="pct"/>
            <w:vAlign w:val="center"/>
          </w:tcPr>
          <w:p w14:paraId="6FFEA1B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2.1497</w:t>
            </w:r>
          </w:p>
        </w:tc>
        <w:tc>
          <w:tcPr>
            <w:tcW w:w="444" w:type="pct"/>
            <w:vAlign w:val="center"/>
          </w:tcPr>
          <w:p w14:paraId="16411F3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2.2755</w:t>
            </w:r>
          </w:p>
        </w:tc>
        <w:tc>
          <w:tcPr>
            <w:tcW w:w="675" w:type="pct"/>
            <w:vAlign w:val="center"/>
          </w:tcPr>
          <w:p w14:paraId="50E564E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77.4956</w:t>
            </w:r>
          </w:p>
        </w:tc>
        <w:tc>
          <w:tcPr>
            <w:tcW w:w="538" w:type="pct"/>
            <w:vAlign w:val="center"/>
          </w:tcPr>
          <w:p w14:paraId="5EDD2AD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3C73C3F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23E5B32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25F56E7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6</w:t>
            </w:r>
          </w:p>
        </w:tc>
        <w:tc>
          <w:tcPr>
            <w:tcW w:w="707" w:type="pct"/>
            <w:vAlign w:val="center"/>
          </w:tcPr>
          <w:p w14:paraId="6D8F664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2015</w:t>
            </w:r>
          </w:p>
        </w:tc>
        <w:tc>
          <w:tcPr>
            <w:tcW w:w="703" w:type="pct"/>
            <w:vAlign w:val="center"/>
          </w:tcPr>
          <w:p w14:paraId="40FC8E6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2018</w:t>
            </w:r>
          </w:p>
        </w:tc>
        <w:tc>
          <w:tcPr>
            <w:tcW w:w="424" w:type="pct"/>
            <w:vAlign w:val="center"/>
          </w:tcPr>
          <w:p w14:paraId="2123D9D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1.8465*</w:t>
            </w:r>
          </w:p>
        </w:tc>
        <w:tc>
          <w:tcPr>
            <w:tcW w:w="450" w:type="pct"/>
            <w:vAlign w:val="center"/>
          </w:tcPr>
          <w:p w14:paraId="2EA5667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1.4770</w:t>
            </w:r>
          </w:p>
        </w:tc>
        <w:tc>
          <w:tcPr>
            <w:tcW w:w="444" w:type="pct"/>
            <w:vAlign w:val="center"/>
          </w:tcPr>
          <w:p w14:paraId="5497AFE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2.2174</w:t>
            </w:r>
          </w:p>
        </w:tc>
        <w:tc>
          <w:tcPr>
            <w:tcW w:w="675" w:type="pct"/>
            <w:vAlign w:val="center"/>
          </w:tcPr>
          <w:p w14:paraId="37B051D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10.9672</w:t>
            </w:r>
          </w:p>
        </w:tc>
        <w:tc>
          <w:tcPr>
            <w:tcW w:w="538" w:type="pct"/>
            <w:vAlign w:val="center"/>
          </w:tcPr>
          <w:p w14:paraId="63BB7CF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61AB3DE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400" w:type="pct"/>
            <w:vAlign w:val="center"/>
          </w:tcPr>
          <w:p w14:paraId="20CF7A8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76" w:type="pct"/>
            <w:vAlign w:val="center"/>
          </w:tcPr>
          <w:p w14:paraId="3A95059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7</w:t>
            </w:r>
          </w:p>
        </w:tc>
        <w:tc>
          <w:tcPr>
            <w:tcW w:w="707" w:type="pct"/>
            <w:vAlign w:val="center"/>
          </w:tcPr>
          <w:p w14:paraId="29AF942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2018</w:t>
            </w:r>
          </w:p>
        </w:tc>
        <w:tc>
          <w:tcPr>
            <w:tcW w:w="703" w:type="pct"/>
            <w:vAlign w:val="center"/>
          </w:tcPr>
          <w:p w14:paraId="09E5DBE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2021</w:t>
            </w:r>
          </w:p>
        </w:tc>
        <w:tc>
          <w:tcPr>
            <w:tcW w:w="424" w:type="pct"/>
            <w:vAlign w:val="center"/>
          </w:tcPr>
          <w:p w14:paraId="48FB74A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0.7408*</w:t>
            </w:r>
          </w:p>
        </w:tc>
        <w:tc>
          <w:tcPr>
            <w:tcW w:w="450" w:type="pct"/>
            <w:vAlign w:val="center"/>
          </w:tcPr>
          <w:p w14:paraId="662152F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0.5513</w:t>
            </w:r>
          </w:p>
        </w:tc>
        <w:tc>
          <w:tcPr>
            <w:tcW w:w="444" w:type="pct"/>
            <w:vAlign w:val="center"/>
          </w:tcPr>
          <w:p w14:paraId="5433345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0.9307</w:t>
            </w:r>
          </w:p>
        </w:tc>
        <w:tc>
          <w:tcPr>
            <w:tcW w:w="675" w:type="pct"/>
            <w:vAlign w:val="center"/>
          </w:tcPr>
          <w:p w14:paraId="013DF40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8.5391</w:t>
            </w:r>
          </w:p>
        </w:tc>
        <w:tc>
          <w:tcPr>
            <w:tcW w:w="538" w:type="pct"/>
            <w:vAlign w:val="center"/>
          </w:tcPr>
          <w:p w14:paraId="5404E5E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0.000002</w:t>
            </w:r>
          </w:p>
        </w:tc>
      </w:tr>
    </w:tbl>
    <w:p w14:paraId="15FD8EA5">
      <w:pPr>
        <w:rPr>
          <w:rFonts w:ascii="Times New Roman" w:hAnsi="Times New Roman" w:cs="Times New Roman"/>
          <w:sz w:val="21"/>
          <w:szCs w:val="21"/>
        </w:rPr>
      </w:pPr>
    </w:p>
    <w:p w14:paraId="3B562044">
      <w:pPr>
        <w:rPr>
          <w:rFonts w:ascii="Times New Roman" w:hAnsi="Times New Roman" w:cs="Times New Roman"/>
          <w:sz w:val="24"/>
          <w:szCs w:val="24"/>
        </w:rPr>
      </w:pPr>
      <w:r>
        <w:rPr>
          <w:rFonts w:hint="eastAsia" w:ascii="Times New Roman" w:hAnsi="Times New Roman" w:cs="Times New Roman"/>
          <w:sz w:val="24"/>
          <w:szCs w:val="24"/>
        </w:rPr>
        <w:t>Prevalence _Numer_AAPC</w:t>
      </w:r>
    </w:p>
    <w:tbl>
      <w:tblPr>
        <w:tblStyle w:val="7"/>
        <w:tblW w:w="5000" w:type="pct"/>
        <w:jc w:val="center"/>
        <w:tblCellSpacing w:w="15"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15" w:type="dxa"/>
          <w:left w:w="15" w:type="dxa"/>
          <w:bottom w:w="15" w:type="dxa"/>
          <w:right w:w="15" w:type="dxa"/>
        </w:tblCellMar>
      </w:tblPr>
      <w:tblGrid>
        <w:gridCol w:w="717"/>
        <w:gridCol w:w="803"/>
        <w:gridCol w:w="1160"/>
        <w:gridCol w:w="1160"/>
        <w:gridCol w:w="754"/>
        <w:gridCol w:w="756"/>
        <w:gridCol w:w="757"/>
        <w:gridCol w:w="1315"/>
        <w:gridCol w:w="974"/>
      </w:tblGrid>
      <w:tr w14:paraId="4D72E5F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Header/>
          <w:tblCellSpacing w:w="15" w:type="dxa"/>
          <w:jc w:val="center"/>
        </w:trPr>
        <w:tc>
          <w:tcPr>
            <w:tcW w:w="378" w:type="pct"/>
            <w:vAlign w:val="center"/>
          </w:tcPr>
          <w:p w14:paraId="29F591E2">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Cohort</w:t>
            </w:r>
          </w:p>
        </w:tc>
        <w:tc>
          <w:tcPr>
            <w:tcW w:w="463" w:type="pct"/>
            <w:vAlign w:val="center"/>
          </w:tcPr>
          <w:p w14:paraId="4CEA4F5C">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Range</w:t>
            </w:r>
          </w:p>
        </w:tc>
        <w:tc>
          <w:tcPr>
            <w:tcW w:w="675" w:type="pct"/>
            <w:vAlign w:val="center"/>
          </w:tcPr>
          <w:p w14:paraId="53F36878">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Endpoint</w:t>
            </w:r>
          </w:p>
        </w:tc>
        <w:tc>
          <w:tcPr>
            <w:tcW w:w="675" w:type="pct"/>
            <w:vAlign w:val="center"/>
          </w:tcPr>
          <w:p w14:paraId="3BFB9A96">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Endpoint</w:t>
            </w:r>
          </w:p>
        </w:tc>
        <w:tc>
          <w:tcPr>
            <w:tcW w:w="434" w:type="pct"/>
            <w:vAlign w:val="center"/>
          </w:tcPr>
          <w:p w14:paraId="3E6641E9">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AAPC</w:t>
            </w:r>
          </w:p>
        </w:tc>
        <w:tc>
          <w:tcPr>
            <w:tcW w:w="435" w:type="pct"/>
            <w:vAlign w:val="center"/>
          </w:tcPr>
          <w:p w14:paraId="73FB642E">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CI</w:t>
            </w:r>
          </w:p>
        </w:tc>
        <w:tc>
          <w:tcPr>
            <w:tcW w:w="435" w:type="pct"/>
            <w:vAlign w:val="center"/>
          </w:tcPr>
          <w:p w14:paraId="0E3F1F11">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CI</w:t>
            </w:r>
          </w:p>
        </w:tc>
        <w:tc>
          <w:tcPr>
            <w:tcW w:w="767" w:type="pct"/>
            <w:vAlign w:val="center"/>
          </w:tcPr>
          <w:p w14:paraId="26978773">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Test Statistic</w:t>
            </w:r>
          </w:p>
        </w:tc>
        <w:tc>
          <w:tcPr>
            <w:tcW w:w="555" w:type="pct"/>
            <w:vAlign w:val="center"/>
          </w:tcPr>
          <w:p w14:paraId="1E340A11">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P-Value</w:t>
            </w:r>
          </w:p>
        </w:tc>
      </w:tr>
      <w:tr w14:paraId="6ABD87B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4BEE4DD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63" w:type="pct"/>
            <w:vAlign w:val="center"/>
          </w:tcPr>
          <w:p w14:paraId="102D01A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Full Range</w:t>
            </w:r>
          </w:p>
        </w:tc>
        <w:tc>
          <w:tcPr>
            <w:tcW w:w="675" w:type="pct"/>
            <w:vAlign w:val="center"/>
          </w:tcPr>
          <w:p w14:paraId="29A547A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1990</w:t>
            </w:r>
          </w:p>
        </w:tc>
        <w:tc>
          <w:tcPr>
            <w:tcW w:w="675" w:type="pct"/>
            <w:vAlign w:val="center"/>
          </w:tcPr>
          <w:p w14:paraId="44B9847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2021</w:t>
            </w:r>
          </w:p>
        </w:tc>
        <w:tc>
          <w:tcPr>
            <w:tcW w:w="434" w:type="pct"/>
            <w:vAlign w:val="center"/>
          </w:tcPr>
          <w:p w14:paraId="1C1AA93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2.4401*</w:t>
            </w:r>
          </w:p>
        </w:tc>
        <w:tc>
          <w:tcPr>
            <w:tcW w:w="435" w:type="pct"/>
            <w:vAlign w:val="center"/>
          </w:tcPr>
          <w:p w14:paraId="45D94A8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2.3812</w:t>
            </w:r>
          </w:p>
        </w:tc>
        <w:tc>
          <w:tcPr>
            <w:tcW w:w="435" w:type="pct"/>
            <w:vAlign w:val="center"/>
          </w:tcPr>
          <w:p w14:paraId="3C0C66A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2.4991</w:t>
            </w:r>
          </w:p>
        </w:tc>
        <w:tc>
          <w:tcPr>
            <w:tcW w:w="767" w:type="pct"/>
            <w:vAlign w:val="center"/>
          </w:tcPr>
          <w:p w14:paraId="42CAA6B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82.1059</w:t>
            </w:r>
          </w:p>
        </w:tc>
        <w:tc>
          <w:tcPr>
            <w:tcW w:w="555" w:type="pct"/>
            <w:vAlign w:val="center"/>
          </w:tcPr>
          <w:p w14:paraId="736AFEC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bl>
    <w:p w14:paraId="4956E3B8">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cs="Times New Roman"/>
          <w:sz w:val="21"/>
          <w:szCs w:val="21"/>
        </w:rPr>
      </w:pPr>
      <w:r>
        <w:rPr>
          <w:rFonts w:hint="eastAsia" w:ascii="Times New Roman" w:hAnsi="Times New Roman" w:cs="Times New Roman"/>
          <w:sz w:val="21"/>
          <w:szCs w:val="21"/>
        </w:rPr>
        <w:cr/>
      </w:r>
      <w:r>
        <w:rPr>
          <w:rFonts w:hint="eastAsia" w:ascii="Times New Roman" w:hAnsi="Times New Roman" w:cs="Times New Roman"/>
          <w:sz w:val="24"/>
          <w:szCs w:val="24"/>
        </w:rPr>
        <w:t>DALYs_Rate_APC</w:t>
      </w:r>
      <w:r>
        <w:rPr>
          <w:rFonts w:hint="eastAsia" w:ascii="Times New Roman" w:hAnsi="Times New Roman" w:cs="Times New Roman"/>
          <w:sz w:val="24"/>
          <w:szCs w:val="24"/>
        </w:rPr>
        <w:cr/>
      </w:r>
    </w:p>
    <w:tbl>
      <w:tblPr>
        <w:tblStyle w:val="7"/>
        <w:tblW w:w="5000" w:type="pct"/>
        <w:jc w:val="center"/>
        <w:tblCellSpacing w:w="15"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15" w:type="dxa"/>
          <w:left w:w="15" w:type="dxa"/>
          <w:bottom w:w="15" w:type="dxa"/>
          <w:right w:w="15" w:type="dxa"/>
        </w:tblCellMar>
      </w:tblPr>
      <w:tblGrid>
        <w:gridCol w:w="717"/>
        <w:gridCol w:w="830"/>
        <w:gridCol w:w="1126"/>
        <w:gridCol w:w="1126"/>
        <w:gridCol w:w="745"/>
        <w:gridCol w:w="794"/>
        <w:gridCol w:w="739"/>
        <w:gridCol w:w="1364"/>
        <w:gridCol w:w="955"/>
      </w:tblGrid>
      <w:tr w14:paraId="627AE61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Header/>
          <w:tblCellSpacing w:w="15" w:type="dxa"/>
          <w:jc w:val="center"/>
        </w:trPr>
        <w:tc>
          <w:tcPr>
            <w:tcW w:w="378" w:type="pct"/>
            <w:vAlign w:val="center"/>
          </w:tcPr>
          <w:p w14:paraId="256AF61E">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Cohort</w:t>
            </w:r>
          </w:p>
        </w:tc>
        <w:tc>
          <w:tcPr>
            <w:tcW w:w="438" w:type="pct"/>
            <w:vAlign w:val="center"/>
          </w:tcPr>
          <w:p w14:paraId="1370A26F">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Segment</w:t>
            </w:r>
          </w:p>
        </w:tc>
        <w:tc>
          <w:tcPr>
            <w:tcW w:w="661" w:type="pct"/>
            <w:vAlign w:val="center"/>
          </w:tcPr>
          <w:p w14:paraId="63144561">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Endpoint</w:t>
            </w:r>
          </w:p>
        </w:tc>
        <w:tc>
          <w:tcPr>
            <w:tcW w:w="661" w:type="pct"/>
            <w:vAlign w:val="center"/>
          </w:tcPr>
          <w:p w14:paraId="1BB677E7">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Endpoint</w:t>
            </w:r>
          </w:p>
        </w:tc>
        <w:tc>
          <w:tcPr>
            <w:tcW w:w="434" w:type="pct"/>
            <w:vAlign w:val="center"/>
          </w:tcPr>
          <w:p w14:paraId="42228E58">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APC</w:t>
            </w:r>
          </w:p>
        </w:tc>
        <w:tc>
          <w:tcPr>
            <w:tcW w:w="463" w:type="pct"/>
            <w:vAlign w:val="center"/>
          </w:tcPr>
          <w:p w14:paraId="42BB8D00">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CI</w:t>
            </w:r>
          </w:p>
        </w:tc>
        <w:tc>
          <w:tcPr>
            <w:tcW w:w="430" w:type="pct"/>
            <w:vAlign w:val="center"/>
          </w:tcPr>
          <w:p w14:paraId="301D1A55">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CI</w:t>
            </w:r>
          </w:p>
        </w:tc>
        <w:tc>
          <w:tcPr>
            <w:tcW w:w="802" w:type="pct"/>
            <w:vAlign w:val="center"/>
          </w:tcPr>
          <w:p w14:paraId="678806D8">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Test Statistic (t)</w:t>
            </w:r>
          </w:p>
        </w:tc>
        <w:tc>
          <w:tcPr>
            <w:tcW w:w="550" w:type="pct"/>
            <w:vAlign w:val="center"/>
          </w:tcPr>
          <w:p w14:paraId="687B6FBF">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Prob &gt; |t|</w:t>
            </w:r>
          </w:p>
        </w:tc>
      </w:tr>
      <w:tr w14:paraId="5893CFE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1FD9522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6F306CB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w:t>
            </w:r>
          </w:p>
        </w:tc>
        <w:tc>
          <w:tcPr>
            <w:tcW w:w="661" w:type="pct"/>
            <w:vAlign w:val="center"/>
          </w:tcPr>
          <w:p w14:paraId="2FC69EB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1990</w:t>
            </w:r>
          </w:p>
        </w:tc>
        <w:tc>
          <w:tcPr>
            <w:tcW w:w="661" w:type="pct"/>
            <w:vAlign w:val="center"/>
          </w:tcPr>
          <w:p w14:paraId="71C29E6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1993</w:t>
            </w:r>
          </w:p>
        </w:tc>
        <w:tc>
          <w:tcPr>
            <w:tcW w:w="434" w:type="pct"/>
            <w:vAlign w:val="center"/>
          </w:tcPr>
          <w:p w14:paraId="5244A94B">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0.2241*</w:t>
            </w:r>
          </w:p>
        </w:tc>
        <w:tc>
          <w:tcPr>
            <w:tcW w:w="463" w:type="pct"/>
            <w:vAlign w:val="center"/>
          </w:tcPr>
          <w:p w14:paraId="2F1F791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0.0813</w:t>
            </w:r>
          </w:p>
        </w:tc>
        <w:tc>
          <w:tcPr>
            <w:tcW w:w="430" w:type="pct"/>
            <w:vAlign w:val="center"/>
          </w:tcPr>
          <w:p w14:paraId="65752ED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0.3672</w:t>
            </w:r>
          </w:p>
        </w:tc>
        <w:tc>
          <w:tcPr>
            <w:tcW w:w="802" w:type="pct"/>
            <w:vAlign w:val="center"/>
          </w:tcPr>
          <w:p w14:paraId="5B92AC8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3.4202</w:t>
            </w:r>
          </w:p>
        </w:tc>
        <w:tc>
          <w:tcPr>
            <w:tcW w:w="550" w:type="pct"/>
            <w:vAlign w:val="center"/>
          </w:tcPr>
          <w:p w14:paraId="24F14FE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0.005077</w:t>
            </w:r>
          </w:p>
        </w:tc>
      </w:tr>
      <w:tr w14:paraId="71D843F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399B891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1EE8003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w:t>
            </w:r>
          </w:p>
        </w:tc>
        <w:tc>
          <w:tcPr>
            <w:tcW w:w="661" w:type="pct"/>
            <w:vAlign w:val="center"/>
          </w:tcPr>
          <w:p w14:paraId="455D204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1993</w:t>
            </w:r>
          </w:p>
        </w:tc>
        <w:tc>
          <w:tcPr>
            <w:tcW w:w="661" w:type="pct"/>
            <w:vAlign w:val="center"/>
          </w:tcPr>
          <w:p w14:paraId="20AC765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1996</w:t>
            </w:r>
          </w:p>
        </w:tc>
        <w:tc>
          <w:tcPr>
            <w:tcW w:w="434" w:type="pct"/>
            <w:vAlign w:val="center"/>
          </w:tcPr>
          <w:p w14:paraId="1345086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0.9326*</w:t>
            </w:r>
          </w:p>
        </w:tc>
        <w:tc>
          <w:tcPr>
            <w:tcW w:w="463" w:type="pct"/>
            <w:vAlign w:val="center"/>
          </w:tcPr>
          <w:p w14:paraId="5A60299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0.6450</w:t>
            </w:r>
          </w:p>
        </w:tc>
        <w:tc>
          <w:tcPr>
            <w:tcW w:w="430" w:type="pct"/>
            <w:vAlign w:val="center"/>
          </w:tcPr>
          <w:p w14:paraId="36294FD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1.2211</w:t>
            </w:r>
          </w:p>
        </w:tc>
        <w:tc>
          <w:tcPr>
            <w:tcW w:w="802" w:type="pct"/>
            <w:vAlign w:val="center"/>
          </w:tcPr>
          <w:p w14:paraId="69E8C2D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7.0868</w:t>
            </w:r>
          </w:p>
        </w:tc>
        <w:tc>
          <w:tcPr>
            <w:tcW w:w="550" w:type="pct"/>
            <w:vAlign w:val="center"/>
          </w:tcPr>
          <w:p w14:paraId="2187CD3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0.000013</w:t>
            </w:r>
          </w:p>
        </w:tc>
      </w:tr>
      <w:tr w14:paraId="1ED34EA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10B35EA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4C42E7F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w:t>
            </w:r>
          </w:p>
        </w:tc>
        <w:tc>
          <w:tcPr>
            <w:tcW w:w="661" w:type="pct"/>
            <w:vAlign w:val="center"/>
          </w:tcPr>
          <w:p w14:paraId="3DC8AFA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1996</w:t>
            </w:r>
          </w:p>
        </w:tc>
        <w:tc>
          <w:tcPr>
            <w:tcW w:w="661" w:type="pct"/>
            <w:vAlign w:val="center"/>
          </w:tcPr>
          <w:p w14:paraId="5707DF8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2004</w:t>
            </w:r>
          </w:p>
        </w:tc>
        <w:tc>
          <w:tcPr>
            <w:tcW w:w="434" w:type="pct"/>
            <w:vAlign w:val="center"/>
          </w:tcPr>
          <w:p w14:paraId="6418196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1.5924*</w:t>
            </w:r>
          </w:p>
        </w:tc>
        <w:tc>
          <w:tcPr>
            <w:tcW w:w="463" w:type="pct"/>
            <w:vAlign w:val="center"/>
          </w:tcPr>
          <w:p w14:paraId="0B93AE4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1.5536</w:t>
            </w:r>
          </w:p>
        </w:tc>
        <w:tc>
          <w:tcPr>
            <w:tcW w:w="430" w:type="pct"/>
            <w:vAlign w:val="center"/>
          </w:tcPr>
          <w:p w14:paraId="3B91D18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1.6312</w:t>
            </w:r>
          </w:p>
        </w:tc>
        <w:tc>
          <w:tcPr>
            <w:tcW w:w="802" w:type="pct"/>
            <w:vAlign w:val="center"/>
          </w:tcPr>
          <w:p w14:paraId="64200BE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90.1849</w:t>
            </w:r>
          </w:p>
        </w:tc>
        <w:tc>
          <w:tcPr>
            <w:tcW w:w="550" w:type="pct"/>
            <w:vAlign w:val="center"/>
          </w:tcPr>
          <w:p w14:paraId="3C763B7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44EE03F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2B7DD03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14A881A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4</w:t>
            </w:r>
          </w:p>
        </w:tc>
        <w:tc>
          <w:tcPr>
            <w:tcW w:w="661" w:type="pct"/>
            <w:vAlign w:val="center"/>
          </w:tcPr>
          <w:p w14:paraId="1F82B0B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2004</w:t>
            </w:r>
          </w:p>
        </w:tc>
        <w:tc>
          <w:tcPr>
            <w:tcW w:w="661" w:type="pct"/>
            <w:vAlign w:val="center"/>
          </w:tcPr>
          <w:p w14:paraId="73C16C0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2008</w:t>
            </w:r>
          </w:p>
        </w:tc>
        <w:tc>
          <w:tcPr>
            <w:tcW w:w="434" w:type="pct"/>
            <w:vAlign w:val="center"/>
          </w:tcPr>
          <w:p w14:paraId="5E5996A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1.0611*</w:t>
            </w:r>
          </w:p>
        </w:tc>
        <w:tc>
          <w:tcPr>
            <w:tcW w:w="463" w:type="pct"/>
            <w:vAlign w:val="center"/>
          </w:tcPr>
          <w:p w14:paraId="2DF4EC9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0.9189</w:t>
            </w:r>
          </w:p>
        </w:tc>
        <w:tc>
          <w:tcPr>
            <w:tcW w:w="430" w:type="pct"/>
            <w:vAlign w:val="center"/>
          </w:tcPr>
          <w:p w14:paraId="2826377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1.2036</w:t>
            </w:r>
          </w:p>
        </w:tc>
        <w:tc>
          <w:tcPr>
            <w:tcW w:w="802" w:type="pct"/>
            <w:vAlign w:val="center"/>
          </w:tcPr>
          <w:p w14:paraId="5D2B012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16.3309</w:t>
            </w:r>
          </w:p>
        </w:tc>
        <w:tc>
          <w:tcPr>
            <w:tcW w:w="550" w:type="pct"/>
            <w:vAlign w:val="center"/>
          </w:tcPr>
          <w:p w14:paraId="55D76FE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4FF6552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7A1AA99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6BE7F82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5</w:t>
            </w:r>
          </w:p>
        </w:tc>
        <w:tc>
          <w:tcPr>
            <w:tcW w:w="661" w:type="pct"/>
            <w:vAlign w:val="center"/>
          </w:tcPr>
          <w:p w14:paraId="3D28510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2008</w:t>
            </w:r>
          </w:p>
        </w:tc>
        <w:tc>
          <w:tcPr>
            <w:tcW w:w="661" w:type="pct"/>
            <w:vAlign w:val="center"/>
          </w:tcPr>
          <w:p w14:paraId="4EB9576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2011</w:t>
            </w:r>
          </w:p>
        </w:tc>
        <w:tc>
          <w:tcPr>
            <w:tcW w:w="434" w:type="pct"/>
            <w:vAlign w:val="center"/>
          </w:tcPr>
          <w:p w14:paraId="375BE14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0.7133*</w:t>
            </w:r>
          </w:p>
        </w:tc>
        <w:tc>
          <w:tcPr>
            <w:tcW w:w="463" w:type="pct"/>
            <w:vAlign w:val="center"/>
          </w:tcPr>
          <w:p w14:paraId="5ADEB4E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0.4310</w:t>
            </w:r>
          </w:p>
        </w:tc>
        <w:tc>
          <w:tcPr>
            <w:tcW w:w="430" w:type="pct"/>
            <w:vAlign w:val="center"/>
          </w:tcPr>
          <w:p w14:paraId="2CCF577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0.9965</w:t>
            </w:r>
          </w:p>
        </w:tc>
        <w:tc>
          <w:tcPr>
            <w:tcW w:w="802" w:type="pct"/>
            <w:vAlign w:val="center"/>
          </w:tcPr>
          <w:p w14:paraId="295B3DA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5.5161</w:t>
            </w:r>
          </w:p>
        </w:tc>
        <w:tc>
          <w:tcPr>
            <w:tcW w:w="550" w:type="pct"/>
            <w:vAlign w:val="center"/>
          </w:tcPr>
          <w:p w14:paraId="2C583BA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0.000133</w:t>
            </w:r>
          </w:p>
        </w:tc>
      </w:tr>
      <w:tr w14:paraId="5E53669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382DBC4B">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4D9D5E2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6</w:t>
            </w:r>
          </w:p>
        </w:tc>
        <w:tc>
          <w:tcPr>
            <w:tcW w:w="661" w:type="pct"/>
            <w:vAlign w:val="center"/>
          </w:tcPr>
          <w:p w14:paraId="29315D3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2011</w:t>
            </w:r>
          </w:p>
        </w:tc>
        <w:tc>
          <w:tcPr>
            <w:tcW w:w="661" w:type="pct"/>
            <w:vAlign w:val="center"/>
          </w:tcPr>
          <w:p w14:paraId="65D14A5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2018</w:t>
            </w:r>
          </w:p>
        </w:tc>
        <w:tc>
          <w:tcPr>
            <w:tcW w:w="434" w:type="pct"/>
            <w:vAlign w:val="center"/>
          </w:tcPr>
          <w:p w14:paraId="291EADA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0.9984*</w:t>
            </w:r>
          </w:p>
        </w:tc>
        <w:tc>
          <w:tcPr>
            <w:tcW w:w="463" w:type="pct"/>
            <w:vAlign w:val="center"/>
          </w:tcPr>
          <w:p w14:paraId="18F8874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0.9497</w:t>
            </w:r>
          </w:p>
        </w:tc>
        <w:tc>
          <w:tcPr>
            <w:tcW w:w="430" w:type="pct"/>
            <w:vAlign w:val="center"/>
          </w:tcPr>
          <w:p w14:paraId="116B988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1.0471</w:t>
            </w:r>
          </w:p>
        </w:tc>
        <w:tc>
          <w:tcPr>
            <w:tcW w:w="802" w:type="pct"/>
            <w:vAlign w:val="center"/>
          </w:tcPr>
          <w:p w14:paraId="67C80B3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44.9236</w:t>
            </w:r>
          </w:p>
        </w:tc>
        <w:tc>
          <w:tcPr>
            <w:tcW w:w="550" w:type="pct"/>
            <w:vAlign w:val="center"/>
          </w:tcPr>
          <w:p w14:paraId="0062834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42973D2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40940F0B">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0B11ECD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7</w:t>
            </w:r>
          </w:p>
        </w:tc>
        <w:tc>
          <w:tcPr>
            <w:tcW w:w="661" w:type="pct"/>
            <w:vAlign w:val="center"/>
          </w:tcPr>
          <w:p w14:paraId="49B7D7C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2018</w:t>
            </w:r>
          </w:p>
        </w:tc>
        <w:tc>
          <w:tcPr>
            <w:tcW w:w="661" w:type="pct"/>
            <w:vAlign w:val="center"/>
          </w:tcPr>
          <w:p w14:paraId="2CDD1DA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2021</w:t>
            </w:r>
          </w:p>
        </w:tc>
        <w:tc>
          <w:tcPr>
            <w:tcW w:w="434" w:type="pct"/>
            <w:vAlign w:val="center"/>
          </w:tcPr>
          <w:p w14:paraId="39C7198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-0.0368</w:t>
            </w:r>
          </w:p>
        </w:tc>
        <w:tc>
          <w:tcPr>
            <w:tcW w:w="463" w:type="pct"/>
            <w:vAlign w:val="center"/>
          </w:tcPr>
          <w:p w14:paraId="262C5BE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-0.1831</w:t>
            </w:r>
          </w:p>
        </w:tc>
        <w:tc>
          <w:tcPr>
            <w:tcW w:w="430" w:type="pct"/>
            <w:vAlign w:val="center"/>
          </w:tcPr>
          <w:p w14:paraId="0ECE049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0.1096</w:t>
            </w:r>
          </w:p>
        </w:tc>
        <w:tc>
          <w:tcPr>
            <w:tcW w:w="802" w:type="pct"/>
            <w:vAlign w:val="center"/>
          </w:tcPr>
          <w:p w14:paraId="109392C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-0.5483</w:t>
            </w:r>
          </w:p>
        </w:tc>
        <w:tc>
          <w:tcPr>
            <w:tcW w:w="550" w:type="pct"/>
            <w:vAlign w:val="center"/>
          </w:tcPr>
          <w:p w14:paraId="0873191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0.593510</w:t>
            </w:r>
          </w:p>
        </w:tc>
      </w:tr>
    </w:tbl>
    <w:p w14:paraId="4C58DEB4">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cs="Times New Roman"/>
          <w:sz w:val="24"/>
          <w:szCs w:val="24"/>
        </w:rPr>
      </w:pPr>
    </w:p>
    <w:p w14:paraId="61218249">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ascii="Times New Roman" w:hAnsi="Times New Roman" w:cs="Times New Roman"/>
          <w:sz w:val="21"/>
          <w:szCs w:val="21"/>
        </w:rPr>
      </w:pPr>
      <w:r>
        <w:rPr>
          <w:rFonts w:hint="eastAsia" w:ascii="Times New Roman" w:hAnsi="Times New Roman" w:cs="Times New Roman"/>
          <w:sz w:val="24"/>
          <w:szCs w:val="24"/>
        </w:rPr>
        <w:t>DALYs_Rate _AAPC</w:t>
      </w:r>
      <w:r>
        <w:rPr>
          <w:rFonts w:hint="eastAsia" w:ascii="Times New Roman" w:hAnsi="Times New Roman" w:cs="Times New Roman"/>
          <w:sz w:val="21"/>
          <w:szCs w:val="21"/>
        </w:rPr>
        <w:cr/>
      </w:r>
    </w:p>
    <w:tbl>
      <w:tblPr>
        <w:tblStyle w:val="7"/>
        <w:tblW w:w="5000" w:type="pct"/>
        <w:jc w:val="center"/>
        <w:tblCellSpacing w:w="15"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15" w:type="dxa"/>
          <w:left w:w="15" w:type="dxa"/>
          <w:bottom w:w="15" w:type="dxa"/>
          <w:right w:w="15" w:type="dxa"/>
        </w:tblCellMar>
      </w:tblPr>
      <w:tblGrid>
        <w:gridCol w:w="687"/>
        <w:gridCol w:w="828"/>
        <w:gridCol w:w="1260"/>
        <w:gridCol w:w="1254"/>
        <w:gridCol w:w="710"/>
        <w:gridCol w:w="795"/>
        <w:gridCol w:w="786"/>
        <w:gridCol w:w="1128"/>
        <w:gridCol w:w="948"/>
      </w:tblGrid>
      <w:tr w14:paraId="045B1CA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Header/>
          <w:tblCellSpacing w:w="15" w:type="dxa"/>
          <w:jc w:val="center"/>
        </w:trPr>
        <w:tc>
          <w:tcPr>
            <w:tcW w:w="382" w:type="pct"/>
            <w:vAlign w:val="center"/>
          </w:tcPr>
          <w:p w14:paraId="5D900435">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Cohort</w:t>
            </w:r>
          </w:p>
        </w:tc>
        <w:tc>
          <w:tcPr>
            <w:tcW w:w="475" w:type="pct"/>
            <w:vAlign w:val="center"/>
          </w:tcPr>
          <w:p w14:paraId="78FE4F59">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Range</w:t>
            </w:r>
          </w:p>
        </w:tc>
        <w:tc>
          <w:tcPr>
            <w:tcW w:w="732" w:type="pct"/>
            <w:vAlign w:val="center"/>
          </w:tcPr>
          <w:p w14:paraId="4F371154">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Lower Endpoint</w:t>
            </w:r>
          </w:p>
        </w:tc>
        <w:tc>
          <w:tcPr>
            <w:tcW w:w="728" w:type="pct"/>
            <w:vAlign w:val="center"/>
          </w:tcPr>
          <w:p w14:paraId="0EA09112">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Upper Endpoint</w:t>
            </w:r>
          </w:p>
        </w:tc>
        <w:tc>
          <w:tcPr>
            <w:tcW w:w="404" w:type="pct"/>
            <w:vAlign w:val="center"/>
          </w:tcPr>
          <w:p w14:paraId="40EA12F1">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AAPC</w:t>
            </w:r>
          </w:p>
        </w:tc>
        <w:tc>
          <w:tcPr>
            <w:tcW w:w="455" w:type="pct"/>
            <w:vAlign w:val="center"/>
          </w:tcPr>
          <w:p w14:paraId="6EE57240">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Lower CI</w:t>
            </w:r>
          </w:p>
        </w:tc>
        <w:tc>
          <w:tcPr>
            <w:tcW w:w="450" w:type="pct"/>
            <w:vAlign w:val="center"/>
          </w:tcPr>
          <w:p w14:paraId="735D051F">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Upper CI</w:t>
            </w:r>
          </w:p>
        </w:tc>
        <w:tc>
          <w:tcPr>
            <w:tcW w:w="653" w:type="pct"/>
            <w:vAlign w:val="center"/>
          </w:tcPr>
          <w:p w14:paraId="529A6A7A">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Test Statistic</w:t>
            </w:r>
          </w:p>
        </w:tc>
        <w:tc>
          <w:tcPr>
            <w:tcW w:w="537" w:type="pct"/>
            <w:vAlign w:val="center"/>
          </w:tcPr>
          <w:p w14:paraId="08F399AC">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P-Value</w:t>
            </w:r>
          </w:p>
        </w:tc>
      </w:tr>
      <w:tr w14:paraId="5D95673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82" w:type="pct"/>
            <w:vAlign w:val="center"/>
          </w:tcPr>
          <w:p w14:paraId="3667CD6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Both</w:t>
            </w:r>
          </w:p>
        </w:tc>
        <w:tc>
          <w:tcPr>
            <w:tcW w:w="475" w:type="pct"/>
            <w:vAlign w:val="center"/>
          </w:tcPr>
          <w:p w14:paraId="473E9C0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Full Range</w:t>
            </w:r>
          </w:p>
        </w:tc>
        <w:tc>
          <w:tcPr>
            <w:tcW w:w="732" w:type="pct"/>
            <w:vAlign w:val="center"/>
          </w:tcPr>
          <w:p w14:paraId="47F40B8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1990</w:t>
            </w:r>
          </w:p>
        </w:tc>
        <w:tc>
          <w:tcPr>
            <w:tcW w:w="728" w:type="pct"/>
            <w:vAlign w:val="center"/>
          </w:tcPr>
          <w:p w14:paraId="786A740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2021</w:t>
            </w:r>
          </w:p>
        </w:tc>
        <w:tc>
          <w:tcPr>
            <w:tcW w:w="404" w:type="pct"/>
            <w:vAlign w:val="center"/>
          </w:tcPr>
          <w:p w14:paraId="26F34AA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0.9494*</w:t>
            </w:r>
          </w:p>
        </w:tc>
        <w:tc>
          <w:tcPr>
            <w:tcW w:w="455" w:type="pct"/>
            <w:vAlign w:val="center"/>
          </w:tcPr>
          <w:p w14:paraId="5E82BA9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0.9046</w:t>
            </w:r>
          </w:p>
        </w:tc>
        <w:tc>
          <w:tcPr>
            <w:tcW w:w="450" w:type="pct"/>
            <w:vAlign w:val="center"/>
          </w:tcPr>
          <w:p w14:paraId="583DCE6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0.9943</w:t>
            </w:r>
          </w:p>
        </w:tc>
        <w:tc>
          <w:tcPr>
            <w:tcW w:w="653" w:type="pct"/>
            <w:vAlign w:val="center"/>
          </w:tcPr>
          <w:p w14:paraId="56236C0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41.6973</w:t>
            </w:r>
          </w:p>
        </w:tc>
        <w:tc>
          <w:tcPr>
            <w:tcW w:w="537" w:type="pct"/>
            <w:vAlign w:val="center"/>
          </w:tcPr>
          <w:p w14:paraId="27F42DF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&lt; 0.000001</w:t>
            </w:r>
          </w:p>
        </w:tc>
      </w:tr>
    </w:tbl>
    <w:p w14:paraId="677469DE">
      <w:pPr>
        <w:rPr>
          <w:rFonts w:ascii="Times New Roman" w:hAnsi="Times New Roman" w:cs="Times New Roman"/>
          <w:sz w:val="21"/>
          <w:szCs w:val="21"/>
        </w:rPr>
      </w:pPr>
      <w:r>
        <w:rPr>
          <w:rFonts w:hint="eastAsia" w:ascii="Times New Roman" w:hAnsi="Times New Roman" w:cs="Times New Roman"/>
          <w:sz w:val="21"/>
          <w:szCs w:val="21"/>
        </w:rPr>
        <w:cr/>
      </w:r>
    </w:p>
    <w:p w14:paraId="780E4F9F">
      <w:pPr>
        <w:rPr>
          <w:rFonts w:ascii="Times New Roman" w:hAnsi="Times New Roman" w:cs="Times New Roman"/>
          <w:sz w:val="24"/>
          <w:szCs w:val="24"/>
        </w:rPr>
      </w:pPr>
      <w:r>
        <w:rPr>
          <w:rFonts w:hint="eastAsia" w:ascii="Times New Roman" w:hAnsi="Times New Roman" w:cs="Times New Roman"/>
          <w:sz w:val="24"/>
          <w:szCs w:val="24"/>
        </w:rPr>
        <w:t>DALYs_Number_APC</w:t>
      </w:r>
    </w:p>
    <w:tbl>
      <w:tblPr>
        <w:tblStyle w:val="7"/>
        <w:tblW w:w="5000" w:type="pct"/>
        <w:jc w:val="center"/>
        <w:tblCellSpacing w:w="15"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15" w:type="dxa"/>
          <w:left w:w="15" w:type="dxa"/>
          <w:bottom w:w="15" w:type="dxa"/>
          <w:right w:w="15" w:type="dxa"/>
        </w:tblCellMar>
      </w:tblPr>
      <w:tblGrid>
        <w:gridCol w:w="717"/>
        <w:gridCol w:w="830"/>
        <w:gridCol w:w="1138"/>
        <w:gridCol w:w="1138"/>
        <w:gridCol w:w="745"/>
        <w:gridCol w:w="742"/>
        <w:gridCol w:w="742"/>
        <w:gridCol w:w="1384"/>
        <w:gridCol w:w="960"/>
      </w:tblGrid>
      <w:tr w14:paraId="776C4F3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Header/>
          <w:tblCellSpacing w:w="15" w:type="dxa"/>
          <w:jc w:val="center"/>
        </w:trPr>
        <w:tc>
          <w:tcPr>
            <w:tcW w:w="378" w:type="pct"/>
            <w:vAlign w:val="center"/>
          </w:tcPr>
          <w:p w14:paraId="6C8C2025">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Cohort</w:t>
            </w:r>
          </w:p>
        </w:tc>
        <w:tc>
          <w:tcPr>
            <w:tcW w:w="438" w:type="pct"/>
            <w:vAlign w:val="center"/>
          </w:tcPr>
          <w:p w14:paraId="56BA2DF8">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Segment</w:t>
            </w:r>
          </w:p>
        </w:tc>
        <w:tc>
          <w:tcPr>
            <w:tcW w:w="668" w:type="pct"/>
            <w:vAlign w:val="center"/>
          </w:tcPr>
          <w:p w14:paraId="3F825DAF">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Endpoint</w:t>
            </w:r>
          </w:p>
        </w:tc>
        <w:tc>
          <w:tcPr>
            <w:tcW w:w="668" w:type="pct"/>
            <w:vAlign w:val="center"/>
          </w:tcPr>
          <w:p w14:paraId="0750CD35">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Endpoint</w:t>
            </w:r>
          </w:p>
        </w:tc>
        <w:tc>
          <w:tcPr>
            <w:tcW w:w="434" w:type="pct"/>
            <w:vAlign w:val="center"/>
          </w:tcPr>
          <w:p w14:paraId="41DD1A6F">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APC</w:t>
            </w:r>
          </w:p>
        </w:tc>
        <w:tc>
          <w:tcPr>
            <w:tcW w:w="432" w:type="pct"/>
            <w:vAlign w:val="center"/>
          </w:tcPr>
          <w:p w14:paraId="5A4BE64B">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Lower CI</w:t>
            </w:r>
          </w:p>
        </w:tc>
        <w:tc>
          <w:tcPr>
            <w:tcW w:w="432" w:type="pct"/>
            <w:vAlign w:val="center"/>
          </w:tcPr>
          <w:p w14:paraId="2CCEC083">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Upper CI</w:t>
            </w:r>
          </w:p>
        </w:tc>
        <w:tc>
          <w:tcPr>
            <w:tcW w:w="814" w:type="pct"/>
            <w:vAlign w:val="center"/>
          </w:tcPr>
          <w:p w14:paraId="12BC1F55">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Test Statistic (t)</w:t>
            </w:r>
          </w:p>
        </w:tc>
        <w:tc>
          <w:tcPr>
            <w:tcW w:w="553" w:type="pct"/>
            <w:vAlign w:val="center"/>
          </w:tcPr>
          <w:p w14:paraId="560ACD21">
            <w:pPr>
              <w:widowControl/>
              <w:snapToGrid w:val="0"/>
              <w:spacing w:after="0" w:line="240" w:lineRule="auto"/>
              <w:ind w:left="0" w:leftChars="0" w:right="0" w:rightChars="0" w:firstLine="0" w:firstLineChars="0"/>
              <w:jc w:val="center"/>
              <w:rPr>
                <w:rFonts w:hint="default" w:ascii="Times New Roman" w:hAnsi="Times New Roman" w:eastAsia="宋体" w:cs="Times New Roman"/>
                <w:b/>
                <w:bCs/>
                <w:kern w:val="0"/>
                <w:sz w:val="21"/>
                <w:szCs w:val="21"/>
                <w14:ligatures w14:val="none"/>
              </w:rPr>
            </w:pPr>
            <w:r>
              <w:rPr>
                <w:rFonts w:hint="default" w:ascii="Times New Roman" w:hAnsi="Times New Roman" w:eastAsia="宋体" w:cs="Times New Roman"/>
                <w:b/>
                <w:bCs/>
                <w:kern w:val="0"/>
                <w:sz w:val="21"/>
                <w:szCs w:val="21"/>
                <w14:ligatures w14:val="none"/>
              </w:rPr>
              <w:t>Prob &gt; |t|</w:t>
            </w:r>
          </w:p>
        </w:tc>
      </w:tr>
      <w:tr w14:paraId="6881DB4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1128D8B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670E9A3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w:t>
            </w:r>
          </w:p>
        </w:tc>
        <w:tc>
          <w:tcPr>
            <w:tcW w:w="668" w:type="pct"/>
            <w:vAlign w:val="center"/>
          </w:tcPr>
          <w:p w14:paraId="363E9FC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1990</w:t>
            </w:r>
          </w:p>
        </w:tc>
        <w:tc>
          <w:tcPr>
            <w:tcW w:w="668" w:type="pct"/>
            <w:vAlign w:val="center"/>
          </w:tcPr>
          <w:p w14:paraId="1B8525F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1992</w:t>
            </w:r>
          </w:p>
        </w:tc>
        <w:tc>
          <w:tcPr>
            <w:tcW w:w="434" w:type="pct"/>
            <w:vAlign w:val="center"/>
          </w:tcPr>
          <w:p w14:paraId="5E0E017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2.1614*</w:t>
            </w:r>
          </w:p>
        </w:tc>
        <w:tc>
          <w:tcPr>
            <w:tcW w:w="432" w:type="pct"/>
            <w:vAlign w:val="center"/>
          </w:tcPr>
          <w:p w14:paraId="5A5B2DC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1.7782</w:t>
            </w:r>
          </w:p>
        </w:tc>
        <w:tc>
          <w:tcPr>
            <w:tcW w:w="432" w:type="pct"/>
            <w:vAlign w:val="center"/>
          </w:tcPr>
          <w:p w14:paraId="76F8660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2.5460</w:t>
            </w:r>
          </w:p>
        </w:tc>
        <w:tc>
          <w:tcPr>
            <w:tcW w:w="814" w:type="pct"/>
            <w:vAlign w:val="center"/>
          </w:tcPr>
          <w:p w14:paraId="326E73C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12.3994</w:t>
            </w:r>
          </w:p>
        </w:tc>
        <w:tc>
          <w:tcPr>
            <w:tcW w:w="553" w:type="pct"/>
            <w:vAlign w:val="center"/>
          </w:tcPr>
          <w:p w14:paraId="525D834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1F25BA6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58C75F7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73A5EBB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w:t>
            </w:r>
          </w:p>
        </w:tc>
        <w:tc>
          <w:tcPr>
            <w:tcW w:w="668" w:type="pct"/>
            <w:vAlign w:val="center"/>
          </w:tcPr>
          <w:p w14:paraId="3F5087A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1992</w:t>
            </w:r>
          </w:p>
        </w:tc>
        <w:tc>
          <w:tcPr>
            <w:tcW w:w="668" w:type="pct"/>
            <w:vAlign w:val="center"/>
          </w:tcPr>
          <w:p w14:paraId="0F70BFC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1996</w:t>
            </w:r>
          </w:p>
        </w:tc>
        <w:tc>
          <w:tcPr>
            <w:tcW w:w="434" w:type="pct"/>
            <w:vAlign w:val="center"/>
          </w:tcPr>
          <w:p w14:paraId="7378F76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2.6087*</w:t>
            </w:r>
          </w:p>
        </w:tc>
        <w:tc>
          <w:tcPr>
            <w:tcW w:w="432" w:type="pct"/>
            <w:vAlign w:val="center"/>
          </w:tcPr>
          <w:p w14:paraId="02B8DFC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2.4143</w:t>
            </w:r>
          </w:p>
        </w:tc>
        <w:tc>
          <w:tcPr>
            <w:tcW w:w="432" w:type="pct"/>
            <w:vAlign w:val="center"/>
          </w:tcPr>
          <w:p w14:paraId="096E6EC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2.8034</w:t>
            </w:r>
          </w:p>
        </w:tc>
        <w:tc>
          <w:tcPr>
            <w:tcW w:w="814" w:type="pct"/>
            <w:vAlign w:val="center"/>
          </w:tcPr>
          <w:p w14:paraId="6C9D723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29.5906</w:t>
            </w:r>
          </w:p>
        </w:tc>
        <w:tc>
          <w:tcPr>
            <w:tcW w:w="553" w:type="pct"/>
            <w:vAlign w:val="center"/>
          </w:tcPr>
          <w:p w14:paraId="6F3353E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25DCA02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056BD46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14C08A5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w:t>
            </w:r>
          </w:p>
        </w:tc>
        <w:tc>
          <w:tcPr>
            <w:tcW w:w="668" w:type="pct"/>
            <w:vAlign w:val="center"/>
          </w:tcPr>
          <w:p w14:paraId="3987654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1996</w:t>
            </w:r>
          </w:p>
        </w:tc>
        <w:tc>
          <w:tcPr>
            <w:tcW w:w="668" w:type="pct"/>
            <w:vAlign w:val="center"/>
          </w:tcPr>
          <w:p w14:paraId="1A440C9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2003</w:t>
            </w:r>
          </w:p>
        </w:tc>
        <w:tc>
          <w:tcPr>
            <w:tcW w:w="434" w:type="pct"/>
            <w:vAlign w:val="center"/>
          </w:tcPr>
          <w:p w14:paraId="3FA3A32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3.3535*</w:t>
            </w:r>
          </w:p>
        </w:tc>
        <w:tc>
          <w:tcPr>
            <w:tcW w:w="432" w:type="pct"/>
            <w:vAlign w:val="center"/>
          </w:tcPr>
          <w:p w14:paraId="03B69551">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3.2874</w:t>
            </w:r>
          </w:p>
        </w:tc>
        <w:tc>
          <w:tcPr>
            <w:tcW w:w="432" w:type="pct"/>
            <w:vAlign w:val="center"/>
          </w:tcPr>
          <w:p w14:paraId="0E8AF3D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3.4197</w:t>
            </w:r>
          </w:p>
        </w:tc>
        <w:tc>
          <w:tcPr>
            <w:tcW w:w="814" w:type="pct"/>
            <w:vAlign w:val="center"/>
          </w:tcPr>
          <w:p w14:paraId="03B9F19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112.2600</w:t>
            </w:r>
          </w:p>
        </w:tc>
        <w:tc>
          <w:tcPr>
            <w:tcW w:w="553" w:type="pct"/>
            <w:vAlign w:val="center"/>
          </w:tcPr>
          <w:p w14:paraId="0F75662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49612E0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1BF9355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4280FCE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4</w:t>
            </w:r>
          </w:p>
        </w:tc>
        <w:tc>
          <w:tcPr>
            <w:tcW w:w="668" w:type="pct"/>
            <w:vAlign w:val="center"/>
          </w:tcPr>
          <w:p w14:paraId="6973657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2003</w:t>
            </w:r>
          </w:p>
        </w:tc>
        <w:tc>
          <w:tcPr>
            <w:tcW w:w="668" w:type="pct"/>
            <w:vAlign w:val="center"/>
          </w:tcPr>
          <w:p w14:paraId="0B085283">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2008</w:t>
            </w:r>
          </w:p>
        </w:tc>
        <w:tc>
          <w:tcPr>
            <w:tcW w:w="434" w:type="pct"/>
            <w:vAlign w:val="center"/>
          </w:tcPr>
          <w:p w14:paraId="59521B9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2.8272*</w:t>
            </w:r>
          </w:p>
        </w:tc>
        <w:tc>
          <w:tcPr>
            <w:tcW w:w="432" w:type="pct"/>
            <w:vAlign w:val="center"/>
          </w:tcPr>
          <w:p w14:paraId="3DFA66C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2.7052</w:t>
            </w:r>
          </w:p>
        </w:tc>
        <w:tc>
          <w:tcPr>
            <w:tcW w:w="432" w:type="pct"/>
            <w:vAlign w:val="center"/>
          </w:tcPr>
          <w:p w14:paraId="4A467740">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2.9495</w:t>
            </w:r>
          </w:p>
        </w:tc>
        <w:tc>
          <w:tcPr>
            <w:tcW w:w="814" w:type="pct"/>
            <w:vAlign w:val="center"/>
          </w:tcPr>
          <w:p w14:paraId="0C59B59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51.1354</w:t>
            </w:r>
          </w:p>
        </w:tc>
        <w:tc>
          <w:tcPr>
            <w:tcW w:w="553" w:type="pct"/>
            <w:vAlign w:val="center"/>
          </w:tcPr>
          <w:p w14:paraId="6898CF9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07A820A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303059C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49F1E65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5</w:t>
            </w:r>
          </w:p>
        </w:tc>
        <w:tc>
          <w:tcPr>
            <w:tcW w:w="668" w:type="pct"/>
            <w:vAlign w:val="center"/>
          </w:tcPr>
          <w:p w14:paraId="601E5B6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2008</w:t>
            </w:r>
          </w:p>
        </w:tc>
        <w:tc>
          <w:tcPr>
            <w:tcW w:w="668" w:type="pct"/>
            <w:vAlign w:val="center"/>
          </w:tcPr>
          <w:p w14:paraId="07A5DA1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2015</w:t>
            </w:r>
          </w:p>
        </w:tc>
        <w:tc>
          <w:tcPr>
            <w:tcW w:w="434" w:type="pct"/>
            <w:vAlign w:val="center"/>
          </w:tcPr>
          <w:p w14:paraId="00AD2D88">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2.2024*</w:t>
            </w:r>
          </w:p>
        </w:tc>
        <w:tc>
          <w:tcPr>
            <w:tcW w:w="432" w:type="pct"/>
            <w:vAlign w:val="center"/>
          </w:tcPr>
          <w:p w14:paraId="0EB8673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2.1380</w:t>
            </w:r>
          </w:p>
        </w:tc>
        <w:tc>
          <w:tcPr>
            <w:tcW w:w="432" w:type="pct"/>
            <w:vAlign w:val="center"/>
          </w:tcPr>
          <w:p w14:paraId="535C7449">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2.2668</w:t>
            </w:r>
          </w:p>
        </w:tc>
        <w:tc>
          <w:tcPr>
            <w:tcW w:w="814" w:type="pct"/>
            <w:vAlign w:val="center"/>
          </w:tcPr>
          <w:p w14:paraId="1CE5E88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75.3416</w:t>
            </w:r>
          </w:p>
        </w:tc>
        <w:tc>
          <w:tcPr>
            <w:tcW w:w="553" w:type="pct"/>
            <w:vAlign w:val="center"/>
          </w:tcPr>
          <w:p w14:paraId="3B174B1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215C719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57F946B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111B909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6</w:t>
            </w:r>
          </w:p>
        </w:tc>
        <w:tc>
          <w:tcPr>
            <w:tcW w:w="668" w:type="pct"/>
            <w:vAlign w:val="center"/>
          </w:tcPr>
          <w:p w14:paraId="6987833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2015</w:t>
            </w:r>
          </w:p>
        </w:tc>
        <w:tc>
          <w:tcPr>
            <w:tcW w:w="668" w:type="pct"/>
            <w:vAlign w:val="center"/>
          </w:tcPr>
          <w:p w14:paraId="0EC2C1CF">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2018</w:t>
            </w:r>
          </w:p>
        </w:tc>
        <w:tc>
          <w:tcPr>
            <w:tcW w:w="434" w:type="pct"/>
            <w:vAlign w:val="center"/>
          </w:tcPr>
          <w:p w14:paraId="6091E555">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1.8057*</w:t>
            </w:r>
          </w:p>
        </w:tc>
        <w:tc>
          <w:tcPr>
            <w:tcW w:w="432" w:type="pct"/>
            <w:vAlign w:val="center"/>
          </w:tcPr>
          <w:p w14:paraId="5817E47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1.4181</w:t>
            </w:r>
          </w:p>
        </w:tc>
        <w:tc>
          <w:tcPr>
            <w:tcW w:w="432" w:type="pct"/>
            <w:vAlign w:val="center"/>
          </w:tcPr>
          <w:p w14:paraId="27A57DDB">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2.1948</w:t>
            </w:r>
          </w:p>
        </w:tc>
        <w:tc>
          <w:tcPr>
            <w:tcW w:w="814" w:type="pct"/>
            <w:vAlign w:val="center"/>
          </w:tcPr>
          <w:p w14:paraId="12DA0A5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10.2215</w:t>
            </w:r>
          </w:p>
        </w:tc>
        <w:tc>
          <w:tcPr>
            <w:tcW w:w="553" w:type="pct"/>
            <w:vAlign w:val="center"/>
          </w:tcPr>
          <w:p w14:paraId="51CC300E">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&lt; 0.000001</w:t>
            </w:r>
          </w:p>
        </w:tc>
      </w:tr>
      <w:tr w14:paraId="21CD281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rHeight w:val="0" w:hRule="atLeast"/>
          <w:tblCellSpacing w:w="15" w:type="dxa"/>
          <w:jc w:val="center"/>
        </w:trPr>
        <w:tc>
          <w:tcPr>
            <w:tcW w:w="378" w:type="pct"/>
            <w:vAlign w:val="center"/>
          </w:tcPr>
          <w:p w14:paraId="727F566B">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Both</w:t>
            </w:r>
          </w:p>
        </w:tc>
        <w:tc>
          <w:tcPr>
            <w:tcW w:w="438" w:type="pct"/>
            <w:vAlign w:val="center"/>
          </w:tcPr>
          <w:p w14:paraId="1A23448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7</w:t>
            </w:r>
          </w:p>
        </w:tc>
        <w:tc>
          <w:tcPr>
            <w:tcW w:w="668" w:type="pct"/>
            <w:vAlign w:val="center"/>
          </w:tcPr>
          <w:p w14:paraId="5608BA0C">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2018</w:t>
            </w:r>
          </w:p>
        </w:tc>
        <w:tc>
          <w:tcPr>
            <w:tcW w:w="668" w:type="pct"/>
            <w:vAlign w:val="center"/>
          </w:tcPr>
          <w:p w14:paraId="27D63162">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2021</w:t>
            </w:r>
          </w:p>
        </w:tc>
        <w:tc>
          <w:tcPr>
            <w:tcW w:w="434" w:type="pct"/>
            <w:vAlign w:val="center"/>
          </w:tcPr>
          <w:p w14:paraId="5F3139F7">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0.6694*</w:t>
            </w:r>
          </w:p>
        </w:tc>
        <w:tc>
          <w:tcPr>
            <w:tcW w:w="432" w:type="pct"/>
            <w:vAlign w:val="center"/>
          </w:tcPr>
          <w:p w14:paraId="7E89AFDD">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0.4743</w:t>
            </w:r>
          </w:p>
        </w:tc>
        <w:tc>
          <w:tcPr>
            <w:tcW w:w="432" w:type="pct"/>
            <w:vAlign w:val="center"/>
          </w:tcPr>
          <w:p w14:paraId="032CAA26">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0.8650</w:t>
            </w:r>
          </w:p>
        </w:tc>
        <w:tc>
          <w:tcPr>
            <w:tcW w:w="814" w:type="pct"/>
            <w:vAlign w:val="center"/>
          </w:tcPr>
          <w:p w14:paraId="638826D4">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7.4920</w:t>
            </w:r>
          </w:p>
        </w:tc>
        <w:tc>
          <w:tcPr>
            <w:tcW w:w="553" w:type="pct"/>
            <w:vAlign w:val="center"/>
          </w:tcPr>
          <w:p w14:paraId="7946879A">
            <w:pPr>
              <w:widowControl/>
              <w:snapToGrid w:val="0"/>
              <w:spacing w:after="0" w:line="240" w:lineRule="auto"/>
              <w:ind w:left="0" w:leftChars="0" w:right="0" w:rightChars="0"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0.000007</w:t>
            </w:r>
          </w:p>
        </w:tc>
      </w:tr>
    </w:tbl>
    <w:p w14:paraId="58118F21">
      <w:pPr>
        <w:rPr>
          <w:rFonts w:ascii="Times New Roman" w:hAnsi="Times New Roman" w:cs="Times New Roman"/>
          <w:sz w:val="21"/>
          <w:szCs w:val="21"/>
        </w:rPr>
      </w:pPr>
    </w:p>
    <w:p w14:paraId="34ACD54F">
      <w:pPr>
        <w:rPr>
          <w:rFonts w:ascii="Times New Roman" w:hAnsi="Times New Roman" w:cs="Times New Roman"/>
          <w:sz w:val="24"/>
          <w:szCs w:val="24"/>
        </w:rPr>
      </w:pPr>
      <w:r>
        <w:rPr>
          <w:rFonts w:hint="eastAsia" w:ascii="Times New Roman" w:hAnsi="Times New Roman" w:cs="Times New Roman"/>
          <w:sz w:val="24"/>
          <w:szCs w:val="24"/>
        </w:rPr>
        <w:t>DALYs_Numer_AAPC</w:t>
      </w:r>
    </w:p>
    <w:tbl>
      <w:tblPr>
        <w:tblStyle w:val="7"/>
        <w:tblW w:w="0" w:type="auto"/>
        <w:tblCellSpacing w:w="15" w:type="dxa"/>
        <w:tblInd w:w="0" w:type="dxa"/>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15" w:type="dxa"/>
          <w:left w:w="15" w:type="dxa"/>
          <w:bottom w:w="15" w:type="dxa"/>
          <w:right w:w="15" w:type="dxa"/>
        </w:tblCellMar>
      </w:tblPr>
      <w:tblGrid>
        <w:gridCol w:w="687"/>
        <w:gridCol w:w="843"/>
        <w:gridCol w:w="1287"/>
        <w:gridCol w:w="1280"/>
        <w:gridCol w:w="710"/>
        <w:gridCol w:w="808"/>
        <w:gridCol w:w="798"/>
        <w:gridCol w:w="1043"/>
        <w:gridCol w:w="940"/>
      </w:tblGrid>
      <w:tr w14:paraId="76E372A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blHeader/>
          <w:tblCellSpacing w:w="15" w:type="dxa"/>
        </w:trPr>
        <w:tc>
          <w:tcPr>
            <w:tcW w:w="0" w:type="auto"/>
            <w:vAlign w:val="center"/>
          </w:tcPr>
          <w:p w14:paraId="70F86018">
            <w:pPr>
              <w:widowControl/>
              <w:spacing w:after="0" w:line="240" w:lineRule="auto"/>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Cohort</w:t>
            </w:r>
          </w:p>
        </w:tc>
        <w:tc>
          <w:tcPr>
            <w:tcW w:w="0" w:type="auto"/>
            <w:vAlign w:val="center"/>
          </w:tcPr>
          <w:p w14:paraId="038B7AB9">
            <w:pPr>
              <w:widowControl/>
              <w:spacing w:after="0" w:line="240" w:lineRule="auto"/>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Range</w:t>
            </w:r>
          </w:p>
        </w:tc>
        <w:tc>
          <w:tcPr>
            <w:tcW w:w="0" w:type="auto"/>
            <w:vAlign w:val="center"/>
          </w:tcPr>
          <w:p w14:paraId="18EFC461">
            <w:pPr>
              <w:widowControl/>
              <w:spacing w:after="0" w:line="240" w:lineRule="auto"/>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Lower Endpoint</w:t>
            </w:r>
          </w:p>
        </w:tc>
        <w:tc>
          <w:tcPr>
            <w:tcW w:w="0" w:type="auto"/>
            <w:vAlign w:val="center"/>
          </w:tcPr>
          <w:p w14:paraId="414D876B">
            <w:pPr>
              <w:widowControl/>
              <w:spacing w:after="0" w:line="240" w:lineRule="auto"/>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Upper Endpoint</w:t>
            </w:r>
          </w:p>
        </w:tc>
        <w:tc>
          <w:tcPr>
            <w:tcW w:w="0" w:type="auto"/>
            <w:vAlign w:val="center"/>
          </w:tcPr>
          <w:p w14:paraId="5650E6F7">
            <w:pPr>
              <w:widowControl/>
              <w:spacing w:after="0" w:line="240" w:lineRule="auto"/>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AAPC</w:t>
            </w:r>
          </w:p>
        </w:tc>
        <w:tc>
          <w:tcPr>
            <w:tcW w:w="0" w:type="auto"/>
            <w:vAlign w:val="center"/>
          </w:tcPr>
          <w:p w14:paraId="78B97C6D">
            <w:pPr>
              <w:widowControl/>
              <w:spacing w:after="0" w:line="240" w:lineRule="auto"/>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Lower CI</w:t>
            </w:r>
          </w:p>
        </w:tc>
        <w:tc>
          <w:tcPr>
            <w:tcW w:w="0" w:type="auto"/>
            <w:vAlign w:val="center"/>
          </w:tcPr>
          <w:p w14:paraId="7EE7549C">
            <w:pPr>
              <w:widowControl/>
              <w:spacing w:after="0" w:line="240" w:lineRule="auto"/>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Upper CI</w:t>
            </w:r>
          </w:p>
        </w:tc>
        <w:tc>
          <w:tcPr>
            <w:tcW w:w="0" w:type="auto"/>
            <w:vAlign w:val="center"/>
          </w:tcPr>
          <w:p w14:paraId="0BA5DDFC">
            <w:pPr>
              <w:widowControl/>
              <w:spacing w:after="0" w:line="240" w:lineRule="auto"/>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Test Statistic</w:t>
            </w:r>
          </w:p>
        </w:tc>
        <w:tc>
          <w:tcPr>
            <w:tcW w:w="0" w:type="auto"/>
            <w:vAlign w:val="center"/>
          </w:tcPr>
          <w:p w14:paraId="7541C304">
            <w:pPr>
              <w:widowControl/>
              <w:spacing w:after="0" w:line="240" w:lineRule="auto"/>
              <w:jc w:val="center"/>
              <w:rPr>
                <w:rFonts w:hint="default" w:ascii="Times New Roman" w:hAnsi="Times New Roman" w:eastAsia="宋体" w:cs="Times New Roman"/>
                <w:b/>
                <w:bCs/>
                <w:kern w:val="0"/>
                <w:sz w:val="20"/>
                <w:szCs w:val="20"/>
                <w14:ligatures w14:val="none"/>
              </w:rPr>
            </w:pPr>
            <w:r>
              <w:rPr>
                <w:rFonts w:hint="default" w:ascii="Times New Roman" w:hAnsi="Times New Roman" w:eastAsia="宋体" w:cs="Times New Roman"/>
                <w:b/>
                <w:bCs/>
                <w:kern w:val="0"/>
                <w:sz w:val="20"/>
                <w:szCs w:val="20"/>
                <w14:ligatures w14:val="none"/>
              </w:rPr>
              <w:t>P-Value</w:t>
            </w:r>
          </w:p>
        </w:tc>
      </w:tr>
      <w:tr w14:paraId="769F07E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15" w:type="dxa"/>
            <w:left w:w="15" w:type="dxa"/>
            <w:bottom w:w="15" w:type="dxa"/>
            <w:right w:w="15" w:type="dxa"/>
          </w:tblCellMar>
        </w:tblPrEx>
        <w:trPr>
          <w:tblCellSpacing w:w="15" w:type="dxa"/>
        </w:trPr>
        <w:tc>
          <w:tcPr>
            <w:tcW w:w="0" w:type="auto"/>
            <w:vAlign w:val="center"/>
          </w:tcPr>
          <w:p w14:paraId="0EB34B5D">
            <w:pPr>
              <w:widowControl/>
              <w:spacing w:after="0" w:line="240" w:lineRule="auto"/>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Both</w:t>
            </w:r>
          </w:p>
        </w:tc>
        <w:tc>
          <w:tcPr>
            <w:tcW w:w="0" w:type="auto"/>
            <w:vAlign w:val="center"/>
          </w:tcPr>
          <w:p w14:paraId="0F5EF3A6">
            <w:pPr>
              <w:widowControl/>
              <w:spacing w:after="0" w:line="240" w:lineRule="auto"/>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Full Range</w:t>
            </w:r>
          </w:p>
        </w:tc>
        <w:tc>
          <w:tcPr>
            <w:tcW w:w="0" w:type="auto"/>
            <w:vAlign w:val="center"/>
          </w:tcPr>
          <w:p w14:paraId="48B5D802">
            <w:pPr>
              <w:widowControl/>
              <w:spacing w:after="0" w:line="240" w:lineRule="auto"/>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1990</w:t>
            </w:r>
          </w:p>
        </w:tc>
        <w:tc>
          <w:tcPr>
            <w:tcW w:w="0" w:type="auto"/>
            <w:vAlign w:val="center"/>
          </w:tcPr>
          <w:p w14:paraId="032CA11E">
            <w:pPr>
              <w:widowControl/>
              <w:spacing w:after="0" w:line="240" w:lineRule="auto"/>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2021</w:t>
            </w:r>
          </w:p>
        </w:tc>
        <w:tc>
          <w:tcPr>
            <w:tcW w:w="0" w:type="auto"/>
            <w:vAlign w:val="center"/>
          </w:tcPr>
          <w:p w14:paraId="622DADF3">
            <w:pPr>
              <w:widowControl/>
              <w:spacing w:after="0" w:line="240" w:lineRule="auto"/>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2.4233*</w:t>
            </w:r>
          </w:p>
        </w:tc>
        <w:tc>
          <w:tcPr>
            <w:tcW w:w="0" w:type="auto"/>
            <w:vAlign w:val="center"/>
          </w:tcPr>
          <w:p w14:paraId="0D772A03">
            <w:pPr>
              <w:widowControl/>
              <w:spacing w:after="0" w:line="240" w:lineRule="auto"/>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2.3674</w:t>
            </w:r>
          </w:p>
        </w:tc>
        <w:tc>
          <w:tcPr>
            <w:tcW w:w="0" w:type="auto"/>
            <w:vAlign w:val="center"/>
          </w:tcPr>
          <w:p w14:paraId="2F935A55">
            <w:pPr>
              <w:widowControl/>
              <w:spacing w:after="0" w:line="240" w:lineRule="auto"/>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2.4792</w:t>
            </w:r>
          </w:p>
        </w:tc>
        <w:tc>
          <w:tcPr>
            <w:tcW w:w="0" w:type="auto"/>
            <w:vAlign w:val="center"/>
          </w:tcPr>
          <w:p w14:paraId="42FD2CEB">
            <w:pPr>
              <w:widowControl/>
              <w:spacing w:after="0" w:line="240" w:lineRule="auto"/>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85.9967</w:t>
            </w:r>
          </w:p>
        </w:tc>
        <w:tc>
          <w:tcPr>
            <w:tcW w:w="0" w:type="auto"/>
            <w:vAlign w:val="center"/>
          </w:tcPr>
          <w:p w14:paraId="05B11C80">
            <w:pPr>
              <w:widowControl/>
              <w:spacing w:after="0" w:line="240" w:lineRule="auto"/>
              <w:rPr>
                <w:rFonts w:hint="default" w:ascii="Times New Roman" w:hAnsi="Times New Roman" w:eastAsia="宋体" w:cs="Times New Roman"/>
                <w:kern w:val="0"/>
                <w:sz w:val="20"/>
                <w:szCs w:val="20"/>
                <w14:ligatures w14:val="none"/>
              </w:rPr>
            </w:pPr>
            <w:r>
              <w:rPr>
                <w:rFonts w:hint="default" w:ascii="Times New Roman" w:hAnsi="Times New Roman" w:eastAsia="宋体" w:cs="Times New Roman"/>
                <w:kern w:val="0"/>
                <w:sz w:val="20"/>
                <w:szCs w:val="20"/>
                <w14:ligatures w14:val="none"/>
              </w:rPr>
              <w:t>&lt; 0.000001</w:t>
            </w:r>
          </w:p>
        </w:tc>
      </w:tr>
    </w:tbl>
    <w:p w14:paraId="7E6DC6BA">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cs="Times New Roman"/>
          <w:sz w:val="24"/>
        </w:rPr>
      </w:pPr>
    </w:p>
    <w:p w14:paraId="3FA4B987">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rPr>
      </w:pPr>
      <w:r>
        <w:rPr>
          <w:rFonts w:hint="eastAsia" w:ascii="Times New Roman" w:hAnsi="Times New Roman" w:cs="Times New Roman"/>
          <w:b/>
          <w:bCs/>
          <w:sz w:val="24"/>
          <w:lang w:val="en-US" w:eastAsia="zh-CN"/>
        </w:rPr>
        <w:t xml:space="preserve">3.3. </w:t>
      </w:r>
      <w:r>
        <w:rPr>
          <w:rFonts w:hint="eastAsia" w:ascii="Times New Roman" w:hAnsi="Times New Roman" w:cs="Times New Roman"/>
          <w:b/>
          <w:bCs/>
          <w:sz w:val="24"/>
        </w:rPr>
        <w:t>Proportional attributable fraction of Risk factors by sex, age subgroup, and regions</w:t>
      </w:r>
      <w:r>
        <w:rPr>
          <w:rFonts w:hint="eastAsia" w:ascii="Times New Roman" w:hAnsi="Times New Roman" w:cs="Times New Roman"/>
          <w:sz w:val="24"/>
        </w:rPr>
        <w:cr/>
      </w:r>
      <w:r>
        <w:rPr>
          <w:rFonts w:hint="eastAsia" w:ascii="Times New Roman" w:hAnsi="Times New Roman" w:cs="Times New Roman"/>
          <w:sz w:val="24"/>
        </w:rPr>
        <w:t>Globally, in 2021, aged in 20-54 years, High body-mass index (High BMI) and Impaired kidney function accounted for 34.95% (28.43% to 42.46%,95% UI) of DALYs and 2.58% (2.00% to 3.26%,95% UI) of DALYS, respectively. DALYS attributable to high BMI was silght lower in males (34.73%, 95% UI 28.25% to 42.25%) than in females (35.89%, 95% UI 28.73% to 43.55%), also in Impaired kidney function (</w:t>
      </w:r>
      <w:r>
        <w:rPr>
          <w:rFonts w:hint="eastAsia" w:ascii="Times New Roman" w:hAnsi="Times New Roman" w:cs="Times New Roman"/>
          <w:b/>
          <w:bCs/>
          <w:sz w:val="24"/>
        </w:rPr>
        <w:t>Figure 4</w:t>
      </w:r>
      <w:r>
        <w:rPr>
          <w:rFonts w:hint="eastAsia" w:ascii="Times New Roman" w:hAnsi="Times New Roman" w:cs="Times New Roman"/>
          <w:sz w:val="24"/>
        </w:rPr>
        <w:t>).</w:t>
      </w:r>
    </w:p>
    <w:p w14:paraId="650BF16F">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sz w:val="24"/>
        </w:rPr>
      </w:pPr>
      <w:r>
        <w:rPr>
          <w:rFonts w:hint="default" w:ascii="Times New Roman" w:hAnsi="Times New Roman" w:cs="Times New Roman"/>
          <w:sz w:val="24"/>
        </w:rPr>
        <w:t xml:space="preserve">The DALYS attributable to high BMI increased with age and reached its highest level in the 50–54 years age groups among young and middle adults (36.33%, 95% UI 29.39% to 44.26%), lowest level in the 20–24 years age groups (24.04%, 95% UI 19.60% to 29.16%). The regional attributable risk fraction of high BMI ranged from </w:t>
      </w:r>
      <w:r>
        <w:rPr>
          <w:rFonts w:hint="eastAsia" w:ascii="Times New Roman" w:hAnsi="Times New Roman" w:cs="Times New Roman"/>
          <w:sz w:val="24"/>
        </w:rPr>
        <w:t>11.36% to 58.52% and Impaired kidney function ranged from 1.13% to 6.83% in all locations, ranged from 22.59% to 49.79% in GBD regions with the highest observed in North America (49.79%, 95% UI 40.66% to 58.75%), the lowest observed in South Asia (22.59%, 95% UI 17.96% to 27.88%) (</w:t>
      </w:r>
      <w:r>
        <w:rPr>
          <w:rFonts w:hint="eastAsia" w:ascii="Times New Roman" w:hAnsi="Times New Roman" w:cs="Times New Roman"/>
          <w:b/>
          <w:bCs/>
          <w:sz w:val="24"/>
        </w:rPr>
        <w:t>Table 5</w:t>
      </w:r>
      <w:r>
        <w:rPr>
          <w:rFonts w:hint="eastAsia" w:ascii="Times New Roman" w:hAnsi="Times New Roman" w:cs="Times New Roman"/>
          <w:sz w:val="24"/>
        </w:rPr>
        <w:t>) ; also Impaired kidney function ranged from 1.53% to 5.74% in GBD regions with the highest observed in Central Asia (5.74%, 95% UI 4.43% to 7.26%), the lowest observed in Australasia (1.53%, 95% UI 1.16% to 2.00%) (</w:t>
      </w:r>
      <w:r>
        <w:rPr>
          <w:rFonts w:hint="eastAsia" w:ascii="Times New Roman" w:hAnsi="Times New Roman" w:cs="Times New Roman"/>
          <w:b/>
          <w:bCs/>
          <w:sz w:val="24"/>
          <w:highlight w:val="none"/>
        </w:rPr>
        <w:t>Table 6</w:t>
      </w:r>
      <w:r>
        <w:rPr>
          <w:rFonts w:hint="eastAsia" w:ascii="Times New Roman" w:hAnsi="Times New Roman" w:cs="Times New Roman"/>
          <w:sz w:val="24"/>
        </w:rPr>
        <w:t xml:space="preserve">)  </w:t>
      </w:r>
    </w:p>
    <w:p w14:paraId="78906C62">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sz w:val="24"/>
        </w:rPr>
      </w:pPr>
      <w:r>
        <w:rPr>
          <w:rFonts w:hint="eastAsia" w:ascii="Times New Roman" w:hAnsi="Times New Roman" w:cs="Times New Roman"/>
          <w:sz w:val="24"/>
        </w:rPr>
        <w:t xml:space="preserve">The countries and teriritories attributable risk fraction of high BMI ranged from 14.93% to 58.52%, with the highest observed in the American Samoa (58.52%, 95% UI 48.92% to 67.43%) with the lowest observed in Eritrea (14.93%, 95% UI 11.30% to 19.23%). </w:t>
      </w:r>
    </w:p>
    <w:p w14:paraId="3D3E0619">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drawing>
          <wp:inline distT="0" distB="0" distL="114300" distR="114300">
            <wp:extent cx="5258435" cy="2339340"/>
            <wp:effectExtent l="0" t="0" r="18415" b="3810"/>
            <wp:docPr id="6" name="图片 6" descr="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4"/>
                    <pic:cNvPicPr>
                      <a:picLocks noChangeAspect="1"/>
                    </pic:cNvPicPr>
                  </pic:nvPicPr>
                  <pic:blipFill>
                    <a:blip r:embed="rId9"/>
                    <a:stretch>
                      <a:fillRect/>
                    </a:stretch>
                  </pic:blipFill>
                  <pic:spPr>
                    <a:xfrm>
                      <a:off x="0" y="0"/>
                      <a:ext cx="5258435" cy="2339340"/>
                    </a:xfrm>
                    <a:prstGeom prst="rect">
                      <a:avLst/>
                    </a:prstGeom>
                  </pic:spPr>
                </pic:pic>
              </a:graphicData>
            </a:graphic>
          </wp:inline>
        </w:drawing>
      </w:r>
    </w:p>
    <w:p w14:paraId="382B4599">
      <w:pPr>
        <w:keepNext w:val="0"/>
        <w:keepLines w:val="0"/>
        <w:pageBreakBefore w:val="0"/>
        <w:widowControl/>
        <w:kinsoku/>
        <w:wordWrap/>
        <w:overflowPunct/>
        <w:topLinePunct w:val="0"/>
        <w:autoSpaceDE/>
        <w:autoSpaceDN/>
        <w:bidi w:val="0"/>
        <w:adjustRightInd/>
        <w:snapToGrid/>
        <w:spacing w:after="0" w:line="240" w:lineRule="auto"/>
        <w:ind w:firstLine="0" w:firstLineChars="0"/>
        <w:jc w:val="left"/>
        <w:textAlignment w:val="auto"/>
        <w:rPr>
          <w:rFonts w:hint="eastAsia" w:ascii="Times New Roman" w:hAnsi="Times New Roman" w:cs="Times New Roman"/>
          <w:sz w:val="28"/>
          <w:szCs w:val="28"/>
        </w:rPr>
      </w:pPr>
      <w:r>
        <w:rPr>
          <w:rFonts w:ascii="Times New Roman" w:hAnsi="Times New Roman" w:cs="Times New Roman"/>
          <w:b/>
          <w:bCs/>
          <w:sz w:val="24"/>
          <w:szCs w:val="28"/>
        </w:rPr>
        <w:t>Figure 4</w:t>
      </w:r>
      <w:r>
        <w:rPr>
          <w:rFonts w:hint="eastAsia" w:ascii="Times New Roman" w:hAnsi="Times New Roman" w:cs="Times New Roman"/>
          <w:sz w:val="24"/>
          <w:szCs w:val="28"/>
          <w:lang w:val="en-US" w:eastAsia="zh-CN"/>
        </w:rPr>
        <w:t>.</w:t>
      </w:r>
      <w:r>
        <w:rPr>
          <w:rFonts w:ascii="Times New Roman" w:hAnsi="Times New Roman" w:cs="Times New Roman"/>
          <w:sz w:val="24"/>
          <w:szCs w:val="28"/>
        </w:rPr>
        <w:t xml:space="preserve"> Percentage of</w:t>
      </w:r>
      <w:r>
        <w:rPr>
          <w:rFonts w:hint="eastAsia" w:ascii="Times New Roman" w:hAnsi="Times New Roman" w:cs="Times New Roman"/>
          <w:sz w:val="24"/>
          <w:szCs w:val="28"/>
        </w:rPr>
        <w:t xml:space="preserve"> DAYLs</w:t>
      </w:r>
      <w:r>
        <w:rPr>
          <w:rFonts w:ascii="Times New Roman" w:hAnsi="Times New Roman" w:cs="Times New Roman"/>
          <w:sz w:val="24"/>
          <w:szCs w:val="28"/>
        </w:rPr>
        <w:t xml:space="preserve"> due</w:t>
      </w:r>
      <w:r>
        <w:rPr>
          <w:rFonts w:hint="eastAsia" w:ascii="Times New Roman" w:hAnsi="Times New Roman" w:cs="Times New Roman"/>
          <w:sz w:val="24"/>
          <w:szCs w:val="28"/>
        </w:rPr>
        <w:t xml:space="preserve"> </w:t>
      </w:r>
      <w:r>
        <w:rPr>
          <w:rFonts w:ascii="Times New Roman" w:hAnsi="Times New Roman" w:cs="Times New Roman"/>
          <w:sz w:val="24"/>
          <w:szCs w:val="28"/>
        </w:rPr>
        <w:t>to gout attributable to risk factors</w:t>
      </w:r>
      <w:r>
        <w:rPr>
          <w:rFonts w:hint="eastAsia" w:ascii="Times New Roman" w:hAnsi="Times New Roman" w:cs="Times New Roman"/>
          <w:sz w:val="24"/>
          <w:szCs w:val="28"/>
        </w:rPr>
        <w:t xml:space="preserve"> (High BMI and Kidney function)</w:t>
      </w:r>
      <w:r>
        <w:rPr>
          <w:rFonts w:ascii="Times New Roman" w:hAnsi="Times New Roman" w:cs="Times New Roman"/>
          <w:sz w:val="24"/>
          <w:szCs w:val="28"/>
        </w:rPr>
        <w:t xml:space="preserve"> in the Global Burden</w:t>
      </w:r>
      <w:r>
        <w:rPr>
          <w:rFonts w:hint="eastAsia" w:ascii="Times New Roman" w:hAnsi="Times New Roman" w:cs="Times New Roman"/>
          <w:sz w:val="24"/>
          <w:szCs w:val="28"/>
        </w:rPr>
        <w:t xml:space="preserve"> </w:t>
      </w:r>
      <w:r>
        <w:rPr>
          <w:rFonts w:ascii="Times New Roman" w:hAnsi="Times New Roman" w:cs="Times New Roman"/>
          <w:sz w:val="24"/>
          <w:szCs w:val="28"/>
        </w:rPr>
        <w:t>of Disease study in 20</w:t>
      </w:r>
      <w:r>
        <w:rPr>
          <w:rFonts w:hint="eastAsia" w:ascii="Times New Roman" w:hAnsi="Times New Roman" w:cs="Times New Roman"/>
          <w:sz w:val="24"/>
          <w:szCs w:val="28"/>
        </w:rPr>
        <w:t>21</w:t>
      </w:r>
      <w:r>
        <w:rPr>
          <w:rFonts w:ascii="Times New Roman" w:hAnsi="Times New Roman" w:cs="Times New Roman"/>
          <w:sz w:val="24"/>
          <w:szCs w:val="28"/>
        </w:rPr>
        <w:t>, according to sex</w:t>
      </w:r>
      <w:r>
        <w:rPr>
          <w:rFonts w:hint="eastAsia" w:ascii="Times New Roman" w:hAnsi="Times New Roman" w:cs="Times New Roman"/>
          <w:sz w:val="24"/>
          <w:szCs w:val="28"/>
        </w:rPr>
        <w:t xml:space="preserve"> and age_name</w:t>
      </w:r>
      <w:r>
        <w:rPr>
          <w:rFonts w:ascii="Times New Roman" w:hAnsi="Times New Roman" w:cs="Times New Roman"/>
          <w:sz w:val="24"/>
          <w:szCs w:val="28"/>
        </w:rPr>
        <w:t>.</w:t>
      </w:r>
    </w:p>
    <w:p w14:paraId="1EFE56EB">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eastAsiaTheme="minorEastAsia"/>
          <w:sz w:val="24"/>
          <w:lang w:eastAsia="zh-CN"/>
        </w:rPr>
      </w:pPr>
    </w:p>
    <w:p w14:paraId="6AFC56A0">
      <w:pPr>
        <w:jc w:val="center"/>
        <w:rPr>
          <w:rFonts w:ascii="Times New Roman" w:hAnsi="Times New Roman" w:cs="Times New Roman"/>
          <w:sz w:val="24"/>
          <w:szCs w:val="24"/>
        </w:rPr>
      </w:pPr>
      <w:r>
        <w:rPr>
          <w:rFonts w:hint="eastAsia" w:ascii="Times New Roman" w:hAnsi="Times New Roman" w:cs="Times New Roman"/>
          <w:b/>
          <w:bCs/>
          <w:sz w:val="24"/>
          <w:szCs w:val="24"/>
        </w:rPr>
        <w:t>Tabble 5</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Proportional attributable fraction of high-BMI by </w:t>
      </w:r>
      <w:r>
        <w:rPr>
          <w:rFonts w:hint="eastAsia" w:ascii="Times New Roman" w:hAnsi="Times New Roman" w:cs="Times New Roman"/>
          <w:sz w:val="24"/>
          <w:szCs w:val="24"/>
        </w:rPr>
        <w:t xml:space="preserve">GBD </w:t>
      </w:r>
      <w:r>
        <w:rPr>
          <w:rFonts w:ascii="Times New Roman" w:hAnsi="Times New Roman" w:cs="Times New Roman"/>
          <w:sz w:val="24"/>
          <w:szCs w:val="24"/>
        </w:rPr>
        <w:t>regions.</w:t>
      </w:r>
    </w:p>
    <w:tbl>
      <w:tblPr>
        <w:tblStyle w:val="12"/>
        <w:tblW w:w="4998" w:type="pct"/>
        <w:jc w:val="center"/>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4840"/>
        <w:gridCol w:w="1406"/>
        <w:gridCol w:w="1079"/>
        <w:gridCol w:w="1194"/>
      </w:tblGrid>
      <w:tr w14:paraId="78DE8DB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2840" w:type="pct"/>
            <w:tcBorders>
              <w:bottom w:val="single" w:color="7E7E7E" w:themeColor="text1" w:themeTint="80" w:sz="4" w:space="0"/>
              <w:right w:val="nil"/>
              <w:insideH w:val="single" w:sz="4" w:space="0"/>
            </w:tcBorders>
            <w:noWrap/>
            <w:vAlign w:val="center"/>
          </w:tcPr>
          <w:p w14:paraId="26C01C26">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location_name</w:t>
            </w:r>
          </w:p>
        </w:tc>
        <w:tc>
          <w:tcPr>
            <w:tcW w:w="825" w:type="pct"/>
            <w:tcBorders>
              <w:bottom w:val="single" w:color="7E7E7E" w:themeColor="text1" w:themeTint="80" w:sz="4" w:space="0"/>
              <w:insideH w:val="single" w:sz="4" w:space="0"/>
            </w:tcBorders>
            <w:noWrap/>
            <w:vAlign w:val="center"/>
          </w:tcPr>
          <w:p w14:paraId="52ECD5D1">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Percent</w:t>
            </w:r>
          </w:p>
        </w:tc>
        <w:tc>
          <w:tcPr>
            <w:tcW w:w="633" w:type="pct"/>
            <w:tcBorders>
              <w:bottom w:val="single" w:color="7E7E7E" w:themeColor="text1" w:themeTint="80" w:sz="4" w:space="0"/>
              <w:insideH w:val="single" w:sz="4" w:space="0"/>
            </w:tcBorders>
            <w:noWrap/>
            <w:vAlign w:val="center"/>
          </w:tcPr>
          <w:p w14:paraId="62D39455">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upper</w:t>
            </w:r>
          </w:p>
        </w:tc>
        <w:tc>
          <w:tcPr>
            <w:tcW w:w="700" w:type="pct"/>
            <w:tcBorders>
              <w:bottom w:val="single" w:color="7E7E7E" w:themeColor="text1" w:themeTint="80" w:sz="4" w:space="0"/>
              <w:insideH w:val="single" w:sz="4" w:space="0"/>
            </w:tcBorders>
            <w:noWrap/>
            <w:vAlign w:val="center"/>
          </w:tcPr>
          <w:p w14:paraId="69EE5FD0">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lower</w:t>
            </w:r>
          </w:p>
        </w:tc>
      </w:tr>
      <w:tr w14:paraId="63472CA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0CEFBFE9">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North America</w:t>
            </w:r>
          </w:p>
        </w:tc>
        <w:tc>
          <w:tcPr>
            <w:tcW w:w="825" w:type="pct"/>
            <w:shd w:val="clear" w:color="auto" w:fill="F1F1F1" w:themeFill="background1" w:themeFillShade="F2"/>
            <w:noWrap/>
            <w:vAlign w:val="center"/>
          </w:tcPr>
          <w:p w14:paraId="38287BE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49.79%</w:t>
            </w:r>
          </w:p>
        </w:tc>
        <w:tc>
          <w:tcPr>
            <w:tcW w:w="633" w:type="pct"/>
            <w:shd w:val="clear" w:color="auto" w:fill="F1F1F1" w:themeFill="background1" w:themeFillShade="F2"/>
            <w:noWrap/>
            <w:vAlign w:val="center"/>
          </w:tcPr>
          <w:p w14:paraId="042540E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58.75%</w:t>
            </w:r>
          </w:p>
        </w:tc>
        <w:tc>
          <w:tcPr>
            <w:tcW w:w="700" w:type="pct"/>
            <w:shd w:val="clear" w:color="auto" w:fill="F1F1F1" w:themeFill="background1" w:themeFillShade="F2"/>
            <w:noWrap/>
            <w:vAlign w:val="center"/>
          </w:tcPr>
          <w:p w14:paraId="2436BEE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40.66%</w:t>
            </w:r>
          </w:p>
        </w:tc>
      </w:tr>
      <w:tr w14:paraId="38DCD8B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3C885F4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High-income North America</w:t>
            </w:r>
          </w:p>
        </w:tc>
        <w:tc>
          <w:tcPr>
            <w:tcW w:w="825" w:type="pct"/>
            <w:noWrap/>
            <w:vAlign w:val="center"/>
          </w:tcPr>
          <w:p w14:paraId="297679A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49.79%</w:t>
            </w:r>
          </w:p>
        </w:tc>
        <w:tc>
          <w:tcPr>
            <w:tcW w:w="633" w:type="pct"/>
            <w:noWrap/>
            <w:vAlign w:val="center"/>
          </w:tcPr>
          <w:p w14:paraId="4125975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58.75%</w:t>
            </w:r>
          </w:p>
        </w:tc>
        <w:tc>
          <w:tcPr>
            <w:tcW w:w="700" w:type="pct"/>
            <w:noWrap/>
            <w:vAlign w:val="center"/>
          </w:tcPr>
          <w:p w14:paraId="5A2AD93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40.65%</w:t>
            </w:r>
          </w:p>
        </w:tc>
      </w:tr>
      <w:tr w14:paraId="4DFCAEF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0B71EED9">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America</w:t>
            </w:r>
          </w:p>
        </w:tc>
        <w:tc>
          <w:tcPr>
            <w:tcW w:w="825" w:type="pct"/>
            <w:shd w:val="clear" w:color="auto" w:fill="F1F1F1" w:themeFill="background1" w:themeFillShade="F2"/>
            <w:noWrap/>
            <w:vAlign w:val="center"/>
          </w:tcPr>
          <w:p w14:paraId="5AFD2A0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48.44%</w:t>
            </w:r>
          </w:p>
        </w:tc>
        <w:tc>
          <w:tcPr>
            <w:tcW w:w="633" w:type="pct"/>
            <w:shd w:val="clear" w:color="auto" w:fill="F1F1F1" w:themeFill="background1" w:themeFillShade="F2"/>
            <w:noWrap/>
            <w:vAlign w:val="center"/>
          </w:tcPr>
          <w:p w14:paraId="3D4181B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57.57%</w:t>
            </w:r>
          </w:p>
        </w:tc>
        <w:tc>
          <w:tcPr>
            <w:tcW w:w="700" w:type="pct"/>
            <w:shd w:val="clear" w:color="auto" w:fill="F1F1F1" w:themeFill="background1" w:themeFillShade="F2"/>
            <w:noWrap/>
            <w:vAlign w:val="center"/>
          </w:tcPr>
          <w:p w14:paraId="151B28E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39.37%</w:t>
            </w:r>
          </w:p>
        </w:tc>
      </w:tr>
      <w:tr w14:paraId="0B0ACBE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71D1D28F">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Region of the Americas</w:t>
            </w:r>
          </w:p>
        </w:tc>
        <w:tc>
          <w:tcPr>
            <w:tcW w:w="825" w:type="pct"/>
            <w:noWrap/>
            <w:vAlign w:val="center"/>
          </w:tcPr>
          <w:p w14:paraId="057A0FE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48.44%</w:t>
            </w:r>
          </w:p>
        </w:tc>
        <w:tc>
          <w:tcPr>
            <w:tcW w:w="633" w:type="pct"/>
            <w:noWrap/>
            <w:vAlign w:val="center"/>
          </w:tcPr>
          <w:p w14:paraId="36C0222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57.57%</w:t>
            </w:r>
          </w:p>
        </w:tc>
        <w:tc>
          <w:tcPr>
            <w:tcW w:w="700" w:type="pct"/>
            <w:noWrap/>
            <w:vAlign w:val="center"/>
          </w:tcPr>
          <w:p w14:paraId="03EBE05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39.37%</w:t>
            </w:r>
          </w:p>
        </w:tc>
      </w:tr>
      <w:tr w14:paraId="7B7517A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383CB296">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Middle East &amp; North Africa - WB</w:t>
            </w:r>
          </w:p>
        </w:tc>
        <w:tc>
          <w:tcPr>
            <w:tcW w:w="825" w:type="pct"/>
            <w:shd w:val="clear" w:color="auto" w:fill="F1F1F1" w:themeFill="background1" w:themeFillShade="F2"/>
            <w:noWrap/>
            <w:vAlign w:val="center"/>
          </w:tcPr>
          <w:p w14:paraId="76DE1E1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47.96%</w:t>
            </w:r>
          </w:p>
        </w:tc>
        <w:tc>
          <w:tcPr>
            <w:tcW w:w="633" w:type="pct"/>
            <w:shd w:val="clear" w:color="auto" w:fill="F1F1F1" w:themeFill="background1" w:themeFillShade="F2"/>
            <w:noWrap/>
            <w:vAlign w:val="center"/>
          </w:tcPr>
          <w:p w14:paraId="423437B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57.22%</w:t>
            </w:r>
          </w:p>
        </w:tc>
        <w:tc>
          <w:tcPr>
            <w:tcW w:w="700" w:type="pct"/>
            <w:shd w:val="clear" w:color="auto" w:fill="F1F1F1" w:themeFill="background1" w:themeFillShade="F2"/>
            <w:noWrap/>
            <w:vAlign w:val="center"/>
          </w:tcPr>
          <w:p w14:paraId="684A0A2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39.00%</w:t>
            </w:r>
          </w:p>
        </w:tc>
      </w:tr>
      <w:tr w14:paraId="56BF873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5618F0BA">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North Africa and Middle East</w:t>
            </w:r>
          </w:p>
        </w:tc>
        <w:tc>
          <w:tcPr>
            <w:tcW w:w="825" w:type="pct"/>
            <w:noWrap/>
            <w:vAlign w:val="center"/>
          </w:tcPr>
          <w:p w14:paraId="1A1350F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47.81%</w:t>
            </w:r>
          </w:p>
        </w:tc>
        <w:tc>
          <w:tcPr>
            <w:tcW w:w="633" w:type="pct"/>
            <w:noWrap/>
            <w:vAlign w:val="center"/>
          </w:tcPr>
          <w:p w14:paraId="7214B4A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57.07%</w:t>
            </w:r>
          </w:p>
        </w:tc>
        <w:tc>
          <w:tcPr>
            <w:tcW w:w="700" w:type="pct"/>
            <w:noWrap/>
            <w:vAlign w:val="center"/>
          </w:tcPr>
          <w:p w14:paraId="1F63E7C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38.85%</w:t>
            </w:r>
          </w:p>
        </w:tc>
      </w:tr>
      <w:tr w14:paraId="7ECF49D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0CB46072">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Northern Africa</w:t>
            </w:r>
          </w:p>
        </w:tc>
        <w:tc>
          <w:tcPr>
            <w:tcW w:w="825" w:type="pct"/>
            <w:shd w:val="clear" w:color="auto" w:fill="F1F1F1" w:themeFill="background1" w:themeFillShade="F2"/>
            <w:noWrap/>
            <w:vAlign w:val="center"/>
          </w:tcPr>
          <w:p w14:paraId="23D1544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46.91%</w:t>
            </w:r>
          </w:p>
        </w:tc>
        <w:tc>
          <w:tcPr>
            <w:tcW w:w="633" w:type="pct"/>
            <w:shd w:val="clear" w:color="auto" w:fill="F1F1F1" w:themeFill="background1" w:themeFillShade="F2"/>
            <w:noWrap/>
            <w:vAlign w:val="center"/>
          </w:tcPr>
          <w:p w14:paraId="309B053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56.24%</w:t>
            </w:r>
          </w:p>
        </w:tc>
        <w:tc>
          <w:tcPr>
            <w:tcW w:w="700" w:type="pct"/>
            <w:shd w:val="clear" w:color="auto" w:fill="F1F1F1" w:themeFill="background1" w:themeFillShade="F2"/>
            <w:noWrap/>
            <w:vAlign w:val="center"/>
          </w:tcPr>
          <w:p w14:paraId="46246F5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37.85%</w:t>
            </w:r>
          </w:p>
        </w:tc>
      </w:tr>
      <w:tr w14:paraId="0CF0E1C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714FDD7F">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Australasia</w:t>
            </w:r>
          </w:p>
        </w:tc>
        <w:tc>
          <w:tcPr>
            <w:tcW w:w="825" w:type="pct"/>
            <w:noWrap/>
            <w:vAlign w:val="center"/>
          </w:tcPr>
          <w:p w14:paraId="0357FB9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46.91%</w:t>
            </w:r>
          </w:p>
        </w:tc>
        <w:tc>
          <w:tcPr>
            <w:tcW w:w="633" w:type="pct"/>
            <w:noWrap/>
            <w:vAlign w:val="center"/>
          </w:tcPr>
          <w:p w14:paraId="615AB859">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56.58%</w:t>
            </w:r>
          </w:p>
        </w:tc>
        <w:tc>
          <w:tcPr>
            <w:tcW w:w="700" w:type="pct"/>
            <w:noWrap/>
            <w:vAlign w:val="center"/>
          </w:tcPr>
          <w:p w14:paraId="705F23E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38.09%</w:t>
            </w:r>
          </w:p>
        </w:tc>
      </w:tr>
      <w:tr w14:paraId="03E95A9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10137EF8">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Central Latin America</w:t>
            </w:r>
          </w:p>
        </w:tc>
        <w:tc>
          <w:tcPr>
            <w:tcW w:w="825" w:type="pct"/>
            <w:shd w:val="clear" w:color="auto" w:fill="F1F1F1" w:themeFill="background1" w:themeFillShade="F2"/>
            <w:noWrap/>
            <w:vAlign w:val="center"/>
          </w:tcPr>
          <w:p w14:paraId="6A2AF52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46.51%</w:t>
            </w:r>
          </w:p>
        </w:tc>
        <w:tc>
          <w:tcPr>
            <w:tcW w:w="633" w:type="pct"/>
            <w:shd w:val="clear" w:color="auto" w:fill="F1F1F1" w:themeFill="background1" w:themeFillShade="F2"/>
            <w:noWrap/>
            <w:vAlign w:val="center"/>
          </w:tcPr>
          <w:p w14:paraId="0D0B892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55.81%</w:t>
            </w:r>
          </w:p>
        </w:tc>
        <w:tc>
          <w:tcPr>
            <w:tcW w:w="700" w:type="pct"/>
            <w:shd w:val="clear" w:color="auto" w:fill="F1F1F1" w:themeFill="background1" w:themeFillShade="F2"/>
            <w:noWrap/>
            <w:vAlign w:val="center"/>
          </w:tcPr>
          <w:p w14:paraId="0E984DB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37.50%</w:t>
            </w:r>
          </w:p>
        </w:tc>
      </w:tr>
      <w:tr w14:paraId="48483FB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2A44294B">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Southern Latin America</w:t>
            </w:r>
          </w:p>
        </w:tc>
        <w:tc>
          <w:tcPr>
            <w:tcW w:w="825" w:type="pct"/>
            <w:noWrap/>
            <w:vAlign w:val="center"/>
          </w:tcPr>
          <w:p w14:paraId="1EB60D2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46.26%</w:t>
            </w:r>
          </w:p>
        </w:tc>
        <w:tc>
          <w:tcPr>
            <w:tcW w:w="633" w:type="pct"/>
            <w:noWrap/>
            <w:vAlign w:val="center"/>
          </w:tcPr>
          <w:p w14:paraId="49238D19">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55.53%</w:t>
            </w:r>
          </w:p>
        </w:tc>
        <w:tc>
          <w:tcPr>
            <w:tcW w:w="700" w:type="pct"/>
            <w:noWrap/>
            <w:vAlign w:val="center"/>
          </w:tcPr>
          <w:p w14:paraId="73E8E28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36.90%</w:t>
            </w:r>
          </w:p>
        </w:tc>
      </w:tr>
      <w:tr w14:paraId="7CAFA41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16C06EE7">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World Bank High Income</w:t>
            </w:r>
          </w:p>
        </w:tc>
        <w:tc>
          <w:tcPr>
            <w:tcW w:w="825" w:type="pct"/>
            <w:shd w:val="clear" w:color="auto" w:fill="F1F1F1" w:themeFill="background1" w:themeFillShade="F2"/>
            <w:noWrap/>
            <w:vAlign w:val="center"/>
          </w:tcPr>
          <w:p w14:paraId="00D8684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45.80%</w:t>
            </w:r>
          </w:p>
        </w:tc>
        <w:tc>
          <w:tcPr>
            <w:tcW w:w="633" w:type="pct"/>
            <w:shd w:val="clear" w:color="auto" w:fill="F1F1F1" w:themeFill="background1" w:themeFillShade="F2"/>
            <w:noWrap/>
            <w:vAlign w:val="center"/>
          </w:tcPr>
          <w:p w14:paraId="0925A1C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54.85%</w:t>
            </w:r>
          </w:p>
        </w:tc>
        <w:tc>
          <w:tcPr>
            <w:tcW w:w="700" w:type="pct"/>
            <w:shd w:val="clear" w:color="auto" w:fill="F1F1F1" w:themeFill="background1" w:themeFillShade="F2"/>
            <w:noWrap/>
            <w:vAlign w:val="center"/>
          </w:tcPr>
          <w:p w14:paraId="03BCCA7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37.37%</w:t>
            </w:r>
          </w:p>
        </w:tc>
      </w:tr>
      <w:tr w14:paraId="56744E3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7936BD50">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Commonwealth High Income</w:t>
            </w:r>
          </w:p>
        </w:tc>
        <w:tc>
          <w:tcPr>
            <w:tcW w:w="825" w:type="pct"/>
            <w:noWrap/>
            <w:vAlign w:val="center"/>
          </w:tcPr>
          <w:p w14:paraId="3FB5620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45.12%</w:t>
            </w:r>
          </w:p>
        </w:tc>
        <w:tc>
          <w:tcPr>
            <w:tcW w:w="633" w:type="pct"/>
            <w:noWrap/>
            <w:vAlign w:val="center"/>
          </w:tcPr>
          <w:p w14:paraId="2C7EEB0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54.72%</w:t>
            </w:r>
          </w:p>
        </w:tc>
        <w:tc>
          <w:tcPr>
            <w:tcW w:w="700" w:type="pct"/>
            <w:noWrap/>
            <w:vAlign w:val="center"/>
          </w:tcPr>
          <w:p w14:paraId="1C0A693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36.24%</w:t>
            </w:r>
          </w:p>
        </w:tc>
      </w:tr>
      <w:tr w14:paraId="125F8C5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46EA1E0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Advanced Health System</w:t>
            </w:r>
          </w:p>
        </w:tc>
        <w:tc>
          <w:tcPr>
            <w:tcW w:w="825" w:type="pct"/>
            <w:shd w:val="clear" w:color="auto" w:fill="F1F1F1" w:themeFill="background1" w:themeFillShade="F2"/>
            <w:noWrap/>
            <w:vAlign w:val="center"/>
          </w:tcPr>
          <w:p w14:paraId="09CAAF9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44.83%</w:t>
            </w:r>
          </w:p>
        </w:tc>
        <w:tc>
          <w:tcPr>
            <w:tcW w:w="633" w:type="pct"/>
            <w:shd w:val="clear" w:color="auto" w:fill="F1F1F1" w:themeFill="background1" w:themeFillShade="F2"/>
            <w:noWrap/>
            <w:vAlign w:val="center"/>
          </w:tcPr>
          <w:p w14:paraId="3FBF4D9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53.77%</w:t>
            </w:r>
          </w:p>
        </w:tc>
        <w:tc>
          <w:tcPr>
            <w:tcW w:w="700" w:type="pct"/>
            <w:shd w:val="clear" w:color="auto" w:fill="F1F1F1" w:themeFill="background1" w:themeFillShade="F2"/>
            <w:noWrap/>
            <w:vAlign w:val="center"/>
          </w:tcPr>
          <w:p w14:paraId="2911290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36.54%</w:t>
            </w:r>
          </w:p>
        </w:tc>
      </w:tr>
      <w:tr w14:paraId="373202A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7698CD09">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Latin America &amp; Caribbean - WB</w:t>
            </w:r>
          </w:p>
        </w:tc>
        <w:tc>
          <w:tcPr>
            <w:tcW w:w="825" w:type="pct"/>
            <w:noWrap/>
            <w:vAlign w:val="center"/>
          </w:tcPr>
          <w:p w14:paraId="6D0349F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44.77%</w:t>
            </w:r>
          </w:p>
        </w:tc>
        <w:tc>
          <w:tcPr>
            <w:tcW w:w="633" w:type="pct"/>
            <w:noWrap/>
            <w:vAlign w:val="center"/>
          </w:tcPr>
          <w:p w14:paraId="323A426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54.08%</w:t>
            </w:r>
          </w:p>
        </w:tc>
        <w:tc>
          <w:tcPr>
            <w:tcW w:w="700" w:type="pct"/>
            <w:noWrap/>
            <w:vAlign w:val="center"/>
          </w:tcPr>
          <w:p w14:paraId="00116A9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35.99%</w:t>
            </w:r>
          </w:p>
        </w:tc>
      </w:tr>
      <w:tr w14:paraId="7274AF5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149CD9E7">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High SDI</w:t>
            </w:r>
          </w:p>
        </w:tc>
        <w:tc>
          <w:tcPr>
            <w:tcW w:w="825" w:type="pct"/>
            <w:shd w:val="clear" w:color="auto" w:fill="F1F1F1" w:themeFill="background1" w:themeFillShade="F2"/>
            <w:noWrap/>
            <w:vAlign w:val="center"/>
          </w:tcPr>
          <w:p w14:paraId="6296EEE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44.67%</w:t>
            </w:r>
          </w:p>
        </w:tc>
        <w:tc>
          <w:tcPr>
            <w:tcW w:w="633" w:type="pct"/>
            <w:shd w:val="clear" w:color="auto" w:fill="F1F1F1" w:themeFill="background1" w:themeFillShade="F2"/>
            <w:noWrap/>
            <w:vAlign w:val="center"/>
          </w:tcPr>
          <w:p w14:paraId="535823C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53.49%</w:t>
            </w:r>
          </w:p>
        </w:tc>
        <w:tc>
          <w:tcPr>
            <w:tcW w:w="700" w:type="pct"/>
            <w:shd w:val="clear" w:color="auto" w:fill="F1F1F1" w:themeFill="background1" w:themeFillShade="F2"/>
            <w:noWrap/>
            <w:vAlign w:val="center"/>
          </w:tcPr>
          <w:p w14:paraId="77617FE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36.50%</w:t>
            </w:r>
          </w:p>
        </w:tc>
      </w:tr>
      <w:tr w14:paraId="008D7F2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017852B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Andean Latin America</w:t>
            </w:r>
          </w:p>
        </w:tc>
        <w:tc>
          <w:tcPr>
            <w:tcW w:w="825" w:type="pct"/>
            <w:noWrap/>
            <w:vAlign w:val="center"/>
          </w:tcPr>
          <w:p w14:paraId="38CBACC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44.14%</w:t>
            </w:r>
          </w:p>
        </w:tc>
        <w:tc>
          <w:tcPr>
            <w:tcW w:w="633" w:type="pct"/>
            <w:noWrap/>
            <w:vAlign w:val="center"/>
          </w:tcPr>
          <w:p w14:paraId="78B12559">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53.27%</w:t>
            </w:r>
          </w:p>
        </w:tc>
        <w:tc>
          <w:tcPr>
            <w:tcW w:w="700" w:type="pct"/>
            <w:noWrap/>
            <w:vAlign w:val="center"/>
          </w:tcPr>
          <w:p w14:paraId="3EF2B819">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35.28%</w:t>
            </w:r>
          </w:p>
        </w:tc>
      </w:tr>
      <w:tr w14:paraId="32071B6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4F5406D5">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Eastern Mediterranean Region</w:t>
            </w:r>
          </w:p>
        </w:tc>
        <w:tc>
          <w:tcPr>
            <w:tcW w:w="825" w:type="pct"/>
            <w:shd w:val="clear" w:color="auto" w:fill="F1F1F1" w:themeFill="background1" w:themeFillShade="F2"/>
            <w:noWrap/>
            <w:vAlign w:val="center"/>
          </w:tcPr>
          <w:p w14:paraId="6E50623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43.77%</w:t>
            </w:r>
          </w:p>
        </w:tc>
        <w:tc>
          <w:tcPr>
            <w:tcW w:w="633" w:type="pct"/>
            <w:shd w:val="clear" w:color="auto" w:fill="F1F1F1" w:themeFill="background1" w:themeFillShade="F2"/>
            <w:noWrap/>
            <w:vAlign w:val="center"/>
          </w:tcPr>
          <w:p w14:paraId="1CD417B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52.48%</w:t>
            </w:r>
          </w:p>
        </w:tc>
        <w:tc>
          <w:tcPr>
            <w:tcW w:w="700" w:type="pct"/>
            <w:shd w:val="clear" w:color="auto" w:fill="F1F1F1" w:themeFill="background1" w:themeFillShade="F2"/>
            <w:noWrap/>
            <w:vAlign w:val="center"/>
          </w:tcPr>
          <w:p w14:paraId="0F9DC12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35.53%</w:t>
            </w:r>
          </w:p>
        </w:tc>
      </w:tr>
      <w:tr w14:paraId="1986AD3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55B32764">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Tropical Latin America</w:t>
            </w:r>
          </w:p>
        </w:tc>
        <w:tc>
          <w:tcPr>
            <w:tcW w:w="825" w:type="pct"/>
            <w:noWrap/>
            <w:vAlign w:val="center"/>
          </w:tcPr>
          <w:p w14:paraId="3F28E09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42.97%</w:t>
            </w:r>
          </w:p>
        </w:tc>
        <w:tc>
          <w:tcPr>
            <w:tcW w:w="633" w:type="pct"/>
            <w:noWrap/>
            <w:vAlign w:val="center"/>
          </w:tcPr>
          <w:p w14:paraId="1E3D8DD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52.48%</w:t>
            </w:r>
          </w:p>
        </w:tc>
        <w:tc>
          <w:tcPr>
            <w:tcW w:w="700" w:type="pct"/>
            <w:noWrap/>
            <w:vAlign w:val="center"/>
          </w:tcPr>
          <w:p w14:paraId="3A779B1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34.21%</w:t>
            </w:r>
          </w:p>
        </w:tc>
      </w:tr>
      <w:tr w14:paraId="6C5EC4F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5EAFA5E4">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Central Europe</w:t>
            </w:r>
          </w:p>
        </w:tc>
        <w:tc>
          <w:tcPr>
            <w:tcW w:w="825" w:type="pct"/>
            <w:shd w:val="clear" w:color="auto" w:fill="F1F1F1" w:themeFill="background1" w:themeFillShade="F2"/>
            <w:noWrap/>
            <w:vAlign w:val="center"/>
          </w:tcPr>
          <w:p w14:paraId="16640919">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42.53%</w:t>
            </w:r>
          </w:p>
        </w:tc>
        <w:tc>
          <w:tcPr>
            <w:tcW w:w="633" w:type="pct"/>
            <w:shd w:val="clear" w:color="auto" w:fill="F1F1F1" w:themeFill="background1" w:themeFillShade="F2"/>
            <w:noWrap/>
            <w:vAlign w:val="center"/>
          </w:tcPr>
          <w:p w14:paraId="16BDB4F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51.37%</w:t>
            </w:r>
          </w:p>
        </w:tc>
        <w:tc>
          <w:tcPr>
            <w:tcW w:w="700" w:type="pct"/>
            <w:shd w:val="clear" w:color="auto" w:fill="F1F1F1" w:themeFill="background1" w:themeFillShade="F2"/>
            <w:noWrap/>
            <w:vAlign w:val="center"/>
          </w:tcPr>
          <w:p w14:paraId="06D31F2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34.04%</w:t>
            </w:r>
          </w:p>
        </w:tc>
      </w:tr>
      <w:tr w14:paraId="21E049F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0AB7924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Eastern Europe</w:t>
            </w:r>
          </w:p>
        </w:tc>
        <w:tc>
          <w:tcPr>
            <w:tcW w:w="825" w:type="pct"/>
            <w:noWrap/>
            <w:vAlign w:val="center"/>
          </w:tcPr>
          <w:p w14:paraId="6A05A289">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42.34%</w:t>
            </w:r>
          </w:p>
        </w:tc>
        <w:tc>
          <w:tcPr>
            <w:tcW w:w="633" w:type="pct"/>
            <w:noWrap/>
            <w:vAlign w:val="center"/>
          </w:tcPr>
          <w:p w14:paraId="753949B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51.47%</w:t>
            </w:r>
          </w:p>
        </w:tc>
        <w:tc>
          <w:tcPr>
            <w:tcW w:w="700" w:type="pct"/>
            <w:noWrap/>
            <w:vAlign w:val="center"/>
          </w:tcPr>
          <w:p w14:paraId="31CD090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33.55%</w:t>
            </w:r>
          </w:p>
        </w:tc>
      </w:tr>
      <w:tr w14:paraId="68F323D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3481EB82">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Europe</w:t>
            </w:r>
          </w:p>
        </w:tc>
        <w:tc>
          <w:tcPr>
            <w:tcW w:w="825" w:type="pct"/>
            <w:shd w:val="clear" w:color="auto" w:fill="F1F1F1" w:themeFill="background1" w:themeFillShade="F2"/>
            <w:noWrap/>
            <w:vAlign w:val="center"/>
          </w:tcPr>
          <w:p w14:paraId="3CD8773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42.27%</w:t>
            </w:r>
          </w:p>
        </w:tc>
        <w:tc>
          <w:tcPr>
            <w:tcW w:w="633" w:type="pct"/>
            <w:shd w:val="clear" w:color="auto" w:fill="F1F1F1" w:themeFill="background1" w:themeFillShade="F2"/>
            <w:noWrap/>
            <w:vAlign w:val="center"/>
          </w:tcPr>
          <w:p w14:paraId="5763664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51.24%</w:t>
            </w:r>
          </w:p>
        </w:tc>
        <w:tc>
          <w:tcPr>
            <w:tcW w:w="700" w:type="pct"/>
            <w:shd w:val="clear" w:color="auto" w:fill="F1F1F1" w:themeFill="background1" w:themeFillShade="F2"/>
            <w:noWrap/>
            <w:vAlign w:val="center"/>
          </w:tcPr>
          <w:p w14:paraId="1B56B89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33.70%</w:t>
            </w:r>
          </w:p>
        </w:tc>
      </w:tr>
      <w:tr w14:paraId="67B7CB5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52B29312">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Europe &amp; Central Asia - WB</w:t>
            </w:r>
          </w:p>
        </w:tc>
        <w:tc>
          <w:tcPr>
            <w:tcW w:w="825" w:type="pct"/>
            <w:noWrap/>
            <w:vAlign w:val="center"/>
          </w:tcPr>
          <w:p w14:paraId="3159957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42.14%</w:t>
            </w:r>
          </w:p>
        </w:tc>
        <w:tc>
          <w:tcPr>
            <w:tcW w:w="633" w:type="pct"/>
            <w:noWrap/>
            <w:vAlign w:val="center"/>
          </w:tcPr>
          <w:p w14:paraId="54C8F689">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51.05%</w:t>
            </w:r>
          </w:p>
        </w:tc>
        <w:tc>
          <w:tcPr>
            <w:tcW w:w="700" w:type="pct"/>
            <w:noWrap/>
            <w:vAlign w:val="center"/>
          </w:tcPr>
          <w:p w14:paraId="3CA6D7F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33.61%</w:t>
            </w:r>
          </w:p>
        </w:tc>
      </w:tr>
      <w:tr w14:paraId="5DA5913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10FF98D4">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European Region</w:t>
            </w:r>
          </w:p>
        </w:tc>
        <w:tc>
          <w:tcPr>
            <w:tcW w:w="825" w:type="pct"/>
            <w:shd w:val="clear" w:color="auto" w:fill="F1F1F1" w:themeFill="background1" w:themeFillShade="F2"/>
            <w:noWrap/>
            <w:vAlign w:val="center"/>
          </w:tcPr>
          <w:p w14:paraId="073FEBF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42.11%</w:t>
            </w:r>
          </w:p>
        </w:tc>
        <w:tc>
          <w:tcPr>
            <w:tcW w:w="633" w:type="pct"/>
            <w:shd w:val="clear" w:color="auto" w:fill="F1F1F1" w:themeFill="background1" w:themeFillShade="F2"/>
            <w:noWrap/>
            <w:vAlign w:val="center"/>
          </w:tcPr>
          <w:p w14:paraId="3A4CD90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51.01%</w:t>
            </w:r>
          </w:p>
        </w:tc>
        <w:tc>
          <w:tcPr>
            <w:tcW w:w="700" w:type="pct"/>
            <w:shd w:val="clear" w:color="auto" w:fill="F1F1F1" w:themeFill="background1" w:themeFillShade="F2"/>
            <w:noWrap/>
            <w:vAlign w:val="center"/>
          </w:tcPr>
          <w:p w14:paraId="312E70A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33.58%</w:t>
            </w:r>
          </w:p>
        </w:tc>
      </w:tr>
      <w:tr w14:paraId="5F98369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33C0A1D4">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Western Europe</w:t>
            </w:r>
          </w:p>
        </w:tc>
        <w:tc>
          <w:tcPr>
            <w:tcW w:w="825" w:type="pct"/>
            <w:noWrap/>
            <w:vAlign w:val="center"/>
          </w:tcPr>
          <w:p w14:paraId="11B8F4D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41.18%</w:t>
            </w:r>
          </w:p>
        </w:tc>
        <w:tc>
          <w:tcPr>
            <w:tcW w:w="633" w:type="pct"/>
            <w:noWrap/>
            <w:vAlign w:val="center"/>
          </w:tcPr>
          <w:p w14:paraId="7F94D50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50.14%</w:t>
            </w:r>
          </w:p>
        </w:tc>
        <w:tc>
          <w:tcPr>
            <w:tcW w:w="700" w:type="pct"/>
            <w:noWrap/>
            <w:vAlign w:val="center"/>
          </w:tcPr>
          <w:p w14:paraId="0BBCA87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32.73%</w:t>
            </w:r>
          </w:p>
        </w:tc>
      </w:tr>
      <w:tr w14:paraId="7844C9F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6D736319">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Caribbean</w:t>
            </w:r>
          </w:p>
        </w:tc>
        <w:tc>
          <w:tcPr>
            <w:tcW w:w="825" w:type="pct"/>
            <w:shd w:val="clear" w:color="auto" w:fill="F1F1F1" w:themeFill="background1" w:themeFillShade="F2"/>
            <w:noWrap/>
            <w:vAlign w:val="center"/>
          </w:tcPr>
          <w:p w14:paraId="645D182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40.49%</w:t>
            </w:r>
          </w:p>
        </w:tc>
        <w:tc>
          <w:tcPr>
            <w:tcW w:w="633" w:type="pct"/>
            <w:shd w:val="clear" w:color="auto" w:fill="F1F1F1" w:themeFill="background1" w:themeFillShade="F2"/>
            <w:noWrap/>
            <w:vAlign w:val="center"/>
          </w:tcPr>
          <w:p w14:paraId="6273C05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49.21%</w:t>
            </w:r>
          </w:p>
        </w:tc>
        <w:tc>
          <w:tcPr>
            <w:tcW w:w="700" w:type="pct"/>
            <w:shd w:val="clear" w:color="auto" w:fill="F1F1F1" w:themeFill="background1" w:themeFillShade="F2"/>
            <w:noWrap/>
            <w:vAlign w:val="center"/>
          </w:tcPr>
          <w:p w14:paraId="0DA7C53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32.55%</w:t>
            </w:r>
          </w:p>
        </w:tc>
      </w:tr>
      <w:tr w14:paraId="7445D5D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02059295">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Central Asia</w:t>
            </w:r>
          </w:p>
        </w:tc>
        <w:tc>
          <w:tcPr>
            <w:tcW w:w="825" w:type="pct"/>
            <w:noWrap/>
            <w:vAlign w:val="center"/>
          </w:tcPr>
          <w:p w14:paraId="47F7DCA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40.32%</w:t>
            </w:r>
          </w:p>
        </w:tc>
        <w:tc>
          <w:tcPr>
            <w:tcW w:w="633" w:type="pct"/>
            <w:noWrap/>
            <w:vAlign w:val="center"/>
          </w:tcPr>
          <w:p w14:paraId="0AD9BBC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49.32%</w:t>
            </w:r>
          </w:p>
        </w:tc>
        <w:tc>
          <w:tcPr>
            <w:tcW w:w="700" w:type="pct"/>
            <w:noWrap/>
            <w:vAlign w:val="center"/>
          </w:tcPr>
          <w:p w14:paraId="5E04ABF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31.96%</w:t>
            </w:r>
          </w:p>
        </w:tc>
      </w:tr>
      <w:tr w14:paraId="69721A0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36292193">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Southern Sub-Saharan Africa</w:t>
            </w:r>
          </w:p>
        </w:tc>
        <w:tc>
          <w:tcPr>
            <w:tcW w:w="825" w:type="pct"/>
            <w:shd w:val="clear" w:color="auto" w:fill="F1F1F1" w:themeFill="background1" w:themeFillShade="F2"/>
            <w:noWrap/>
            <w:vAlign w:val="center"/>
          </w:tcPr>
          <w:p w14:paraId="2418217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39.56%</w:t>
            </w:r>
          </w:p>
        </w:tc>
        <w:tc>
          <w:tcPr>
            <w:tcW w:w="633" w:type="pct"/>
            <w:shd w:val="clear" w:color="auto" w:fill="F1F1F1" w:themeFill="background1" w:themeFillShade="F2"/>
            <w:noWrap/>
            <w:vAlign w:val="center"/>
          </w:tcPr>
          <w:p w14:paraId="4CC9B80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47.94%</w:t>
            </w:r>
          </w:p>
        </w:tc>
        <w:tc>
          <w:tcPr>
            <w:tcW w:w="700" w:type="pct"/>
            <w:shd w:val="clear" w:color="auto" w:fill="F1F1F1" w:themeFill="background1" w:themeFillShade="F2"/>
            <w:noWrap/>
            <w:vAlign w:val="center"/>
          </w:tcPr>
          <w:p w14:paraId="71A531B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31.50%</w:t>
            </w:r>
          </w:p>
        </w:tc>
      </w:tr>
      <w:tr w14:paraId="23C06BB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595CFD1E">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Oceania</w:t>
            </w:r>
          </w:p>
        </w:tc>
        <w:tc>
          <w:tcPr>
            <w:tcW w:w="825" w:type="pct"/>
            <w:noWrap/>
            <w:vAlign w:val="center"/>
          </w:tcPr>
          <w:p w14:paraId="1A797CF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38.01%</w:t>
            </w:r>
          </w:p>
        </w:tc>
        <w:tc>
          <w:tcPr>
            <w:tcW w:w="633" w:type="pct"/>
            <w:noWrap/>
            <w:vAlign w:val="center"/>
          </w:tcPr>
          <w:p w14:paraId="41BCEE8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46.72%</w:t>
            </w:r>
          </w:p>
        </w:tc>
        <w:tc>
          <w:tcPr>
            <w:tcW w:w="700" w:type="pct"/>
            <w:noWrap/>
            <w:vAlign w:val="center"/>
          </w:tcPr>
          <w:p w14:paraId="0818354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30.53%</w:t>
            </w:r>
          </w:p>
        </w:tc>
      </w:tr>
      <w:tr w14:paraId="2BF85B1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27F00DB0">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High-middle SDI</w:t>
            </w:r>
          </w:p>
        </w:tc>
        <w:tc>
          <w:tcPr>
            <w:tcW w:w="825" w:type="pct"/>
            <w:shd w:val="clear" w:color="auto" w:fill="F1F1F1" w:themeFill="background1" w:themeFillShade="F2"/>
            <w:noWrap/>
            <w:vAlign w:val="center"/>
          </w:tcPr>
          <w:p w14:paraId="1266B44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36.78%</w:t>
            </w:r>
          </w:p>
        </w:tc>
        <w:tc>
          <w:tcPr>
            <w:tcW w:w="633" w:type="pct"/>
            <w:shd w:val="clear" w:color="auto" w:fill="F1F1F1" w:themeFill="background1" w:themeFillShade="F2"/>
            <w:noWrap/>
            <w:vAlign w:val="center"/>
          </w:tcPr>
          <w:p w14:paraId="091FD17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44.92%</w:t>
            </w:r>
          </w:p>
        </w:tc>
        <w:tc>
          <w:tcPr>
            <w:tcW w:w="700" w:type="pct"/>
            <w:shd w:val="clear" w:color="auto" w:fill="F1F1F1" w:themeFill="background1" w:themeFillShade="F2"/>
            <w:noWrap/>
            <w:vAlign w:val="center"/>
          </w:tcPr>
          <w:p w14:paraId="24B4178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29.39%</w:t>
            </w:r>
          </w:p>
        </w:tc>
      </w:tr>
      <w:tr w14:paraId="69BEBA3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71CB0CD1">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Global</w:t>
            </w:r>
          </w:p>
        </w:tc>
        <w:tc>
          <w:tcPr>
            <w:tcW w:w="825" w:type="pct"/>
            <w:noWrap/>
            <w:vAlign w:val="center"/>
          </w:tcPr>
          <w:p w14:paraId="416C678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34.95%</w:t>
            </w:r>
          </w:p>
        </w:tc>
        <w:tc>
          <w:tcPr>
            <w:tcW w:w="633" w:type="pct"/>
            <w:noWrap/>
            <w:vAlign w:val="center"/>
          </w:tcPr>
          <w:p w14:paraId="76CB5F7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42.46%</w:t>
            </w:r>
          </w:p>
        </w:tc>
        <w:tc>
          <w:tcPr>
            <w:tcW w:w="700" w:type="pct"/>
            <w:noWrap/>
            <w:vAlign w:val="center"/>
          </w:tcPr>
          <w:p w14:paraId="731AE48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28.43%</w:t>
            </w:r>
          </w:p>
        </w:tc>
      </w:tr>
      <w:tr w14:paraId="7ADFD8D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54FB4E83">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Southern Africa</w:t>
            </w:r>
          </w:p>
        </w:tc>
        <w:tc>
          <w:tcPr>
            <w:tcW w:w="825" w:type="pct"/>
            <w:shd w:val="clear" w:color="auto" w:fill="F1F1F1" w:themeFill="background1" w:themeFillShade="F2"/>
            <w:noWrap/>
            <w:vAlign w:val="center"/>
          </w:tcPr>
          <w:p w14:paraId="3C43186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34.65%</w:t>
            </w:r>
          </w:p>
        </w:tc>
        <w:tc>
          <w:tcPr>
            <w:tcW w:w="633" w:type="pct"/>
            <w:shd w:val="clear" w:color="auto" w:fill="F1F1F1" w:themeFill="background1" w:themeFillShade="F2"/>
            <w:noWrap/>
            <w:vAlign w:val="center"/>
          </w:tcPr>
          <w:p w14:paraId="750D3A6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41.94%</w:t>
            </w:r>
          </w:p>
        </w:tc>
        <w:tc>
          <w:tcPr>
            <w:tcW w:w="700" w:type="pct"/>
            <w:shd w:val="clear" w:color="auto" w:fill="F1F1F1" w:themeFill="background1" w:themeFillShade="F2"/>
            <w:noWrap/>
            <w:vAlign w:val="center"/>
          </w:tcPr>
          <w:p w14:paraId="1785963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27.74%</w:t>
            </w:r>
          </w:p>
        </w:tc>
      </w:tr>
      <w:tr w14:paraId="4C75946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788EF11E">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World Bank Upper Middle Income</w:t>
            </w:r>
          </w:p>
        </w:tc>
        <w:tc>
          <w:tcPr>
            <w:tcW w:w="825" w:type="pct"/>
            <w:noWrap/>
            <w:vAlign w:val="center"/>
          </w:tcPr>
          <w:p w14:paraId="07E4196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34.06%</w:t>
            </w:r>
          </w:p>
        </w:tc>
        <w:tc>
          <w:tcPr>
            <w:tcW w:w="633" w:type="pct"/>
            <w:noWrap/>
            <w:vAlign w:val="center"/>
          </w:tcPr>
          <w:p w14:paraId="54AF446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41.78%</w:t>
            </w:r>
          </w:p>
        </w:tc>
        <w:tc>
          <w:tcPr>
            <w:tcW w:w="700" w:type="pct"/>
            <w:noWrap/>
            <w:vAlign w:val="center"/>
          </w:tcPr>
          <w:p w14:paraId="62E0284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27.17%</w:t>
            </w:r>
          </w:p>
        </w:tc>
      </w:tr>
      <w:tr w14:paraId="03E3759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55CB8CEF">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Basic Health System</w:t>
            </w:r>
          </w:p>
        </w:tc>
        <w:tc>
          <w:tcPr>
            <w:tcW w:w="825" w:type="pct"/>
            <w:shd w:val="clear" w:color="auto" w:fill="F1F1F1" w:themeFill="background1" w:themeFillShade="F2"/>
            <w:noWrap/>
            <w:vAlign w:val="center"/>
          </w:tcPr>
          <w:p w14:paraId="4DFA856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33.85%</w:t>
            </w:r>
          </w:p>
        </w:tc>
        <w:tc>
          <w:tcPr>
            <w:tcW w:w="633" w:type="pct"/>
            <w:shd w:val="clear" w:color="auto" w:fill="F1F1F1" w:themeFill="background1" w:themeFillShade="F2"/>
            <w:noWrap/>
            <w:vAlign w:val="center"/>
          </w:tcPr>
          <w:p w14:paraId="1EDBE77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41.57%</w:t>
            </w:r>
          </w:p>
        </w:tc>
        <w:tc>
          <w:tcPr>
            <w:tcW w:w="700" w:type="pct"/>
            <w:shd w:val="clear" w:color="auto" w:fill="F1F1F1" w:themeFill="background1" w:themeFillShade="F2"/>
            <w:noWrap/>
            <w:vAlign w:val="center"/>
          </w:tcPr>
          <w:p w14:paraId="754C1C3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27.14%</w:t>
            </w:r>
          </w:p>
        </w:tc>
      </w:tr>
      <w:tr w14:paraId="4E71F13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48224B2A">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Africa</w:t>
            </w:r>
          </w:p>
        </w:tc>
        <w:tc>
          <w:tcPr>
            <w:tcW w:w="825" w:type="pct"/>
            <w:noWrap/>
            <w:vAlign w:val="center"/>
          </w:tcPr>
          <w:p w14:paraId="30E60F3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33.85%</w:t>
            </w:r>
          </w:p>
        </w:tc>
        <w:tc>
          <w:tcPr>
            <w:tcW w:w="633" w:type="pct"/>
            <w:noWrap/>
            <w:vAlign w:val="center"/>
          </w:tcPr>
          <w:p w14:paraId="04E3185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40.95%</w:t>
            </w:r>
          </w:p>
        </w:tc>
        <w:tc>
          <w:tcPr>
            <w:tcW w:w="700" w:type="pct"/>
            <w:noWrap/>
            <w:vAlign w:val="center"/>
          </w:tcPr>
          <w:p w14:paraId="172A57A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27.40%</w:t>
            </w:r>
          </w:p>
        </w:tc>
      </w:tr>
      <w:tr w14:paraId="1C22EA9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043FD0BB">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East Asia</w:t>
            </w:r>
          </w:p>
        </w:tc>
        <w:tc>
          <w:tcPr>
            <w:tcW w:w="825" w:type="pct"/>
            <w:shd w:val="clear" w:color="auto" w:fill="F1F1F1" w:themeFill="background1" w:themeFillShade="F2"/>
            <w:noWrap/>
            <w:vAlign w:val="center"/>
          </w:tcPr>
          <w:p w14:paraId="285863B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32.67%</w:t>
            </w:r>
          </w:p>
        </w:tc>
        <w:tc>
          <w:tcPr>
            <w:tcW w:w="633" w:type="pct"/>
            <w:shd w:val="clear" w:color="auto" w:fill="F1F1F1" w:themeFill="background1" w:themeFillShade="F2"/>
            <w:noWrap/>
            <w:vAlign w:val="center"/>
          </w:tcPr>
          <w:p w14:paraId="61F51A8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40.34%</w:t>
            </w:r>
          </w:p>
        </w:tc>
        <w:tc>
          <w:tcPr>
            <w:tcW w:w="700" w:type="pct"/>
            <w:shd w:val="clear" w:color="auto" w:fill="F1F1F1" w:themeFill="background1" w:themeFillShade="F2"/>
            <w:noWrap/>
            <w:vAlign w:val="center"/>
          </w:tcPr>
          <w:p w14:paraId="13075A6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25.93%</w:t>
            </w:r>
          </w:p>
        </w:tc>
      </w:tr>
      <w:tr w14:paraId="733FBC0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028E9B45">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Middle SDI</w:t>
            </w:r>
          </w:p>
        </w:tc>
        <w:tc>
          <w:tcPr>
            <w:tcW w:w="825" w:type="pct"/>
            <w:noWrap/>
            <w:vAlign w:val="center"/>
          </w:tcPr>
          <w:p w14:paraId="4CCAA20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32.05%</w:t>
            </w:r>
          </w:p>
        </w:tc>
        <w:tc>
          <w:tcPr>
            <w:tcW w:w="633" w:type="pct"/>
            <w:noWrap/>
            <w:vAlign w:val="center"/>
          </w:tcPr>
          <w:p w14:paraId="14B6A4D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39.19%</w:t>
            </w:r>
          </w:p>
        </w:tc>
        <w:tc>
          <w:tcPr>
            <w:tcW w:w="700" w:type="pct"/>
            <w:noWrap/>
            <w:vAlign w:val="center"/>
          </w:tcPr>
          <w:p w14:paraId="3DDD70D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26.00%</w:t>
            </w:r>
          </w:p>
        </w:tc>
      </w:tr>
      <w:tr w14:paraId="5366D68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6F1E42E5">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Western Pacific Region</w:t>
            </w:r>
          </w:p>
        </w:tc>
        <w:tc>
          <w:tcPr>
            <w:tcW w:w="825" w:type="pct"/>
            <w:shd w:val="clear" w:color="auto" w:fill="F1F1F1" w:themeFill="background1" w:themeFillShade="F2"/>
            <w:noWrap/>
            <w:vAlign w:val="center"/>
          </w:tcPr>
          <w:p w14:paraId="516FDA3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32.03%</w:t>
            </w:r>
          </w:p>
        </w:tc>
        <w:tc>
          <w:tcPr>
            <w:tcW w:w="633" w:type="pct"/>
            <w:shd w:val="clear" w:color="auto" w:fill="F1F1F1" w:themeFill="background1" w:themeFillShade="F2"/>
            <w:noWrap/>
            <w:vAlign w:val="center"/>
          </w:tcPr>
          <w:p w14:paraId="4B1418E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39.32%</w:t>
            </w:r>
          </w:p>
        </w:tc>
        <w:tc>
          <w:tcPr>
            <w:tcW w:w="700" w:type="pct"/>
            <w:shd w:val="clear" w:color="auto" w:fill="F1F1F1" w:themeFill="background1" w:themeFillShade="F2"/>
            <w:noWrap/>
            <w:vAlign w:val="center"/>
          </w:tcPr>
          <w:p w14:paraId="5D0CE98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25.58%</w:t>
            </w:r>
          </w:p>
        </w:tc>
      </w:tr>
      <w:tr w14:paraId="0E787AB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2B41AD26">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Western Sub-Saharan Africa</w:t>
            </w:r>
          </w:p>
        </w:tc>
        <w:tc>
          <w:tcPr>
            <w:tcW w:w="825" w:type="pct"/>
            <w:noWrap/>
            <w:vAlign w:val="center"/>
          </w:tcPr>
          <w:p w14:paraId="3743E5D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31.61%</w:t>
            </w:r>
          </w:p>
        </w:tc>
        <w:tc>
          <w:tcPr>
            <w:tcW w:w="633" w:type="pct"/>
            <w:noWrap/>
            <w:vAlign w:val="center"/>
          </w:tcPr>
          <w:p w14:paraId="42D488A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38.92%</w:t>
            </w:r>
          </w:p>
        </w:tc>
        <w:tc>
          <w:tcPr>
            <w:tcW w:w="700" w:type="pct"/>
            <w:noWrap/>
            <w:vAlign w:val="center"/>
          </w:tcPr>
          <w:p w14:paraId="6E8C111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25.62%</w:t>
            </w:r>
          </w:p>
        </w:tc>
      </w:tr>
      <w:tr w14:paraId="2D0EC42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3F07C253">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East Asia &amp; Pacific - WB</w:t>
            </w:r>
          </w:p>
        </w:tc>
        <w:tc>
          <w:tcPr>
            <w:tcW w:w="825" w:type="pct"/>
            <w:shd w:val="clear" w:color="auto" w:fill="F1F1F1" w:themeFill="background1" w:themeFillShade="F2"/>
            <w:noWrap/>
            <w:vAlign w:val="center"/>
          </w:tcPr>
          <w:p w14:paraId="29A9578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31.13%</w:t>
            </w:r>
          </w:p>
        </w:tc>
        <w:tc>
          <w:tcPr>
            <w:tcW w:w="633" w:type="pct"/>
            <w:shd w:val="clear" w:color="auto" w:fill="F1F1F1" w:themeFill="background1" w:themeFillShade="F2"/>
            <w:noWrap/>
            <w:vAlign w:val="center"/>
          </w:tcPr>
          <w:p w14:paraId="608F8219">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38.25%</w:t>
            </w:r>
          </w:p>
        </w:tc>
        <w:tc>
          <w:tcPr>
            <w:tcW w:w="700" w:type="pct"/>
            <w:shd w:val="clear" w:color="auto" w:fill="F1F1F1" w:themeFill="background1" w:themeFillShade="F2"/>
            <w:noWrap/>
            <w:vAlign w:val="center"/>
          </w:tcPr>
          <w:p w14:paraId="7C7EF1C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24.97%</w:t>
            </w:r>
          </w:p>
        </w:tc>
      </w:tr>
      <w:tr w14:paraId="537520E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2A86CF47">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Western Africa</w:t>
            </w:r>
          </w:p>
        </w:tc>
        <w:tc>
          <w:tcPr>
            <w:tcW w:w="825" w:type="pct"/>
            <w:noWrap/>
            <w:vAlign w:val="center"/>
          </w:tcPr>
          <w:p w14:paraId="45A2E52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31.00%</w:t>
            </w:r>
          </w:p>
        </w:tc>
        <w:tc>
          <w:tcPr>
            <w:tcW w:w="633" w:type="pct"/>
            <w:noWrap/>
            <w:vAlign w:val="center"/>
          </w:tcPr>
          <w:p w14:paraId="153ED75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38.16%</w:t>
            </w:r>
          </w:p>
        </w:tc>
        <w:tc>
          <w:tcPr>
            <w:tcW w:w="700" w:type="pct"/>
            <w:noWrap/>
            <w:vAlign w:val="center"/>
          </w:tcPr>
          <w:p w14:paraId="26D84FA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25.10%</w:t>
            </w:r>
          </w:p>
        </w:tc>
      </w:tr>
      <w:tr w14:paraId="028D736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4F7BDFDC">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African Region</w:t>
            </w:r>
          </w:p>
        </w:tc>
        <w:tc>
          <w:tcPr>
            <w:tcW w:w="825" w:type="pct"/>
            <w:shd w:val="clear" w:color="auto" w:fill="F1F1F1" w:themeFill="background1" w:themeFillShade="F2"/>
            <w:noWrap/>
            <w:vAlign w:val="center"/>
          </w:tcPr>
          <w:p w14:paraId="065ADBC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30.41%</w:t>
            </w:r>
          </w:p>
        </w:tc>
        <w:tc>
          <w:tcPr>
            <w:tcW w:w="633" w:type="pct"/>
            <w:shd w:val="clear" w:color="auto" w:fill="F1F1F1" w:themeFill="background1" w:themeFillShade="F2"/>
            <w:noWrap/>
            <w:vAlign w:val="center"/>
          </w:tcPr>
          <w:p w14:paraId="66AD8B2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37.08%</w:t>
            </w:r>
          </w:p>
        </w:tc>
        <w:tc>
          <w:tcPr>
            <w:tcW w:w="700" w:type="pct"/>
            <w:shd w:val="clear" w:color="auto" w:fill="F1F1F1" w:themeFill="background1" w:themeFillShade="F2"/>
            <w:noWrap/>
            <w:vAlign w:val="center"/>
          </w:tcPr>
          <w:p w14:paraId="2ABF28D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24.56%</w:t>
            </w:r>
          </w:p>
        </w:tc>
      </w:tr>
      <w:tr w14:paraId="1EAC4E3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079106F8">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Asia</w:t>
            </w:r>
          </w:p>
        </w:tc>
        <w:tc>
          <w:tcPr>
            <w:tcW w:w="825" w:type="pct"/>
            <w:noWrap/>
            <w:vAlign w:val="center"/>
          </w:tcPr>
          <w:p w14:paraId="60DDD73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30.23%</w:t>
            </w:r>
          </w:p>
        </w:tc>
        <w:tc>
          <w:tcPr>
            <w:tcW w:w="633" w:type="pct"/>
            <w:noWrap/>
            <w:vAlign w:val="center"/>
          </w:tcPr>
          <w:p w14:paraId="3997600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37.14%</w:t>
            </w:r>
          </w:p>
        </w:tc>
        <w:tc>
          <w:tcPr>
            <w:tcW w:w="700" w:type="pct"/>
            <w:noWrap/>
            <w:vAlign w:val="center"/>
          </w:tcPr>
          <w:p w14:paraId="7F4BEC1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24.51%</w:t>
            </w:r>
          </w:p>
        </w:tc>
      </w:tr>
      <w:tr w14:paraId="5492B8A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5341B8E6">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Sub-Saharan Africa - WB</w:t>
            </w:r>
          </w:p>
        </w:tc>
        <w:tc>
          <w:tcPr>
            <w:tcW w:w="825" w:type="pct"/>
            <w:shd w:val="clear" w:color="auto" w:fill="F1F1F1" w:themeFill="background1" w:themeFillShade="F2"/>
            <w:noWrap/>
            <w:vAlign w:val="center"/>
          </w:tcPr>
          <w:p w14:paraId="2B90473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30.04%</w:t>
            </w:r>
          </w:p>
        </w:tc>
        <w:tc>
          <w:tcPr>
            <w:tcW w:w="633" w:type="pct"/>
            <w:shd w:val="clear" w:color="auto" w:fill="F1F1F1" w:themeFill="background1" w:themeFillShade="F2"/>
            <w:noWrap/>
            <w:vAlign w:val="center"/>
          </w:tcPr>
          <w:p w14:paraId="59085BD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36.57%</w:t>
            </w:r>
          </w:p>
        </w:tc>
        <w:tc>
          <w:tcPr>
            <w:tcW w:w="700" w:type="pct"/>
            <w:shd w:val="clear" w:color="auto" w:fill="F1F1F1" w:themeFill="background1" w:themeFillShade="F2"/>
            <w:noWrap/>
            <w:vAlign w:val="center"/>
          </w:tcPr>
          <w:p w14:paraId="30B96CE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24.24%</w:t>
            </w:r>
          </w:p>
        </w:tc>
      </w:tr>
      <w:tr w14:paraId="4F77F09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1BC37C86">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High-income Asia Pacific</w:t>
            </w:r>
          </w:p>
        </w:tc>
        <w:tc>
          <w:tcPr>
            <w:tcW w:w="825" w:type="pct"/>
            <w:noWrap/>
            <w:vAlign w:val="center"/>
          </w:tcPr>
          <w:p w14:paraId="767776E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29.35%</w:t>
            </w:r>
          </w:p>
        </w:tc>
        <w:tc>
          <w:tcPr>
            <w:tcW w:w="633" w:type="pct"/>
            <w:noWrap/>
            <w:vAlign w:val="center"/>
          </w:tcPr>
          <w:p w14:paraId="6019F89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35.99%</w:t>
            </w:r>
          </w:p>
        </w:tc>
        <w:tc>
          <w:tcPr>
            <w:tcW w:w="700" w:type="pct"/>
            <w:noWrap/>
            <w:vAlign w:val="center"/>
          </w:tcPr>
          <w:p w14:paraId="5F620C1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23.63%</w:t>
            </w:r>
          </w:p>
        </w:tc>
      </w:tr>
      <w:tr w14:paraId="5951FA1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47564100">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Central Africa</w:t>
            </w:r>
          </w:p>
        </w:tc>
        <w:tc>
          <w:tcPr>
            <w:tcW w:w="825" w:type="pct"/>
            <w:shd w:val="clear" w:color="auto" w:fill="F1F1F1" w:themeFill="background1" w:themeFillShade="F2"/>
            <w:noWrap/>
            <w:vAlign w:val="center"/>
          </w:tcPr>
          <w:p w14:paraId="07ACBD4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29.25%</w:t>
            </w:r>
          </w:p>
        </w:tc>
        <w:tc>
          <w:tcPr>
            <w:tcW w:w="633" w:type="pct"/>
            <w:shd w:val="clear" w:color="auto" w:fill="F1F1F1" w:themeFill="background1" w:themeFillShade="F2"/>
            <w:noWrap/>
            <w:vAlign w:val="center"/>
          </w:tcPr>
          <w:p w14:paraId="08E717D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35.90%</w:t>
            </w:r>
          </w:p>
        </w:tc>
        <w:tc>
          <w:tcPr>
            <w:tcW w:w="700" w:type="pct"/>
            <w:shd w:val="clear" w:color="auto" w:fill="F1F1F1" w:themeFill="background1" w:themeFillShade="F2"/>
            <w:noWrap/>
            <w:vAlign w:val="center"/>
          </w:tcPr>
          <w:p w14:paraId="2489E63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23.49%</w:t>
            </w:r>
          </w:p>
        </w:tc>
      </w:tr>
      <w:tr w14:paraId="1BD1478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38F50978">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World Bank Lower Middle Income</w:t>
            </w:r>
          </w:p>
        </w:tc>
        <w:tc>
          <w:tcPr>
            <w:tcW w:w="825" w:type="pct"/>
            <w:noWrap/>
            <w:vAlign w:val="center"/>
          </w:tcPr>
          <w:p w14:paraId="60C3FCD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27.90%</w:t>
            </w:r>
          </w:p>
        </w:tc>
        <w:tc>
          <w:tcPr>
            <w:tcW w:w="633" w:type="pct"/>
            <w:noWrap/>
            <w:vAlign w:val="center"/>
          </w:tcPr>
          <w:p w14:paraId="59C69F4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34.22%</w:t>
            </w:r>
          </w:p>
        </w:tc>
        <w:tc>
          <w:tcPr>
            <w:tcW w:w="700" w:type="pct"/>
            <w:noWrap/>
            <w:vAlign w:val="center"/>
          </w:tcPr>
          <w:p w14:paraId="33D8B62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22.60%</w:t>
            </w:r>
          </w:p>
        </w:tc>
      </w:tr>
      <w:tr w14:paraId="0F8C2EC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46B18020">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Central Sub-Saharan Africa</w:t>
            </w:r>
          </w:p>
        </w:tc>
        <w:tc>
          <w:tcPr>
            <w:tcW w:w="825" w:type="pct"/>
            <w:shd w:val="clear" w:color="auto" w:fill="F1F1F1" w:themeFill="background1" w:themeFillShade="F2"/>
            <w:noWrap/>
            <w:vAlign w:val="center"/>
          </w:tcPr>
          <w:p w14:paraId="19E08F0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27.40%</w:t>
            </w:r>
          </w:p>
        </w:tc>
        <w:tc>
          <w:tcPr>
            <w:tcW w:w="633" w:type="pct"/>
            <w:shd w:val="clear" w:color="auto" w:fill="F1F1F1" w:themeFill="background1" w:themeFillShade="F2"/>
            <w:noWrap/>
            <w:vAlign w:val="center"/>
          </w:tcPr>
          <w:p w14:paraId="56DCC7E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33.87%</w:t>
            </w:r>
          </w:p>
        </w:tc>
        <w:tc>
          <w:tcPr>
            <w:tcW w:w="700" w:type="pct"/>
            <w:shd w:val="clear" w:color="auto" w:fill="F1F1F1" w:themeFill="background1" w:themeFillShade="F2"/>
            <w:noWrap/>
            <w:vAlign w:val="center"/>
          </w:tcPr>
          <w:p w14:paraId="6EECDAA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22.00%</w:t>
            </w:r>
          </w:p>
        </w:tc>
      </w:tr>
      <w:tr w14:paraId="581ECB6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0FEC3FEC">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Low-middle SDI</w:t>
            </w:r>
          </w:p>
        </w:tc>
        <w:tc>
          <w:tcPr>
            <w:tcW w:w="825" w:type="pct"/>
            <w:noWrap/>
            <w:vAlign w:val="center"/>
          </w:tcPr>
          <w:p w14:paraId="0C9E0FE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26.98%</w:t>
            </w:r>
          </w:p>
        </w:tc>
        <w:tc>
          <w:tcPr>
            <w:tcW w:w="633" w:type="pct"/>
            <w:noWrap/>
            <w:vAlign w:val="center"/>
          </w:tcPr>
          <w:p w14:paraId="26D60E8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32.95%</w:t>
            </w:r>
          </w:p>
        </w:tc>
        <w:tc>
          <w:tcPr>
            <w:tcW w:w="700" w:type="pct"/>
            <w:noWrap/>
            <w:vAlign w:val="center"/>
          </w:tcPr>
          <w:p w14:paraId="7CF82E8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21.98%</w:t>
            </w:r>
          </w:p>
        </w:tc>
      </w:tr>
      <w:tr w14:paraId="78EDCC1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306F570A">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Eastern Africa</w:t>
            </w:r>
          </w:p>
        </w:tc>
        <w:tc>
          <w:tcPr>
            <w:tcW w:w="825" w:type="pct"/>
            <w:shd w:val="clear" w:color="auto" w:fill="F1F1F1" w:themeFill="background1" w:themeFillShade="F2"/>
            <w:noWrap/>
            <w:vAlign w:val="center"/>
          </w:tcPr>
          <w:p w14:paraId="307FE22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26.50%</w:t>
            </w:r>
          </w:p>
        </w:tc>
        <w:tc>
          <w:tcPr>
            <w:tcW w:w="633" w:type="pct"/>
            <w:shd w:val="clear" w:color="auto" w:fill="F1F1F1" w:themeFill="background1" w:themeFillShade="F2"/>
            <w:noWrap/>
            <w:vAlign w:val="center"/>
          </w:tcPr>
          <w:p w14:paraId="3514BED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32.30%</w:t>
            </w:r>
          </w:p>
        </w:tc>
        <w:tc>
          <w:tcPr>
            <w:tcW w:w="700" w:type="pct"/>
            <w:shd w:val="clear" w:color="auto" w:fill="F1F1F1" w:themeFill="background1" w:themeFillShade="F2"/>
            <w:noWrap/>
            <w:vAlign w:val="center"/>
          </w:tcPr>
          <w:p w14:paraId="77EA774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21.33%</w:t>
            </w:r>
          </w:p>
        </w:tc>
      </w:tr>
      <w:tr w14:paraId="35D865A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55BB28F4">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Minimal Health System</w:t>
            </w:r>
          </w:p>
        </w:tc>
        <w:tc>
          <w:tcPr>
            <w:tcW w:w="825" w:type="pct"/>
            <w:noWrap/>
            <w:vAlign w:val="center"/>
          </w:tcPr>
          <w:p w14:paraId="29120A49">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25.60%</w:t>
            </w:r>
          </w:p>
        </w:tc>
        <w:tc>
          <w:tcPr>
            <w:tcW w:w="633" w:type="pct"/>
            <w:noWrap/>
            <w:vAlign w:val="center"/>
          </w:tcPr>
          <w:p w14:paraId="3421535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31.50%</w:t>
            </w:r>
          </w:p>
        </w:tc>
        <w:tc>
          <w:tcPr>
            <w:tcW w:w="700" w:type="pct"/>
            <w:noWrap/>
            <w:vAlign w:val="center"/>
          </w:tcPr>
          <w:p w14:paraId="7D86C249">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20.52%</w:t>
            </w:r>
          </w:p>
        </w:tc>
      </w:tr>
      <w:tr w14:paraId="39ABFCC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49BF95BF">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Southeast Asia</w:t>
            </w:r>
          </w:p>
        </w:tc>
        <w:tc>
          <w:tcPr>
            <w:tcW w:w="825" w:type="pct"/>
            <w:shd w:val="clear" w:color="auto" w:fill="F1F1F1" w:themeFill="background1" w:themeFillShade="F2"/>
            <w:noWrap/>
            <w:vAlign w:val="center"/>
          </w:tcPr>
          <w:p w14:paraId="2743F55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25.49%</w:t>
            </w:r>
          </w:p>
        </w:tc>
        <w:tc>
          <w:tcPr>
            <w:tcW w:w="633" w:type="pct"/>
            <w:shd w:val="clear" w:color="auto" w:fill="F1F1F1" w:themeFill="background1" w:themeFillShade="F2"/>
            <w:noWrap/>
            <w:vAlign w:val="center"/>
          </w:tcPr>
          <w:p w14:paraId="7526F9D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30.98%</w:t>
            </w:r>
          </w:p>
        </w:tc>
        <w:tc>
          <w:tcPr>
            <w:tcW w:w="700" w:type="pct"/>
            <w:shd w:val="clear" w:color="auto" w:fill="F1F1F1" w:themeFill="background1" w:themeFillShade="F2"/>
            <w:noWrap/>
            <w:vAlign w:val="center"/>
          </w:tcPr>
          <w:p w14:paraId="734BB00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20.64%</w:t>
            </w:r>
          </w:p>
        </w:tc>
      </w:tr>
      <w:tr w14:paraId="49D01A2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160DB6EA">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Commonwealth Middle Income</w:t>
            </w:r>
          </w:p>
        </w:tc>
        <w:tc>
          <w:tcPr>
            <w:tcW w:w="825" w:type="pct"/>
            <w:noWrap/>
            <w:vAlign w:val="center"/>
          </w:tcPr>
          <w:p w14:paraId="4D68989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25.23%</w:t>
            </w:r>
          </w:p>
        </w:tc>
        <w:tc>
          <w:tcPr>
            <w:tcW w:w="633" w:type="pct"/>
            <w:noWrap/>
            <w:vAlign w:val="center"/>
          </w:tcPr>
          <w:p w14:paraId="40B1FB5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31.08%</w:t>
            </w:r>
          </w:p>
        </w:tc>
        <w:tc>
          <w:tcPr>
            <w:tcW w:w="700" w:type="pct"/>
            <w:noWrap/>
            <w:vAlign w:val="center"/>
          </w:tcPr>
          <w:p w14:paraId="070444C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20.22%</w:t>
            </w:r>
          </w:p>
        </w:tc>
      </w:tr>
      <w:tr w14:paraId="331CCB1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4F8928E8">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Commonwealth Low Income</w:t>
            </w:r>
          </w:p>
        </w:tc>
        <w:tc>
          <w:tcPr>
            <w:tcW w:w="825" w:type="pct"/>
            <w:shd w:val="clear" w:color="auto" w:fill="F1F1F1" w:themeFill="background1" w:themeFillShade="F2"/>
            <w:noWrap/>
            <w:vAlign w:val="center"/>
          </w:tcPr>
          <w:p w14:paraId="1B8893B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24.55%</w:t>
            </w:r>
          </w:p>
        </w:tc>
        <w:tc>
          <w:tcPr>
            <w:tcW w:w="633" w:type="pct"/>
            <w:shd w:val="clear" w:color="auto" w:fill="F1F1F1" w:themeFill="background1" w:themeFillShade="F2"/>
            <w:noWrap/>
            <w:vAlign w:val="center"/>
          </w:tcPr>
          <w:p w14:paraId="619861A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30.44%</w:t>
            </w:r>
          </w:p>
        </w:tc>
        <w:tc>
          <w:tcPr>
            <w:tcW w:w="700" w:type="pct"/>
            <w:shd w:val="clear" w:color="auto" w:fill="F1F1F1" w:themeFill="background1" w:themeFillShade="F2"/>
            <w:noWrap/>
            <w:vAlign w:val="center"/>
          </w:tcPr>
          <w:p w14:paraId="2DE7DD2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19.58%</w:t>
            </w:r>
          </w:p>
        </w:tc>
      </w:tr>
      <w:tr w14:paraId="1040F88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72A7C642">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World Bank Low Income</w:t>
            </w:r>
          </w:p>
        </w:tc>
        <w:tc>
          <w:tcPr>
            <w:tcW w:w="825" w:type="pct"/>
            <w:noWrap/>
            <w:vAlign w:val="center"/>
          </w:tcPr>
          <w:p w14:paraId="734AB5D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24.49%</w:t>
            </w:r>
          </w:p>
        </w:tc>
        <w:tc>
          <w:tcPr>
            <w:tcW w:w="633" w:type="pct"/>
            <w:noWrap/>
            <w:vAlign w:val="center"/>
          </w:tcPr>
          <w:p w14:paraId="143008C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29.77%</w:t>
            </w:r>
          </w:p>
        </w:tc>
        <w:tc>
          <w:tcPr>
            <w:tcW w:w="700" w:type="pct"/>
            <w:noWrap/>
            <w:vAlign w:val="center"/>
          </w:tcPr>
          <w:p w14:paraId="11CD68F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19.78%</w:t>
            </w:r>
          </w:p>
        </w:tc>
      </w:tr>
      <w:tr w14:paraId="603EBE7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278AB48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Limited Health System</w:t>
            </w:r>
          </w:p>
        </w:tc>
        <w:tc>
          <w:tcPr>
            <w:tcW w:w="825" w:type="pct"/>
            <w:shd w:val="clear" w:color="auto" w:fill="F1F1F1" w:themeFill="background1" w:themeFillShade="F2"/>
            <w:noWrap/>
            <w:vAlign w:val="center"/>
          </w:tcPr>
          <w:p w14:paraId="3B1F57E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24.46%</w:t>
            </w:r>
          </w:p>
        </w:tc>
        <w:tc>
          <w:tcPr>
            <w:tcW w:w="633" w:type="pct"/>
            <w:shd w:val="clear" w:color="auto" w:fill="F1F1F1" w:themeFill="background1" w:themeFillShade="F2"/>
            <w:noWrap/>
            <w:vAlign w:val="center"/>
          </w:tcPr>
          <w:p w14:paraId="3C7C865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30.18%</w:t>
            </w:r>
          </w:p>
        </w:tc>
        <w:tc>
          <w:tcPr>
            <w:tcW w:w="700" w:type="pct"/>
            <w:shd w:val="clear" w:color="auto" w:fill="F1F1F1" w:themeFill="background1" w:themeFillShade="F2"/>
            <w:noWrap/>
            <w:vAlign w:val="center"/>
          </w:tcPr>
          <w:p w14:paraId="103BC69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19.60%</w:t>
            </w:r>
          </w:p>
        </w:tc>
      </w:tr>
      <w:tr w14:paraId="0345527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621E9242">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Eastern Sub-Saharan Africa</w:t>
            </w:r>
          </w:p>
        </w:tc>
        <w:tc>
          <w:tcPr>
            <w:tcW w:w="825" w:type="pct"/>
            <w:noWrap/>
            <w:vAlign w:val="center"/>
          </w:tcPr>
          <w:p w14:paraId="5C390F3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24.06%</w:t>
            </w:r>
          </w:p>
        </w:tc>
        <w:tc>
          <w:tcPr>
            <w:tcW w:w="633" w:type="pct"/>
            <w:noWrap/>
            <w:vAlign w:val="center"/>
          </w:tcPr>
          <w:p w14:paraId="140AAB8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29.37%</w:t>
            </w:r>
          </w:p>
        </w:tc>
        <w:tc>
          <w:tcPr>
            <w:tcW w:w="700" w:type="pct"/>
            <w:noWrap/>
            <w:vAlign w:val="center"/>
          </w:tcPr>
          <w:p w14:paraId="7862D9A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19.31%</w:t>
            </w:r>
          </w:p>
        </w:tc>
      </w:tr>
      <w:tr w14:paraId="79AD999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157A1F1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Low SDI</w:t>
            </w:r>
          </w:p>
        </w:tc>
        <w:tc>
          <w:tcPr>
            <w:tcW w:w="825" w:type="pct"/>
            <w:shd w:val="clear" w:color="auto" w:fill="F1F1F1" w:themeFill="background1" w:themeFillShade="F2"/>
            <w:noWrap/>
            <w:vAlign w:val="center"/>
          </w:tcPr>
          <w:p w14:paraId="20899AB9">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23.60%</w:t>
            </w:r>
          </w:p>
        </w:tc>
        <w:tc>
          <w:tcPr>
            <w:tcW w:w="633" w:type="pct"/>
            <w:shd w:val="clear" w:color="auto" w:fill="F1F1F1" w:themeFill="background1" w:themeFillShade="F2"/>
            <w:noWrap/>
            <w:vAlign w:val="center"/>
          </w:tcPr>
          <w:p w14:paraId="5A01629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28.81%</w:t>
            </w:r>
          </w:p>
        </w:tc>
        <w:tc>
          <w:tcPr>
            <w:tcW w:w="700" w:type="pct"/>
            <w:shd w:val="clear" w:color="auto" w:fill="F1F1F1" w:themeFill="background1" w:themeFillShade="F2"/>
            <w:noWrap/>
            <w:vAlign w:val="center"/>
          </w:tcPr>
          <w:p w14:paraId="022FAA8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19.00%</w:t>
            </w:r>
          </w:p>
        </w:tc>
      </w:tr>
      <w:tr w14:paraId="3903C39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13EA1791">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South-East Asia Region</w:t>
            </w:r>
          </w:p>
        </w:tc>
        <w:tc>
          <w:tcPr>
            <w:tcW w:w="825" w:type="pct"/>
            <w:noWrap/>
            <w:vAlign w:val="center"/>
          </w:tcPr>
          <w:p w14:paraId="3456105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23.14%</w:t>
            </w:r>
          </w:p>
        </w:tc>
        <w:tc>
          <w:tcPr>
            <w:tcW w:w="633" w:type="pct"/>
            <w:noWrap/>
            <w:vAlign w:val="center"/>
          </w:tcPr>
          <w:p w14:paraId="64BCE5B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28.42%</w:t>
            </w:r>
          </w:p>
        </w:tc>
        <w:tc>
          <w:tcPr>
            <w:tcW w:w="700" w:type="pct"/>
            <w:noWrap/>
            <w:vAlign w:val="center"/>
          </w:tcPr>
          <w:p w14:paraId="3DC4913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18.49%</w:t>
            </w:r>
          </w:p>
        </w:tc>
      </w:tr>
      <w:tr w14:paraId="34E9DE6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shd w:val="clear" w:color="auto" w:fill="F1F1F1" w:themeFill="background1" w:themeFillShade="F2"/>
            <w:noWrap/>
            <w:vAlign w:val="center"/>
          </w:tcPr>
          <w:p w14:paraId="60748007">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 Asia - WB</w:t>
            </w:r>
          </w:p>
        </w:tc>
        <w:tc>
          <w:tcPr>
            <w:tcW w:w="825" w:type="pct"/>
            <w:shd w:val="clear" w:color="auto" w:fill="F1F1F1" w:themeFill="background1" w:themeFillShade="F2"/>
            <w:noWrap/>
            <w:vAlign w:val="center"/>
          </w:tcPr>
          <w:p w14:paraId="4155207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22.89%</w:t>
            </w:r>
          </w:p>
        </w:tc>
        <w:tc>
          <w:tcPr>
            <w:tcW w:w="633" w:type="pct"/>
            <w:shd w:val="clear" w:color="auto" w:fill="F1F1F1" w:themeFill="background1" w:themeFillShade="F2"/>
            <w:noWrap/>
            <w:vAlign w:val="center"/>
          </w:tcPr>
          <w:p w14:paraId="79CB063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28.22%</w:t>
            </w:r>
          </w:p>
        </w:tc>
        <w:tc>
          <w:tcPr>
            <w:tcW w:w="700" w:type="pct"/>
            <w:shd w:val="clear" w:color="auto" w:fill="F1F1F1" w:themeFill="background1" w:themeFillShade="F2"/>
            <w:noWrap/>
            <w:vAlign w:val="center"/>
          </w:tcPr>
          <w:p w14:paraId="7CBB34E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18.20%</w:t>
            </w:r>
          </w:p>
        </w:tc>
      </w:tr>
      <w:tr w14:paraId="7AB7EE8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840" w:type="pct"/>
            <w:tcBorders>
              <w:right w:val="single" w:color="7E7E7E" w:themeColor="text1" w:themeTint="80" w:sz="4" w:space="0"/>
              <w:insideV w:val="single" w:sz="4" w:space="0"/>
            </w:tcBorders>
            <w:noWrap/>
            <w:vAlign w:val="center"/>
          </w:tcPr>
          <w:p w14:paraId="0B0711AF">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 Asia</w:t>
            </w:r>
          </w:p>
        </w:tc>
        <w:tc>
          <w:tcPr>
            <w:tcW w:w="825" w:type="pct"/>
            <w:noWrap/>
            <w:vAlign w:val="center"/>
          </w:tcPr>
          <w:p w14:paraId="4D7A61E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22.59%</w:t>
            </w:r>
          </w:p>
        </w:tc>
        <w:tc>
          <w:tcPr>
            <w:tcW w:w="633" w:type="pct"/>
            <w:noWrap/>
            <w:vAlign w:val="center"/>
          </w:tcPr>
          <w:p w14:paraId="6B0AC9C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27.88%</w:t>
            </w:r>
          </w:p>
        </w:tc>
        <w:tc>
          <w:tcPr>
            <w:tcW w:w="700" w:type="pct"/>
            <w:noWrap/>
            <w:vAlign w:val="center"/>
          </w:tcPr>
          <w:p w14:paraId="17ED03D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17.96%</w:t>
            </w:r>
          </w:p>
        </w:tc>
      </w:tr>
    </w:tbl>
    <w:p w14:paraId="12AFF445">
      <w:pPr>
        <w:jc w:val="center"/>
        <w:rPr>
          <w:rFonts w:hint="eastAsia" w:ascii="Times New Roman" w:hAnsi="Times New Roman" w:cs="Times New Roman"/>
        </w:rPr>
      </w:pPr>
    </w:p>
    <w:p w14:paraId="5E58E33D">
      <w:pPr>
        <w:jc w:val="center"/>
        <w:rPr>
          <w:rFonts w:ascii="Times New Roman" w:hAnsi="Times New Roman" w:cs="Times New Roman"/>
          <w:sz w:val="24"/>
          <w:szCs w:val="24"/>
        </w:rPr>
      </w:pPr>
      <w:r>
        <w:rPr>
          <w:rFonts w:hint="eastAsia" w:ascii="Times New Roman" w:hAnsi="Times New Roman" w:cs="Times New Roman"/>
          <w:b/>
          <w:bCs/>
          <w:sz w:val="24"/>
          <w:szCs w:val="24"/>
        </w:rPr>
        <w:t>Table 6</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Proportional attributable fraction of </w:t>
      </w:r>
      <w:r>
        <w:rPr>
          <w:rFonts w:hint="eastAsia" w:ascii="Times New Roman" w:hAnsi="Times New Roman" w:cs="Times New Roman"/>
          <w:sz w:val="24"/>
          <w:szCs w:val="24"/>
        </w:rPr>
        <w:t>Impaired kidney function</w:t>
      </w:r>
      <w:r>
        <w:rPr>
          <w:rFonts w:ascii="Times New Roman" w:hAnsi="Times New Roman" w:cs="Times New Roman"/>
          <w:sz w:val="24"/>
          <w:szCs w:val="24"/>
        </w:rPr>
        <w:t xml:space="preserve"> by </w:t>
      </w:r>
      <w:r>
        <w:rPr>
          <w:rFonts w:hint="eastAsia" w:ascii="Times New Roman" w:hAnsi="Times New Roman" w:cs="Times New Roman"/>
          <w:sz w:val="24"/>
          <w:szCs w:val="24"/>
        </w:rPr>
        <w:t xml:space="preserve">GBD </w:t>
      </w:r>
      <w:r>
        <w:rPr>
          <w:rFonts w:ascii="Times New Roman" w:hAnsi="Times New Roman" w:cs="Times New Roman"/>
          <w:sz w:val="24"/>
          <w:szCs w:val="24"/>
        </w:rPr>
        <w:t>regions.</w:t>
      </w:r>
    </w:p>
    <w:tbl>
      <w:tblPr>
        <w:tblStyle w:val="12"/>
        <w:tblW w:w="4998" w:type="pct"/>
        <w:jc w:val="center"/>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4963"/>
        <w:gridCol w:w="1374"/>
        <w:gridCol w:w="1031"/>
        <w:gridCol w:w="1151"/>
      </w:tblGrid>
      <w:tr w14:paraId="6CC8C09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2912" w:type="pct"/>
            <w:tcBorders>
              <w:bottom w:val="single" w:color="7E7E7E" w:themeColor="text1" w:themeTint="80" w:sz="4" w:space="0"/>
              <w:right w:val="nil"/>
              <w:insideH w:val="single" w:sz="4" w:space="0"/>
            </w:tcBorders>
            <w:noWrap/>
            <w:vAlign w:val="center"/>
          </w:tcPr>
          <w:p w14:paraId="130A0077">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location_name</w:t>
            </w:r>
          </w:p>
        </w:tc>
        <w:tc>
          <w:tcPr>
            <w:tcW w:w="806" w:type="pct"/>
            <w:tcBorders>
              <w:bottom w:val="single" w:color="7E7E7E" w:themeColor="text1" w:themeTint="80" w:sz="4" w:space="0"/>
              <w:insideH w:val="single" w:sz="4" w:space="0"/>
            </w:tcBorders>
            <w:noWrap/>
            <w:vAlign w:val="center"/>
          </w:tcPr>
          <w:p w14:paraId="543AA30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percent</w:t>
            </w:r>
          </w:p>
        </w:tc>
        <w:tc>
          <w:tcPr>
            <w:tcW w:w="605" w:type="pct"/>
            <w:tcBorders>
              <w:bottom w:val="single" w:color="7E7E7E" w:themeColor="text1" w:themeTint="80" w:sz="4" w:space="0"/>
              <w:insideH w:val="single" w:sz="4" w:space="0"/>
            </w:tcBorders>
            <w:noWrap/>
            <w:vAlign w:val="center"/>
          </w:tcPr>
          <w:p w14:paraId="688E1312">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upper</w:t>
            </w:r>
          </w:p>
        </w:tc>
        <w:tc>
          <w:tcPr>
            <w:tcW w:w="675" w:type="pct"/>
            <w:tcBorders>
              <w:bottom w:val="single" w:color="7E7E7E" w:themeColor="text1" w:themeTint="80" w:sz="4" w:space="0"/>
              <w:insideH w:val="single" w:sz="4" w:space="0"/>
            </w:tcBorders>
            <w:noWrap/>
            <w:vAlign w:val="center"/>
          </w:tcPr>
          <w:p w14:paraId="2D7E9938">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lower</w:t>
            </w:r>
          </w:p>
        </w:tc>
      </w:tr>
      <w:tr w14:paraId="76EA703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6C91A3D1">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Southeast Asia</w:t>
            </w:r>
          </w:p>
        </w:tc>
        <w:tc>
          <w:tcPr>
            <w:tcW w:w="806" w:type="pct"/>
            <w:shd w:val="clear" w:color="auto" w:fill="F1F1F1" w:themeFill="background1" w:themeFillShade="F2"/>
            <w:noWrap/>
            <w:vAlign w:val="center"/>
          </w:tcPr>
          <w:p w14:paraId="6CEB210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2.96%</w:t>
            </w:r>
          </w:p>
        </w:tc>
        <w:tc>
          <w:tcPr>
            <w:tcW w:w="605" w:type="pct"/>
            <w:shd w:val="clear" w:color="auto" w:fill="F1F1F1" w:themeFill="background1" w:themeFillShade="F2"/>
            <w:noWrap/>
            <w:vAlign w:val="center"/>
          </w:tcPr>
          <w:p w14:paraId="135FB13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3.76%</w:t>
            </w:r>
          </w:p>
        </w:tc>
        <w:tc>
          <w:tcPr>
            <w:tcW w:w="675" w:type="pct"/>
            <w:shd w:val="clear" w:color="auto" w:fill="F1F1F1" w:themeFill="background1" w:themeFillShade="F2"/>
            <w:noWrap/>
            <w:vAlign w:val="center"/>
          </w:tcPr>
          <w:p w14:paraId="591E352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2.28%</w:t>
            </w:r>
          </w:p>
        </w:tc>
      </w:tr>
      <w:tr w14:paraId="213A7CE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1ADFAD4C">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East Asia</w:t>
            </w:r>
          </w:p>
        </w:tc>
        <w:tc>
          <w:tcPr>
            <w:tcW w:w="806" w:type="pct"/>
            <w:noWrap/>
            <w:vAlign w:val="center"/>
          </w:tcPr>
          <w:p w14:paraId="5860ED5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1.87%</w:t>
            </w:r>
          </w:p>
        </w:tc>
        <w:tc>
          <w:tcPr>
            <w:tcW w:w="605" w:type="pct"/>
            <w:noWrap/>
            <w:vAlign w:val="center"/>
          </w:tcPr>
          <w:p w14:paraId="197DB4D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2.38%</w:t>
            </w:r>
          </w:p>
        </w:tc>
        <w:tc>
          <w:tcPr>
            <w:tcW w:w="675" w:type="pct"/>
            <w:noWrap/>
            <w:vAlign w:val="center"/>
          </w:tcPr>
          <w:p w14:paraId="068E6EB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1.42%</w:t>
            </w:r>
          </w:p>
        </w:tc>
      </w:tr>
      <w:tr w14:paraId="59FE916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5BD6B7FB">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Global</w:t>
            </w:r>
          </w:p>
        </w:tc>
        <w:tc>
          <w:tcPr>
            <w:tcW w:w="806" w:type="pct"/>
            <w:shd w:val="clear" w:color="auto" w:fill="F1F1F1" w:themeFill="background1" w:themeFillShade="F2"/>
            <w:noWrap/>
            <w:vAlign w:val="center"/>
          </w:tcPr>
          <w:p w14:paraId="25FC87F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2.58%</w:t>
            </w:r>
          </w:p>
        </w:tc>
        <w:tc>
          <w:tcPr>
            <w:tcW w:w="605" w:type="pct"/>
            <w:shd w:val="clear" w:color="auto" w:fill="F1F1F1" w:themeFill="background1" w:themeFillShade="F2"/>
            <w:noWrap/>
            <w:vAlign w:val="center"/>
          </w:tcPr>
          <w:p w14:paraId="63F9BBB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3.26%</w:t>
            </w:r>
          </w:p>
        </w:tc>
        <w:tc>
          <w:tcPr>
            <w:tcW w:w="675" w:type="pct"/>
            <w:shd w:val="clear" w:color="auto" w:fill="F1F1F1" w:themeFill="background1" w:themeFillShade="F2"/>
            <w:noWrap/>
            <w:vAlign w:val="center"/>
          </w:tcPr>
          <w:p w14:paraId="7EA34E4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2.00%</w:t>
            </w:r>
          </w:p>
        </w:tc>
      </w:tr>
      <w:tr w14:paraId="51920D6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161CB1E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Oceania</w:t>
            </w:r>
          </w:p>
        </w:tc>
        <w:tc>
          <w:tcPr>
            <w:tcW w:w="806" w:type="pct"/>
            <w:noWrap/>
            <w:vAlign w:val="center"/>
          </w:tcPr>
          <w:p w14:paraId="3EC56469">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2.86%</w:t>
            </w:r>
          </w:p>
        </w:tc>
        <w:tc>
          <w:tcPr>
            <w:tcW w:w="605" w:type="pct"/>
            <w:noWrap/>
            <w:vAlign w:val="center"/>
          </w:tcPr>
          <w:p w14:paraId="35A9E1F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3.65%</w:t>
            </w:r>
          </w:p>
        </w:tc>
        <w:tc>
          <w:tcPr>
            <w:tcW w:w="675" w:type="pct"/>
            <w:noWrap/>
            <w:vAlign w:val="center"/>
          </w:tcPr>
          <w:p w14:paraId="514EA80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2.20%</w:t>
            </w:r>
          </w:p>
        </w:tc>
      </w:tr>
      <w:tr w14:paraId="391B7F8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6B1A27D3">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Central Asia</w:t>
            </w:r>
          </w:p>
        </w:tc>
        <w:tc>
          <w:tcPr>
            <w:tcW w:w="806" w:type="pct"/>
            <w:shd w:val="clear" w:color="auto" w:fill="F1F1F1" w:themeFill="background1" w:themeFillShade="F2"/>
            <w:noWrap/>
            <w:vAlign w:val="center"/>
          </w:tcPr>
          <w:p w14:paraId="1608AC5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5.74%</w:t>
            </w:r>
          </w:p>
        </w:tc>
        <w:tc>
          <w:tcPr>
            <w:tcW w:w="605" w:type="pct"/>
            <w:shd w:val="clear" w:color="auto" w:fill="F1F1F1" w:themeFill="background1" w:themeFillShade="F2"/>
            <w:noWrap/>
            <w:vAlign w:val="center"/>
          </w:tcPr>
          <w:p w14:paraId="65C7515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7.26%</w:t>
            </w:r>
          </w:p>
        </w:tc>
        <w:tc>
          <w:tcPr>
            <w:tcW w:w="675" w:type="pct"/>
            <w:shd w:val="clear" w:color="auto" w:fill="F1F1F1" w:themeFill="background1" w:themeFillShade="F2"/>
            <w:noWrap/>
            <w:vAlign w:val="center"/>
          </w:tcPr>
          <w:p w14:paraId="2A87DC4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4.43%</w:t>
            </w:r>
          </w:p>
        </w:tc>
      </w:tr>
      <w:tr w14:paraId="70A1965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6EF8BDDA">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Central Europe</w:t>
            </w:r>
          </w:p>
        </w:tc>
        <w:tc>
          <w:tcPr>
            <w:tcW w:w="806" w:type="pct"/>
            <w:noWrap/>
            <w:vAlign w:val="center"/>
          </w:tcPr>
          <w:p w14:paraId="0763DBF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3.04%</w:t>
            </w:r>
          </w:p>
        </w:tc>
        <w:tc>
          <w:tcPr>
            <w:tcW w:w="605" w:type="pct"/>
            <w:noWrap/>
            <w:vAlign w:val="center"/>
          </w:tcPr>
          <w:p w14:paraId="1CFACD4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3.86%</w:t>
            </w:r>
          </w:p>
        </w:tc>
        <w:tc>
          <w:tcPr>
            <w:tcW w:w="675" w:type="pct"/>
            <w:noWrap/>
            <w:vAlign w:val="center"/>
          </w:tcPr>
          <w:p w14:paraId="5CA2E7C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2.33%</w:t>
            </w:r>
          </w:p>
        </w:tc>
      </w:tr>
      <w:tr w14:paraId="7A8EB465">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0211E03A">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Eastern Europe</w:t>
            </w:r>
          </w:p>
        </w:tc>
        <w:tc>
          <w:tcPr>
            <w:tcW w:w="806" w:type="pct"/>
            <w:shd w:val="clear" w:color="auto" w:fill="F1F1F1" w:themeFill="background1" w:themeFillShade="F2"/>
            <w:noWrap/>
            <w:vAlign w:val="center"/>
          </w:tcPr>
          <w:p w14:paraId="11DFF84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3.07%</w:t>
            </w:r>
          </w:p>
        </w:tc>
        <w:tc>
          <w:tcPr>
            <w:tcW w:w="605" w:type="pct"/>
            <w:shd w:val="clear" w:color="auto" w:fill="F1F1F1" w:themeFill="background1" w:themeFillShade="F2"/>
            <w:noWrap/>
            <w:vAlign w:val="center"/>
          </w:tcPr>
          <w:p w14:paraId="5843CAC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3.93%</w:t>
            </w:r>
          </w:p>
        </w:tc>
        <w:tc>
          <w:tcPr>
            <w:tcW w:w="675" w:type="pct"/>
            <w:shd w:val="clear" w:color="auto" w:fill="F1F1F1" w:themeFill="background1" w:themeFillShade="F2"/>
            <w:noWrap/>
            <w:vAlign w:val="center"/>
          </w:tcPr>
          <w:p w14:paraId="3BC7C99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2.34%</w:t>
            </w:r>
          </w:p>
        </w:tc>
      </w:tr>
      <w:tr w14:paraId="3187C40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4FAB8C83">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High-income Asia Pacific</w:t>
            </w:r>
          </w:p>
        </w:tc>
        <w:tc>
          <w:tcPr>
            <w:tcW w:w="806" w:type="pct"/>
            <w:noWrap/>
            <w:vAlign w:val="center"/>
          </w:tcPr>
          <w:p w14:paraId="729A4D3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2.36%</w:t>
            </w:r>
          </w:p>
        </w:tc>
        <w:tc>
          <w:tcPr>
            <w:tcW w:w="605" w:type="pct"/>
            <w:noWrap/>
            <w:vAlign w:val="center"/>
          </w:tcPr>
          <w:p w14:paraId="2491191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3.02%</w:t>
            </w:r>
          </w:p>
        </w:tc>
        <w:tc>
          <w:tcPr>
            <w:tcW w:w="675" w:type="pct"/>
            <w:noWrap/>
            <w:vAlign w:val="center"/>
          </w:tcPr>
          <w:p w14:paraId="6D7B62B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1.83%</w:t>
            </w:r>
          </w:p>
        </w:tc>
      </w:tr>
      <w:tr w14:paraId="26FD2B8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40781297">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Australasia</w:t>
            </w:r>
          </w:p>
        </w:tc>
        <w:tc>
          <w:tcPr>
            <w:tcW w:w="806" w:type="pct"/>
            <w:shd w:val="clear" w:color="auto" w:fill="F1F1F1" w:themeFill="background1" w:themeFillShade="F2"/>
            <w:noWrap/>
            <w:vAlign w:val="center"/>
          </w:tcPr>
          <w:p w14:paraId="6C1E993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1.53%</w:t>
            </w:r>
          </w:p>
        </w:tc>
        <w:tc>
          <w:tcPr>
            <w:tcW w:w="605" w:type="pct"/>
            <w:shd w:val="clear" w:color="auto" w:fill="F1F1F1" w:themeFill="background1" w:themeFillShade="F2"/>
            <w:noWrap/>
            <w:vAlign w:val="center"/>
          </w:tcPr>
          <w:p w14:paraId="6CE7BA6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2.00%</w:t>
            </w:r>
          </w:p>
        </w:tc>
        <w:tc>
          <w:tcPr>
            <w:tcW w:w="675" w:type="pct"/>
            <w:shd w:val="clear" w:color="auto" w:fill="F1F1F1" w:themeFill="background1" w:themeFillShade="F2"/>
            <w:noWrap/>
            <w:vAlign w:val="center"/>
          </w:tcPr>
          <w:p w14:paraId="10E7C85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1.16%</w:t>
            </w:r>
          </w:p>
        </w:tc>
      </w:tr>
      <w:tr w14:paraId="5E5E608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597C0B9F">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Western Europe</w:t>
            </w:r>
          </w:p>
        </w:tc>
        <w:tc>
          <w:tcPr>
            <w:tcW w:w="806" w:type="pct"/>
            <w:noWrap/>
            <w:vAlign w:val="center"/>
          </w:tcPr>
          <w:p w14:paraId="7777014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1.74%</w:t>
            </w:r>
          </w:p>
        </w:tc>
        <w:tc>
          <w:tcPr>
            <w:tcW w:w="605" w:type="pct"/>
            <w:noWrap/>
            <w:vAlign w:val="center"/>
          </w:tcPr>
          <w:p w14:paraId="2B792C7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2.23%</w:t>
            </w:r>
          </w:p>
        </w:tc>
        <w:tc>
          <w:tcPr>
            <w:tcW w:w="675" w:type="pct"/>
            <w:noWrap/>
            <w:vAlign w:val="center"/>
          </w:tcPr>
          <w:p w14:paraId="62AB3D5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1.33%</w:t>
            </w:r>
          </w:p>
        </w:tc>
      </w:tr>
      <w:tr w14:paraId="15309C3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65AA9813">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Southern Latin America</w:t>
            </w:r>
          </w:p>
        </w:tc>
        <w:tc>
          <w:tcPr>
            <w:tcW w:w="806" w:type="pct"/>
            <w:shd w:val="clear" w:color="auto" w:fill="F1F1F1" w:themeFill="background1" w:themeFillShade="F2"/>
            <w:noWrap/>
            <w:vAlign w:val="center"/>
          </w:tcPr>
          <w:p w14:paraId="73BF922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1.53%</w:t>
            </w:r>
          </w:p>
        </w:tc>
        <w:tc>
          <w:tcPr>
            <w:tcW w:w="605" w:type="pct"/>
            <w:shd w:val="clear" w:color="auto" w:fill="F1F1F1" w:themeFill="background1" w:themeFillShade="F2"/>
            <w:noWrap/>
            <w:vAlign w:val="center"/>
          </w:tcPr>
          <w:p w14:paraId="1757EDA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1.96%</w:t>
            </w:r>
          </w:p>
        </w:tc>
        <w:tc>
          <w:tcPr>
            <w:tcW w:w="675" w:type="pct"/>
            <w:shd w:val="clear" w:color="auto" w:fill="F1F1F1" w:themeFill="background1" w:themeFillShade="F2"/>
            <w:noWrap/>
            <w:vAlign w:val="center"/>
          </w:tcPr>
          <w:p w14:paraId="23447B0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1.18%</w:t>
            </w:r>
          </w:p>
        </w:tc>
      </w:tr>
      <w:tr w14:paraId="2B3B8CE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04E53682">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High-income North America</w:t>
            </w:r>
          </w:p>
        </w:tc>
        <w:tc>
          <w:tcPr>
            <w:tcW w:w="806" w:type="pct"/>
            <w:noWrap/>
            <w:vAlign w:val="center"/>
          </w:tcPr>
          <w:p w14:paraId="18BB38F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2.57%</w:t>
            </w:r>
          </w:p>
        </w:tc>
        <w:tc>
          <w:tcPr>
            <w:tcW w:w="605" w:type="pct"/>
            <w:noWrap/>
            <w:vAlign w:val="center"/>
          </w:tcPr>
          <w:p w14:paraId="6185404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3.23%</w:t>
            </w:r>
          </w:p>
        </w:tc>
        <w:tc>
          <w:tcPr>
            <w:tcW w:w="675" w:type="pct"/>
            <w:noWrap/>
            <w:vAlign w:val="center"/>
          </w:tcPr>
          <w:p w14:paraId="5000013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1.98%</w:t>
            </w:r>
          </w:p>
        </w:tc>
      </w:tr>
      <w:tr w14:paraId="11AB025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26982473">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Caribbean</w:t>
            </w:r>
          </w:p>
        </w:tc>
        <w:tc>
          <w:tcPr>
            <w:tcW w:w="806" w:type="pct"/>
            <w:shd w:val="clear" w:color="auto" w:fill="F1F1F1" w:themeFill="background1" w:themeFillShade="F2"/>
            <w:noWrap/>
            <w:vAlign w:val="center"/>
          </w:tcPr>
          <w:p w14:paraId="656124C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2.86%</w:t>
            </w:r>
          </w:p>
        </w:tc>
        <w:tc>
          <w:tcPr>
            <w:tcW w:w="605" w:type="pct"/>
            <w:shd w:val="clear" w:color="auto" w:fill="F1F1F1" w:themeFill="background1" w:themeFillShade="F2"/>
            <w:noWrap/>
            <w:vAlign w:val="center"/>
          </w:tcPr>
          <w:p w14:paraId="5ACD399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3.66%</w:t>
            </w:r>
          </w:p>
        </w:tc>
        <w:tc>
          <w:tcPr>
            <w:tcW w:w="675" w:type="pct"/>
            <w:shd w:val="clear" w:color="auto" w:fill="F1F1F1" w:themeFill="background1" w:themeFillShade="F2"/>
            <w:noWrap/>
            <w:vAlign w:val="center"/>
          </w:tcPr>
          <w:p w14:paraId="0E27386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2.20%</w:t>
            </w:r>
          </w:p>
        </w:tc>
      </w:tr>
      <w:tr w14:paraId="78FF1FD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688564F2">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Andean Latin America</w:t>
            </w:r>
          </w:p>
        </w:tc>
        <w:tc>
          <w:tcPr>
            <w:tcW w:w="806" w:type="pct"/>
            <w:noWrap/>
            <w:vAlign w:val="center"/>
          </w:tcPr>
          <w:p w14:paraId="72A473D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2.15%</w:t>
            </w:r>
          </w:p>
        </w:tc>
        <w:tc>
          <w:tcPr>
            <w:tcW w:w="605" w:type="pct"/>
            <w:noWrap/>
            <w:vAlign w:val="center"/>
          </w:tcPr>
          <w:p w14:paraId="29FC25F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2.84%</w:t>
            </w:r>
          </w:p>
        </w:tc>
        <w:tc>
          <w:tcPr>
            <w:tcW w:w="675" w:type="pct"/>
            <w:noWrap/>
            <w:vAlign w:val="center"/>
          </w:tcPr>
          <w:p w14:paraId="494862B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1.65%</w:t>
            </w:r>
          </w:p>
        </w:tc>
      </w:tr>
      <w:tr w14:paraId="2C5D6B0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6E74E7B2">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Central Latin America</w:t>
            </w:r>
          </w:p>
        </w:tc>
        <w:tc>
          <w:tcPr>
            <w:tcW w:w="806" w:type="pct"/>
            <w:shd w:val="clear" w:color="auto" w:fill="F1F1F1" w:themeFill="background1" w:themeFillShade="F2"/>
            <w:noWrap/>
            <w:vAlign w:val="center"/>
          </w:tcPr>
          <w:p w14:paraId="3D34B43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3.79%</w:t>
            </w:r>
          </w:p>
        </w:tc>
        <w:tc>
          <w:tcPr>
            <w:tcW w:w="605" w:type="pct"/>
            <w:shd w:val="clear" w:color="auto" w:fill="F1F1F1" w:themeFill="background1" w:themeFillShade="F2"/>
            <w:noWrap/>
            <w:vAlign w:val="center"/>
          </w:tcPr>
          <w:p w14:paraId="29F3767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4.86%</w:t>
            </w:r>
          </w:p>
        </w:tc>
        <w:tc>
          <w:tcPr>
            <w:tcW w:w="675" w:type="pct"/>
            <w:shd w:val="clear" w:color="auto" w:fill="F1F1F1" w:themeFill="background1" w:themeFillShade="F2"/>
            <w:noWrap/>
            <w:vAlign w:val="center"/>
          </w:tcPr>
          <w:p w14:paraId="7C14285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2.88%</w:t>
            </w:r>
          </w:p>
        </w:tc>
      </w:tr>
      <w:tr w14:paraId="48A8FB0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16DFAD1C">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Tropical Latin America</w:t>
            </w:r>
          </w:p>
        </w:tc>
        <w:tc>
          <w:tcPr>
            <w:tcW w:w="806" w:type="pct"/>
            <w:noWrap/>
            <w:vAlign w:val="center"/>
          </w:tcPr>
          <w:p w14:paraId="1D3FDC3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3.99%</w:t>
            </w:r>
          </w:p>
        </w:tc>
        <w:tc>
          <w:tcPr>
            <w:tcW w:w="605" w:type="pct"/>
            <w:noWrap/>
            <w:vAlign w:val="center"/>
          </w:tcPr>
          <w:p w14:paraId="35F124D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5.14%</w:t>
            </w:r>
          </w:p>
        </w:tc>
        <w:tc>
          <w:tcPr>
            <w:tcW w:w="675" w:type="pct"/>
            <w:noWrap/>
            <w:vAlign w:val="center"/>
          </w:tcPr>
          <w:p w14:paraId="7F1E4E2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3.02%</w:t>
            </w:r>
          </w:p>
        </w:tc>
      </w:tr>
      <w:tr w14:paraId="3FA71B8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15B3BCE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North Africa and Middle East</w:t>
            </w:r>
          </w:p>
        </w:tc>
        <w:tc>
          <w:tcPr>
            <w:tcW w:w="806" w:type="pct"/>
            <w:shd w:val="clear" w:color="auto" w:fill="F1F1F1" w:themeFill="background1" w:themeFillShade="F2"/>
            <w:noWrap/>
            <w:vAlign w:val="center"/>
          </w:tcPr>
          <w:p w14:paraId="235C945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3.23%</w:t>
            </w:r>
          </w:p>
        </w:tc>
        <w:tc>
          <w:tcPr>
            <w:tcW w:w="605" w:type="pct"/>
            <w:shd w:val="clear" w:color="auto" w:fill="F1F1F1" w:themeFill="background1" w:themeFillShade="F2"/>
            <w:noWrap/>
            <w:vAlign w:val="center"/>
          </w:tcPr>
          <w:p w14:paraId="31B3BBE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4.15%</w:t>
            </w:r>
          </w:p>
        </w:tc>
        <w:tc>
          <w:tcPr>
            <w:tcW w:w="675" w:type="pct"/>
            <w:shd w:val="clear" w:color="auto" w:fill="F1F1F1" w:themeFill="background1" w:themeFillShade="F2"/>
            <w:noWrap/>
            <w:vAlign w:val="center"/>
          </w:tcPr>
          <w:p w14:paraId="573C4EC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2.50%</w:t>
            </w:r>
          </w:p>
        </w:tc>
      </w:tr>
      <w:tr w14:paraId="450251E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08D81830">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 Asia</w:t>
            </w:r>
          </w:p>
        </w:tc>
        <w:tc>
          <w:tcPr>
            <w:tcW w:w="806" w:type="pct"/>
            <w:noWrap/>
            <w:vAlign w:val="center"/>
          </w:tcPr>
          <w:p w14:paraId="462F0B0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3.19%</w:t>
            </w:r>
          </w:p>
        </w:tc>
        <w:tc>
          <w:tcPr>
            <w:tcW w:w="605" w:type="pct"/>
            <w:noWrap/>
            <w:vAlign w:val="center"/>
          </w:tcPr>
          <w:p w14:paraId="15C5EC8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4.02%</w:t>
            </w:r>
          </w:p>
        </w:tc>
        <w:tc>
          <w:tcPr>
            <w:tcW w:w="675" w:type="pct"/>
            <w:noWrap/>
            <w:vAlign w:val="center"/>
          </w:tcPr>
          <w:p w14:paraId="65107FC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2.44%</w:t>
            </w:r>
          </w:p>
        </w:tc>
      </w:tr>
      <w:tr w14:paraId="6FE30A5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050DD521">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Central Sub-Saharan Africa</w:t>
            </w:r>
          </w:p>
        </w:tc>
        <w:tc>
          <w:tcPr>
            <w:tcW w:w="806" w:type="pct"/>
            <w:shd w:val="clear" w:color="auto" w:fill="F1F1F1" w:themeFill="background1" w:themeFillShade="F2"/>
            <w:noWrap/>
            <w:vAlign w:val="center"/>
          </w:tcPr>
          <w:p w14:paraId="2AF4547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5.73%</w:t>
            </w:r>
          </w:p>
        </w:tc>
        <w:tc>
          <w:tcPr>
            <w:tcW w:w="605" w:type="pct"/>
            <w:shd w:val="clear" w:color="auto" w:fill="F1F1F1" w:themeFill="background1" w:themeFillShade="F2"/>
            <w:noWrap/>
            <w:vAlign w:val="center"/>
          </w:tcPr>
          <w:p w14:paraId="7A584DF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7.31%</w:t>
            </w:r>
          </w:p>
        </w:tc>
        <w:tc>
          <w:tcPr>
            <w:tcW w:w="675" w:type="pct"/>
            <w:shd w:val="clear" w:color="auto" w:fill="F1F1F1" w:themeFill="background1" w:themeFillShade="F2"/>
            <w:noWrap/>
            <w:vAlign w:val="center"/>
          </w:tcPr>
          <w:p w14:paraId="28B2D6B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4.29%</w:t>
            </w:r>
          </w:p>
        </w:tc>
      </w:tr>
      <w:tr w14:paraId="1D5A0FE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74113EE4">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Eastern Sub-Saharan Africa</w:t>
            </w:r>
          </w:p>
        </w:tc>
        <w:tc>
          <w:tcPr>
            <w:tcW w:w="806" w:type="pct"/>
            <w:noWrap/>
            <w:vAlign w:val="center"/>
          </w:tcPr>
          <w:p w14:paraId="1627FC9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1.71%</w:t>
            </w:r>
          </w:p>
        </w:tc>
        <w:tc>
          <w:tcPr>
            <w:tcW w:w="605" w:type="pct"/>
            <w:noWrap/>
            <w:vAlign w:val="center"/>
          </w:tcPr>
          <w:p w14:paraId="1712005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2.20%</w:t>
            </w:r>
          </w:p>
        </w:tc>
        <w:tc>
          <w:tcPr>
            <w:tcW w:w="675" w:type="pct"/>
            <w:noWrap/>
            <w:vAlign w:val="center"/>
          </w:tcPr>
          <w:p w14:paraId="28A3575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1.30%</w:t>
            </w:r>
          </w:p>
        </w:tc>
      </w:tr>
      <w:tr w14:paraId="7110DD8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2321CBD8">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Southern Sub-Saharan Africa</w:t>
            </w:r>
          </w:p>
        </w:tc>
        <w:tc>
          <w:tcPr>
            <w:tcW w:w="806" w:type="pct"/>
            <w:shd w:val="clear" w:color="auto" w:fill="F1F1F1" w:themeFill="background1" w:themeFillShade="F2"/>
            <w:noWrap/>
            <w:vAlign w:val="center"/>
          </w:tcPr>
          <w:p w14:paraId="2AFEA8B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4.80%</w:t>
            </w:r>
          </w:p>
        </w:tc>
        <w:tc>
          <w:tcPr>
            <w:tcW w:w="605" w:type="pct"/>
            <w:shd w:val="clear" w:color="auto" w:fill="F1F1F1" w:themeFill="background1" w:themeFillShade="F2"/>
            <w:noWrap/>
            <w:vAlign w:val="center"/>
          </w:tcPr>
          <w:p w14:paraId="069C828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6.09%</w:t>
            </w:r>
          </w:p>
        </w:tc>
        <w:tc>
          <w:tcPr>
            <w:tcW w:w="675" w:type="pct"/>
            <w:shd w:val="clear" w:color="auto" w:fill="F1F1F1" w:themeFill="background1" w:themeFillShade="F2"/>
            <w:noWrap/>
            <w:vAlign w:val="center"/>
          </w:tcPr>
          <w:p w14:paraId="3D473D8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3.60%</w:t>
            </w:r>
          </w:p>
        </w:tc>
      </w:tr>
      <w:tr w14:paraId="3B7713F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2F10652E">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Western Sub-Saharan Africa</w:t>
            </w:r>
          </w:p>
        </w:tc>
        <w:tc>
          <w:tcPr>
            <w:tcW w:w="806" w:type="pct"/>
            <w:noWrap/>
            <w:vAlign w:val="center"/>
          </w:tcPr>
          <w:p w14:paraId="495F80F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4.55%</w:t>
            </w:r>
          </w:p>
        </w:tc>
        <w:tc>
          <w:tcPr>
            <w:tcW w:w="605" w:type="pct"/>
            <w:noWrap/>
            <w:vAlign w:val="center"/>
          </w:tcPr>
          <w:p w14:paraId="6FE3F36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5.85%</w:t>
            </w:r>
          </w:p>
        </w:tc>
        <w:tc>
          <w:tcPr>
            <w:tcW w:w="675" w:type="pct"/>
            <w:noWrap/>
            <w:vAlign w:val="center"/>
          </w:tcPr>
          <w:p w14:paraId="16FE791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3.45%</w:t>
            </w:r>
          </w:p>
        </w:tc>
      </w:tr>
      <w:tr w14:paraId="24AA993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624674B9">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East Asia &amp; Pacific - WB</w:t>
            </w:r>
          </w:p>
        </w:tc>
        <w:tc>
          <w:tcPr>
            <w:tcW w:w="806" w:type="pct"/>
            <w:shd w:val="clear" w:color="auto" w:fill="F1F1F1" w:themeFill="background1" w:themeFillShade="F2"/>
            <w:noWrap/>
            <w:vAlign w:val="center"/>
          </w:tcPr>
          <w:p w14:paraId="3C50227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2.14%</w:t>
            </w:r>
          </w:p>
        </w:tc>
        <w:tc>
          <w:tcPr>
            <w:tcW w:w="605" w:type="pct"/>
            <w:shd w:val="clear" w:color="auto" w:fill="F1F1F1" w:themeFill="background1" w:themeFillShade="F2"/>
            <w:noWrap/>
            <w:vAlign w:val="center"/>
          </w:tcPr>
          <w:p w14:paraId="6946AF2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2.71%</w:t>
            </w:r>
          </w:p>
        </w:tc>
        <w:tc>
          <w:tcPr>
            <w:tcW w:w="675" w:type="pct"/>
            <w:shd w:val="clear" w:color="auto" w:fill="F1F1F1" w:themeFill="background1" w:themeFillShade="F2"/>
            <w:noWrap/>
            <w:vAlign w:val="center"/>
          </w:tcPr>
          <w:p w14:paraId="57BA646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1.64%</w:t>
            </w:r>
          </w:p>
        </w:tc>
      </w:tr>
      <w:tr w14:paraId="11B84F22">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3FC485A2">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Latin America &amp; Caribbean - WB</w:t>
            </w:r>
          </w:p>
        </w:tc>
        <w:tc>
          <w:tcPr>
            <w:tcW w:w="806" w:type="pct"/>
            <w:noWrap/>
            <w:vAlign w:val="center"/>
          </w:tcPr>
          <w:p w14:paraId="5BAAF2F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3.05%</w:t>
            </w:r>
          </w:p>
        </w:tc>
        <w:tc>
          <w:tcPr>
            <w:tcW w:w="605" w:type="pct"/>
            <w:noWrap/>
            <w:vAlign w:val="center"/>
          </w:tcPr>
          <w:p w14:paraId="4836D1C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3.92%</w:t>
            </w:r>
          </w:p>
        </w:tc>
        <w:tc>
          <w:tcPr>
            <w:tcW w:w="675" w:type="pct"/>
            <w:noWrap/>
            <w:vAlign w:val="center"/>
          </w:tcPr>
          <w:p w14:paraId="7A1BA5E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2.34%</w:t>
            </w:r>
          </w:p>
        </w:tc>
      </w:tr>
      <w:tr w14:paraId="1B6A7147">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66C09873">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Sub-Saharan Africa - WB</w:t>
            </w:r>
          </w:p>
        </w:tc>
        <w:tc>
          <w:tcPr>
            <w:tcW w:w="806" w:type="pct"/>
            <w:shd w:val="clear" w:color="auto" w:fill="F1F1F1" w:themeFill="background1" w:themeFillShade="F2"/>
            <w:noWrap/>
            <w:vAlign w:val="center"/>
          </w:tcPr>
          <w:p w14:paraId="36D81BE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3.68%</w:t>
            </w:r>
          </w:p>
        </w:tc>
        <w:tc>
          <w:tcPr>
            <w:tcW w:w="605" w:type="pct"/>
            <w:shd w:val="clear" w:color="auto" w:fill="F1F1F1" w:themeFill="background1" w:themeFillShade="F2"/>
            <w:noWrap/>
            <w:vAlign w:val="center"/>
          </w:tcPr>
          <w:p w14:paraId="1BB47B1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4.71%</w:t>
            </w:r>
          </w:p>
        </w:tc>
        <w:tc>
          <w:tcPr>
            <w:tcW w:w="675" w:type="pct"/>
            <w:shd w:val="clear" w:color="auto" w:fill="F1F1F1" w:themeFill="background1" w:themeFillShade="F2"/>
            <w:noWrap/>
            <w:vAlign w:val="center"/>
          </w:tcPr>
          <w:p w14:paraId="75E2DDF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2.79%</w:t>
            </w:r>
          </w:p>
        </w:tc>
      </w:tr>
      <w:tr w14:paraId="5231C67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5D885FC6">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 Asia - WB</w:t>
            </w:r>
          </w:p>
        </w:tc>
        <w:tc>
          <w:tcPr>
            <w:tcW w:w="806" w:type="pct"/>
            <w:noWrap/>
            <w:vAlign w:val="center"/>
          </w:tcPr>
          <w:p w14:paraId="47EC669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3.18%</w:t>
            </w:r>
          </w:p>
        </w:tc>
        <w:tc>
          <w:tcPr>
            <w:tcW w:w="605" w:type="pct"/>
            <w:noWrap/>
            <w:vAlign w:val="center"/>
          </w:tcPr>
          <w:p w14:paraId="53294CC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4.01%</w:t>
            </w:r>
          </w:p>
        </w:tc>
        <w:tc>
          <w:tcPr>
            <w:tcW w:w="675" w:type="pct"/>
            <w:noWrap/>
            <w:vAlign w:val="center"/>
          </w:tcPr>
          <w:p w14:paraId="727373E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2.44%</w:t>
            </w:r>
          </w:p>
        </w:tc>
      </w:tr>
      <w:tr w14:paraId="2036971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5A98D9D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Eastern Africa</w:t>
            </w:r>
          </w:p>
        </w:tc>
        <w:tc>
          <w:tcPr>
            <w:tcW w:w="806" w:type="pct"/>
            <w:shd w:val="clear" w:color="auto" w:fill="F1F1F1" w:themeFill="background1" w:themeFillShade="F2"/>
            <w:noWrap/>
            <w:vAlign w:val="center"/>
          </w:tcPr>
          <w:p w14:paraId="333003B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1.87%</w:t>
            </w:r>
          </w:p>
        </w:tc>
        <w:tc>
          <w:tcPr>
            <w:tcW w:w="605" w:type="pct"/>
            <w:shd w:val="clear" w:color="auto" w:fill="F1F1F1" w:themeFill="background1" w:themeFillShade="F2"/>
            <w:noWrap/>
            <w:vAlign w:val="center"/>
          </w:tcPr>
          <w:p w14:paraId="540BF63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2.42%</w:t>
            </w:r>
          </w:p>
        </w:tc>
        <w:tc>
          <w:tcPr>
            <w:tcW w:w="675" w:type="pct"/>
            <w:shd w:val="clear" w:color="auto" w:fill="F1F1F1" w:themeFill="background1" w:themeFillShade="F2"/>
            <w:noWrap/>
            <w:vAlign w:val="center"/>
          </w:tcPr>
          <w:p w14:paraId="69F2BC8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1.43%</w:t>
            </w:r>
          </w:p>
        </w:tc>
      </w:tr>
      <w:tr w14:paraId="7C197E1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694F8C0C">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Middle East &amp; North Africa - WB</w:t>
            </w:r>
          </w:p>
        </w:tc>
        <w:tc>
          <w:tcPr>
            <w:tcW w:w="806" w:type="pct"/>
            <w:noWrap/>
            <w:vAlign w:val="center"/>
          </w:tcPr>
          <w:p w14:paraId="7B70FDF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3.28%</w:t>
            </w:r>
          </w:p>
        </w:tc>
        <w:tc>
          <w:tcPr>
            <w:tcW w:w="605" w:type="pct"/>
            <w:noWrap/>
            <w:vAlign w:val="center"/>
          </w:tcPr>
          <w:p w14:paraId="38CBC08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4.22%</w:t>
            </w:r>
          </w:p>
        </w:tc>
        <w:tc>
          <w:tcPr>
            <w:tcW w:w="675" w:type="pct"/>
            <w:noWrap/>
            <w:vAlign w:val="center"/>
          </w:tcPr>
          <w:p w14:paraId="7BA4CB5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2.53%</w:t>
            </w:r>
          </w:p>
        </w:tc>
      </w:tr>
      <w:tr w14:paraId="47F427D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79079FF5">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Northern Africa</w:t>
            </w:r>
          </w:p>
        </w:tc>
        <w:tc>
          <w:tcPr>
            <w:tcW w:w="806" w:type="pct"/>
            <w:shd w:val="clear" w:color="auto" w:fill="F1F1F1" w:themeFill="background1" w:themeFillShade="F2"/>
            <w:noWrap/>
            <w:vAlign w:val="center"/>
          </w:tcPr>
          <w:p w14:paraId="2288393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3.01%</w:t>
            </w:r>
          </w:p>
        </w:tc>
        <w:tc>
          <w:tcPr>
            <w:tcW w:w="605" w:type="pct"/>
            <w:shd w:val="clear" w:color="auto" w:fill="F1F1F1" w:themeFill="background1" w:themeFillShade="F2"/>
            <w:noWrap/>
            <w:vAlign w:val="center"/>
          </w:tcPr>
          <w:p w14:paraId="5F07AFF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3.85%</w:t>
            </w:r>
          </w:p>
        </w:tc>
        <w:tc>
          <w:tcPr>
            <w:tcW w:w="675" w:type="pct"/>
            <w:shd w:val="clear" w:color="auto" w:fill="F1F1F1" w:themeFill="background1" w:themeFillShade="F2"/>
            <w:noWrap/>
            <w:vAlign w:val="center"/>
          </w:tcPr>
          <w:p w14:paraId="44F6B7C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2.30%</w:t>
            </w:r>
          </w:p>
        </w:tc>
      </w:tr>
      <w:tr w14:paraId="4CA8CCD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7CA9ADA2">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Southern Africa</w:t>
            </w:r>
          </w:p>
        </w:tc>
        <w:tc>
          <w:tcPr>
            <w:tcW w:w="806" w:type="pct"/>
            <w:noWrap/>
            <w:vAlign w:val="center"/>
          </w:tcPr>
          <w:p w14:paraId="38F02C9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4.03%</w:t>
            </w:r>
          </w:p>
        </w:tc>
        <w:tc>
          <w:tcPr>
            <w:tcW w:w="605" w:type="pct"/>
            <w:noWrap/>
            <w:vAlign w:val="center"/>
          </w:tcPr>
          <w:p w14:paraId="70EB6D0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5.16%</w:t>
            </w:r>
          </w:p>
        </w:tc>
        <w:tc>
          <w:tcPr>
            <w:tcW w:w="675" w:type="pct"/>
            <w:noWrap/>
            <w:vAlign w:val="center"/>
          </w:tcPr>
          <w:p w14:paraId="12C28D0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3.04%</w:t>
            </w:r>
          </w:p>
        </w:tc>
      </w:tr>
      <w:tr w14:paraId="5514A9D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02C612CB">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Western Africa</w:t>
            </w:r>
          </w:p>
        </w:tc>
        <w:tc>
          <w:tcPr>
            <w:tcW w:w="806" w:type="pct"/>
            <w:shd w:val="clear" w:color="auto" w:fill="F1F1F1" w:themeFill="background1" w:themeFillShade="F2"/>
            <w:noWrap/>
            <w:vAlign w:val="center"/>
          </w:tcPr>
          <w:p w14:paraId="3944291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4.42%</w:t>
            </w:r>
          </w:p>
        </w:tc>
        <w:tc>
          <w:tcPr>
            <w:tcW w:w="605" w:type="pct"/>
            <w:shd w:val="clear" w:color="auto" w:fill="F1F1F1" w:themeFill="background1" w:themeFillShade="F2"/>
            <w:noWrap/>
            <w:vAlign w:val="center"/>
          </w:tcPr>
          <w:p w14:paraId="06E85A1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5.67%</w:t>
            </w:r>
          </w:p>
        </w:tc>
        <w:tc>
          <w:tcPr>
            <w:tcW w:w="675" w:type="pct"/>
            <w:shd w:val="clear" w:color="auto" w:fill="F1F1F1" w:themeFill="background1" w:themeFillShade="F2"/>
            <w:noWrap/>
            <w:vAlign w:val="center"/>
          </w:tcPr>
          <w:p w14:paraId="1AD4141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3.34%</w:t>
            </w:r>
          </w:p>
        </w:tc>
      </w:tr>
      <w:tr w14:paraId="679041B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14C4D9B4">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Europe &amp; Central Asia - WB</w:t>
            </w:r>
          </w:p>
        </w:tc>
        <w:tc>
          <w:tcPr>
            <w:tcW w:w="806" w:type="pct"/>
            <w:noWrap/>
            <w:vAlign w:val="center"/>
          </w:tcPr>
          <w:p w14:paraId="66F9C6C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2.53%</w:t>
            </w:r>
          </w:p>
        </w:tc>
        <w:tc>
          <w:tcPr>
            <w:tcW w:w="605" w:type="pct"/>
            <w:noWrap/>
            <w:vAlign w:val="center"/>
          </w:tcPr>
          <w:p w14:paraId="174B899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3.19%</w:t>
            </w:r>
          </w:p>
        </w:tc>
        <w:tc>
          <w:tcPr>
            <w:tcW w:w="675" w:type="pct"/>
            <w:noWrap/>
            <w:vAlign w:val="center"/>
          </w:tcPr>
          <w:p w14:paraId="47E9989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1.96%</w:t>
            </w:r>
          </w:p>
        </w:tc>
      </w:tr>
      <w:tr w14:paraId="0A43027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24369174">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Commonwealth High Income</w:t>
            </w:r>
          </w:p>
        </w:tc>
        <w:tc>
          <w:tcPr>
            <w:tcW w:w="806" w:type="pct"/>
            <w:shd w:val="clear" w:color="auto" w:fill="F1F1F1" w:themeFill="background1" w:themeFillShade="F2"/>
            <w:noWrap/>
            <w:vAlign w:val="center"/>
          </w:tcPr>
          <w:p w14:paraId="585EDC2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1.82%</w:t>
            </w:r>
          </w:p>
        </w:tc>
        <w:tc>
          <w:tcPr>
            <w:tcW w:w="605" w:type="pct"/>
            <w:shd w:val="clear" w:color="auto" w:fill="F1F1F1" w:themeFill="background1" w:themeFillShade="F2"/>
            <w:noWrap/>
            <w:vAlign w:val="center"/>
          </w:tcPr>
          <w:p w14:paraId="4A30D36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2.31%</w:t>
            </w:r>
          </w:p>
        </w:tc>
        <w:tc>
          <w:tcPr>
            <w:tcW w:w="675" w:type="pct"/>
            <w:shd w:val="clear" w:color="auto" w:fill="F1F1F1" w:themeFill="background1" w:themeFillShade="F2"/>
            <w:noWrap/>
            <w:vAlign w:val="center"/>
          </w:tcPr>
          <w:p w14:paraId="4E2C083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1.40%</w:t>
            </w:r>
          </w:p>
        </w:tc>
      </w:tr>
      <w:tr w14:paraId="235DD98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47C34236">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Africa</w:t>
            </w:r>
          </w:p>
        </w:tc>
        <w:tc>
          <w:tcPr>
            <w:tcW w:w="806" w:type="pct"/>
            <w:noWrap/>
            <w:vAlign w:val="center"/>
          </w:tcPr>
          <w:p w14:paraId="4C940D2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3.53%</w:t>
            </w:r>
          </w:p>
        </w:tc>
        <w:tc>
          <w:tcPr>
            <w:tcW w:w="605" w:type="pct"/>
            <w:noWrap/>
            <w:vAlign w:val="center"/>
          </w:tcPr>
          <w:p w14:paraId="66C9449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4.50%</w:t>
            </w:r>
          </w:p>
        </w:tc>
        <w:tc>
          <w:tcPr>
            <w:tcW w:w="675" w:type="pct"/>
            <w:noWrap/>
            <w:vAlign w:val="center"/>
          </w:tcPr>
          <w:p w14:paraId="52585FB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2.69%</w:t>
            </w:r>
          </w:p>
        </w:tc>
      </w:tr>
      <w:tr w14:paraId="248A426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626F2A9E">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Commonwealth Middle Income</w:t>
            </w:r>
          </w:p>
        </w:tc>
        <w:tc>
          <w:tcPr>
            <w:tcW w:w="806" w:type="pct"/>
            <w:shd w:val="clear" w:color="auto" w:fill="F1F1F1" w:themeFill="background1" w:themeFillShade="F2"/>
            <w:noWrap/>
            <w:vAlign w:val="center"/>
          </w:tcPr>
          <w:p w14:paraId="18D96AD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3.39%</w:t>
            </w:r>
          </w:p>
        </w:tc>
        <w:tc>
          <w:tcPr>
            <w:tcW w:w="605" w:type="pct"/>
            <w:shd w:val="clear" w:color="auto" w:fill="F1F1F1" w:themeFill="background1" w:themeFillShade="F2"/>
            <w:noWrap/>
            <w:vAlign w:val="center"/>
          </w:tcPr>
          <w:p w14:paraId="67E50C3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4.28%</w:t>
            </w:r>
          </w:p>
        </w:tc>
        <w:tc>
          <w:tcPr>
            <w:tcW w:w="675" w:type="pct"/>
            <w:shd w:val="clear" w:color="auto" w:fill="F1F1F1" w:themeFill="background1" w:themeFillShade="F2"/>
            <w:noWrap/>
            <w:vAlign w:val="center"/>
          </w:tcPr>
          <w:p w14:paraId="59120D0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2.60%</w:t>
            </w:r>
          </w:p>
        </w:tc>
      </w:tr>
      <w:tr w14:paraId="1D2EB92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672204C4">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America</w:t>
            </w:r>
          </w:p>
        </w:tc>
        <w:tc>
          <w:tcPr>
            <w:tcW w:w="806" w:type="pct"/>
            <w:noWrap/>
            <w:vAlign w:val="center"/>
          </w:tcPr>
          <w:p w14:paraId="523C1CE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2.70%</w:t>
            </w:r>
          </w:p>
        </w:tc>
        <w:tc>
          <w:tcPr>
            <w:tcW w:w="605" w:type="pct"/>
            <w:noWrap/>
            <w:vAlign w:val="center"/>
          </w:tcPr>
          <w:p w14:paraId="672CD2C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3.41%</w:t>
            </w:r>
          </w:p>
        </w:tc>
        <w:tc>
          <w:tcPr>
            <w:tcW w:w="675" w:type="pct"/>
            <w:noWrap/>
            <w:vAlign w:val="center"/>
          </w:tcPr>
          <w:p w14:paraId="3D9F23D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2.09%</w:t>
            </w:r>
          </w:p>
        </w:tc>
      </w:tr>
      <w:tr w14:paraId="5448E74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248138E0">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South-East Asia Region</w:t>
            </w:r>
          </w:p>
        </w:tc>
        <w:tc>
          <w:tcPr>
            <w:tcW w:w="806" w:type="pct"/>
            <w:shd w:val="clear" w:color="auto" w:fill="F1F1F1" w:themeFill="background1" w:themeFillShade="F2"/>
            <w:noWrap/>
            <w:vAlign w:val="center"/>
          </w:tcPr>
          <w:p w14:paraId="34A41D8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3.06%</w:t>
            </w:r>
          </w:p>
        </w:tc>
        <w:tc>
          <w:tcPr>
            <w:tcW w:w="605" w:type="pct"/>
            <w:shd w:val="clear" w:color="auto" w:fill="F1F1F1" w:themeFill="background1" w:themeFillShade="F2"/>
            <w:noWrap/>
            <w:vAlign w:val="center"/>
          </w:tcPr>
          <w:p w14:paraId="170E376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3.87%</w:t>
            </w:r>
          </w:p>
        </w:tc>
        <w:tc>
          <w:tcPr>
            <w:tcW w:w="675" w:type="pct"/>
            <w:shd w:val="clear" w:color="auto" w:fill="F1F1F1" w:themeFill="background1" w:themeFillShade="F2"/>
            <w:noWrap/>
            <w:vAlign w:val="center"/>
          </w:tcPr>
          <w:p w14:paraId="17708FC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2.36%</w:t>
            </w:r>
          </w:p>
        </w:tc>
      </w:tr>
      <w:tr w14:paraId="2BEF074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0BDDD07C">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Europe</w:t>
            </w:r>
          </w:p>
        </w:tc>
        <w:tc>
          <w:tcPr>
            <w:tcW w:w="806" w:type="pct"/>
            <w:noWrap/>
            <w:vAlign w:val="center"/>
          </w:tcPr>
          <w:p w14:paraId="61029A8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2.31%</w:t>
            </w:r>
          </w:p>
        </w:tc>
        <w:tc>
          <w:tcPr>
            <w:tcW w:w="605" w:type="pct"/>
            <w:noWrap/>
            <w:vAlign w:val="center"/>
          </w:tcPr>
          <w:p w14:paraId="3BEF0FC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2.94%</w:t>
            </w:r>
          </w:p>
        </w:tc>
        <w:tc>
          <w:tcPr>
            <w:tcW w:w="675" w:type="pct"/>
            <w:noWrap/>
            <w:vAlign w:val="center"/>
          </w:tcPr>
          <w:p w14:paraId="5D3DEE6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1.80%</w:t>
            </w:r>
          </w:p>
        </w:tc>
      </w:tr>
      <w:tr w14:paraId="62ED9A7F">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0BF83626">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Western Pacific Region</w:t>
            </w:r>
          </w:p>
        </w:tc>
        <w:tc>
          <w:tcPr>
            <w:tcW w:w="806" w:type="pct"/>
            <w:shd w:val="clear" w:color="auto" w:fill="F1F1F1" w:themeFill="background1" w:themeFillShade="F2"/>
            <w:noWrap/>
            <w:vAlign w:val="center"/>
          </w:tcPr>
          <w:p w14:paraId="19D8661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1.97%</w:t>
            </w:r>
          </w:p>
        </w:tc>
        <w:tc>
          <w:tcPr>
            <w:tcW w:w="605" w:type="pct"/>
            <w:shd w:val="clear" w:color="auto" w:fill="F1F1F1" w:themeFill="background1" w:themeFillShade="F2"/>
            <w:noWrap/>
            <w:vAlign w:val="center"/>
          </w:tcPr>
          <w:p w14:paraId="1DD1A6B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2.49%</w:t>
            </w:r>
          </w:p>
        </w:tc>
        <w:tc>
          <w:tcPr>
            <w:tcW w:w="675" w:type="pct"/>
            <w:shd w:val="clear" w:color="auto" w:fill="F1F1F1" w:themeFill="background1" w:themeFillShade="F2"/>
            <w:noWrap/>
            <w:vAlign w:val="center"/>
          </w:tcPr>
          <w:p w14:paraId="0EF4DDC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1.50%</w:t>
            </w:r>
          </w:p>
        </w:tc>
      </w:tr>
      <w:tr w14:paraId="66B6ED3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504CED9A">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European Region</w:t>
            </w:r>
          </w:p>
        </w:tc>
        <w:tc>
          <w:tcPr>
            <w:tcW w:w="806" w:type="pct"/>
            <w:noWrap/>
            <w:vAlign w:val="center"/>
          </w:tcPr>
          <w:p w14:paraId="763E04C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2.53%</w:t>
            </w:r>
          </w:p>
        </w:tc>
        <w:tc>
          <w:tcPr>
            <w:tcW w:w="605" w:type="pct"/>
            <w:noWrap/>
            <w:vAlign w:val="center"/>
          </w:tcPr>
          <w:p w14:paraId="4449D4D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3.19%</w:t>
            </w:r>
          </w:p>
        </w:tc>
        <w:tc>
          <w:tcPr>
            <w:tcW w:w="675" w:type="pct"/>
            <w:noWrap/>
            <w:vAlign w:val="center"/>
          </w:tcPr>
          <w:p w14:paraId="5F76AC2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1.96%</w:t>
            </w:r>
          </w:p>
        </w:tc>
      </w:tr>
      <w:tr w14:paraId="154B4AB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12B66445">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Commonwealth Low Income</w:t>
            </w:r>
          </w:p>
        </w:tc>
        <w:tc>
          <w:tcPr>
            <w:tcW w:w="806" w:type="pct"/>
            <w:shd w:val="clear" w:color="auto" w:fill="F1F1F1" w:themeFill="background1" w:themeFillShade="F2"/>
            <w:noWrap/>
            <w:vAlign w:val="center"/>
          </w:tcPr>
          <w:p w14:paraId="527DB23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2.36%</w:t>
            </w:r>
          </w:p>
        </w:tc>
        <w:tc>
          <w:tcPr>
            <w:tcW w:w="605" w:type="pct"/>
            <w:shd w:val="clear" w:color="auto" w:fill="F1F1F1" w:themeFill="background1" w:themeFillShade="F2"/>
            <w:noWrap/>
            <w:vAlign w:val="center"/>
          </w:tcPr>
          <w:p w14:paraId="3B2BF63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3.03%</w:t>
            </w:r>
          </w:p>
        </w:tc>
        <w:tc>
          <w:tcPr>
            <w:tcW w:w="675" w:type="pct"/>
            <w:shd w:val="clear" w:color="auto" w:fill="F1F1F1" w:themeFill="background1" w:themeFillShade="F2"/>
            <w:noWrap/>
            <w:vAlign w:val="center"/>
          </w:tcPr>
          <w:p w14:paraId="2091D2A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1.81%</w:t>
            </w:r>
          </w:p>
        </w:tc>
      </w:tr>
      <w:tr w14:paraId="3D18915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047E974B">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World Bank High Income</w:t>
            </w:r>
          </w:p>
        </w:tc>
        <w:tc>
          <w:tcPr>
            <w:tcW w:w="806" w:type="pct"/>
            <w:noWrap/>
            <w:vAlign w:val="center"/>
          </w:tcPr>
          <w:p w14:paraId="252F575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2.41%</w:t>
            </w:r>
          </w:p>
        </w:tc>
        <w:tc>
          <w:tcPr>
            <w:tcW w:w="605" w:type="pct"/>
            <w:noWrap/>
            <w:vAlign w:val="center"/>
          </w:tcPr>
          <w:p w14:paraId="2436118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3.03%</w:t>
            </w:r>
          </w:p>
        </w:tc>
        <w:tc>
          <w:tcPr>
            <w:tcW w:w="675" w:type="pct"/>
            <w:noWrap/>
            <w:vAlign w:val="center"/>
          </w:tcPr>
          <w:p w14:paraId="494A292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1.86%</w:t>
            </w:r>
          </w:p>
        </w:tc>
      </w:tr>
      <w:tr w14:paraId="164D9C5B">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728D3D00">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High SDI</w:t>
            </w:r>
          </w:p>
        </w:tc>
        <w:tc>
          <w:tcPr>
            <w:tcW w:w="806" w:type="pct"/>
            <w:shd w:val="clear" w:color="auto" w:fill="F1F1F1" w:themeFill="background1" w:themeFillShade="F2"/>
            <w:noWrap/>
            <w:vAlign w:val="center"/>
          </w:tcPr>
          <w:p w14:paraId="1756BAA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2.35%</w:t>
            </w:r>
          </w:p>
        </w:tc>
        <w:tc>
          <w:tcPr>
            <w:tcW w:w="605" w:type="pct"/>
            <w:shd w:val="clear" w:color="auto" w:fill="F1F1F1" w:themeFill="background1" w:themeFillShade="F2"/>
            <w:noWrap/>
            <w:vAlign w:val="center"/>
          </w:tcPr>
          <w:p w14:paraId="754380A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2.95%</w:t>
            </w:r>
          </w:p>
        </w:tc>
        <w:tc>
          <w:tcPr>
            <w:tcW w:w="675" w:type="pct"/>
            <w:shd w:val="clear" w:color="auto" w:fill="F1F1F1" w:themeFill="background1" w:themeFillShade="F2"/>
            <w:noWrap/>
            <w:vAlign w:val="center"/>
          </w:tcPr>
          <w:p w14:paraId="39ABFE7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1.81%</w:t>
            </w:r>
          </w:p>
        </w:tc>
      </w:tr>
      <w:tr w14:paraId="1AEFE021">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3A741E55">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African Region</w:t>
            </w:r>
          </w:p>
        </w:tc>
        <w:tc>
          <w:tcPr>
            <w:tcW w:w="806" w:type="pct"/>
            <w:noWrap/>
            <w:vAlign w:val="center"/>
          </w:tcPr>
          <w:p w14:paraId="420C24E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3.69%</w:t>
            </w:r>
          </w:p>
        </w:tc>
        <w:tc>
          <w:tcPr>
            <w:tcW w:w="605" w:type="pct"/>
            <w:noWrap/>
            <w:vAlign w:val="center"/>
          </w:tcPr>
          <w:p w14:paraId="66EF8B8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4.73%</w:t>
            </w:r>
          </w:p>
        </w:tc>
        <w:tc>
          <w:tcPr>
            <w:tcW w:w="675" w:type="pct"/>
            <w:noWrap/>
            <w:vAlign w:val="center"/>
          </w:tcPr>
          <w:p w14:paraId="0EC79D7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2.80%</w:t>
            </w:r>
          </w:p>
        </w:tc>
      </w:tr>
      <w:tr w14:paraId="2E351EF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7F7610E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Region of the Americas</w:t>
            </w:r>
          </w:p>
        </w:tc>
        <w:tc>
          <w:tcPr>
            <w:tcW w:w="806" w:type="pct"/>
            <w:shd w:val="clear" w:color="auto" w:fill="F1F1F1" w:themeFill="background1" w:themeFillShade="F2"/>
            <w:noWrap/>
            <w:vAlign w:val="center"/>
          </w:tcPr>
          <w:p w14:paraId="5A65FBA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2.70%</w:t>
            </w:r>
          </w:p>
        </w:tc>
        <w:tc>
          <w:tcPr>
            <w:tcW w:w="605" w:type="pct"/>
            <w:shd w:val="clear" w:color="auto" w:fill="F1F1F1" w:themeFill="background1" w:themeFillShade="F2"/>
            <w:noWrap/>
            <w:vAlign w:val="center"/>
          </w:tcPr>
          <w:p w14:paraId="15741DE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3.41%</w:t>
            </w:r>
          </w:p>
        </w:tc>
        <w:tc>
          <w:tcPr>
            <w:tcW w:w="675" w:type="pct"/>
            <w:shd w:val="clear" w:color="auto" w:fill="F1F1F1" w:themeFill="background1" w:themeFillShade="F2"/>
            <w:noWrap/>
            <w:vAlign w:val="center"/>
          </w:tcPr>
          <w:p w14:paraId="22ABA71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2.09%</w:t>
            </w:r>
          </w:p>
        </w:tc>
      </w:tr>
      <w:tr w14:paraId="40FC8E5E">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46F14012">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World Bank Lower Middle Income</w:t>
            </w:r>
          </w:p>
        </w:tc>
        <w:tc>
          <w:tcPr>
            <w:tcW w:w="806" w:type="pct"/>
            <w:noWrap/>
            <w:vAlign w:val="center"/>
          </w:tcPr>
          <w:p w14:paraId="4E3FF66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3.35%</w:t>
            </w:r>
          </w:p>
        </w:tc>
        <w:tc>
          <w:tcPr>
            <w:tcW w:w="605" w:type="pct"/>
            <w:noWrap/>
            <w:vAlign w:val="center"/>
          </w:tcPr>
          <w:p w14:paraId="06DC499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4.23%</w:t>
            </w:r>
          </w:p>
        </w:tc>
        <w:tc>
          <w:tcPr>
            <w:tcW w:w="675" w:type="pct"/>
            <w:noWrap/>
            <w:vAlign w:val="center"/>
          </w:tcPr>
          <w:p w14:paraId="4C00424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2.57%</w:t>
            </w:r>
          </w:p>
        </w:tc>
      </w:tr>
      <w:tr w14:paraId="1A4795A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33EE726F">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Asia</w:t>
            </w:r>
          </w:p>
        </w:tc>
        <w:tc>
          <w:tcPr>
            <w:tcW w:w="806" w:type="pct"/>
            <w:shd w:val="clear" w:color="auto" w:fill="F1F1F1" w:themeFill="background1" w:themeFillShade="F2"/>
            <w:noWrap/>
            <w:vAlign w:val="center"/>
          </w:tcPr>
          <w:p w14:paraId="3000940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2.47%</w:t>
            </w:r>
          </w:p>
        </w:tc>
        <w:tc>
          <w:tcPr>
            <w:tcW w:w="605" w:type="pct"/>
            <w:shd w:val="clear" w:color="auto" w:fill="F1F1F1" w:themeFill="background1" w:themeFillShade="F2"/>
            <w:noWrap/>
            <w:vAlign w:val="center"/>
          </w:tcPr>
          <w:p w14:paraId="213CBC9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3.11%</w:t>
            </w:r>
          </w:p>
        </w:tc>
        <w:tc>
          <w:tcPr>
            <w:tcW w:w="675" w:type="pct"/>
            <w:shd w:val="clear" w:color="auto" w:fill="F1F1F1" w:themeFill="background1" w:themeFillShade="F2"/>
            <w:noWrap/>
            <w:vAlign w:val="center"/>
          </w:tcPr>
          <w:p w14:paraId="321CE9F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1.90%</w:t>
            </w:r>
          </w:p>
        </w:tc>
      </w:tr>
      <w:tr w14:paraId="168B001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4744C5A4">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World Bank Low Income</w:t>
            </w:r>
          </w:p>
        </w:tc>
        <w:tc>
          <w:tcPr>
            <w:tcW w:w="806" w:type="pct"/>
            <w:noWrap/>
            <w:vAlign w:val="center"/>
          </w:tcPr>
          <w:p w14:paraId="3959374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2.74%</w:t>
            </w:r>
          </w:p>
        </w:tc>
        <w:tc>
          <w:tcPr>
            <w:tcW w:w="605" w:type="pct"/>
            <w:noWrap/>
            <w:vAlign w:val="center"/>
          </w:tcPr>
          <w:p w14:paraId="2EAB812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3.51%</w:t>
            </w:r>
          </w:p>
        </w:tc>
        <w:tc>
          <w:tcPr>
            <w:tcW w:w="675" w:type="pct"/>
            <w:noWrap/>
            <w:vAlign w:val="center"/>
          </w:tcPr>
          <w:p w14:paraId="0485A80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2.10%</w:t>
            </w:r>
          </w:p>
        </w:tc>
      </w:tr>
      <w:tr w14:paraId="1FA054D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6D901287">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Advanced Health System</w:t>
            </w:r>
          </w:p>
        </w:tc>
        <w:tc>
          <w:tcPr>
            <w:tcW w:w="806" w:type="pct"/>
            <w:shd w:val="clear" w:color="auto" w:fill="F1F1F1" w:themeFill="background1" w:themeFillShade="F2"/>
            <w:noWrap/>
            <w:vAlign w:val="center"/>
          </w:tcPr>
          <w:p w14:paraId="33F72EC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2.43%</w:t>
            </w:r>
          </w:p>
        </w:tc>
        <w:tc>
          <w:tcPr>
            <w:tcW w:w="605" w:type="pct"/>
            <w:shd w:val="clear" w:color="auto" w:fill="F1F1F1" w:themeFill="background1" w:themeFillShade="F2"/>
            <w:noWrap/>
            <w:vAlign w:val="center"/>
          </w:tcPr>
          <w:p w14:paraId="2CCAF12C">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3.06%</w:t>
            </w:r>
          </w:p>
        </w:tc>
        <w:tc>
          <w:tcPr>
            <w:tcW w:w="675" w:type="pct"/>
            <w:shd w:val="clear" w:color="auto" w:fill="F1F1F1" w:themeFill="background1" w:themeFillShade="F2"/>
            <w:noWrap/>
            <w:vAlign w:val="center"/>
          </w:tcPr>
          <w:p w14:paraId="0092ED2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1.87%</w:t>
            </w:r>
          </w:p>
        </w:tc>
      </w:tr>
      <w:tr w14:paraId="7C79C2E6">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64E3C958">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High-middle SDI</w:t>
            </w:r>
          </w:p>
        </w:tc>
        <w:tc>
          <w:tcPr>
            <w:tcW w:w="806" w:type="pct"/>
            <w:noWrap/>
            <w:vAlign w:val="center"/>
          </w:tcPr>
          <w:p w14:paraId="2E2FEEF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2.01%</w:t>
            </w:r>
          </w:p>
        </w:tc>
        <w:tc>
          <w:tcPr>
            <w:tcW w:w="605" w:type="pct"/>
            <w:noWrap/>
            <w:vAlign w:val="center"/>
          </w:tcPr>
          <w:p w14:paraId="7FF032B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2.56%</w:t>
            </w:r>
          </w:p>
        </w:tc>
        <w:tc>
          <w:tcPr>
            <w:tcW w:w="675" w:type="pct"/>
            <w:noWrap/>
            <w:vAlign w:val="center"/>
          </w:tcPr>
          <w:p w14:paraId="3CD6189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1.54%</w:t>
            </w:r>
          </w:p>
        </w:tc>
      </w:tr>
      <w:tr w14:paraId="03BE63EC">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6636E94A">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World Bank Upper Middle Income</w:t>
            </w:r>
          </w:p>
        </w:tc>
        <w:tc>
          <w:tcPr>
            <w:tcW w:w="806" w:type="pct"/>
            <w:shd w:val="clear" w:color="auto" w:fill="F1F1F1" w:themeFill="background1" w:themeFillShade="F2"/>
            <w:noWrap/>
            <w:vAlign w:val="center"/>
          </w:tcPr>
          <w:p w14:paraId="24239A4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2.15%</w:t>
            </w:r>
          </w:p>
        </w:tc>
        <w:tc>
          <w:tcPr>
            <w:tcW w:w="605" w:type="pct"/>
            <w:shd w:val="clear" w:color="auto" w:fill="F1F1F1" w:themeFill="background1" w:themeFillShade="F2"/>
            <w:noWrap/>
            <w:vAlign w:val="center"/>
          </w:tcPr>
          <w:p w14:paraId="04E2F14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2.72%</w:t>
            </w:r>
          </w:p>
        </w:tc>
        <w:tc>
          <w:tcPr>
            <w:tcW w:w="675" w:type="pct"/>
            <w:shd w:val="clear" w:color="auto" w:fill="F1F1F1" w:themeFill="background1" w:themeFillShade="F2"/>
            <w:noWrap/>
            <w:vAlign w:val="center"/>
          </w:tcPr>
          <w:p w14:paraId="114E4BC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1.65%</w:t>
            </w:r>
          </w:p>
        </w:tc>
      </w:tr>
      <w:tr w14:paraId="1FC1778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3A0BF88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Basic Health System</w:t>
            </w:r>
          </w:p>
        </w:tc>
        <w:tc>
          <w:tcPr>
            <w:tcW w:w="806" w:type="pct"/>
            <w:noWrap/>
            <w:vAlign w:val="center"/>
          </w:tcPr>
          <w:p w14:paraId="72246A1F">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2.38%</w:t>
            </w:r>
          </w:p>
        </w:tc>
        <w:tc>
          <w:tcPr>
            <w:tcW w:w="605" w:type="pct"/>
            <w:noWrap/>
            <w:vAlign w:val="center"/>
          </w:tcPr>
          <w:p w14:paraId="7A081A4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3.01%</w:t>
            </w:r>
          </w:p>
        </w:tc>
        <w:tc>
          <w:tcPr>
            <w:tcW w:w="675" w:type="pct"/>
            <w:noWrap/>
            <w:vAlign w:val="center"/>
          </w:tcPr>
          <w:p w14:paraId="23E4E8B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1.83%</w:t>
            </w:r>
          </w:p>
        </w:tc>
      </w:tr>
      <w:tr w14:paraId="361D6EED">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5C121EFF">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North America</w:t>
            </w:r>
          </w:p>
        </w:tc>
        <w:tc>
          <w:tcPr>
            <w:tcW w:w="806" w:type="pct"/>
            <w:shd w:val="clear" w:color="auto" w:fill="F1F1F1" w:themeFill="background1" w:themeFillShade="F2"/>
            <w:noWrap/>
            <w:vAlign w:val="center"/>
          </w:tcPr>
          <w:p w14:paraId="21650A3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2.57%</w:t>
            </w:r>
          </w:p>
        </w:tc>
        <w:tc>
          <w:tcPr>
            <w:tcW w:w="605" w:type="pct"/>
            <w:shd w:val="clear" w:color="auto" w:fill="F1F1F1" w:themeFill="background1" w:themeFillShade="F2"/>
            <w:noWrap/>
            <w:vAlign w:val="center"/>
          </w:tcPr>
          <w:p w14:paraId="3C4591F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3.23%</w:t>
            </w:r>
          </w:p>
        </w:tc>
        <w:tc>
          <w:tcPr>
            <w:tcW w:w="675" w:type="pct"/>
            <w:shd w:val="clear" w:color="auto" w:fill="F1F1F1" w:themeFill="background1" w:themeFillShade="F2"/>
            <w:noWrap/>
            <w:vAlign w:val="center"/>
          </w:tcPr>
          <w:p w14:paraId="53FD43C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1.98%</w:t>
            </w:r>
          </w:p>
        </w:tc>
      </w:tr>
      <w:tr w14:paraId="6E2F18D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223540D5">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Low SDI</w:t>
            </w:r>
          </w:p>
        </w:tc>
        <w:tc>
          <w:tcPr>
            <w:tcW w:w="806" w:type="pct"/>
            <w:noWrap/>
            <w:vAlign w:val="center"/>
          </w:tcPr>
          <w:p w14:paraId="08982A3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3.22%</w:t>
            </w:r>
          </w:p>
        </w:tc>
        <w:tc>
          <w:tcPr>
            <w:tcW w:w="605" w:type="pct"/>
            <w:noWrap/>
            <w:vAlign w:val="center"/>
          </w:tcPr>
          <w:p w14:paraId="50977BBB">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4.11%</w:t>
            </w:r>
          </w:p>
        </w:tc>
        <w:tc>
          <w:tcPr>
            <w:tcW w:w="675" w:type="pct"/>
            <w:noWrap/>
            <w:vAlign w:val="center"/>
          </w:tcPr>
          <w:p w14:paraId="5E729E4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2.47%</w:t>
            </w:r>
          </w:p>
        </w:tc>
      </w:tr>
      <w:tr w14:paraId="3E14B09A">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1FD873B4">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Limited Health System</w:t>
            </w:r>
          </w:p>
        </w:tc>
        <w:tc>
          <w:tcPr>
            <w:tcW w:w="806" w:type="pct"/>
            <w:shd w:val="clear" w:color="auto" w:fill="F1F1F1" w:themeFill="background1" w:themeFillShade="F2"/>
            <w:noWrap/>
            <w:vAlign w:val="center"/>
          </w:tcPr>
          <w:p w14:paraId="7B1AADB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3.20%</w:t>
            </w:r>
          </w:p>
        </w:tc>
        <w:tc>
          <w:tcPr>
            <w:tcW w:w="605" w:type="pct"/>
            <w:shd w:val="clear" w:color="auto" w:fill="F1F1F1" w:themeFill="background1" w:themeFillShade="F2"/>
            <w:noWrap/>
            <w:vAlign w:val="center"/>
          </w:tcPr>
          <w:p w14:paraId="4987A3F1">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4.04%</w:t>
            </w:r>
          </w:p>
        </w:tc>
        <w:tc>
          <w:tcPr>
            <w:tcW w:w="675" w:type="pct"/>
            <w:shd w:val="clear" w:color="auto" w:fill="F1F1F1" w:themeFill="background1" w:themeFillShade="F2"/>
            <w:noWrap/>
            <w:vAlign w:val="center"/>
          </w:tcPr>
          <w:p w14:paraId="73A939A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2.45%</w:t>
            </w:r>
          </w:p>
        </w:tc>
      </w:tr>
      <w:tr w14:paraId="3D512A13">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3AC7D8F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Middle SDI</w:t>
            </w:r>
          </w:p>
        </w:tc>
        <w:tc>
          <w:tcPr>
            <w:tcW w:w="806" w:type="pct"/>
            <w:noWrap/>
            <w:vAlign w:val="center"/>
          </w:tcPr>
          <w:p w14:paraId="5FDB9BB0">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2.73%</w:t>
            </w:r>
          </w:p>
        </w:tc>
        <w:tc>
          <w:tcPr>
            <w:tcW w:w="605" w:type="pct"/>
            <w:noWrap/>
            <w:vAlign w:val="center"/>
          </w:tcPr>
          <w:p w14:paraId="06F08B8D">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3.43%</w:t>
            </w:r>
          </w:p>
        </w:tc>
        <w:tc>
          <w:tcPr>
            <w:tcW w:w="675" w:type="pct"/>
            <w:noWrap/>
            <w:vAlign w:val="center"/>
          </w:tcPr>
          <w:p w14:paraId="5526672E">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2.10%</w:t>
            </w:r>
          </w:p>
        </w:tc>
      </w:tr>
      <w:tr w14:paraId="6A54E818">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6DC7F6FD">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Eastern Mediterranean Region</w:t>
            </w:r>
          </w:p>
        </w:tc>
        <w:tc>
          <w:tcPr>
            <w:tcW w:w="806" w:type="pct"/>
            <w:shd w:val="clear" w:color="auto" w:fill="F1F1F1" w:themeFill="background1" w:themeFillShade="F2"/>
            <w:noWrap/>
            <w:vAlign w:val="center"/>
          </w:tcPr>
          <w:p w14:paraId="638664C6">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3.49%</w:t>
            </w:r>
          </w:p>
        </w:tc>
        <w:tc>
          <w:tcPr>
            <w:tcW w:w="605" w:type="pct"/>
            <w:shd w:val="clear" w:color="auto" w:fill="F1F1F1" w:themeFill="background1" w:themeFillShade="F2"/>
            <w:noWrap/>
            <w:vAlign w:val="center"/>
          </w:tcPr>
          <w:p w14:paraId="35D4D965">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4.45%</w:t>
            </w:r>
          </w:p>
        </w:tc>
        <w:tc>
          <w:tcPr>
            <w:tcW w:w="675" w:type="pct"/>
            <w:shd w:val="clear" w:color="auto" w:fill="F1F1F1" w:themeFill="background1" w:themeFillShade="F2"/>
            <w:noWrap/>
            <w:vAlign w:val="center"/>
          </w:tcPr>
          <w:p w14:paraId="41A4CCE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2.68%</w:t>
            </w:r>
          </w:p>
        </w:tc>
      </w:tr>
      <w:tr w14:paraId="77527454">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5658D36F">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Low-middle SDI</w:t>
            </w:r>
          </w:p>
        </w:tc>
        <w:tc>
          <w:tcPr>
            <w:tcW w:w="806" w:type="pct"/>
            <w:noWrap/>
            <w:vAlign w:val="center"/>
          </w:tcPr>
          <w:p w14:paraId="223CEDDA">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3.27%</w:t>
            </w:r>
          </w:p>
        </w:tc>
        <w:tc>
          <w:tcPr>
            <w:tcW w:w="605" w:type="pct"/>
            <w:noWrap/>
            <w:vAlign w:val="center"/>
          </w:tcPr>
          <w:p w14:paraId="167D9BB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4.12%</w:t>
            </w:r>
          </w:p>
        </w:tc>
        <w:tc>
          <w:tcPr>
            <w:tcW w:w="675" w:type="pct"/>
            <w:noWrap/>
            <w:vAlign w:val="center"/>
          </w:tcPr>
          <w:p w14:paraId="6BCB74F3">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2.50%</w:t>
            </w:r>
          </w:p>
        </w:tc>
      </w:tr>
      <w:tr w14:paraId="3CB14989">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shd w:val="clear" w:color="auto" w:fill="F1F1F1" w:themeFill="background1" w:themeFillShade="F2"/>
            <w:noWrap/>
            <w:vAlign w:val="center"/>
          </w:tcPr>
          <w:p w14:paraId="3145A3A4">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Central Africa</w:t>
            </w:r>
          </w:p>
        </w:tc>
        <w:tc>
          <w:tcPr>
            <w:tcW w:w="806" w:type="pct"/>
            <w:shd w:val="clear" w:color="auto" w:fill="F1F1F1" w:themeFill="background1" w:themeFillShade="F2"/>
            <w:noWrap/>
            <w:vAlign w:val="center"/>
          </w:tcPr>
          <w:p w14:paraId="3B0178E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5.54%</w:t>
            </w:r>
          </w:p>
        </w:tc>
        <w:tc>
          <w:tcPr>
            <w:tcW w:w="605" w:type="pct"/>
            <w:shd w:val="clear" w:color="auto" w:fill="F1F1F1" w:themeFill="background1" w:themeFillShade="F2"/>
            <w:noWrap/>
            <w:vAlign w:val="center"/>
          </w:tcPr>
          <w:p w14:paraId="42878CA2">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7.05%</w:t>
            </w:r>
          </w:p>
        </w:tc>
        <w:tc>
          <w:tcPr>
            <w:tcW w:w="675" w:type="pct"/>
            <w:shd w:val="clear" w:color="auto" w:fill="F1F1F1" w:themeFill="background1" w:themeFillShade="F2"/>
            <w:noWrap/>
            <w:vAlign w:val="center"/>
          </w:tcPr>
          <w:p w14:paraId="652AF977">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4.18%</w:t>
            </w:r>
          </w:p>
        </w:tc>
      </w:tr>
      <w:tr w14:paraId="039BCB70">
        <w:tblPrEx>
          <w:tblBorders>
            <w:top w:val="single" w:color="000000" w:sz="12" w:space="0"/>
            <w:left w:val="none" w:color="auto" w:sz="4" w:space="0"/>
            <w:bottom w:val="single" w:color="000000" w:sz="12"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912" w:type="pct"/>
            <w:tcBorders>
              <w:right w:val="single" w:color="7E7E7E" w:themeColor="text1" w:themeTint="80" w:sz="4" w:space="0"/>
              <w:insideV w:val="single" w:sz="4" w:space="0"/>
            </w:tcBorders>
            <w:noWrap/>
            <w:vAlign w:val="center"/>
          </w:tcPr>
          <w:p w14:paraId="785ED78B">
            <w:pPr>
              <w:widowControl/>
              <w:snapToGrid w:val="0"/>
              <w:spacing w:after="0" w:line="240" w:lineRule="auto"/>
              <w:ind w:left="0" w:leftChars="0" w:right="0" w:rightChars="0" w:firstLine="0" w:firstLineChars="0"/>
              <w:jc w:val="center"/>
              <w:rPr>
                <w:rFonts w:hint="default" w:ascii="Times New Roman" w:hAnsi="Times New Roman" w:eastAsia="等线" w:cs="Times New Roman"/>
                <w:b/>
                <w:bCs/>
                <w:caps/>
                <w:color w:val="000000"/>
                <w:kern w:val="0"/>
                <w:sz w:val="21"/>
                <w:szCs w:val="21"/>
                <w14:ligatures w14:val="none"/>
              </w:rPr>
            </w:pPr>
            <w:r>
              <w:rPr>
                <w:rFonts w:hint="default" w:ascii="Times New Roman" w:hAnsi="Times New Roman" w:eastAsia="等线" w:cs="Times New Roman"/>
                <w:b/>
                <w:bCs/>
                <w:caps/>
                <w:color w:val="000000"/>
                <w:kern w:val="0"/>
                <w:sz w:val="21"/>
                <w:szCs w:val="21"/>
                <w14:ligatures w14:val="none"/>
              </w:rPr>
              <w:t>Minimal Health System</w:t>
            </w:r>
          </w:p>
        </w:tc>
        <w:tc>
          <w:tcPr>
            <w:tcW w:w="806" w:type="pct"/>
            <w:noWrap/>
            <w:vAlign w:val="center"/>
          </w:tcPr>
          <w:p w14:paraId="6DB3A56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3.90%</w:t>
            </w:r>
          </w:p>
        </w:tc>
        <w:tc>
          <w:tcPr>
            <w:tcW w:w="605" w:type="pct"/>
            <w:noWrap/>
            <w:vAlign w:val="center"/>
          </w:tcPr>
          <w:p w14:paraId="1FDD83C4">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4.97%</w:t>
            </w:r>
          </w:p>
        </w:tc>
        <w:tc>
          <w:tcPr>
            <w:tcW w:w="675" w:type="pct"/>
            <w:noWrap/>
            <w:vAlign w:val="center"/>
          </w:tcPr>
          <w:p w14:paraId="1014A8C8">
            <w:pPr>
              <w:widowControl/>
              <w:snapToGrid w:val="0"/>
              <w:spacing w:after="0" w:line="240" w:lineRule="auto"/>
              <w:ind w:left="0" w:leftChars="0" w:right="0" w:rightChars="0" w:firstLine="0" w:firstLineChars="0"/>
              <w:jc w:val="right"/>
              <w:rPr>
                <w:rFonts w:hint="default" w:ascii="Times New Roman" w:hAnsi="Times New Roman" w:eastAsia="等线" w:cs="Times New Roman"/>
                <w:color w:val="000000"/>
                <w:kern w:val="0"/>
                <w:sz w:val="21"/>
                <w:szCs w:val="21"/>
                <w14:ligatures w14:val="none"/>
              </w:rPr>
            </w:pPr>
            <w:r>
              <w:rPr>
                <w:rFonts w:hint="default" w:ascii="Times New Roman" w:hAnsi="Times New Roman" w:eastAsia="等线" w:cs="Times New Roman"/>
                <w:color w:val="000000"/>
                <w:kern w:val="0"/>
                <w:sz w:val="21"/>
                <w:szCs w:val="21"/>
                <w14:ligatures w14:val="none"/>
              </w:rPr>
              <w:t>2.96%</w:t>
            </w:r>
          </w:p>
        </w:tc>
      </w:tr>
    </w:tbl>
    <w:p w14:paraId="2FA1F665">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both"/>
        <w:textAlignment w:val="auto"/>
        <w:rPr>
          <w:rFonts w:ascii="Times New Roman" w:hAnsi="Times New Roman" w:cs="Times New Roman"/>
          <w:sz w:val="24"/>
        </w:rPr>
      </w:pPr>
      <w:r>
        <w:rPr>
          <w:rFonts w:hint="eastAsia" w:ascii="Times New Roman" w:hAnsi="Times New Roman" w:cs="Times New Roman"/>
          <w:sz w:val="24"/>
        </w:rPr>
        <w:cr/>
      </w:r>
    </w:p>
    <w:p w14:paraId="2E536419">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cs="Times New Roman"/>
          <w:b/>
          <w:bCs/>
          <w:sz w:val="24"/>
        </w:rPr>
      </w:pPr>
      <w:r>
        <w:rPr>
          <w:rFonts w:hint="eastAsia" w:ascii="Times New Roman" w:hAnsi="Times New Roman" w:cs="Times New Roman"/>
          <w:b/>
          <w:bCs/>
          <w:sz w:val="24"/>
          <w:lang w:val="en-US" w:eastAsia="zh-CN"/>
        </w:rPr>
        <w:t xml:space="preserve">4. </w:t>
      </w:r>
      <w:r>
        <w:rPr>
          <w:rFonts w:ascii="Times New Roman" w:hAnsi="Times New Roman" w:cs="Times New Roman"/>
          <w:b/>
          <w:bCs/>
          <w:sz w:val="24"/>
        </w:rPr>
        <w:t>D</w:t>
      </w:r>
      <w:r>
        <w:rPr>
          <w:rFonts w:hint="eastAsia" w:ascii="Times New Roman" w:hAnsi="Times New Roman" w:cs="Times New Roman"/>
          <w:b/>
          <w:bCs/>
          <w:sz w:val="24"/>
        </w:rPr>
        <w:t>iscussion</w:t>
      </w:r>
    </w:p>
    <w:p w14:paraId="77480828">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4"/>
        </w:rPr>
      </w:pPr>
      <w:r>
        <w:rPr>
          <w:rFonts w:ascii="Times New Roman" w:hAnsi="Times New Roman" w:cs="Times New Roman"/>
          <w:sz w:val="24"/>
        </w:rPr>
        <w:t>To the best of our knowledge, this is the first study to describe the gout burden and its changing trends between 1990 and 2021 among people aged 20-54 years by age, gender and Sustainable Development Index (SDI) at global, regional and country levels. The results showed that the prevalence, incidence, and YLD of gout in people aged 20-54 years increased significantly worldwide, with significant differences across age, gender, SDI level, region, and country. These findings highlight the need for increased awareness, early detection, and effective management strategies to mitigate the impact of gout on young and middle-aged populations worldwide.</w:t>
      </w:r>
    </w:p>
    <w:p w14:paraId="7737EF43">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ascii="Times New Roman" w:hAnsi="Times New Roman" w:cs="Times New Roman"/>
          <w:sz w:val="24"/>
        </w:rPr>
      </w:pPr>
      <w:r>
        <w:rPr>
          <w:rFonts w:hint="eastAsia" w:ascii="Times New Roman" w:hAnsi="Times New Roman" w:cs="Times New Roman"/>
          <w:sz w:val="24"/>
        </w:rPr>
        <w:t xml:space="preserve">The total number of patients with gout has doubled between 1990 and 2021, and the age-standardized prevalence has increased by 22.5% from 1990, with increases in most Global Burden of Disease (GBD) regions </w:t>
      </w:r>
      <w:r>
        <w:rPr>
          <w:rFonts w:hint="eastAsia" w:ascii="Times New Roman" w:hAnsi="Times New Roman" w:cs="Times New Roman"/>
          <w:sz w:val="24"/>
          <w:vertAlign w:val="superscript"/>
        </w:rPr>
        <w:t>[8,12]</w:t>
      </w:r>
      <w:r>
        <w:rPr>
          <w:rFonts w:hint="eastAsia" w:ascii="Times New Roman" w:hAnsi="Times New Roman" w:cs="Times New Roman"/>
          <w:sz w:val="24"/>
        </w:rPr>
        <w:t xml:space="preserve">. Consistent with the previous literature, the average annual percentage changes of prevalence, incidence and disability-adjusted life years rate among young and middle-aged people were 1.11 (1.06, 1.16), 0.92 (0.88, 0.95) and 1.1 (1.05, 1.15), respectively, indicating a steady upward trend. The simultaneous increases in prevalence, incidence, and disability-adjusted life-years suggest that prevention and treatment of gout in young and middle-aged patients are often ineffective </w:t>
      </w:r>
      <w:r>
        <w:rPr>
          <w:rFonts w:hint="eastAsia" w:ascii="Times New Roman" w:hAnsi="Times New Roman" w:cs="Times New Roman"/>
          <w:sz w:val="24"/>
          <w:vertAlign w:val="superscript"/>
        </w:rPr>
        <w:t>[13]</w:t>
      </w:r>
      <w:r>
        <w:rPr>
          <w:rFonts w:hint="eastAsia" w:ascii="Times New Roman" w:hAnsi="Times New Roman" w:cs="Times New Roman"/>
          <w:sz w:val="24"/>
        </w:rPr>
        <w:t>.</w:t>
      </w:r>
    </w:p>
    <w:p w14:paraId="65C587B6">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sz w:val="24"/>
        </w:rPr>
      </w:pPr>
      <w:r>
        <w:rPr>
          <w:rFonts w:hint="eastAsia" w:ascii="Times New Roman" w:hAnsi="Times New Roman" w:cs="Times New Roman"/>
          <w:sz w:val="24"/>
        </w:rPr>
        <w:t xml:space="preserve">In 2021, there were 190, 200 million cases and 6.29 million disability-adjusted life years (DALYs) of gout in people aged 20-54 years worldwide. Globally, the number of cases, incidence and prevalence, and disability-adjusted life years (DALYs) of gout have all shown significant increases between 1990 and 2021. The value of males is much higher than that of females, which may be due to the fact that males in this age group are more likely to consume foods related to gout attack and gout attack aggravation and to have hyperuricemia </w:t>
      </w:r>
      <w:r>
        <w:rPr>
          <w:rFonts w:hint="eastAsia" w:ascii="Times New Roman" w:hAnsi="Times New Roman" w:cs="Times New Roman"/>
          <w:sz w:val="24"/>
          <w:vertAlign w:val="superscript"/>
        </w:rPr>
        <w:t>[14]</w:t>
      </w:r>
      <w:r>
        <w:rPr>
          <w:rFonts w:hint="eastAsia" w:ascii="Times New Roman" w:hAnsi="Times New Roman" w:cs="Times New Roman"/>
          <w:sz w:val="24"/>
        </w:rPr>
        <w:t xml:space="preserve">. From a regional perspective, the United States of America was the region with the most significant increases in incidence, prevalence and disability-adjusted life-year rates. It is followed by China and East Asia. The country with the largest number of cases, number of cases, and disability-adjusted life years (DALYs) is China, probably due to its large population, while the country with the highest incidence, prevalence, and DALYs is the United States of America, as a typical highly developed country, Dietary habits, obesity and renal dysfunction, and greater access to healthcare services in the United States of America, thereby facilitating better diagnosis and reporting </w:t>
      </w:r>
      <w:r>
        <w:rPr>
          <w:rFonts w:hint="eastAsia" w:ascii="Times New Roman" w:hAnsi="Times New Roman" w:cs="Times New Roman"/>
          <w:sz w:val="24"/>
          <w:vertAlign w:val="superscript"/>
        </w:rPr>
        <w:t>[14,15]</w:t>
      </w:r>
      <w:r>
        <w:rPr>
          <w:rFonts w:hint="eastAsia" w:ascii="Times New Roman" w:hAnsi="Times New Roman" w:cs="Times New Roman"/>
          <w:sz w:val="24"/>
        </w:rPr>
        <w:t>, may account for the highest incidence of gout in the country, as reflected by the EAPC.</w:t>
      </w:r>
    </w:p>
    <w:p w14:paraId="5FFE5436">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ascii="Times New Roman" w:hAnsi="Times New Roman" w:cs="Times New Roman"/>
          <w:sz w:val="24"/>
        </w:rPr>
      </w:pPr>
      <w:r>
        <w:rPr>
          <w:rFonts w:hint="eastAsia" w:ascii="Times New Roman" w:hAnsi="Times New Roman" w:cs="Times New Roman"/>
          <w:sz w:val="24"/>
        </w:rPr>
        <w:t xml:space="preserve">From 1990 to 2021, the incidence, prevalence and disability-adjusted life years (DALYs) of gout among people aged 20-54 years continued to increase substantially. The fastest increasing period of gout incidence was from 1996 to 2004, with an average annual percent change (AAPC) of 0.80, and the fastest increasing period of prevalence was from 1996 to 2004, with an AAPC of 0.96. The disability-adjusted life years increased most rapidly from 1996 to 2003, with an AAPC of 2.42. It shows that the global burden of gout is increasing over time. Changes in the prevalence of major factors leading to the occurrence and progression of the disease, as well as the ways in which governments and individuals respond to these factors, may jointly change the time trend of the disease burden, resulting in direct and indirect economic costs (including drug treatment, surgery, premature death, etc.) </w:t>
      </w:r>
      <w:r>
        <w:rPr>
          <w:rFonts w:hint="eastAsia" w:ascii="Times New Roman" w:hAnsi="Times New Roman" w:cs="Times New Roman"/>
          <w:sz w:val="24"/>
          <w:vertAlign w:val="superscript"/>
        </w:rPr>
        <w:t>[16-18]</w:t>
      </w:r>
      <w:r>
        <w:rPr>
          <w:rFonts w:hint="eastAsia" w:ascii="Times New Roman" w:hAnsi="Times New Roman" w:cs="Times New Roman"/>
          <w:sz w:val="24"/>
        </w:rPr>
        <w:t xml:space="preserve">. It also causes intangible personal costs (pain, activity limitation, etc.) </w:t>
      </w:r>
      <w:r>
        <w:rPr>
          <w:rFonts w:hint="eastAsia" w:ascii="Times New Roman" w:hAnsi="Times New Roman" w:cs="Times New Roman"/>
          <w:sz w:val="24"/>
          <w:vertAlign w:val="superscript"/>
        </w:rPr>
        <w:t>[19]</w:t>
      </w:r>
      <w:r>
        <w:rPr>
          <w:rFonts w:hint="eastAsia" w:ascii="Times New Roman" w:hAnsi="Times New Roman" w:cs="Times New Roman"/>
          <w:sz w:val="24"/>
        </w:rPr>
        <w:t>, so it is particularly important to develop prevention strategies, improve management, and more evidence-based treatment of gout.</w:t>
      </w:r>
    </w:p>
    <w:p w14:paraId="69637A93">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sz w:val="24"/>
        </w:rPr>
      </w:pPr>
      <w:r>
        <w:rPr>
          <w:rFonts w:hint="eastAsia" w:ascii="Times New Roman" w:hAnsi="Times New Roman" w:cs="Times New Roman"/>
          <w:sz w:val="24"/>
        </w:rPr>
        <w:t>The results of this study showed that the regional attributable risk proportion of high BMI among young and middle-aged adults ranged from 11.36% to 58.52%, with the highest value in North America (49.79%) among GBD regions. The lowest value was found in South Asia (22.59</w:t>
      </w:r>
      <w:r>
        <w:rPr>
          <w:rFonts w:hint="eastAsia" w:ascii="Times New Roman" w:hAnsi="Times New Roman" w:cs="Times New Roman"/>
          <w:sz w:val="24"/>
          <w:lang w:val="en-US" w:eastAsia="zh-CN"/>
        </w:rPr>
        <w:t>%</w:t>
      </w:r>
      <w:r>
        <w:rPr>
          <w:rFonts w:hint="eastAsia" w:ascii="Times New Roman" w:hAnsi="Times New Roman" w:cs="Times New Roman"/>
          <w:sz w:val="24"/>
        </w:rPr>
        <w:t xml:space="preserve">). The disability-adjusted life years (DALYS) attributable to high BMI increased with age. BMI is associated with hyperuricemia, and being overweight or obese may affect liver enzyme levels and lead to elevated uric acid levels. Controlling body weight and liver enzyme levels may help prevent and treat hyperuricemia </w:t>
      </w:r>
      <w:r>
        <w:rPr>
          <w:rFonts w:hint="eastAsia" w:ascii="Times New Roman" w:hAnsi="Times New Roman" w:cs="Times New Roman"/>
          <w:sz w:val="24"/>
          <w:vertAlign w:val="superscript"/>
        </w:rPr>
        <w:t>[20]</w:t>
      </w:r>
      <w:r>
        <w:rPr>
          <w:rFonts w:hint="eastAsia" w:ascii="Times New Roman" w:hAnsi="Times New Roman" w:cs="Times New Roman"/>
          <w:sz w:val="24"/>
        </w:rPr>
        <w:t>. For obese gout patients, lifestyle interventions, including a balanced diet, behavioral therapy, and exercise, are recommended, especially since high body mass index (BMI) accounts for nearly 50% of gout disability-adjusted life-years in North America</w:t>
      </w:r>
      <w:r>
        <w:rPr>
          <w:rFonts w:hint="eastAsia" w:ascii="Times New Roman" w:hAnsi="Times New Roman" w:cs="Times New Roman"/>
          <w:sz w:val="24"/>
          <w:vertAlign w:val="superscript"/>
        </w:rPr>
        <w:t xml:space="preserve"> [21]</w:t>
      </w:r>
      <w:r>
        <w:rPr>
          <w:rFonts w:hint="eastAsia" w:ascii="Times New Roman" w:hAnsi="Times New Roman" w:cs="Times New Roman"/>
          <w:sz w:val="24"/>
        </w:rPr>
        <w:t>. However, the highest values of renal impairment were found in Central Asia (5.74%) and the lowest values were found in Australasia (1.53%).</w:t>
      </w:r>
    </w:p>
    <w:p w14:paraId="55D1502A">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sz w:val="24"/>
        </w:rPr>
      </w:pPr>
    </w:p>
    <w:p w14:paraId="05253EFC">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eastAsiaTheme="minorEastAsia"/>
          <w:b/>
          <w:bCs/>
          <w:sz w:val="24"/>
          <w:lang w:val="en-US" w:eastAsia="zh-CN"/>
        </w:rPr>
      </w:pPr>
      <w:r>
        <w:rPr>
          <w:rFonts w:hint="eastAsia" w:ascii="Times New Roman" w:hAnsi="Times New Roman" w:cs="Times New Roman"/>
          <w:b/>
          <w:bCs/>
          <w:sz w:val="24"/>
          <w:lang w:val="en-US" w:eastAsia="zh-CN"/>
        </w:rPr>
        <w:t>5. Conclusion</w:t>
      </w:r>
    </w:p>
    <w:p w14:paraId="5BFA84A0">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rPr>
      </w:pPr>
      <w:r>
        <w:rPr>
          <w:rFonts w:hint="eastAsia" w:ascii="Times New Roman" w:hAnsi="Times New Roman" w:cs="Times New Roman"/>
          <w:sz w:val="24"/>
        </w:rPr>
        <w:t>In conclusion, as a major public health issue, this study describes for the first time the burden of gout, its trends and risk factors in people aged 20-54 years at global, regional and country levels. Although the incidence, prevalence and disability-adjusted life years (DALYs) of gout among young and middle-aged people vary widely across countries, the burden is generally on the rise from 1990 to 2021. We call for more research on gout in young and middle-aged people and more representative data for each country. Young and middle-aged people are the backbone of society. Further research is needed to understand the long-term impact of gout treatment on young and middle-aged people, especially its relationship with high BMI and impaired renal function. Continuous research to address key risk factors and improve diagnosis and treatment methods is essential to reduce the global burden of gout.</w:t>
      </w:r>
    </w:p>
    <w:p w14:paraId="1B4EE8CD">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sz w:val="24"/>
        </w:rPr>
      </w:pPr>
    </w:p>
    <w:p w14:paraId="2D48F5F2">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Times New Roman" w:hAnsi="Times New Roman" w:cs="Times New Roman"/>
          <w:b/>
          <w:bCs/>
          <w:sz w:val="24"/>
        </w:rPr>
      </w:pPr>
      <w:r>
        <w:rPr>
          <w:rFonts w:hint="eastAsia" w:ascii="Times New Roman" w:hAnsi="Times New Roman" w:cs="Times New Roman"/>
          <w:b/>
          <w:bCs/>
          <w:sz w:val="24"/>
          <w:lang w:val="en-US" w:eastAsia="zh-CN"/>
        </w:rPr>
        <w:t xml:space="preserve">6. </w:t>
      </w:r>
      <w:r>
        <w:rPr>
          <w:rFonts w:hint="eastAsia" w:ascii="Times New Roman" w:hAnsi="Times New Roman" w:cs="Times New Roman"/>
          <w:b/>
          <w:bCs/>
          <w:sz w:val="24"/>
        </w:rPr>
        <w:t>Limitations</w:t>
      </w:r>
    </w:p>
    <w:p w14:paraId="1C28B5CB">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4"/>
        </w:rPr>
      </w:pPr>
      <w:r>
        <w:rPr>
          <w:rFonts w:hint="eastAsia" w:ascii="Times New Roman" w:hAnsi="Times New Roman" w:cs="Times New Roman"/>
          <w:sz w:val="24"/>
        </w:rPr>
        <w:t xml:space="preserve">The study relies entirely on the data from the 2021 Global Burden of Disease (GBD) study. Although GBD employs comprehensive and standardized methods, potential errors or biases in the original data collection processes across different regions and countries could impact the accuracy of the results. For instance, variations in the diagnostic criteria and reporting practices for gout might exist, leading to inconsistent data quality. While BMI and renal dysfunction were analyzed as risk factors, other potential contributors to gout burden in the 20 - 54-year-old population were not explored. The findings, although presented at global, regional, and national levels, might have limitations in generalizability within specific subgroups or regions. For example, within large and diverse countries, there could be significant heterogeneity in gout prevalence and risk factor profiles among different ethnic, socioeconomic, or geographical subgroups that were not fully captured by the current analysis. </w:t>
      </w:r>
    </w:p>
    <w:p w14:paraId="2639B546">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jc w:val="both"/>
        <w:textAlignment w:val="auto"/>
        <w:rPr>
          <w:rFonts w:hint="eastAsia" w:ascii="Times New Roman" w:hAnsi="Times New Roman" w:cs="Times New Roman"/>
          <w:sz w:val="24"/>
        </w:rPr>
      </w:pPr>
    </w:p>
    <w:p w14:paraId="465A4D25">
      <w:pPr>
        <w:contextualSpacing/>
        <w:rPr>
          <w:rFonts w:ascii="Times New Roman" w:hAnsi="Times New Roman"/>
          <w:b/>
          <w:bCs/>
          <w:sz w:val="24"/>
        </w:rPr>
      </w:pPr>
      <w:r>
        <w:rPr>
          <w:rFonts w:ascii="Times New Roman" w:hAnsi="Times New Roman"/>
          <w:b/>
          <w:bCs/>
          <w:sz w:val="24"/>
        </w:rPr>
        <w:t>Disclosure statement</w:t>
      </w:r>
    </w:p>
    <w:p w14:paraId="7931102A">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ascii="Times New Roman" w:hAnsi="Times New Roman"/>
          <w:sz w:val="24"/>
        </w:rPr>
      </w:pPr>
      <w:r>
        <w:rPr>
          <w:rFonts w:ascii="Times New Roman" w:hAnsi="Times New Roman"/>
          <w:sz w:val="24"/>
        </w:rPr>
        <w:t>The authors declare no conflict of interest.</w:t>
      </w:r>
    </w:p>
    <w:p w14:paraId="79C6CE15">
      <w:pPr>
        <w:keepNext w:val="0"/>
        <w:keepLines w:val="0"/>
        <w:pageBreakBefore w:val="0"/>
        <w:widowControl w:val="0"/>
        <w:kinsoku/>
        <w:wordWrap/>
        <w:overflowPunct/>
        <w:topLinePunct w:val="0"/>
        <w:autoSpaceDE/>
        <w:autoSpaceDN/>
        <w:bidi w:val="0"/>
        <w:adjustRightInd/>
        <w:snapToGrid/>
        <w:spacing w:after="0" w:line="240" w:lineRule="auto"/>
        <w:ind w:firstLine="720" w:firstLineChars="300"/>
        <w:jc w:val="both"/>
        <w:textAlignment w:val="auto"/>
        <w:rPr>
          <w:rFonts w:ascii="Times New Roman" w:hAnsi="Times New Roman"/>
          <w:sz w:val="24"/>
        </w:rPr>
      </w:pPr>
    </w:p>
    <w:p w14:paraId="2432924E">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References</w:t>
      </w:r>
    </w:p>
    <w:p w14:paraId="43237BD3">
      <w:pPr>
        <w:spacing w:after="0" w:line="240" w:lineRule="auto"/>
        <w:ind w:left="420" w:hanging="420"/>
        <w:jc w:val="both"/>
        <w:rPr>
          <w:rFonts w:hint="default" w:ascii="Times New Roman" w:hAnsi="Times New Roman" w:eastAsia="宋体" w:cs="Times New Roman"/>
          <w:sz w:val="24"/>
          <w14:ligatures w14:val="none"/>
        </w:rPr>
      </w:pPr>
      <w:r>
        <w:rPr>
          <w:rFonts w:hint="default" w:ascii="Times New Roman" w:hAnsi="Times New Roman" w:eastAsia="宋体" w:cs="Times New Roman"/>
          <w:sz w:val="24"/>
          <w:lang w:val="en-US" w:eastAsia="zh-CN"/>
          <w14:ligatures w14:val="none"/>
        </w:rPr>
        <w:t>[1]</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14:ligatures w14:val="none"/>
        </w:rPr>
        <w:t>Afinogenova Y, Danve A, Neogi T. Update on gout management: what is old and what is new. Curr Opin Rheumatol. 2022;34(2):118–</w:t>
      </w:r>
      <w:r>
        <w:rPr>
          <w:rFonts w:hint="eastAsia" w:ascii="Times New Roman" w:hAnsi="Times New Roman" w:eastAsia="宋体" w:cs="Times New Roman"/>
          <w:sz w:val="24"/>
          <w:lang w:val="en-US" w:eastAsia="zh-CN"/>
          <w14:ligatures w14:val="none"/>
        </w:rPr>
        <w:t>1</w:t>
      </w:r>
      <w:r>
        <w:rPr>
          <w:rFonts w:hint="default" w:ascii="Times New Roman" w:hAnsi="Times New Roman" w:eastAsia="宋体" w:cs="Times New Roman"/>
          <w:sz w:val="24"/>
          <w14:ligatures w14:val="none"/>
        </w:rPr>
        <w:t>24.</w:t>
      </w:r>
    </w:p>
    <w:p w14:paraId="43521E0D">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2</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Murdoch R, Barry MJ, Choi HK, et al. Gout, Hyperuricaemia and Crystal Associated Disease Network (G-CAN) common language definition of gout. RMD Open 2021; 7: e001623.</w:t>
      </w:r>
    </w:p>
    <w:p w14:paraId="4057AEBE">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3</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Bevis M, Blagojevic-Bucknall M, Mallen C, Hider S, Roddy E.Comorbidity clusters in people with gout: an observational cohort study with linked medical record review. Rheumatology 2018; 57:1358</w:t>
      </w:r>
      <w:r>
        <w:rPr>
          <w:rFonts w:hint="eastAsia" w:ascii="Times New Roman" w:hAnsi="Times New Roman" w:eastAsia="宋体" w:cs="Times New Roman"/>
          <w:sz w:val="24"/>
          <w:lang w:val="en-US" w:eastAsia="zh-CN"/>
          <w14:ligatures w14:val="none"/>
        </w:rPr>
        <w:t>-13</w:t>
      </w:r>
      <w:r>
        <w:rPr>
          <w:rFonts w:hint="default" w:ascii="Times New Roman" w:hAnsi="Times New Roman" w:eastAsia="宋体" w:cs="Times New Roman"/>
          <w:sz w:val="24"/>
          <w:lang w:val="en-US" w:eastAsia="zh-CN"/>
          <w14:ligatures w14:val="none"/>
        </w:rPr>
        <w:t>63.</w:t>
      </w:r>
    </w:p>
    <w:p w14:paraId="7ED77694">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4</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Cipolletta E, Tata LJ, Nakafero G, Avery AJ, Mamas MA, Abhishek A.Association between gout flare and subsequent cardiovascular events among patients with gout. JAMA 2022; 328: 440</w:t>
      </w:r>
      <w:r>
        <w:rPr>
          <w:rFonts w:hint="eastAsia" w:ascii="Times New Roman" w:hAnsi="Times New Roman" w:eastAsia="宋体" w:cs="Times New Roman"/>
          <w:sz w:val="24"/>
          <w:lang w:val="en-US" w:eastAsia="zh-CN"/>
          <w14:ligatures w14:val="none"/>
        </w:rPr>
        <w:t>-4</w:t>
      </w:r>
      <w:r>
        <w:rPr>
          <w:rFonts w:hint="default" w:ascii="Times New Roman" w:hAnsi="Times New Roman" w:eastAsia="宋体" w:cs="Times New Roman"/>
          <w:sz w:val="24"/>
          <w:lang w:val="en-US" w:eastAsia="zh-CN"/>
          <w14:ligatures w14:val="none"/>
        </w:rPr>
        <w:t>50.</w:t>
      </w:r>
    </w:p>
    <w:p w14:paraId="2AECF784">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5</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Choi HK, McCormick N, Yokose C. Excess comorbidities in gout: the causal paradigm and pleiotropic approaches to care. Nat Rev Rheumatol.2022;18(2):97–111.</w:t>
      </w:r>
    </w:p>
    <w:p w14:paraId="5FE03E38">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6</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Li Y, Chen Z, Xu B, Wu G, Yuan Q, Xue X, Wu Y, Huang Y, Mo S. Global, regional, and national burden of gout in elderly 1990-2021: an analysis for the global burden of disease study 2021. BMC Public Health. 2024 Nov 27;24(1):3298.</w:t>
      </w:r>
    </w:p>
    <w:p w14:paraId="38BFDE2F">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7</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Zhang J, Jin C, Ma B, Sun H, Chen Y, Zhong Y, Han C, Liu T, Li Y. Global, regional and national burdens of gout in the young population from 1990 to 2019: a population-based study. RMD Open. 2023 Apr;9(2):e003025.</w:t>
      </w:r>
    </w:p>
    <w:p w14:paraId="33BB83DF">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8</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GBD 2021 Gout Collaborators. Global, regional, and national burden of gout, 1990-2020, and projections to 2050: a systematic analysis of the Global Burden of Disease Study 2021. Lancet Rheumatol. 2024 Aug;6(8):e507-e517. doi: 10.1016/S2665-9913(24)00117-6.</w:t>
      </w:r>
    </w:p>
    <w:p w14:paraId="3BBED0D6">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9</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Xu T, Dong W, Liu J, Yin P, Wang Z, Zhang L, Zhou M. Disease burden of Parkinson’s disease in China and its provinces from 1990 to 2021: findings from the global burden of disease study 2021. Lancet Reg Health West Pac. 2024 May 8;46: 101078.</w:t>
      </w:r>
    </w:p>
    <w:p w14:paraId="225E7EE1">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[1</w:t>
      </w:r>
      <w:r>
        <w:rPr>
          <w:rFonts w:hint="eastAsia" w:ascii="Times New Roman" w:hAnsi="Times New Roman" w:eastAsia="宋体" w:cs="Times New Roman"/>
          <w:sz w:val="24"/>
          <w:lang w:val="en-US" w:eastAsia="zh-CN"/>
          <w14:ligatures w14:val="none"/>
        </w:rPr>
        <w:t>0</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Cao, F., Liu, Y.C., Ni, Q.Y., Chen, Y., Wan, C.H., Liu, S.Y., Tao, L.M., Jiang, Z.X., Ni,J., Pan, H.F., 2023b. Temporal trends in the prevalence of autoimmune diseases from 1990 to 2019. Autoimmun. Rev. 22, 103359.</w:t>
      </w:r>
    </w:p>
    <w:p w14:paraId="1E364F1D">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[1</w:t>
      </w:r>
      <w:r>
        <w:rPr>
          <w:rFonts w:hint="eastAsia" w:ascii="Times New Roman" w:hAnsi="Times New Roman" w:eastAsia="宋体" w:cs="Times New Roman"/>
          <w:sz w:val="24"/>
          <w:lang w:val="en-US" w:eastAsia="zh-CN"/>
          <w14:ligatures w14:val="none"/>
        </w:rPr>
        <w:t>1</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Kim, H.J., Fay, M.P., Feuer, E.J., Midthune, D.N., 2000. Permutation tests for joinpoint regression with applications to cancer rates. Stat. Med. 19, 335–351.</w:t>
      </w:r>
    </w:p>
    <w:p w14:paraId="2485C90E">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[1</w:t>
      </w:r>
      <w:r>
        <w:rPr>
          <w:rFonts w:hint="eastAsia" w:ascii="Times New Roman" w:hAnsi="Times New Roman" w:eastAsia="宋体" w:cs="Times New Roman"/>
          <w:sz w:val="24"/>
          <w:lang w:val="en-US" w:eastAsia="zh-CN"/>
          <w14:ligatures w14:val="none"/>
        </w:rPr>
        <w:t>2</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Guillén AG, Te Karu L, Singh JA, Dalbeth N. Gender and ethnic inequities in gout burden and management.Rheum Dis Clin North Am 2020; 46: 693–703.</w:t>
      </w:r>
    </w:p>
    <w:p w14:paraId="3B7ED66F">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[1</w:t>
      </w:r>
      <w:r>
        <w:rPr>
          <w:rFonts w:hint="eastAsia" w:ascii="Times New Roman" w:hAnsi="Times New Roman" w:eastAsia="宋体" w:cs="Times New Roman"/>
          <w:sz w:val="24"/>
          <w:lang w:val="en-US" w:eastAsia="zh-CN"/>
          <w14:ligatures w14:val="none"/>
        </w:rPr>
        <w:t>3</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Richette P, Clerson P, Périssin L, Flipo RM, Bardin T. Revisiting comorbidi-ties in gout: a cluster analysis. Ann Rheum Dis. 2015;74(1):142–</w:t>
      </w:r>
      <w:r>
        <w:rPr>
          <w:rFonts w:hint="eastAsia" w:ascii="Times New Roman" w:hAnsi="Times New Roman" w:eastAsia="宋体" w:cs="Times New Roman"/>
          <w:sz w:val="24"/>
          <w:lang w:val="en-US" w:eastAsia="zh-CN"/>
          <w14:ligatures w14:val="none"/>
        </w:rPr>
        <w:t>14</w:t>
      </w:r>
      <w:r>
        <w:rPr>
          <w:rFonts w:hint="default" w:ascii="Times New Roman" w:hAnsi="Times New Roman" w:eastAsia="宋体" w:cs="Times New Roman"/>
          <w:sz w:val="24"/>
          <w:lang w:val="en-US" w:eastAsia="zh-CN"/>
          <w14:ligatures w14:val="none"/>
        </w:rPr>
        <w:t>7.</w:t>
      </w:r>
    </w:p>
    <w:p w14:paraId="0BF52A95">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[1</w:t>
      </w:r>
      <w:r>
        <w:rPr>
          <w:rFonts w:hint="eastAsia" w:ascii="Times New Roman" w:hAnsi="Times New Roman" w:eastAsia="宋体" w:cs="Times New Roman"/>
          <w:sz w:val="24"/>
          <w:lang w:val="en-US" w:eastAsia="zh-CN"/>
          <w14:ligatures w14:val="none"/>
        </w:rPr>
        <w:t>4</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Dalbeth N, Gosling AL, Gaffo A, Abhishek A. Gout. Lancet. 2021;397(10287):1843–55.</w:t>
      </w:r>
    </w:p>
    <w:p w14:paraId="576F49D4">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[1</w:t>
      </w:r>
      <w:r>
        <w:rPr>
          <w:rFonts w:hint="eastAsia" w:ascii="Times New Roman" w:hAnsi="Times New Roman" w:eastAsia="宋体" w:cs="Times New Roman"/>
          <w:sz w:val="24"/>
          <w:lang w:val="en-US" w:eastAsia="zh-CN"/>
          <w14:ligatures w14:val="none"/>
        </w:rPr>
        <w:t>5</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Chen-Xu M, Yokose C, Rai SK, Pillinger MH, Choi HK. Contemporary prevalence of gout and hyperuricemia in the United States and decadal trends: the national health and nutrition examination survey, 2007–2016.Arthritis Rheumatol. 2019;71(6):991–</w:t>
      </w:r>
      <w:r>
        <w:rPr>
          <w:rFonts w:hint="eastAsia" w:ascii="Times New Roman" w:hAnsi="Times New Roman" w:eastAsia="宋体" w:cs="Times New Roman"/>
          <w:sz w:val="24"/>
          <w:lang w:val="en-US" w:eastAsia="zh-CN"/>
          <w14:ligatures w14:val="none"/>
        </w:rPr>
        <w:t>99</w:t>
      </w:r>
      <w:r>
        <w:rPr>
          <w:rFonts w:hint="default" w:ascii="Times New Roman" w:hAnsi="Times New Roman" w:eastAsia="宋体" w:cs="Times New Roman"/>
          <w:sz w:val="24"/>
          <w:lang w:val="en-US" w:eastAsia="zh-CN"/>
          <w14:ligatures w14:val="none"/>
        </w:rPr>
        <w:t>9.</w:t>
      </w:r>
    </w:p>
    <w:p w14:paraId="63703097">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[1</w:t>
      </w:r>
      <w:r>
        <w:rPr>
          <w:rFonts w:hint="eastAsia" w:ascii="Times New Roman" w:hAnsi="Times New Roman" w:eastAsia="宋体" w:cs="Times New Roman"/>
          <w:sz w:val="24"/>
          <w:lang w:val="en-US" w:eastAsia="zh-CN"/>
          <w14:ligatures w14:val="none"/>
        </w:rPr>
        <w:t>6</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 xml:space="preserve">Ashiq K, Bajwa MA, Tanveer S, Qayyum M, Ashiq S, Khokhar R, Abid F. A comprehensive review on gout: The epidemiological trends, pathophysiology, clinical presentation, diagnosis and treatment. J Pak Med Assoc. 2021 Apr;71(4):1234-1238. </w:t>
      </w:r>
    </w:p>
    <w:p w14:paraId="6205043E">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[1</w:t>
      </w:r>
      <w:r>
        <w:rPr>
          <w:rFonts w:hint="eastAsia" w:ascii="Times New Roman" w:hAnsi="Times New Roman" w:eastAsia="宋体" w:cs="Times New Roman"/>
          <w:sz w:val="24"/>
          <w:lang w:val="en-US" w:eastAsia="zh-CN"/>
          <w14:ligatures w14:val="none"/>
        </w:rPr>
        <w:t>7</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Carcione J, Bodofsky S, LaMoreaux B, Schlesinger N. Beyond Medical Treatment: Surgical Treatment of Gout. Curr Rheumatol Rep. 2020 Nov 24;23(1):1</w:t>
      </w:r>
    </w:p>
    <w:p w14:paraId="7580B43C">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[1</w:t>
      </w:r>
      <w:r>
        <w:rPr>
          <w:rFonts w:hint="eastAsia" w:ascii="Times New Roman" w:hAnsi="Times New Roman" w:eastAsia="宋体" w:cs="Times New Roman"/>
          <w:sz w:val="24"/>
          <w:lang w:val="en-US" w:eastAsia="zh-CN"/>
          <w14:ligatures w14:val="none"/>
        </w:rPr>
        <w:t>8</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Moi JH, Sriranganathan MK, Falzon L, Edwards CJ, van der Heijde DM, Buchbinder R. Lifestyle interventions for the treatment of gout: a summary of 2 Cochrane systematic reviews. J Rheumatol Suppl. 2014 Sep;92:26-32.</w:t>
      </w:r>
    </w:p>
    <w:p w14:paraId="658F4959">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[1</w:t>
      </w:r>
      <w:r>
        <w:rPr>
          <w:rFonts w:hint="eastAsia" w:ascii="Times New Roman" w:hAnsi="Times New Roman" w:eastAsia="宋体" w:cs="Times New Roman"/>
          <w:sz w:val="24"/>
          <w:lang w:val="en-US" w:eastAsia="zh-CN"/>
          <w14:ligatures w14:val="none"/>
        </w:rPr>
        <w:t>9</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Hoon E, Edwards J, Robinson P, Rowett D, Stocks N, Keen HI, Hill CL. How is gout currently managed, and is there interest in changing the way we deliver care? A qualitative exploratory study. Aust J Gen Pract. 2024 Nov;53(11):864-871.</w:t>
      </w:r>
    </w:p>
    <w:p w14:paraId="44FDB65F">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20</w:t>
      </w: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Deng F, Wang Q, Wen X, Xu X, Jia L, He H, Wang X, Xie Y, Li H, Qiao L, Han J. Association between Body Mass Index and Serum Uric Acid: mediation analysis involving liver enzymes indicators. BMC Public Health. 2024 Oct 30;24(1):3007.</w:t>
      </w:r>
    </w:p>
    <w:p w14:paraId="41B56790">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w:t>
      </w:r>
      <w:r>
        <w:rPr>
          <w:rFonts w:hint="eastAsia" w:ascii="Times New Roman" w:hAnsi="Times New Roman" w:eastAsia="宋体" w:cs="Times New Roman"/>
          <w:sz w:val="24"/>
          <w:lang w:val="en-US" w:eastAsia="zh-CN"/>
          <w14:ligatures w14:val="none"/>
        </w:rPr>
        <w:t>2</w:t>
      </w:r>
      <w:r>
        <w:rPr>
          <w:rFonts w:hint="default" w:ascii="Times New Roman" w:hAnsi="Times New Roman" w:eastAsia="宋体" w:cs="Times New Roman"/>
          <w:sz w:val="24"/>
          <w:lang w:val="en-US" w:eastAsia="zh-CN"/>
          <w14:ligatures w14:val="none"/>
        </w:rPr>
        <w:t>1]</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Cao M, Ahmad Yusof H, Chen J, Zhou L. Development and validation of a knowledge, attitude, and practice questionnaire regarding exercise and exergames for obese patients with gout. BMC Public Health. 2024 Sep 27;24(1):2638.</w:t>
      </w:r>
    </w:p>
    <w:p w14:paraId="52A1BF5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cs="Times New Roman"/>
          <w:sz w:val="24"/>
          <w:szCs w:val="24"/>
        </w:rPr>
      </w:pPr>
    </w:p>
    <w:p w14:paraId="688AD3B9">
      <w:pPr>
        <w:keepNext/>
        <w:keepLines/>
        <w:widowControl w:val="0"/>
        <w:spacing w:before="40"/>
        <w:jc w:val="both"/>
        <w:outlineLvl w:val="2"/>
        <w:rPr>
          <w:rFonts w:ascii="Times New Roman" w:hAnsi="Times New Roman" w:eastAsia="等线 Light" w:cs="Times New Roman"/>
          <w:b/>
          <w:bCs/>
          <w:color w:val="auto"/>
          <w:kern w:val="2"/>
          <w:sz w:val="20"/>
          <w:szCs w:val="20"/>
          <w:lang w:val="en-US" w:eastAsia="zh-CN" w:bidi="ar-SA"/>
        </w:rPr>
      </w:pPr>
      <w:bookmarkStart w:id="3" w:name="_Hlk173221647"/>
      <w:bookmarkStart w:id="4" w:name="_Hlk172732777"/>
      <w:r>
        <w:rPr>
          <w:rFonts w:ascii="Times New Roman" w:hAnsi="Times New Roman" w:eastAsia="等线 Light" w:cs="Times New Roman"/>
          <w:b/>
          <w:bCs/>
          <w:color w:val="auto"/>
          <w:kern w:val="2"/>
          <w:sz w:val="20"/>
          <w:szCs w:val="20"/>
          <w:lang w:val="en-US" w:eastAsia="zh-CN" w:bidi="ar-SA"/>
        </w:rPr>
        <w:t>Publisher’s note</w:t>
      </w:r>
    </w:p>
    <w:p w14:paraId="5687C7D5">
      <w:pPr>
        <w:spacing w:after="0" w:line="240" w:lineRule="auto"/>
        <w:jc w:val="both"/>
        <w:rPr>
          <w:rFonts w:ascii="Times New Roman" w:hAnsi="Times New Roman" w:eastAsia="宋体" w:cs="Times New Roman"/>
          <w:sz w:val="20"/>
          <w:szCs w:val="20"/>
          <w14:ligatures w14:val="none"/>
        </w:rPr>
      </w:pPr>
      <w:r>
        <w:rPr>
          <w:rFonts w:ascii="Times New Roman" w:hAnsi="Times New Roman" w:eastAsia="宋体" w:cs="Times New Roman"/>
          <w:kern w:val="0"/>
          <w:sz w:val="20"/>
          <w:szCs w:val="20"/>
          <w:lang w:eastAsia="en-US"/>
          <w14:ligatures w14:val="none"/>
        </w:rPr>
        <w:t>Bio-Byword Scientific Publishing remains neutral with regard to jurisdictional claims in published maps and institutional affiliations.</w:t>
      </w:r>
    </w:p>
    <w:bookmarkEnd w:id="3"/>
    <w:bookmarkEnd w:id="4"/>
    <w:p w14:paraId="5F4751D1">
      <w:pPr>
        <w:keepNext w:val="0"/>
        <w:keepLines w:val="0"/>
        <w:pageBreakBefore w:val="0"/>
        <w:widowControl w:val="0"/>
        <w:kinsoku/>
        <w:wordWrap/>
        <w:overflowPunct/>
        <w:topLinePunct w:val="0"/>
        <w:autoSpaceDE/>
        <w:autoSpaceDN/>
        <w:bidi w:val="0"/>
        <w:adjustRightInd/>
        <w:snapToGrid/>
        <w:spacing w:after="0" w:line="240" w:lineRule="auto"/>
        <w:ind w:firstLine="720" w:firstLineChars="300"/>
        <w:jc w:val="both"/>
        <w:textAlignment w:val="auto"/>
        <w:rPr>
          <w:rFonts w:hint="default"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BB34D6E-149C-49E5-AB0D-5FDAC16C4CCF}"/>
  </w:font>
  <w:font w:name="等线">
    <w:panose1 w:val="02010600030101010101"/>
    <w:charset w:val="86"/>
    <w:family w:val="auto"/>
    <w:pitch w:val="default"/>
    <w:sig w:usb0="A00002BF" w:usb1="38CF7CFA" w:usb2="00000016" w:usb3="00000000" w:csb0="0004000F" w:csb1="00000000"/>
    <w:embedRegular r:id="rId2" w:fontKey="{0607ABF4-9E71-4840-B6A1-FC901FB16865}"/>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embedRegular r:id="rId3" w:fontKey="{C327767E-76B2-429E-82ED-7FC2CD809956}"/>
  </w:font>
  <w:font w:name="SourceHanSerifCN-Regular">
    <w:altName w:val="微软雅黑"/>
    <w:panose1 w:val="00000000000000000000"/>
    <w:charset w:val="86"/>
    <w:family w:val="auto"/>
    <w:pitch w:val="default"/>
    <w:sig w:usb0="00000000" w:usb1="00000000" w:usb2="00000010" w:usb3="00000000" w:csb0="00040000" w:csb1="00000000"/>
    <w:embedRegular r:id="rId4" w:fontKey="{836CACC4-2446-4C9B-97A1-864D25DB316A}"/>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9FE"/>
    <w:rsid w:val="00000D3C"/>
    <w:rsid w:val="000179E3"/>
    <w:rsid w:val="0002117D"/>
    <w:rsid w:val="00065C83"/>
    <w:rsid w:val="000665E9"/>
    <w:rsid w:val="00066F91"/>
    <w:rsid w:val="00072731"/>
    <w:rsid w:val="0007281B"/>
    <w:rsid w:val="0008011C"/>
    <w:rsid w:val="00094739"/>
    <w:rsid w:val="000C6677"/>
    <w:rsid w:val="000D7191"/>
    <w:rsid w:val="000F2844"/>
    <w:rsid w:val="00112C27"/>
    <w:rsid w:val="00114390"/>
    <w:rsid w:val="001332B0"/>
    <w:rsid w:val="0015510E"/>
    <w:rsid w:val="001818BD"/>
    <w:rsid w:val="001A49FD"/>
    <w:rsid w:val="001B151C"/>
    <w:rsid w:val="001B208F"/>
    <w:rsid w:val="001D2FB1"/>
    <w:rsid w:val="001E1429"/>
    <w:rsid w:val="0022491E"/>
    <w:rsid w:val="00261E81"/>
    <w:rsid w:val="00267651"/>
    <w:rsid w:val="002733A3"/>
    <w:rsid w:val="002757CF"/>
    <w:rsid w:val="002A0E98"/>
    <w:rsid w:val="002E79A5"/>
    <w:rsid w:val="002F0304"/>
    <w:rsid w:val="002F3FD8"/>
    <w:rsid w:val="002F6F26"/>
    <w:rsid w:val="003163DB"/>
    <w:rsid w:val="00323DD2"/>
    <w:rsid w:val="003318F2"/>
    <w:rsid w:val="00350324"/>
    <w:rsid w:val="0038162F"/>
    <w:rsid w:val="003A0917"/>
    <w:rsid w:val="003F6B83"/>
    <w:rsid w:val="00411FE7"/>
    <w:rsid w:val="00413308"/>
    <w:rsid w:val="00424D77"/>
    <w:rsid w:val="00475F8D"/>
    <w:rsid w:val="00481370"/>
    <w:rsid w:val="00484AA4"/>
    <w:rsid w:val="004A02FF"/>
    <w:rsid w:val="00522546"/>
    <w:rsid w:val="00564478"/>
    <w:rsid w:val="00596E1D"/>
    <w:rsid w:val="005D61B6"/>
    <w:rsid w:val="006364CD"/>
    <w:rsid w:val="00696703"/>
    <w:rsid w:val="006D7C79"/>
    <w:rsid w:val="006F621A"/>
    <w:rsid w:val="006F6B13"/>
    <w:rsid w:val="006F7E48"/>
    <w:rsid w:val="007129CF"/>
    <w:rsid w:val="00726D48"/>
    <w:rsid w:val="00735C7F"/>
    <w:rsid w:val="00743654"/>
    <w:rsid w:val="00760501"/>
    <w:rsid w:val="007758D6"/>
    <w:rsid w:val="0077720B"/>
    <w:rsid w:val="007A57AE"/>
    <w:rsid w:val="007C4F0D"/>
    <w:rsid w:val="008006DD"/>
    <w:rsid w:val="00806725"/>
    <w:rsid w:val="00852D71"/>
    <w:rsid w:val="00882814"/>
    <w:rsid w:val="00883E6B"/>
    <w:rsid w:val="008A4A08"/>
    <w:rsid w:val="00900AF1"/>
    <w:rsid w:val="00907E87"/>
    <w:rsid w:val="00910689"/>
    <w:rsid w:val="00925953"/>
    <w:rsid w:val="009523E3"/>
    <w:rsid w:val="009555EC"/>
    <w:rsid w:val="00961347"/>
    <w:rsid w:val="009A4AD0"/>
    <w:rsid w:val="009C4DF6"/>
    <w:rsid w:val="009E5166"/>
    <w:rsid w:val="009E6CDA"/>
    <w:rsid w:val="00A71AD8"/>
    <w:rsid w:val="00A724DD"/>
    <w:rsid w:val="00A7503D"/>
    <w:rsid w:val="00AB2314"/>
    <w:rsid w:val="00AD3B65"/>
    <w:rsid w:val="00B702E7"/>
    <w:rsid w:val="00BA768D"/>
    <w:rsid w:val="00BC7257"/>
    <w:rsid w:val="00C52762"/>
    <w:rsid w:val="00C81D10"/>
    <w:rsid w:val="00C856D4"/>
    <w:rsid w:val="00C93E94"/>
    <w:rsid w:val="00C95122"/>
    <w:rsid w:val="00CC57FA"/>
    <w:rsid w:val="00CD65FF"/>
    <w:rsid w:val="00D04B27"/>
    <w:rsid w:val="00D30A54"/>
    <w:rsid w:val="00D53F30"/>
    <w:rsid w:val="00D87639"/>
    <w:rsid w:val="00DB7F17"/>
    <w:rsid w:val="00DF220C"/>
    <w:rsid w:val="00E105B2"/>
    <w:rsid w:val="00E17A5E"/>
    <w:rsid w:val="00E515E1"/>
    <w:rsid w:val="00E53680"/>
    <w:rsid w:val="00E548AD"/>
    <w:rsid w:val="00E802C5"/>
    <w:rsid w:val="00E843F5"/>
    <w:rsid w:val="00EB01D6"/>
    <w:rsid w:val="00ED030A"/>
    <w:rsid w:val="00EE5FE3"/>
    <w:rsid w:val="00EF5DA6"/>
    <w:rsid w:val="00F10210"/>
    <w:rsid w:val="00F13D67"/>
    <w:rsid w:val="00F76B16"/>
    <w:rsid w:val="00FA0384"/>
    <w:rsid w:val="00FB69FE"/>
    <w:rsid w:val="00FF6125"/>
    <w:rsid w:val="056A0B5D"/>
    <w:rsid w:val="1EB33031"/>
    <w:rsid w:val="2611625E"/>
    <w:rsid w:val="31656786"/>
    <w:rsid w:val="471F55F1"/>
    <w:rsid w:val="521D31D0"/>
    <w:rsid w:val="64191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3"/>
    <w:basedOn w:val="1"/>
    <w:next w:val="1"/>
    <w:unhideWhenUsed/>
    <w:qFormat/>
    <w:uiPriority w:val="9"/>
    <w:pPr>
      <w:keepNext/>
      <w:keepLines/>
      <w:spacing w:before="40"/>
      <w:outlineLvl w:val="2"/>
    </w:pPr>
    <w:rPr>
      <w:rFonts w:ascii="Calibri Light" w:hAnsi="Calibri Light" w:eastAsia="等线 Light" w:cs="Times New Roman"/>
      <w:color w:val="1F3763"/>
      <w:sz w:val="2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9"/>
    <w:unhideWhenUsed/>
    <w:qFormat/>
    <w:uiPriority w:val="99"/>
    <w:pPr>
      <w:tabs>
        <w:tab w:val="center" w:pos="4153"/>
        <w:tab w:val="right" w:pos="8306"/>
      </w:tabs>
      <w:snapToGrid w:val="0"/>
      <w:spacing w:line="240" w:lineRule="auto"/>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paragraph" w:styleId="11">
    <w:name w:val="List Paragraph"/>
    <w:basedOn w:val="1"/>
    <w:qFormat/>
    <w:uiPriority w:val="34"/>
    <w:pPr>
      <w:ind w:firstLine="420" w:firstLineChars="200"/>
    </w:pPr>
  </w:style>
  <w:style w:type="table" w:customStyle="1" w:styleId="12">
    <w:name w:val="Plain Table 3"/>
    <w:basedOn w:val="7"/>
    <w:qFormat/>
    <w:uiPriority w:val="43"/>
    <w:pPr>
      <w:spacing w:after="0" w:line="240" w:lineRule="auto"/>
    </w:pPr>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18C1F-EAAF-4623-A643-6DD697CDACDD}">
  <ds:schemaRefs/>
</ds:datastoreItem>
</file>

<file path=docProps/app.xml><?xml version="1.0" encoding="utf-8"?>
<Properties xmlns="http://schemas.openxmlformats.org/officeDocument/2006/extended-properties" xmlns:vt="http://schemas.openxmlformats.org/officeDocument/2006/docPropsVTypes">
  <Template>Normal</Template>
  <Pages>21</Pages>
  <Words>1771</Words>
  <Characters>9435</Characters>
  <Lines>178</Lines>
  <Paragraphs>50</Paragraphs>
  <TotalTime>23</TotalTime>
  <ScaleCrop>false</ScaleCrop>
  <LinksUpToDate>false</LinksUpToDate>
  <CharactersWithSpaces>11174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2024-12-04T14:02:00Z</dcterms:created>
  <dc:creator>洪秋 李</dc:creator>
  <cp:lastModifiedBy></cp:lastModifiedBy>
  <cp:lastPrinted>2024-12-04T14:02:00Z</cp:lastPrinted>
  <dcterms:modified xsi:type="dcterms:W3CDTF">2026-08-13T07:43:54Z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eyJoZGlkIjoiZTBiYjBjMzJlZDA2ZWE2YWNmMzQyN2E2MGVlZTcxZjkiLCJ1c2VySWQiOiI2MTA5NTIyOTYifQ==</vt:lpwstr>
  </property>
  <property fmtid="{D5CDD505-2E9C-101B-9397-08002B2CF9AE}" pid="3" name="KSOProductBuildVer">
    <vt:lpwstr>2052-12.1.0.28043</vt:lpwstr>
  </property>
  <property fmtid="{D5CDD505-2E9C-101B-9397-08002B2CF9AE}" pid="4" name="ICV">
    <vt:lpwstr>42D558FCCC1C4781ADC324868FEBC84F_13</vt:lpwstr>
  </property>
</Properties>
</file>