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A82E" w14:textId="1783F594" w:rsidR="000015AE" w:rsidRPr="00F31B08" w:rsidRDefault="00000000" w:rsidP="00F31B08">
      <w:pPr>
        <w:jc w:val="left"/>
        <w:rPr>
          <w:b/>
          <w:bCs/>
          <w:sz w:val="44"/>
          <w:szCs w:val="44"/>
          <w:lang w:val="en-US"/>
        </w:rPr>
      </w:pPr>
      <w:r w:rsidRPr="00F31B08">
        <w:rPr>
          <w:b/>
          <w:bCs/>
          <w:sz w:val="44"/>
          <w:szCs w:val="44"/>
          <w:lang w:val="en-US"/>
        </w:rPr>
        <w:t>Empowering Pre-service Chemistry Teachers: A Cognitive Scaffolding Approach to Mohr</w:t>
      </w:r>
      <w:r w:rsidR="00E8688C" w:rsidRPr="00F31B08">
        <w:rPr>
          <w:b/>
          <w:bCs/>
          <w:sz w:val="44"/>
          <w:szCs w:val="44"/>
          <w:lang w:val="en-US"/>
        </w:rPr>
        <w:t>’</w:t>
      </w:r>
      <w:r w:rsidRPr="00F31B08">
        <w:rPr>
          <w:b/>
          <w:bCs/>
          <w:sz w:val="44"/>
          <w:szCs w:val="44"/>
          <w:lang w:val="en-US"/>
        </w:rPr>
        <w:t>s Salt Synthesis for Systemic Professional Development</w:t>
      </w:r>
    </w:p>
    <w:p w14:paraId="677BE95B" w14:textId="77777777" w:rsidR="000015AE" w:rsidRPr="00F31B08" w:rsidRDefault="00000000" w:rsidP="00F31B08">
      <w:pPr>
        <w:rPr>
          <w:rFonts w:eastAsia="SimSun"/>
          <w:b/>
          <w:bCs/>
          <w:szCs w:val="24"/>
          <w:lang w:val="en-US"/>
        </w:rPr>
      </w:pPr>
      <w:proofErr w:type="spellStart"/>
      <w:r w:rsidRPr="00F31B08">
        <w:rPr>
          <w:rFonts w:eastAsia="SimSun"/>
          <w:b/>
          <w:bCs/>
          <w:szCs w:val="24"/>
          <w:lang w:val="en-US"/>
        </w:rPr>
        <w:t>Yunxia</w:t>
      </w:r>
      <w:proofErr w:type="spellEnd"/>
      <w:r w:rsidRPr="00F31B08">
        <w:rPr>
          <w:rFonts w:eastAsia="SimSun"/>
          <w:b/>
          <w:bCs/>
          <w:szCs w:val="24"/>
          <w:lang w:val="en-US"/>
        </w:rPr>
        <w:t xml:space="preserve"> Qu*,</w:t>
      </w:r>
      <w:r w:rsidRPr="00F31B08">
        <w:rPr>
          <w:b/>
          <w:bCs/>
          <w:color w:val="EE0000"/>
          <w:szCs w:val="24"/>
          <w:lang w:val="en-US"/>
        </w:rPr>
        <w:t xml:space="preserve"> </w:t>
      </w:r>
      <w:proofErr w:type="spellStart"/>
      <w:r w:rsidRPr="00F31B08">
        <w:rPr>
          <w:b/>
          <w:bCs/>
          <w:szCs w:val="24"/>
          <w:lang w:val="en-US"/>
        </w:rPr>
        <w:t>Rui</w:t>
      </w:r>
      <w:r w:rsidRPr="00F31B08">
        <w:rPr>
          <w:rFonts w:eastAsia="SimSun"/>
          <w:b/>
          <w:bCs/>
          <w:szCs w:val="24"/>
          <w:lang w:val="en-US"/>
        </w:rPr>
        <w:t>h</w:t>
      </w:r>
      <w:r w:rsidRPr="00F31B08">
        <w:rPr>
          <w:b/>
          <w:bCs/>
          <w:szCs w:val="24"/>
          <w:lang w:val="en-US"/>
        </w:rPr>
        <w:t>an</w:t>
      </w:r>
      <w:proofErr w:type="spellEnd"/>
      <w:r w:rsidRPr="00F31B08">
        <w:rPr>
          <w:b/>
          <w:bCs/>
          <w:szCs w:val="24"/>
          <w:lang w:val="en-US"/>
        </w:rPr>
        <w:t xml:space="preserve"> Mei, </w:t>
      </w:r>
      <w:r w:rsidRPr="00F31B08">
        <w:rPr>
          <w:rFonts w:eastAsia="SimSun"/>
          <w:b/>
          <w:bCs/>
          <w:szCs w:val="24"/>
          <w:lang w:val="en-US"/>
        </w:rPr>
        <w:t>Huilin Li</w:t>
      </w:r>
      <w:r w:rsidRPr="00F31B08">
        <w:rPr>
          <w:b/>
          <w:bCs/>
          <w:szCs w:val="24"/>
          <w:lang w:val="en-US"/>
        </w:rPr>
        <w:t>,</w:t>
      </w:r>
      <w:r w:rsidRPr="00F31B08">
        <w:rPr>
          <w:b/>
          <w:bCs/>
          <w:color w:val="EE0000"/>
          <w:szCs w:val="24"/>
          <w:lang w:val="en-US"/>
        </w:rPr>
        <w:t xml:space="preserve"> </w:t>
      </w:r>
      <w:r w:rsidRPr="00F31B08">
        <w:rPr>
          <w:b/>
          <w:bCs/>
          <w:szCs w:val="24"/>
          <w:lang w:val="en-US"/>
        </w:rPr>
        <w:t>Jin</w:t>
      </w:r>
      <w:r w:rsidRPr="00F31B08">
        <w:rPr>
          <w:rFonts w:eastAsia="SimSun"/>
          <w:b/>
          <w:bCs/>
          <w:szCs w:val="24"/>
          <w:lang w:val="en-US"/>
        </w:rPr>
        <w:t>h</w:t>
      </w:r>
      <w:r w:rsidRPr="00F31B08">
        <w:rPr>
          <w:b/>
          <w:bCs/>
          <w:szCs w:val="24"/>
          <w:lang w:val="en-US"/>
        </w:rPr>
        <w:t>ui Lai,</w:t>
      </w:r>
      <w:r w:rsidRPr="00F31B08">
        <w:rPr>
          <w:b/>
          <w:bCs/>
          <w:color w:val="EE0000"/>
          <w:szCs w:val="24"/>
          <w:lang w:val="en-US"/>
        </w:rPr>
        <w:t xml:space="preserve"> </w:t>
      </w:r>
      <w:r w:rsidRPr="00F31B08">
        <w:rPr>
          <w:b/>
          <w:bCs/>
          <w:szCs w:val="24"/>
          <w:lang w:val="en-US"/>
        </w:rPr>
        <w:t>Si</w:t>
      </w:r>
      <w:r w:rsidRPr="00F31B08">
        <w:rPr>
          <w:rFonts w:eastAsia="SimSun"/>
          <w:b/>
          <w:bCs/>
          <w:szCs w:val="24"/>
          <w:lang w:val="en-US"/>
        </w:rPr>
        <w:t>r</w:t>
      </w:r>
      <w:r w:rsidRPr="00F31B08">
        <w:rPr>
          <w:b/>
          <w:bCs/>
          <w:szCs w:val="24"/>
          <w:lang w:val="en-US"/>
        </w:rPr>
        <w:t>u Lin</w:t>
      </w:r>
    </w:p>
    <w:p w14:paraId="17B44771" w14:textId="77777777" w:rsidR="000015AE" w:rsidRPr="00F31B08" w:rsidRDefault="00000000" w:rsidP="00F31B08">
      <w:pPr>
        <w:rPr>
          <w:szCs w:val="24"/>
          <w:lang w:val="en-US"/>
        </w:rPr>
      </w:pPr>
      <w:r w:rsidRPr="00F31B08">
        <w:rPr>
          <w:szCs w:val="24"/>
          <w:lang w:val="en-US"/>
        </w:rPr>
        <w:t>School of Chemistry and Chemical Engineering, Lingnan Normal University, Zhanjiang, Guangdong, China</w:t>
      </w:r>
    </w:p>
    <w:p w14:paraId="45CF31B5" w14:textId="77777777" w:rsidR="00E8688C" w:rsidRPr="00F31B08" w:rsidRDefault="00E8688C" w:rsidP="00E8688C">
      <w:pPr>
        <w:rPr>
          <w:rFonts w:eastAsia="DengXian"/>
          <w:b/>
          <w:bCs/>
          <w:i/>
          <w:iCs/>
          <w:lang w:val="en-MY"/>
        </w:rPr>
      </w:pPr>
      <w:r w:rsidRPr="00F31B08">
        <w:rPr>
          <w:rFonts w:eastAsia="DengXian"/>
          <w:b/>
          <w:bCs/>
          <w:i/>
          <w:iCs/>
          <w:lang w:val="en-MY" w:bidi="ar"/>
        </w:rPr>
        <w:t>*Author to whom correspondence should be addressed.</w:t>
      </w:r>
    </w:p>
    <w:p w14:paraId="38B2C3DE" w14:textId="77777777" w:rsidR="00E8688C" w:rsidRPr="00F31B08" w:rsidRDefault="00E8688C" w:rsidP="00E8688C">
      <w:pPr>
        <w:rPr>
          <w:lang w:val="en-MY"/>
        </w:rPr>
      </w:pPr>
    </w:p>
    <w:p w14:paraId="3D10F796" w14:textId="77777777" w:rsidR="00E8688C" w:rsidRPr="00F31B08" w:rsidRDefault="00E8688C" w:rsidP="00E8688C">
      <w:pPr>
        <w:widowControl/>
        <w:snapToGrid/>
        <w:rPr>
          <w:rFonts w:eastAsia="SimSun"/>
          <w:sz w:val="20"/>
          <w:szCs w:val="20"/>
          <w:lang w:val="en-MY" w:eastAsia="en-US"/>
        </w:rPr>
      </w:pPr>
      <w:bookmarkStart w:id="0" w:name="_Hlk185327433"/>
      <w:r w:rsidRPr="00F31B08">
        <w:rPr>
          <w:rFonts w:eastAsia="SimSun"/>
          <w:b/>
          <w:bCs/>
          <w:sz w:val="20"/>
          <w:szCs w:val="20"/>
          <w:lang w:val="en-MY" w:eastAsia="en-US"/>
        </w:rPr>
        <w:t xml:space="preserve">Copyright: </w:t>
      </w:r>
      <w:r w:rsidRPr="00F31B08">
        <w:rPr>
          <w:rFonts w:eastAsia="SimSun"/>
          <w:sz w:val="20"/>
          <w:szCs w:val="20"/>
          <w:lang w:val="en-MY" w:eastAsia="en-US"/>
        </w:rPr>
        <w:t>© 2026 Author(s). This is an open-access article distributed under the terms of the Creative Commons Attribution License (CC BY 4.0), permitting distribution and reproduction in any medium, provided the original work is cited.</w:t>
      </w:r>
    </w:p>
    <w:bookmarkEnd w:id="0"/>
    <w:p w14:paraId="4EF70A76" w14:textId="77777777" w:rsidR="00E8688C" w:rsidRPr="00F31B08" w:rsidRDefault="00E8688C" w:rsidP="00E8688C">
      <w:pPr>
        <w:rPr>
          <w:lang w:val="en-MY"/>
        </w:rPr>
      </w:pPr>
    </w:p>
    <w:p w14:paraId="34188AD4" w14:textId="0AB64E37" w:rsidR="000015AE" w:rsidRPr="00F31B08" w:rsidRDefault="00000000" w:rsidP="00F31B08">
      <w:pPr>
        <w:rPr>
          <w:rFonts w:eastAsia="SimSun"/>
          <w:szCs w:val="24"/>
          <w:lang w:val="en-US"/>
        </w:rPr>
      </w:pPr>
      <w:r w:rsidRPr="00F31B08">
        <w:rPr>
          <w:b/>
          <w:bCs/>
          <w:color w:val="231F20"/>
          <w:szCs w:val="24"/>
          <w:lang w:val="en-US"/>
        </w:rPr>
        <w:t>Abstract:</w:t>
      </w:r>
      <w:r w:rsidRPr="00F31B08">
        <w:rPr>
          <w:b/>
          <w:bCs/>
          <w:color w:val="231F20"/>
          <w:spacing w:val="-10"/>
          <w:szCs w:val="24"/>
          <w:lang w:val="en-US"/>
        </w:rPr>
        <w:t xml:space="preserve"> </w:t>
      </w:r>
      <w:r w:rsidRPr="00F31B08">
        <w:rPr>
          <w:color w:val="231F20"/>
          <w:szCs w:val="24"/>
          <w:lang w:val="en-US"/>
        </w:rPr>
        <w:t xml:space="preserve">Traditional chemistry experiment teaching often follows a linear and programmed narrative approach, with students mechanically repeating the experimental process, which is extremely detrimental to the career and cognitive development of chemistry education students. This study explores measures to bridge the gap between theory and practice by reconstructing the classic preparation experiment of ferrous ammonium sulfate (Morel salt) through </w:t>
      </w:r>
      <w:r w:rsidR="00381BB6" w:rsidRPr="00F31B08">
        <w:rPr>
          <w:color w:val="231F20"/>
          <w:szCs w:val="24"/>
          <w:lang w:val="en-US"/>
        </w:rPr>
        <w:t>micro-engineering</w:t>
      </w:r>
      <w:r w:rsidRPr="00F31B08">
        <w:rPr>
          <w:color w:val="231F20"/>
          <w:szCs w:val="24"/>
          <w:lang w:val="en-US"/>
        </w:rPr>
        <w:t xml:space="preserve"> zoning. This teaching reform is aimed at the freshmen of the 2024 freshman chemistry teacher training program in the second semester, who are transitioning from passive </w:t>
      </w:r>
      <w:r w:rsidR="00381BB6" w:rsidRPr="00F31B08">
        <w:rPr>
          <w:color w:val="231F20"/>
          <w:szCs w:val="24"/>
          <w:lang w:val="en-US"/>
        </w:rPr>
        <w:t>exam-oriented</w:t>
      </w:r>
      <w:r w:rsidRPr="00F31B08">
        <w:rPr>
          <w:color w:val="231F20"/>
          <w:szCs w:val="24"/>
          <w:lang w:val="en-US"/>
        </w:rPr>
        <w:t xml:space="preserve"> learning to professional teaching thinking and have received another semester of basic experimental training. By implementing the micro engineering teaching reform of the </w:t>
      </w:r>
      <w:r w:rsidR="00E8688C" w:rsidRPr="00F31B08">
        <w:rPr>
          <w:color w:val="231F20"/>
          <w:szCs w:val="24"/>
          <w:lang w:val="en-US"/>
        </w:rPr>
        <w:t>“</w:t>
      </w:r>
      <w:r w:rsidRPr="00F31B08">
        <w:rPr>
          <w:color w:val="231F20"/>
          <w:szCs w:val="24"/>
          <w:lang w:val="en-US"/>
        </w:rPr>
        <w:t>six zone cognitive scaffold matrix</w:t>
      </w:r>
      <w:r w:rsidR="00E8688C" w:rsidRPr="00F31B08">
        <w:rPr>
          <w:color w:val="231F20"/>
          <w:szCs w:val="24"/>
          <w:lang w:val="en-US"/>
        </w:rPr>
        <w:t>”</w:t>
      </w:r>
      <w:r w:rsidRPr="00F31B08">
        <w:rPr>
          <w:color w:val="231F20"/>
          <w:szCs w:val="24"/>
          <w:lang w:val="en-US"/>
        </w:rPr>
        <w:t xml:space="preserve">, we have replaced the standard linear operation instruction with an interlocking reasoning framework. The reform involved 90 students majoring in chemistry education, and the results showed that the experimental group using cognitive scaffolds performed well in explaining complex chemical mechanisms, such as the thermodynamic stability of products and the kinetic mechanisms preventing oxidation, while maintaining basic experimental skills. The systematic training of students through this method not only enhances their proficiency in experimental operations, but also cultivates the necessary </w:t>
      </w:r>
      <w:r w:rsidR="00E8688C" w:rsidRPr="00F31B08">
        <w:rPr>
          <w:color w:val="231F20"/>
          <w:szCs w:val="24"/>
          <w:lang w:val="en-US"/>
        </w:rPr>
        <w:t>“</w:t>
      </w:r>
      <w:r w:rsidRPr="00F31B08">
        <w:rPr>
          <w:color w:val="231F20"/>
          <w:szCs w:val="24"/>
          <w:lang w:val="en-US"/>
        </w:rPr>
        <w:t>subject teaching knowledge</w:t>
      </w:r>
      <w:r w:rsidR="00E8688C" w:rsidRPr="00F31B08">
        <w:rPr>
          <w:color w:val="231F20"/>
          <w:szCs w:val="24"/>
          <w:lang w:val="en-US"/>
        </w:rPr>
        <w:t>”</w:t>
      </w:r>
      <w:r w:rsidRPr="00F31B08">
        <w:rPr>
          <w:color w:val="231F20"/>
          <w:szCs w:val="24"/>
          <w:lang w:val="en-US"/>
        </w:rPr>
        <w:t xml:space="preserve"> (PCK) for future educators.</w:t>
      </w:r>
    </w:p>
    <w:p w14:paraId="150602D8" w14:textId="73422BBD" w:rsidR="000015AE" w:rsidRPr="00F31B08" w:rsidRDefault="00000000" w:rsidP="00F31B08">
      <w:pPr>
        <w:rPr>
          <w:szCs w:val="24"/>
          <w:lang w:val="en-US"/>
        </w:rPr>
      </w:pPr>
      <w:r w:rsidRPr="00F31B08">
        <w:rPr>
          <w:b/>
          <w:bCs/>
          <w:color w:val="231F20"/>
          <w:szCs w:val="24"/>
          <w:lang w:val="en-US"/>
        </w:rPr>
        <w:t>Keywords:</w:t>
      </w:r>
      <w:r w:rsidRPr="00F31B08">
        <w:rPr>
          <w:color w:val="231F20"/>
          <w:szCs w:val="24"/>
          <w:lang w:val="en-US"/>
        </w:rPr>
        <w:t xml:space="preserve"> STEM </w:t>
      </w:r>
      <w:r w:rsidRPr="00F31B08">
        <w:rPr>
          <w:rFonts w:eastAsiaTheme="minorEastAsia"/>
          <w:color w:val="231F20"/>
          <w:szCs w:val="24"/>
          <w:lang w:val="en-US"/>
        </w:rPr>
        <w:t>e</w:t>
      </w:r>
      <w:r w:rsidRPr="00F31B08">
        <w:rPr>
          <w:color w:val="231F20"/>
          <w:szCs w:val="24"/>
          <w:lang w:val="en-US"/>
        </w:rPr>
        <w:t>ducation</w:t>
      </w:r>
      <w:r w:rsidR="00E8688C" w:rsidRPr="00F31B08">
        <w:rPr>
          <w:color w:val="231F20"/>
          <w:szCs w:val="24"/>
          <w:lang w:val="en-US"/>
        </w:rPr>
        <w:t>;</w:t>
      </w:r>
      <w:r w:rsidRPr="00F31B08">
        <w:rPr>
          <w:color w:val="231F20"/>
          <w:szCs w:val="24"/>
          <w:lang w:val="en-US"/>
        </w:rPr>
        <w:t xml:space="preserve"> </w:t>
      </w:r>
      <w:r w:rsidR="00E8688C" w:rsidRPr="00F31B08">
        <w:rPr>
          <w:color w:val="231F20"/>
          <w:szCs w:val="24"/>
          <w:lang w:val="en-US"/>
        </w:rPr>
        <w:t xml:space="preserve">Pedagogical </w:t>
      </w:r>
      <w:r w:rsidRPr="00F31B08">
        <w:rPr>
          <w:color w:val="231F20"/>
          <w:szCs w:val="24"/>
          <w:lang w:val="en-US"/>
        </w:rPr>
        <w:t>transformation</w:t>
      </w:r>
      <w:r w:rsidR="00E8688C" w:rsidRPr="00F31B08">
        <w:rPr>
          <w:color w:val="231F20"/>
          <w:szCs w:val="24"/>
          <w:lang w:val="en-US"/>
        </w:rPr>
        <w:t>;</w:t>
      </w:r>
      <w:r w:rsidRPr="00F31B08">
        <w:rPr>
          <w:color w:val="231F20"/>
          <w:szCs w:val="24"/>
          <w:lang w:val="en-US"/>
        </w:rPr>
        <w:t xml:space="preserve"> </w:t>
      </w:r>
      <w:r w:rsidR="00E8688C" w:rsidRPr="00F31B08">
        <w:rPr>
          <w:color w:val="231F20"/>
          <w:szCs w:val="24"/>
          <w:lang w:val="en-US"/>
        </w:rPr>
        <w:t xml:space="preserve">Cognitive </w:t>
      </w:r>
      <w:r w:rsidRPr="00F31B08">
        <w:rPr>
          <w:color w:val="231F20"/>
          <w:szCs w:val="24"/>
          <w:lang w:val="en-US"/>
        </w:rPr>
        <w:t>apprenticeship</w:t>
      </w:r>
      <w:r w:rsidR="00E8688C" w:rsidRPr="00F31B08">
        <w:rPr>
          <w:color w:val="231F20"/>
          <w:szCs w:val="24"/>
          <w:lang w:val="en-US"/>
        </w:rPr>
        <w:t>;</w:t>
      </w:r>
      <w:r w:rsidRPr="00F31B08">
        <w:rPr>
          <w:color w:val="231F20"/>
          <w:szCs w:val="24"/>
          <w:lang w:val="en-US"/>
        </w:rPr>
        <w:t xml:space="preserve"> Mohr</w:t>
      </w:r>
      <w:r w:rsidR="00E8688C" w:rsidRPr="00F31B08">
        <w:rPr>
          <w:color w:val="231F20"/>
          <w:szCs w:val="24"/>
          <w:lang w:val="en-US"/>
        </w:rPr>
        <w:t>’</w:t>
      </w:r>
      <w:r w:rsidRPr="00F31B08">
        <w:rPr>
          <w:color w:val="231F20"/>
          <w:szCs w:val="24"/>
          <w:lang w:val="en-US"/>
        </w:rPr>
        <w:t>s salt preparation</w:t>
      </w:r>
      <w:r w:rsidR="00E8688C" w:rsidRPr="00F31B08">
        <w:rPr>
          <w:color w:val="231F20"/>
          <w:szCs w:val="24"/>
          <w:lang w:val="en-US"/>
        </w:rPr>
        <w:t>;</w:t>
      </w:r>
      <w:r w:rsidRPr="00F31B08">
        <w:rPr>
          <w:color w:val="231F20"/>
          <w:szCs w:val="24"/>
          <w:lang w:val="en-US"/>
        </w:rPr>
        <w:t xml:space="preserve"> </w:t>
      </w:r>
      <w:r w:rsidR="00E8688C" w:rsidRPr="00F31B08">
        <w:rPr>
          <w:color w:val="231F20"/>
          <w:szCs w:val="24"/>
          <w:lang w:val="en-US"/>
        </w:rPr>
        <w:t xml:space="preserve">Systems </w:t>
      </w:r>
      <w:r w:rsidRPr="00F31B08">
        <w:rPr>
          <w:color w:val="231F20"/>
          <w:szCs w:val="24"/>
          <w:lang w:val="en-US"/>
        </w:rPr>
        <w:t>thinking</w:t>
      </w:r>
    </w:p>
    <w:p w14:paraId="67D18D28" w14:textId="77777777" w:rsidR="00E8688C" w:rsidRPr="00F31B08" w:rsidRDefault="00E8688C" w:rsidP="00E8688C">
      <w:pPr>
        <w:rPr>
          <w:rFonts w:eastAsiaTheme="minorEastAsia"/>
          <w:color w:val="231F20"/>
          <w:spacing w:val="-6"/>
          <w:szCs w:val="24"/>
          <w:lang w:val="en-US"/>
        </w:rPr>
      </w:pPr>
    </w:p>
    <w:p w14:paraId="132316BD" w14:textId="09F0276B" w:rsidR="00E8688C" w:rsidRPr="00F31B08" w:rsidRDefault="00E8688C" w:rsidP="00E8688C">
      <w:pPr>
        <w:rPr>
          <w:rFonts w:eastAsiaTheme="minorEastAsia"/>
          <w:b/>
          <w:bCs/>
          <w:color w:val="231F20"/>
          <w:spacing w:val="-6"/>
          <w:szCs w:val="24"/>
          <w:lang w:val="en-US"/>
        </w:rPr>
      </w:pPr>
      <w:r w:rsidRPr="00F31B08">
        <w:rPr>
          <w:rFonts w:eastAsiaTheme="minorEastAsia"/>
          <w:b/>
          <w:bCs/>
          <w:color w:val="231F20"/>
          <w:spacing w:val="-6"/>
          <w:szCs w:val="24"/>
          <w:lang w:val="en-US"/>
        </w:rPr>
        <w:t>Online publication:</w:t>
      </w:r>
    </w:p>
    <w:p w14:paraId="589FCCC1" w14:textId="77777777" w:rsidR="00E8688C" w:rsidRPr="00F31B08" w:rsidRDefault="00E8688C" w:rsidP="00E8688C">
      <w:pPr>
        <w:rPr>
          <w:rFonts w:eastAsiaTheme="minorEastAsia"/>
          <w:color w:val="231F20"/>
          <w:spacing w:val="-6"/>
          <w:szCs w:val="24"/>
          <w:lang w:val="en-US"/>
        </w:rPr>
      </w:pPr>
    </w:p>
    <w:p w14:paraId="22A7E57F" w14:textId="34BD2E23" w:rsidR="000015AE" w:rsidRPr="00F31B08" w:rsidRDefault="00000000" w:rsidP="00F31B08">
      <w:pPr>
        <w:rPr>
          <w:b/>
          <w:bCs/>
          <w:color w:val="231F20"/>
          <w:spacing w:val="-6"/>
          <w:szCs w:val="24"/>
          <w:lang w:val="en-US"/>
        </w:rPr>
      </w:pPr>
      <w:r w:rsidRPr="00F31B08">
        <w:rPr>
          <w:rFonts w:eastAsiaTheme="minorEastAsia"/>
          <w:b/>
          <w:bCs/>
          <w:color w:val="231F20"/>
          <w:spacing w:val="-6"/>
          <w:szCs w:val="24"/>
          <w:lang w:val="en-US"/>
        </w:rPr>
        <w:t xml:space="preserve">1. </w:t>
      </w:r>
      <w:r w:rsidRPr="00F31B08">
        <w:rPr>
          <w:b/>
          <w:bCs/>
          <w:color w:val="231F20"/>
          <w:spacing w:val="-6"/>
          <w:szCs w:val="24"/>
          <w:lang w:val="en-US"/>
        </w:rPr>
        <w:t>Introduction</w:t>
      </w:r>
    </w:p>
    <w:p w14:paraId="1E1C087D" w14:textId="401B33B7" w:rsidR="000015AE" w:rsidRPr="00F31B08" w:rsidRDefault="00000000" w:rsidP="00F31B08">
      <w:pPr>
        <w:rPr>
          <w:szCs w:val="24"/>
          <w:lang w:val="en-US"/>
        </w:rPr>
      </w:pPr>
      <w:r w:rsidRPr="00F31B08">
        <w:rPr>
          <w:szCs w:val="24"/>
          <w:lang w:val="en-US"/>
        </w:rPr>
        <w:t xml:space="preserve">In traditional chemistry laboratory teaching in many universities, students behave more like </w:t>
      </w:r>
      <w:r w:rsidR="00E8688C" w:rsidRPr="00F31B08">
        <w:rPr>
          <w:szCs w:val="24"/>
          <w:lang w:val="en-US"/>
        </w:rPr>
        <w:t>“</w:t>
      </w:r>
      <w:r w:rsidRPr="00F31B08">
        <w:rPr>
          <w:szCs w:val="24"/>
          <w:lang w:val="en-US"/>
        </w:rPr>
        <w:t>assembly line operators</w:t>
      </w:r>
      <w:r w:rsidR="00E8688C" w:rsidRPr="00F31B08">
        <w:rPr>
          <w:szCs w:val="24"/>
          <w:lang w:val="en-US"/>
        </w:rPr>
        <w:t>”</w:t>
      </w:r>
      <w:r w:rsidRPr="00F31B08">
        <w:rPr>
          <w:szCs w:val="24"/>
          <w:lang w:val="en-US"/>
        </w:rPr>
        <w:t xml:space="preserve"> rather than </w:t>
      </w:r>
      <w:r w:rsidR="00E8688C" w:rsidRPr="00F31B08">
        <w:rPr>
          <w:szCs w:val="24"/>
          <w:lang w:val="en-US"/>
        </w:rPr>
        <w:t>“</w:t>
      </w:r>
      <w:r w:rsidRPr="00F31B08">
        <w:rPr>
          <w:szCs w:val="24"/>
          <w:lang w:val="en-US"/>
        </w:rPr>
        <w:t>exploratory learners</w:t>
      </w:r>
      <w:r w:rsidR="00E8688C" w:rsidRPr="00F31B08">
        <w:rPr>
          <w:szCs w:val="24"/>
          <w:lang w:val="en-US"/>
        </w:rPr>
        <w:t>”</w:t>
      </w:r>
      <w:r w:rsidRPr="00F31B08">
        <w:rPr>
          <w:szCs w:val="24"/>
          <w:lang w:val="en-US"/>
        </w:rPr>
        <w:t xml:space="preserve">. They meticulously follow the standard linear operation in textbooks with simple and mechanical experimental parameters under the guidance of teachers, but avoid deep cognitive investment </w:t>
      </w:r>
      <w:r w:rsidRPr="00F31B08">
        <w:rPr>
          <w:rFonts w:eastAsia="SimSun"/>
          <w:szCs w:val="24"/>
          <w:vertAlign w:val="superscript"/>
          <w:lang w:val="en-US"/>
        </w:rPr>
        <w:t>[1]</w:t>
      </w:r>
      <w:r w:rsidRPr="00F31B08">
        <w:rPr>
          <w:szCs w:val="24"/>
          <w:lang w:val="en-US"/>
        </w:rPr>
        <w:t xml:space="preserve">. This issue is particularly prominent among first-year students majoring in chemistry education. These students are in a </w:t>
      </w:r>
      <w:r w:rsidR="00E8688C" w:rsidRPr="00F31B08">
        <w:rPr>
          <w:szCs w:val="24"/>
          <w:lang w:val="en-US"/>
        </w:rPr>
        <w:t>“</w:t>
      </w:r>
      <w:r w:rsidRPr="00F31B08">
        <w:rPr>
          <w:szCs w:val="24"/>
          <w:lang w:val="en-US"/>
        </w:rPr>
        <w:t>transitional state</w:t>
      </w:r>
      <w:r w:rsidR="00E8688C" w:rsidRPr="00F31B08">
        <w:rPr>
          <w:szCs w:val="24"/>
          <w:lang w:val="en-US"/>
        </w:rPr>
        <w:t>”</w:t>
      </w:r>
      <w:r w:rsidRPr="00F31B08">
        <w:rPr>
          <w:szCs w:val="24"/>
          <w:lang w:val="en-US"/>
        </w:rPr>
        <w:t xml:space="preserve">: they have learned relevant basic theoretical knowledge from inorganic chemistry courses, but lack practical experience in dealing with multiple variables in real chemistry experiments. </w:t>
      </w:r>
    </w:p>
    <w:p w14:paraId="347E6499" w14:textId="28C33068" w:rsidR="000015AE" w:rsidRPr="00F31B08" w:rsidRDefault="00000000" w:rsidP="00F31B08">
      <w:pPr>
        <w:ind w:firstLine="420"/>
        <w:rPr>
          <w:rFonts w:eastAsiaTheme="minorEastAsia"/>
          <w:szCs w:val="24"/>
          <w:lang w:val="en-US"/>
        </w:rPr>
      </w:pPr>
      <w:r w:rsidRPr="00F31B08">
        <w:rPr>
          <w:szCs w:val="24"/>
          <w:lang w:val="en-US"/>
        </w:rPr>
        <w:t>Taking the classic inorganic preparation experiment of synthesizing Mohr</w:t>
      </w:r>
      <w:r w:rsidR="00E8688C" w:rsidRPr="00F31B08">
        <w:rPr>
          <w:szCs w:val="24"/>
          <w:lang w:val="en-US"/>
        </w:rPr>
        <w:t>’</w:t>
      </w:r>
      <w:r w:rsidRPr="00F31B08">
        <w:rPr>
          <w:szCs w:val="24"/>
          <w:lang w:val="en-US"/>
        </w:rPr>
        <w:t xml:space="preserve">s salt from scrap iron as an example, this experiment is not simply a mixture of two single salt solutions. It requires precise regulation of the oxidation state of iron and the solubility of various salts. When students observe that the product turns brownish yellow or fails to crystallize as expected, they often lack systematic engineering thinking to consider the experiment as a whole, so they lack diagnostic tools and find it difficult to attribute the failure to improper pH regulation, excessive heating during oxidation or evaporation stages, etc. It is crucial for cultivating future high school chemistry teachers to enable students to </w:t>
      </w:r>
      <w:r w:rsidR="00E8688C" w:rsidRPr="00F31B08">
        <w:rPr>
          <w:szCs w:val="24"/>
          <w:lang w:val="en-US"/>
        </w:rPr>
        <w:t>‘</w:t>
      </w:r>
      <w:r w:rsidRPr="00F31B08">
        <w:rPr>
          <w:szCs w:val="24"/>
          <w:lang w:val="en-US"/>
        </w:rPr>
        <w:t>see</w:t>
      </w:r>
      <w:r w:rsidR="00E8688C" w:rsidRPr="00F31B08">
        <w:rPr>
          <w:szCs w:val="24"/>
          <w:lang w:val="en-US"/>
        </w:rPr>
        <w:t>’</w:t>
      </w:r>
      <w:r w:rsidRPr="00F31B08">
        <w:rPr>
          <w:szCs w:val="24"/>
          <w:lang w:val="en-US"/>
        </w:rPr>
        <w:t xml:space="preserve"> these </w:t>
      </w:r>
      <w:r w:rsidR="00381BB6" w:rsidRPr="00F31B08">
        <w:rPr>
          <w:szCs w:val="24"/>
          <w:lang w:val="en-US"/>
        </w:rPr>
        <w:t>micro-level</w:t>
      </w:r>
      <w:r w:rsidRPr="00F31B08">
        <w:rPr>
          <w:szCs w:val="24"/>
          <w:lang w:val="en-US"/>
        </w:rPr>
        <w:t xml:space="preserve"> failures and attributions. Modern engineering education also requires the cultivation of this </w:t>
      </w:r>
      <w:r w:rsidR="00E8688C" w:rsidRPr="00F31B08">
        <w:rPr>
          <w:szCs w:val="24"/>
          <w:lang w:val="en-US"/>
        </w:rPr>
        <w:t>‘</w:t>
      </w:r>
      <w:r w:rsidRPr="00F31B08">
        <w:rPr>
          <w:szCs w:val="24"/>
          <w:lang w:val="en-US"/>
        </w:rPr>
        <w:t>systems thinking,</w:t>
      </w:r>
      <w:r w:rsidR="00E8688C" w:rsidRPr="00F31B08">
        <w:rPr>
          <w:szCs w:val="24"/>
          <w:lang w:val="en-US"/>
        </w:rPr>
        <w:t>’</w:t>
      </w:r>
      <w:r w:rsidRPr="00F31B08">
        <w:rPr>
          <w:szCs w:val="24"/>
          <w:lang w:val="en-US"/>
        </w:rPr>
        <w:t xml:space="preserve"> where learners view the laboratory as a dynamic environment rather than a static set of formulas </w:t>
      </w:r>
      <w:r w:rsidRPr="00F31B08">
        <w:rPr>
          <w:rFonts w:eastAsia="SimSun"/>
          <w:szCs w:val="24"/>
          <w:vertAlign w:val="superscript"/>
          <w:lang w:val="en-US"/>
        </w:rPr>
        <w:t>[2]</w:t>
      </w:r>
      <w:r w:rsidRPr="00F31B08">
        <w:rPr>
          <w:szCs w:val="24"/>
          <w:lang w:val="en-US"/>
        </w:rPr>
        <w:t xml:space="preserve">. To address these issues, this study proposes a </w:t>
      </w:r>
      <w:r w:rsidR="00E8688C" w:rsidRPr="00F31B08">
        <w:rPr>
          <w:szCs w:val="24"/>
          <w:lang w:val="en-US"/>
        </w:rPr>
        <w:t>“</w:t>
      </w:r>
      <w:r w:rsidRPr="00F31B08">
        <w:rPr>
          <w:szCs w:val="24"/>
          <w:lang w:val="en-US"/>
        </w:rPr>
        <w:t>micro engineering</w:t>
      </w:r>
      <w:r w:rsidR="00E8688C" w:rsidRPr="00F31B08">
        <w:rPr>
          <w:szCs w:val="24"/>
          <w:lang w:val="en-US"/>
        </w:rPr>
        <w:t>”</w:t>
      </w:r>
      <w:r w:rsidRPr="00F31B08">
        <w:rPr>
          <w:szCs w:val="24"/>
          <w:lang w:val="en-US"/>
        </w:rPr>
        <w:t xml:space="preserve"> </w:t>
      </w:r>
      <w:r w:rsidRPr="00F31B08">
        <w:rPr>
          <w:szCs w:val="24"/>
          <w:lang w:val="en-US"/>
        </w:rPr>
        <w:lastRenderedPageBreak/>
        <w:t>framework aimed at transforming students</w:t>
      </w:r>
      <w:r w:rsidR="00E8688C" w:rsidRPr="00F31B08">
        <w:rPr>
          <w:szCs w:val="24"/>
          <w:lang w:val="en-US"/>
        </w:rPr>
        <w:t>’</w:t>
      </w:r>
      <w:r w:rsidRPr="00F31B08">
        <w:rPr>
          <w:szCs w:val="24"/>
          <w:lang w:val="en-US"/>
        </w:rPr>
        <w:t xml:space="preserve"> identities into active </w:t>
      </w:r>
      <w:r w:rsidR="00E8688C" w:rsidRPr="00F31B08">
        <w:rPr>
          <w:szCs w:val="24"/>
          <w:lang w:val="en-US"/>
        </w:rPr>
        <w:t>“</w:t>
      </w:r>
      <w:r w:rsidRPr="00F31B08">
        <w:rPr>
          <w:szCs w:val="24"/>
          <w:lang w:val="en-US"/>
        </w:rPr>
        <w:t>cognitive agents</w:t>
      </w:r>
      <w:r w:rsidR="00E8688C" w:rsidRPr="00F31B08">
        <w:rPr>
          <w:szCs w:val="24"/>
          <w:lang w:val="en-US"/>
        </w:rPr>
        <w:t>”</w:t>
      </w:r>
      <w:r w:rsidRPr="00F31B08">
        <w:rPr>
          <w:szCs w:val="24"/>
          <w:lang w:val="en-US"/>
        </w:rPr>
        <w:t xml:space="preserve"> - individuals who not only know how to conduct chemical experiments, but also understand how chemical knowledge is constructed and validated, viewing experiments as a micro engineering, a holistic system </w:t>
      </w:r>
      <w:r w:rsidRPr="00F31B08">
        <w:rPr>
          <w:rFonts w:eastAsia="SimSun"/>
          <w:szCs w:val="24"/>
          <w:vertAlign w:val="superscript"/>
          <w:lang w:val="en-US"/>
        </w:rPr>
        <w:t>[3]</w:t>
      </w:r>
      <w:r w:rsidRPr="00F31B08">
        <w:rPr>
          <w:szCs w:val="24"/>
          <w:lang w:val="en-US"/>
        </w:rPr>
        <w:t xml:space="preserve"> (</w:t>
      </w:r>
      <w:r w:rsidRPr="00F31B08">
        <w:rPr>
          <w:b/>
          <w:bCs/>
          <w:szCs w:val="24"/>
          <w:lang w:val="en-US"/>
        </w:rPr>
        <w:t xml:space="preserve">Figure </w:t>
      </w:r>
      <w:r w:rsidRPr="00F31B08">
        <w:rPr>
          <w:rFonts w:eastAsiaTheme="minorEastAsia"/>
          <w:b/>
          <w:bCs/>
          <w:szCs w:val="24"/>
          <w:lang w:val="en-US"/>
        </w:rPr>
        <w:t>1</w:t>
      </w:r>
      <w:r w:rsidRPr="00F31B08">
        <w:rPr>
          <w:szCs w:val="24"/>
          <w:lang w:val="en-US"/>
        </w:rPr>
        <w:t>). Developing this initiative in the first year is very important, as it not only lays the foundation for students to conduct exploratory science teaching in middle school in the future, but also lays a solid thinking foundation for other chemistry experiments in the later stage.</w:t>
      </w:r>
    </w:p>
    <w:p w14:paraId="5EC685E1" w14:textId="77777777" w:rsidR="00E8688C" w:rsidRPr="00F31B08" w:rsidRDefault="00E8688C" w:rsidP="00E8688C">
      <w:pPr>
        <w:rPr>
          <w:rFonts w:eastAsiaTheme="minorEastAsia"/>
          <w:color w:val="231F20"/>
          <w:szCs w:val="24"/>
          <w:lang w:val="en-US"/>
        </w:rPr>
      </w:pPr>
    </w:p>
    <w:p w14:paraId="6FE61C78" w14:textId="4EB7084E" w:rsidR="000015AE" w:rsidRPr="00F31B08" w:rsidRDefault="00000000" w:rsidP="00F31B08">
      <w:pPr>
        <w:jc w:val="center"/>
        <w:rPr>
          <w:rFonts w:eastAsiaTheme="minorEastAsia"/>
          <w:color w:val="231F20"/>
          <w:sz w:val="20"/>
          <w:szCs w:val="20"/>
          <w:lang w:val="en-US"/>
        </w:rPr>
      </w:pPr>
      <w:r w:rsidRPr="00F31B08">
        <w:rPr>
          <w:noProof/>
          <w:sz w:val="20"/>
          <w:szCs w:val="20"/>
        </w:rPr>
        <w:drawing>
          <wp:inline distT="0" distB="0" distL="0" distR="0" wp14:anchorId="33C260B7" wp14:editId="43052951">
            <wp:extent cx="5650230" cy="2327275"/>
            <wp:effectExtent l="0" t="0" r="7620" b="0"/>
            <wp:docPr id="12201884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88468" name="图片 1"/>
                    <pic:cNvPicPr>
                      <a:picLocks noChangeAspect="1"/>
                    </pic:cNvPicPr>
                  </pic:nvPicPr>
                  <pic:blipFill>
                    <a:blip r:embed="rId7"/>
                    <a:stretch>
                      <a:fillRect/>
                    </a:stretch>
                  </pic:blipFill>
                  <pic:spPr>
                    <a:xfrm>
                      <a:off x="0" y="0"/>
                      <a:ext cx="5652505" cy="2328227"/>
                    </a:xfrm>
                    <a:prstGeom prst="rect">
                      <a:avLst/>
                    </a:prstGeom>
                  </pic:spPr>
                </pic:pic>
              </a:graphicData>
            </a:graphic>
          </wp:inline>
        </w:drawing>
      </w:r>
    </w:p>
    <w:p w14:paraId="69DF0E18" w14:textId="2ED31D5C" w:rsidR="000015AE" w:rsidRPr="00F31B08" w:rsidRDefault="00000000" w:rsidP="00F31B08">
      <w:pPr>
        <w:jc w:val="center"/>
        <w:rPr>
          <w:color w:val="231F20"/>
          <w:sz w:val="20"/>
          <w:szCs w:val="20"/>
          <w:lang w:val="en-US"/>
        </w:rPr>
      </w:pPr>
      <w:r w:rsidRPr="00F31B08">
        <w:rPr>
          <w:b/>
          <w:bCs/>
          <w:color w:val="231F20"/>
          <w:sz w:val="20"/>
          <w:szCs w:val="20"/>
          <w:lang w:val="en-US"/>
        </w:rPr>
        <w:t>Figure 1.</w:t>
      </w:r>
      <w:r w:rsidRPr="00F31B08">
        <w:rPr>
          <w:color w:val="231F20"/>
          <w:sz w:val="20"/>
          <w:szCs w:val="20"/>
          <w:lang w:val="en-US"/>
        </w:rPr>
        <w:t xml:space="preserve"> The Epistemological Paradigm Shift: From Passive Procedure-Follower to Active Epistemic Agent in the Chemistry Laboratory</w:t>
      </w:r>
      <w:r w:rsidR="00E8688C" w:rsidRPr="00F31B08">
        <w:rPr>
          <w:color w:val="231F20"/>
          <w:sz w:val="20"/>
          <w:szCs w:val="20"/>
          <w:lang w:val="en-US"/>
        </w:rPr>
        <w:t>.</w:t>
      </w:r>
    </w:p>
    <w:p w14:paraId="18E3BD58" w14:textId="77777777" w:rsidR="00E8688C" w:rsidRPr="00F31B08" w:rsidRDefault="00E8688C" w:rsidP="00E8688C">
      <w:pPr>
        <w:rPr>
          <w:rFonts w:eastAsiaTheme="minorEastAsia"/>
          <w:color w:val="231F20"/>
          <w:spacing w:val="-6"/>
          <w:szCs w:val="24"/>
          <w:lang w:val="en-US"/>
        </w:rPr>
      </w:pPr>
    </w:p>
    <w:p w14:paraId="2D2C9B24" w14:textId="5BBB7DBB" w:rsidR="000015AE" w:rsidRPr="00F31B08" w:rsidRDefault="00000000" w:rsidP="00F31B08">
      <w:pPr>
        <w:rPr>
          <w:rFonts w:eastAsiaTheme="minorEastAsia"/>
          <w:b/>
          <w:bCs/>
          <w:color w:val="231F20"/>
          <w:spacing w:val="-6"/>
          <w:szCs w:val="24"/>
          <w:lang w:val="en-US"/>
        </w:rPr>
      </w:pPr>
      <w:r w:rsidRPr="00F31B08">
        <w:rPr>
          <w:rFonts w:eastAsiaTheme="minorEastAsia"/>
          <w:b/>
          <w:bCs/>
          <w:color w:val="231F20"/>
          <w:spacing w:val="-6"/>
          <w:szCs w:val="24"/>
          <w:lang w:val="en-US"/>
        </w:rPr>
        <w:t xml:space="preserve">2. Theoretical </w:t>
      </w:r>
      <w:r w:rsidR="00E8688C" w:rsidRPr="00F31B08">
        <w:rPr>
          <w:rFonts w:eastAsiaTheme="minorEastAsia"/>
          <w:b/>
          <w:bCs/>
          <w:color w:val="231F20"/>
          <w:spacing w:val="-6"/>
          <w:szCs w:val="24"/>
          <w:lang w:val="en-US"/>
        </w:rPr>
        <w:t>framework and intervention design</w:t>
      </w:r>
    </w:p>
    <w:p w14:paraId="2348878D" w14:textId="75E4E0D9" w:rsidR="000015AE" w:rsidRPr="00F31B08" w:rsidRDefault="00000000" w:rsidP="00E8688C">
      <w:pPr>
        <w:rPr>
          <w:i/>
          <w:iCs/>
          <w:szCs w:val="24"/>
          <w:lang w:val="en-US"/>
        </w:rPr>
      </w:pPr>
      <w:r w:rsidRPr="00F31B08">
        <w:rPr>
          <w:rFonts w:eastAsiaTheme="minorEastAsia"/>
          <w:szCs w:val="24"/>
          <w:lang w:val="en-US"/>
        </w:rPr>
        <w:t xml:space="preserve">The methodology of this study is not simply a concept of </w:t>
      </w:r>
      <w:r w:rsidR="00E8688C" w:rsidRPr="00F31B08">
        <w:rPr>
          <w:rFonts w:eastAsiaTheme="minorEastAsia"/>
          <w:szCs w:val="24"/>
          <w:lang w:val="en-US"/>
        </w:rPr>
        <w:t>“</w:t>
      </w:r>
      <w:r w:rsidRPr="00F31B08">
        <w:rPr>
          <w:rFonts w:eastAsiaTheme="minorEastAsia"/>
          <w:szCs w:val="24"/>
          <w:lang w:val="en-US"/>
        </w:rPr>
        <w:t>scaffolding</w:t>
      </w:r>
      <w:r w:rsidR="00E8688C" w:rsidRPr="00F31B08">
        <w:rPr>
          <w:rFonts w:eastAsiaTheme="minorEastAsia"/>
          <w:szCs w:val="24"/>
          <w:lang w:val="en-US"/>
        </w:rPr>
        <w:t>”</w:t>
      </w:r>
      <w:r w:rsidRPr="00F31B08">
        <w:rPr>
          <w:rFonts w:eastAsiaTheme="minorEastAsia"/>
          <w:szCs w:val="24"/>
          <w:lang w:val="en-US"/>
        </w:rPr>
        <w:t xml:space="preserve">, but rather a scaffolding based on a </w:t>
      </w:r>
      <w:r w:rsidR="00E8688C" w:rsidRPr="00F31B08">
        <w:rPr>
          <w:rFonts w:eastAsiaTheme="minorEastAsia"/>
          <w:szCs w:val="24"/>
          <w:lang w:val="en-US"/>
        </w:rPr>
        <w:t>“</w:t>
      </w:r>
      <w:r w:rsidRPr="00F31B08">
        <w:rPr>
          <w:rFonts w:eastAsiaTheme="minorEastAsia"/>
          <w:szCs w:val="24"/>
          <w:lang w:val="en-US"/>
        </w:rPr>
        <w:t>distributed cognition</w:t>
      </w:r>
      <w:r w:rsidR="00E8688C" w:rsidRPr="00F31B08">
        <w:rPr>
          <w:rFonts w:eastAsiaTheme="minorEastAsia"/>
          <w:szCs w:val="24"/>
          <w:lang w:val="en-US"/>
        </w:rPr>
        <w:t>”</w:t>
      </w:r>
      <w:r w:rsidRPr="00F31B08">
        <w:rPr>
          <w:rFonts w:eastAsiaTheme="minorEastAsia"/>
          <w:szCs w:val="24"/>
          <w:lang w:val="en-US"/>
        </w:rPr>
        <w:t xml:space="preserve"> model </w:t>
      </w:r>
      <w:r w:rsidRPr="00F31B08">
        <w:rPr>
          <w:rFonts w:eastAsia="SimSun"/>
          <w:szCs w:val="24"/>
          <w:vertAlign w:val="superscript"/>
          <w:lang w:val="en-US"/>
        </w:rPr>
        <w:t>[4]</w:t>
      </w:r>
      <w:r w:rsidRPr="00F31B08">
        <w:rPr>
          <w:rFonts w:eastAsiaTheme="minorEastAsia"/>
          <w:szCs w:val="24"/>
          <w:lang w:val="en-US"/>
        </w:rPr>
        <w:t xml:space="preserve">. In the high-pressure environment of the laboratory, students often prioritize completing experimental tasks while ensuring personal safety, rather than systematically designing and completing an experimental operation based on theoretical knowledge of chemistry, resulting in </w:t>
      </w:r>
      <w:r w:rsidR="00E8688C" w:rsidRPr="00F31B08">
        <w:rPr>
          <w:rFonts w:eastAsiaTheme="minorEastAsia"/>
          <w:szCs w:val="24"/>
          <w:lang w:val="en-US"/>
        </w:rPr>
        <w:t>“</w:t>
      </w:r>
      <w:r w:rsidRPr="00F31B08">
        <w:rPr>
          <w:rFonts w:eastAsiaTheme="minorEastAsia"/>
          <w:szCs w:val="24"/>
          <w:lang w:val="en-US"/>
        </w:rPr>
        <w:t>cognitive overload</w:t>
      </w:r>
      <w:r w:rsidR="00E8688C" w:rsidRPr="00F31B08">
        <w:rPr>
          <w:rFonts w:eastAsiaTheme="minorEastAsia"/>
          <w:szCs w:val="24"/>
          <w:lang w:val="en-US"/>
        </w:rPr>
        <w:t>”</w:t>
      </w:r>
      <w:r w:rsidRPr="00F31B08">
        <w:rPr>
          <w:rFonts w:eastAsiaTheme="minorEastAsia"/>
          <w:szCs w:val="24"/>
          <w:lang w:val="en-US"/>
        </w:rPr>
        <w:t xml:space="preserve"> </w:t>
      </w:r>
      <w:r w:rsidRPr="00F31B08">
        <w:rPr>
          <w:rFonts w:eastAsia="SimSun"/>
          <w:szCs w:val="24"/>
          <w:vertAlign w:val="superscript"/>
          <w:lang w:val="en-US"/>
        </w:rPr>
        <w:t>[5]</w:t>
      </w:r>
      <w:r w:rsidRPr="00F31B08">
        <w:rPr>
          <w:rFonts w:eastAsiaTheme="minorEastAsia"/>
          <w:szCs w:val="24"/>
          <w:lang w:val="en-US"/>
        </w:rPr>
        <w:t>. For freshmen who are independently conducting experiments for the first time, simply completing a large number of basic operations such as titration, heating, filtration, and monitoring is overwhelming. They cannot consider the connections between each step of the operation and the theoretical principles behind it. To address this issue, we applied Vygotsky</w:t>
      </w:r>
      <w:r w:rsidR="00E8688C" w:rsidRPr="00F31B08">
        <w:rPr>
          <w:rFonts w:eastAsiaTheme="minorEastAsia"/>
          <w:szCs w:val="24"/>
          <w:lang w:val="en-US"/>
        </w:rPr>
        <w:t>’</w:t>
      </w:r>
      <w:r w:rsidRPr="00F31B08">
        <w:rPr>
          <w:rFonts w:eastAsiaTheme="minorEastAsia"/>
          <w:szCs w:val="24"/>
          <w:lang w:val="en-US"/>
        </w:rPr>
        <w:t xml:space="preserve">s </w:t>
      </w:r>
      <w:r w:rsidR="00E8688C" w:rsidRPr="00F31B08">
        <w:rPr>
          <w:rFonts w:eastAsiaTheme="minorEastAsia"/>
          <w:szCs w:val="24"/>
          <w:lang w:val="en-US"/>
        </w:rPr>
        <w:t>“</w:t>
      </w:r>
      <w:r w:rsidRPr="00F31B08">
        <w:rPr>
          <w:rFonts w:eastAsiaTheme="minorEastAsia"/>
          <w:szCs w:val="24"/>
          <w:lang w:val="en-US"/>
        </w:rPr>
        <w:t>zone of proximal development</w:t>
      </w:r>
      <w:r w:rsidR="00E8688C" w:rsidRPr="00F31B08">
        <w:rPr>
          <w:rFonts w:eastAsiaTheme="minorEastAsia"/>
          <w:szCs w:val="24"/>
          <w:lang w:val="en-US"/>
        </w:rPr>
        <w:t>”</w:t>
      </w:r>
      <w:r w:rsidRPr="00F31B08">
        <w:rPr>
          <w:rFonts w:eastAsiaTheme="minorEastAsia"/>
          <w:szCs w:val="24"/>
          <w:lang w:val="en-US"/>
        </w:rPr>
        <w:t xml:space="preserve"> theory </w:t>
      </w:r>
      <w:r w:rsidRPr="00F31B08">
        <w:rPr>
          <w:rFonts w:eastAsia="SimSun"/>
          <w:szCs w:val="24"/>
          <w:vertAlign w:val="superscript"/>
          <w:lang w:val="en-US"/>
        </w:rPr>
        <w:t>[6]</w:t>
      </w:r>
      <w:r w:rsidRPr="00F31B08">
        <w:rPr>
          <w:rFonts w:eastAsiaTheme="minorEastAsia"/>
          <w:szCs w:val="24"/>
          <w:lang w:val="en-US"/>
        </w:rPr>
        <w:t xml:space="preserve"> and created a visual mediation tool: the </w:t>
      </w:r>
      <w:r w:rsidR="00381BB6" w:rsidRPr="00F31B08">
        <w:rPr>
          <w:rFonts w:eastAsiaTheme="minorEastAsia"/>
          <w:szCs w:val="24"/>
          <w:lang w:val="en-US"/>
        </w:rPr>
        <w:t>six-zone</w:t>
      </w:r>
      <w:r w:rsidRPr="00F31B08">
        <w:rPr>
          <w:rFonts w:eastAsiaTheme="minorEastAsia"/>
          <w:szCs w:val="24"/>
          <w:lang w:val="en-US"/>
        </w:rPr>
        <w:t xml:space="preserve"> cognitive scaffolding matrix </w:t>
      </w:r>
      <w:r w:rsidRPr="00F31B08">
        <w:rPr>
          <w:szCs w:val="24"/>
          <w:lang w:val="en-US"/>
        </w:rPr>
        <w:t>(</w:t>
      </w:r>
      <w:r w:rsidRPr="00F31B08">
        <w:rPr>
          <w:b/>
          <w:bCs/>
          <w:szCs w:val="24"/>
          <w:lang w:val="en-US"/>
        </w:rPr>
        <w:t>Figure 2</w:t>
      </w:r>
      <w:r w:rsidRPr="00F31B08">
        <w:rPr>
          <w:szCs w:val="24"/>
          <w:lang w:val="en-US"/>
        </w:rPr>
        <w:t>)</w:t>
      </w:r>
      <w:r w:rsidRPr="00F31B08">
        <w:rPr>
          <w:i/>
          <w:iCs/>
          <w:szCs w:val="24"/>
          <w:lang w:val="en-US"/>
        </w:rPr>
        <w:t>.</w:t>
      </w:r>
    </w:p>
    <w:p w14:paraId="5BE73B77" w14:textId="77777777" w:rsidR="00E8688C" w:rsidRPr="00F31B08" w:rsidRDefault="00E8688C" w:rsidP="00F31B08">
      <w:pPr>
        <w:rPr>
          <w:rFonts w:eastAsiaTheme="minorEastAsia"/>
          <w:i/>
          <w:iCs/>
          <w:szCs w:val="24"/>
          <w:lang w:val="en-US"/>
        </w:rPr>
      </w:pPr>
    </w:p>
    <w:p w14:paraId="3084ED09" w14:textId="77777777" w:rsidR="000015AE" w:rsidRPr="00F31B08" w:rsidRDefault="00000000" w:rsidP="00E8688C">
      <w:pPr>
        <w:jc w:val="center"/>
        <w:rPr>
          <w:rFonts w:eastAsiaTheme="minorEastAsia"/>
          <w:sz w:val="20"/>
          <w:szCs w:val="20"/>
          <w:lang w:val="en-US"/>
        </w:rPr>
      </w:pPr>
      <w:r w:rsidRPr="00F31B08">
        <w:rPr>
          <w:rFonts w:eastAsiaTheme="minorEastAsia"/>
          <w:noProof/>
          <w:sz w:val="20"/>
          <w:szCs w:val="20"/>
          <w:lang w:val="en-US"/>
        </w:rPr>
        <w:drawing>
          <wp:inline distT="0" distB="0" distL="0" distR="0" wp14:anchorId="380EE44A" wp14:editId="2E58B8E2">
            <wp:extent cx="5723890" cy="2489200"/>
            <wp:effectExtent l="0" t="0" r="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5735313" cy="2494207"/>
                    </a:xfrm>
                    <a:prstGeom prst="rect">
                      <a:avLst/>
                    </a:prstGeom>
                  </pic:spPr>
                </pic:pic>
              </a:graphicData>
            </a:graphic>
          </wp:inline>
        </w:drawing>
      </w:r>
    </w:p>
    <w:p w14:paraId="768650AD" w14:textId="6892DCF1" w:rsidR="000015AE" w:rsidRPr="00F31B08" w:rsidRDefault="00000000" w:rsidP="00F31B08">
      <w:pPr>
        <w:jc w:val="center"/>
        <w:rPr>
          <w:color w:val="231F20"/>
          <w:sz w:val="20"/>
          <w:szCs w:val="20"/>
          <w:lang w:val="en-US"/>
        </w:rPr>
      </w:pPr>
      <w:r w:rsidRPr="00F31B08">
        <w:rPr>
          <w:b/>
          <w:bCs/>
          <w:color w:val="231F20"/>
          <w:sz w:val="20"/>
          <w:szCs w:val="20"/>
          <w:lang w:val="en-US"/>
        </w:rPr>
        <w:t>Figure 2.</w:t>
      </w:r>
      <w:r w:rsidRPr="00F31B08">
        <w:rPr>
          <w:color w:val="231F20"/>
          <w:sz w:val="20"/>
          <w:szCs w:val="20"/>
          <w:lang w:val="en-US"/>
        </w:rPr>
        <w:t xml:space="preserve"> Six-Zone Cognitive Scaffolding Matrix for the Preparation of Mohr</w:t>
      </w:r>
      <w:r w:rsidR="00E8688C" w:rsidRPr="00F31B08">
        <w:rPr>
          <w:color w:val="231F20"/>
          <w:sz w:val="20"/>
          <w:szCs w:val="20"/>
          <w:lang w:val="en-US"/>
        </w:rPr>
        <w:t>’</w:t>
      </w:r>
      <w:r w:rsidRPr="00F31B08">
        <w:rPr>
          <w:color w:val="231F20"/>
          <w:sz w:val="20"/>
          <w:szCs w:val="20"/>
          <w:lang w:val="en-US"/>
        </w:rPr>
        <w:t>s Salt from Scrap Iron</w:t>
      </w:r>
      <w:r w:rsidR="00E8688C" w:rsidRPr="00F31B08">
        <w:rPr>
          <w:color w:val="231F20"/>
          <w:sz w:val="20"/>
          <w:szCs w:val="20"/>
          <w:lang w:val="en-US"/>
        </w:rPr>
        <w:t>.</w:t>
      </w:r>
    </w:p>
    <w:p w14:paraId="36AD73A9" w14:textId="77777777" w:rsidR="00E8688C" w:rsidRPr="00F31B08" w:rsidRDefault="00E8688C" w:rsidP="00F31B08">
      <w:pPr>
        <w:rPr>
          <w:color w:val="231F20"/>
          <w:szCs w:val="24"/>
          <w:lang w:val="en-US"/>
        </w:rPr>
      </w:pPr>
    </w:p>
    <w:p w14:paraId="19D1F7F5" w14:textId="7E2A17AD" w:rsidR="000015AE" w:rsidRPr="00F31B08" w:rsidRDefault="00000000" w:rsidP="00F31B08">
      <w:pPr>
        <w:ind w:firstLine="420"/>
        <w:rPr>
          <w:rFonts w:eastAsiaTheme="minorEastAsia"/>
          <w:szCs w:val="24"/>
          <w:lang w:val="en-US"/>
        </w:rPr>
      </w:pPr>
      <w:r w:rsidRPr="00F31B08">
        <w:rPr>
          <w:rFonts w:eastAsiaTheme="minorEastAsia"/>
          <w:szCs w:val="24"/>
          <w:lang w:val="en-US"/>
        </w:rPr>
        <w:lastRenderedPageBreak/>
        <w:t xml:space="preserve">The design of this matrix not only serves as an organizational tool, but also as a manifestation of the </w:t>
      </w:r>
      <w:r w:rsidR="00E8688C" w:rsidRPr="00F31B08">
        <w:rPr>
          <w:rFonts w:eastAsiaTheme="minorEastAsia"/>
          <w:szCs w:val="24"/>
          <w:lang w:val="en-US"/>
        </w:rPr>
        <w:t>“</w:t>
      </w:r>
      <w:r w:rsidRPr="00F31B08">
        <w:rPr>
          <w:rFonts w:eastAsiaTheme="minorEastAsia"/>
          <w:szCs w:val="24"/>
          <w:lang w:val="en-US"/>
        </w:rPr>
        <w:t>cognitive apprenticeship</w:t>
      </w:r>
      <w:r w:rsidR="00E8688C" w:rsidRPr="00F31B08">
        <w:rPr>
          <w:rFonts w:eastAsiaTheme="minorEastAsia"/>
          <w:szCs w:val="24"/>
          <w:lang w:val="en-US"/>
        </w:rPr>
        <w:t>”</w:t>
      </w:r>
      <w:r w:rsidRPr="00F31B08">
        <w:rPr>
          <w:rFonts w:eastAsiaTheme="minorEastAsia"/>
          <w:szCs w:val="24"/>
          <w:lang w:val="en-US"/>
        </w:rPr>
        <w:t xml:space="preserve"> model </w:t>
      </w:r>
      <w:r w:rsidRPr="00F31B08">
        <w:rPr>
          <w:rFonts w:eastAsia="SimSun"/>
          <w:szCs w:val="24"/>
          <w:vertAlign w:val="superscript"/>
          <w:lang w:val="en-US"/>
        </w:rPr>
        <w:t>[7]</w:t>
      </w:r>
      <w:r w:rsidRPr="00F31B08">
        <w:rPr>
          <w:rFonts w:eastAsiaTheme="minorEastAsia"/>
          <w:szCs w:val="24"/>
          <w:lang w:val="en-US"/>
        </w:rPr>
        <w:t>. This model urges students to externalize their own thinking process, and can be adjusted and customized according to different experiments. For example, in the experiment of preparing Moir</w:t>
      </w:r>
      <w:r w:rsidR="00E8688C" w:rsidRPr="00F31B08">
        <w:rPr>
          <w:rFonts w:eastAsiaTheme="minorEastAsia"/>
          <w:szCs w:val="24"/>
          <w:lang w:val="en-US"/>
        </w:rPr>
        <w:t>’</w:t>
      </w:r>
      <w:r w:rsidRPr="00F31B08">
        <w:rPr>
          <w:rFonts w:eastAsiaTheme="minorEastAsia"/>
          <w:szCs w:val="24"/>
          <w:lang w:val="en-US"/>
        </w:rPr>
        <w:t xml:space="preserve"> salts, we designed and implemented the following operational points around the difficulties and key points in the synthesis process:</w:t>
      </w:r>
    </w:p>
    <w:p w14:paraId="27223644" w14:textId="0BEEDAE2" w:rsidR="000015AE" w:rsidRPr="00F31B08" w:rsidRDefault="00000000" w:rsidP="00F31B08">
      <w:pPr>
        <w:ind w:left="397" w:hanging="397"/>
        <w:rPr>
          <w:rFonts w:eastAsiaTheme="minorEastAsia"/>
          <w:szCs w:val="24"/>
          <w:lang w:val="en-US"/>
        </w:rPr>
      </w:pPr>
      <w:r w:rsidRPr="00F31B08">
        <w:rPr>
          <w:rFonts w:eastAsiaTheme="minorEastAsia"/>
          <w:szCs w:val="24"/>
          <w:lang w:val="en-US"/>
        </w:rPr>
        <w:t xml:space="preserve">(1) The connection between operational logic and mechanistic logic: When the experimental textbook specifies the addition of excess iron, the scaffold matrix (B and C regions) further explores: </w:t>
      </w:r>
      <w:r w:rsidR="00E8688C" w:rsidRPr="00F31B08">
        <w:rPr>
          <w:rFonts w:eastAsiaTheme="minorEastAsia"/>
          <w:szCs w:val="24"/>
          <w:lang w:val="en-US"/>
        </w:rPr>
        <w:t>“</w:t>
      </w:r>
      <w:r w:rsidRPr="00F31B08">
        <w:rPr>
          <w:rFonts w:eastAsiaTheme="minorEastAsia"/>
          <w:szCs w:val="24"/>
          <w:lang w:val="en-US"/>
        </w:rPr>
        <w:t>Why must iron powder be excessive? Can excess iron powder suppress the generation of Fe</w:t>
      </w:r>
      <w:r w:rsidRPr="00F31B08">
        <w:rPr>
          <w:rFonts w:eastAsiaTheme="minorEastAsia"/>
          <w:szCs w:val="24"/>
          <w:vertAlign w:val="superscript"/>
          <w:lang w:val="en-US"/>
        </w:rPr>
        <w:t>3+</w:t>
      </w:r>
      <w:r w:rsidRPr="00F31B08">
        <w:rPr>
          <w:rFonts w:eastAsiaTheme="minorEastAsia"/>
          <w:szCs w:val="24"/>
          <w:lang w:val="en-US"/>
        </w:rPr>
        <w:t xml:space="preserve"> through normalization reaction?</w:t>
      </w:r>
      <w:r w:rsidR="00E8688C" w:rsidRPr="00F31B08">
        <w:rPr>
          <w:rFonts w:eastAsiaTheme="minorEastAsia"/>
          <w:szCs w:val="24"/>
          <w:lang w:val="en-US"/>
        </w:rPr>
        <w:t>”</w:t>
      </w:r>
      <w:r w:rsidRPr="00F31B08">
        <w:rPr>
          <w:rFonts w:eastAsiaTheme="minorEastAsia"/>
          <w:szCs w:val="24"/>
          <w:lang w:val="en-US"/>
        </w:rPr>
        <w:t xml:space="preserve"> Thus, the operation is directly linked to the Nernst equation and redox stability.</w:t>
      </w:r>
    </w:p>
    <w:p w14:paraId="66889462" w14:textId="4347D152" w:rsidR="000015AE" w:rsidRPr="00F31B08" w:rsidRDefault="00000000" w:rsidP="00F31B08">
      <w:pPr>
        <w:ind w:left="397" w:hanging="397"/>
        <w:rPr>
          <w:rFonts w:eastAsiaTheme="minorEastAsia"/>
          <w:szCs w:val="24"/>
          <w:lang w:val="en-US"/>
        </w:rPr>
      </w:pPr>
      <w:r w:rsidRPr="00F31B08">
        <w:rPr>
          <w:rFonts w:eastAsiaTheme="minorEastAsia"/>
          <w:szCs w:val="24"/>
          <w:lang w:val="en-US"/>
        </w:rPr>
        <w:t xml:space="preserve">(2) Environmental Responsibility Awareness: Zone D (Sustainability) requires students to calculate the </w:t>
      </w:r>
      <w:r w:rsidR="00E8688C" w:rsidRPr="00F31B08">
        <w:rPr>
          <w:rFonts w:eastAsiaTheme="minorEastAsia"/>
          <w:szCs w:val="24"/>
          <w:lang w:val="en-US"/>
        </w:rPr>
        <w:t>“</w:t>
      </w:r>
      <w:r w:rsidRPr="00F31B08">
        <w:rPr>
          <w:rFonts w:eastAsiaTheme="minorEastAsia"/>
          <w:szCs w:val="24"/>
          <w:lang w:val="en-US"/>
        </w:rPr>
        <w:t>E-factor</w:t>
      </w:r>
      <w:r w:rsidR="00E8688C" w:rsidRPr="00F31B08">
        <w:rPr>
          <w:rFonts w:eastAsiaTheme="minorEastAsia"/>
          <w:szCs w:val="24"/>
          <w:lang w:val="en-US"/>
        </w:rPr>
        <w:t>”</w:t>
      </w:r>
      <w:r w:rsidRPr="00F31B08">
        <w:rPr>
          <w:rFonts w:eastAsiaTheme="minorEastAsia"/>
          <w:szCs w:val="24"/>
          <w:lang w:val="en-US"/>
        </w:rPr>
        <w:t xml:space="preserve"> of using scrap iron compared to pure iron powder, in order to transform waste management tasks into a green chemistry lesson.</w:t>
      </w:r>
    </w:p>
    <w:p w14:paraId="20B170F5" w14:textId="77777777" w:rsidR="000015AE" w:rsidRPr="00F31B08" w:rsidRDefault="00000000" w:rsidP="00F31B08">
      <w:pPr>
        <w:ind w:left="397" w:hanging="397"/>
        <w:rPr>
          <w:rFonts w:eastAsiaTheme="minorEastAsia"/>
          <w:szCs w:val="24"/>
          <w:lang w:val="en-US"/>
        </w:rPr>
      </w:pPr>
      <w:r w:rsidRPr="00F31B08">
        <w:rPr>
          <w:rFonts w:eastAsiaTheme="minorEastAsia"/>
          <w:szCs w:val="24"/>
          <w:lang w:val="en-US"/>
        </w:rPr>
        <w:t>(3) Diagnostic prediction: Zone E (diagnosis) is the area where students conduct hypothesis deduction and anomaly diagnosis before and after hands-on operation. For example, they can predict how the anhydrous or hydrolyzed products generated during the evaporation concentration stage will disrupt the crystal morphology and affect the purity of the product if the evaporation temperature exceeds the thermodynamic stability range of the product.</w:t>
      </w:r>
    </w:p>
    <w:p w14:paraId="52473C6C" w14:textId="67B28DD8" w:rsidR="000015AE" w:rsidRPr="00F31B08" w:rsidRDefault="00000000" w:rsidP="00F31B08">
      <w:pPr>
        <w:ind w:firstLine="420"/>
        <w:rPr>
          <w:rFonts w:eastAsiaTheme="minorEastAsia"/>
          <w:szCs w:val="24"/>
          <w:lang w:val="en-US"/>
        </w:rPr>
      </w:pPr>
      <w:r w:rsidRPr="00F31B08">
        <w:rPr>
          <w:rFonts w:eastAsiaTheme="minorEastAsia"/>
          <w:szCs w:val="24"/>
          <w:lang w:val="en-US"/>
        </w:rPr>
        <w:t xml:space="preserve">This </w:t>
      </w:r>
      <w:r w:rsidR="00381BB6" w:rsidRPr="00F31B08">
        <w:rPr>
          <w:rFonts w:eastAsiaTheme="minorEastAsia"/>
          <w:szCs w:val="24"/>
          <w:lang w:val="en-US"/>
        </w:rPr>
        <w:t>micro-engineering</w:t>
      </w:r>
      <w:r w:rsidRPr="00F31B08">
        <w:rPr>
          <w:rFonts w:eastAsiaTheme="minorEastAsia"/>
          <w:szCs w:val="24"/>
          <w:lang w:val="en-US"/>
        </w:rPr>
        <w:t xml:space="preserve"> teaching paradigm fundamentally changes the organizational structure of the classroom: teachers shift from </w:t>
      </w:r>
      <w:r w:rsidR="00E8688C" w:rsidRPr="00F31B08">
        <w:rPr>
          <w:rFonts w:eastAsiaTheme="minorEastAsia"/>
          <w:szCs w:val="24"/>
          <w:lang w:val="en-US"/>
        </w:rPr>
        <w:t>“</w:t>
      </w:r>
      <w:r w:rsidRPr="00F31B08">
        <w:rPr>
          <w:rFonts w:eastAsiaTheme="minorEastAsia"/>
          <w:szCs w:val="24"/>
          <w:lang w:val="en-US"/>
        </w:rPr>
        <w:t>answer providers</w:t>
      </w:r>
      <w:r w:rsidR="00E8688C" w:rsidRPr="00F31B08">
        <w:rPr>
          <w:rFonts w:eastAsiaTheme="minorEastAsia"/>
          <w:szCs w:val="24"/>
          <w:lang w:val="en-US"/>
        </w:rPr>
        <w:t>”</w:t>
      </w:r>
      <w:r w:rsidRPr="00F31B08">
        <w:rPr>
          <w:rFonts w:eastAsiaTheme="minorEastAsia"/>
          <w:szCs w:val="24"/>
          <w:lang w:val="en-US"/>
        </w:rPr>
        <w:t xml:space="preserve"> to </w:t>
      </w:r>
      <w:r w:rsidR="00E8688C" w:rsidRPr="00F31B08">
        <w:rPr>
          <w:rFonts w:eastAsiaTheme="minorEastAsia"/>
          <w:szCs w:val="24"/>
          <w:lang w:val="en-US"/>
        </w:rPr>
        <w:t>“</w:t>
      </w:r>
      <w:r w:rsidRPr="00F31B08">
        <w:rPr>
          <w:rFonts w:eastAsiaTheme="minorEastAsia"/>
          <w:szCs w:val="24"/>
          <w:lang w:val="en-US"/>
        </w:rPr>
        <w:t>reasoning facilitators</w:t>
      </w:r>
      <w:r w:rsidR="00E8688C" w:rsidRPr="00F31B08">
        <w:rPr>
          <w:rFonts w:eastAsiaTheme="minorEastAsia"/>
          <w:szCs w:val="24"/>
          <w:lang w:val="en-US"/>
        </w:rPr>
        <w:t>”</w:t>
      </w:r>
      <w:r w:rsidRPr="00F31B08">
        <w:rPr>
          <w:rFonts w:eastAsiaTheme="minorEastAsia"/>
          <w:szCs w:val="24"/>
          <w:lang w:val="en-US"/>
        </w:rPr>
        <w:t>, while students independently derive answers and explanations based on theoretical frameworks - this is precisely the cognitive transformation that we hope chemistry teacher trainees can personally experience.</w:t>
      </w:r>
      <w:r w:rsidRPr="00F31B08">
        <w:rPr>
          <w:szCs w:val="24"/>
          <w:lang w:val="en-US"/>
        </w:rPr>
        <w:t xml:space="preserve"> </w:t>
      </w:r>
      <w:r w:rsidRPr="00F31B08">
        <w:rPr>
          <w:rFonts w:eastAsiaTheme="minorEastAsia"/>
          <w:b/>
          <w:bCs/>
          <w:szCs w:val="24"/>
          <w:lang w:val="en-US"/>
        </w:rPr>
        <w:t>Table 1</w:t>
      </w:r>
      <w:r w:rsidRPr="00F31B08">
        <w:rPr>
          <w:rFonts w:eastAsiaTheme="minorEastAsia"/>
          <w:szCs w:val="24"/>
          <w:lang w:val="en-US"/>
        </w:rPr>
        <w:t xml:space="preserve"> outlines the methodological distinctions.</w:t>
      </w:r>
    </w:p>
    <w:p w14:paraId="61008896" w14:textId="77777777" w:rsidR="00E8688C" w:rsidRPr="00F31B08" w:rsidRDefault="00E8688C" w:rsidP="00E8688C">
      <w:pPr>
        <w:rPr>
          <w:b/>
          <w:bCs/>
          <w:color w:val="231F20"/>
          <w:szCs w:val="24"/>
          <w:lang w:val="en-US"/>
        </w:rPr>
      </w:pPr>
    </w:p>
    <w:p w14:paraId="11E5D7C6" w14:textId="0D9642FB" w:rsidR="000015AE" w:rsidRPr="00F31B08" w:rsidRDefault="00000000" w:rsidP="00F31B08">
      <w:pPr>
        <w:rPr>
          <w:szCs w:val="24"/>
          <w:lang w:val="en-US"/>
        </w:rPr>
      </w:pPr>
      <w:r w:rsidRPr="00F31B08">
        <w:rPr>
          <w:b/>
          <w:bCs/>
          <w:color w:val="231F20"/>
          <w:szCs w:val="24"/>
          <w:lang w:val="en-US"/>
        </w:rPr>
        <w:t>Table 1.</w:t>
      </w:r>
      <w:r w:rsidRPr="00F31B08">
        <w:rPr>
          <w:color w:val="231F20"/>
          <w:szCs w:val="24"/>
          <w:lang w:val="en-US"/>
        </w:rPr>
        <w:t xml:space="preserve"> Methodological </w:t>
      </w:r>
      <w:r w:rsidR="00E8688C" w:rsidRPr="00F31B08">
        <w:rPr>
          <w:color w:val="231F20"/>
          <w:szCs w:val="24"/>
          <w:lang w:val="en-US"/>
        </w:rPr>
        <w:t>comparison of instructional designs</w:t>
      </w:r>
    </w:p>
    <w:tbl>
      <w:tblPr>
        <w:tblW w:w="5000" w:type="pct"/>
        <w:tblCellMar>
          <w:left w:w="0" w:type="dxa"/>
          <w:right w:w="0" w:type="dxa"/>
        </w:tblCellMar>
        <w:tblLook w:val="04A0" w:firstRow="1" w:lastRow="0" w:firstColumn="1" w:lastColumn="0" w:noHBand="0" w:noVBand="1"/>
      </w:tblPr>
      <w:tblGrid>
        <w:gridCol w:w="2346"/>
        <w:gridCol w:w="3110"/>
        <w:gridCol w:w="4526"/>
      </w:tblGrid>
      <w:tr w:rsidR="000015AE" w:rsidRPr="00F31B08" w14:paraId="1830317F" w14:textId="77777777" w:rsidTr="00F31B08">
        <w:trPr>
          <w:trHeight w:val="263"/>
        </w:trPr>
        <w:tc>
          <w:tcPr>
            <w:tcW w:w="1175" w:type="pct"/>
            <w:tcBorders>
              <w:top w:val="single" w:sz="12" w:space="0" w:color="000000"/>
              <w:left w:val="nil"/>
              <w:bottom w:val="single" w:sz="4" w:space="0" w:color="000000"/>
              <w:right w:val="nil"/>
              <w:tl2br w:val="nil"/>
            </w:tcBorders>
            <w:shd w:val="clear" w:color="auto" w:fill="FFFFFF"/>
          </w:tcPr>
          <w:p w14:paraId="399386EB" w14:textId="77777777" w:rsidR="000015AE" w:rsidRPr="00F31B08" w:rsidRDefault="00000000" w:rsidP="00F31B08">
            <w:pPr>
              <w:jc w:val="left"/>
              <w:rPr>
                <w:rFonts w:eastAsiaTheme="minorEastAsia"/>
                <w:b/>
                <w:bCs/>
                <w:color w:val="000000"/>
                <w:szCs w:val="24"/>
                <w:lang w:val="en-US"/>
              </w:rPr>
            </w:pPr>
            <w:r w:rsidRPr="00F31B08">
              <w:rPr>
                <w:rFonts w:eastAsiaTheme="minorEastAsia"/>
                <w:b/>
                <w:bCs/>
                <w:color w:val="000000"/>
                <w:szCs w:val="24"/>
                <w:lang w:val="en-US"/>
              </w:rPr>
              <w:t>Dimension</w:t>
            </w:r>
          </w:p>
        </w:tc>
        <w:tc>
          <w:tcPr>
            <w:tcW w:w="1558" w:type="pct"/>
            <w:tcBorders>
              <w:top w:val="single" w:sz="12" w:space="0" w:color="000000"/>
              <w:left w:val="nil"/>
              <w:bottom w:val="single" w:sz="4" w:space="0" w:color="000000"/>
              <w:right w:val="nil"/>
            </w:tcBorders>
            <w:shd w:val="clear" w:color="auto" w:fill="FFFFFF"/>
          </w:tcPr>
          <w:p w14:paraId="6BABC3DA" w14:textId="77777777" w:rsidR="000015AE" w:rsidRPr="00F31B08" w:rsidRDefault="00000000" w:rsidP="00F31B08">
            <w:pPr>
              <w:jc w:val="center"/>
              <w:rPr>
                <w:b/>
                <w:bCs/>
                <w:color w:val="000000"/>
                <w:szCs w:val="24"/>
              </w:rPr>
            </w:pPr>
            <w:r w:rsidRPr="00F31B08">
              <w:rPr>
                <w:b/>
                <w:bCs/>
                <w:color w:val="000000"/>
                <w:szCs w:val="24"/>
              </w:rPr>
              <w:t>Control Group (Procedural)</w:t>
            </w:r>
          </w:p>
        </w:tc>
        <w:tc>
          <w:tcPr>
            <w:tcW w:w="2267" w:type="pct"/>
            <w:tcBorders>
              <w:top w:val="single" w:sz="12" w:space="0" w:color="000000"/>
              <w:left w:val="nil"/>
              <w:bottom w:val="single" w:sz="4" w:space="0" w:color="000000"/>
              <w:right w:val="nil"/>
            </w:tcBorders>
            <w:shd w:val="clear" w:color="auto" w:fill="FFFFFF"/>
          </w:tcPr>
          <w:p w14:paraId="37858446" w14:textId="77777777" w:rsidR="000015AE" w:rsidRPr="00F31B08" w:rsidRDefault="00000000" w:rsidP="00F31B08">
            <w:pPr>
              <w:jc w:val="center"/>
              <w:rPr>
                <w:b/>
                <w:bCs/>
                <w:color w:val="000000"/>
                <w:szCs w:val="24"/>
              </w:rPr>
            </w:pPr>
            <w:r w:rsidRPr="00F31B08">
              <w:rPr>
                <w:b/>
                <w:bCs/>
                <w:color w:val="000000"/>
                <w:szCs w:val="24"/>
              </w:rPr>
              <w:t>Experimental Group (Micro-Engineering)</w:t>
            </w:r>
          </w:p>
        </w:tc>
      </w:tr>
      <w:tr w:rsidR="000015AE" w:rsidRPr="00F31B08" w14:paraId="69091E18" w14:textId="77777777" w:rsidTr="00F31B08">
        <w:trPr>
          <w:trHeight w:val="272"/>
        </w:trPr>
        <w:tc>
          <w:tcPr>
            <w:tcW w:w="1175" w:type="pct"/>
            <w:tcBorders>
              <w:top w:val="single" w:sz="4" w:space="0" w:color="000000"/>
              <w:left w:val="nil"/>
              <w:bottom w:val="nil"/>
              <w:right w:val="nil"/>
            </w:tcBorders>
            <w:shd w:val="clear" w:color="auto" w:fill="FFFFFF"/>
          </w:tcPr>
          <w:p w14:paraId="0BE7943B" w14:textId="77777777" w:rsidR="000015AE" w:rsidRPr="00F31B08" w:rsidRDefault="00000000" w:rsidP="00F31B08">
            <w:pPr>
              <w:jc w:val="left"/>
              <w:rPr>
                <w:i/>
                <w:color w:val="000000"/>
                <w:szCs w:val="24"/>
              </w:rPr>
            </w:pPr>
            <w:r w:rsidRPr="00F31B08">
              <w:rPr>
                <w:color w:val="000000"/>
                <w:szCs w:val="24"/>
              </w:rPr>
              <w:t>Instructional Medium</w:t>
            </w:r>
          </w:p>
        </w:tc>
        <w:tc>
          <w:tcPr>
            <w:tcW w:w="1558" w:type="pct"/>
            <w:tcBorders>
              <w:top w:val="single" w:sz="4" w:space="0" w:color="000000"/>
              <w:left w:val="nil"/>
              <w:bottom w:val="nil"/>
              <w:right w:val="nil"/>
            </w:tcBorders>
            <w:shd w:val="clear" w:color="auto" w:fill="FFFFFF"/>
          </w:tcPr>
          <w:p w14:paraId="4E2E4CA9" w14:textId="77777777" w:rsidR="000015AE" w:rsidRPr="00F31B08" w:rsidRDefault="00000000" w:rsidP="00F31B08">
            <w:pPr>
              <w:jc w:val="center"/>
              <w:rPr>
                <w:color w:val="000000"/>
                <w:szCs w:val="24"/>
              </w:rPr>
            </w:pPr>
            <w:r w:rsidRPr="00F31B08">
              <w:rPr>
                <w:color w:val="000000"/>
                <w:szCs w:val="24"/>
              </w:rPr>
              <w:t>Linear text-based manual</w:t>
            </w:r>
          </w:p>
        </w:tc>
        <w:tc>
          <w:tcPr>
            <w:tcW w:w="2267" w:type="pct"/>
            <w:tcBorders>
              <w:top w:val="single" w:sz="4" w:space="0" w:color="000000"/>
              <w:left w:val="nil"/>
              <w:bottom w:val="nil"/>
              <w:right w:val="nil"/>
            </w:tcBorders>
            <w:shd w:val="clear" w:color="auto" w:fill="FFFFFF"/>
          </w:tcPr>
          <w:p w14:paraId="613FD632" w14:textId="77777777" w:rsidR="000015AE" w:rsidRPr="00F31B08" w:rsidRDefault="00000000" w:rsidP="00F31B08">
            <w:pPr>
              <w:jc w:val="center"/>
              <w:rPr>
                <w:color w:val="000000"/>
                <w:szCs w:val="24"/>
                <w:lang w:val="en-US"/>
              </w:rPr>
            </w:pPr>
            <w:r w:rsidRPr="00F31B08">
              <w:rPr>
                <w:color w:val="000000"/>
                <w:szCs w:val="24"/>
                <w:lang w:val="en-US"/>
              </w:rPr>
              <w:t>Multi-zone visual matrix (Figure 2)</w:t>
            </w:r>
          </w:p>
        </w:tc>
      </w:tr>
      <w:tr w:rsidR="000015AE" w:rsidRPr="00F31B08" w14:paraId="2D14885E" w14:textId="77777777" w:rsidTr="00F31B08">
        <w:trPr>
          <w:trHeight w:val="273"/>
        </w:trPr>
        <w:tc>
          <w:tcPr>
            <w:tcW w:w="1175" w:type="pct"/>
            <w:tcBorders>
              <w:top w:val="nil"/>
              <w:left w:val="nil"/>
              <w:bottom w:val="nil"/>
              <w:right w:val="nil"/>
            </w:tcBorders>
            <w:shd w:val="clear" w:color="auto" w:fill="FFFFFF"/>
          </w:tcPr>
          <w:p w14:paraId="1DD46812" w14:textId="77777777" w:rsidR="000015AE" w:rsidRPr="00F31B08" w:rsidRDefault="00000000" w:rsidP="00F31B08">
            <w:pPr>
              <w:jc w:val="left"/>
              <w:rPr>
                <w:i/>
                <w:color w:val="000000"/>
                <w:szCs w:val="24"/>
              </w:rPr>
            </w:pPr>
            <w:r w:rsidRPr="00F31B08">
              <w:rPr>
                <w:color w:val="000000"/>
                <w:szCs w:val="24"/>
              </w:rPr>
              <w:t>Cognitive Focus</w:t>
            </w:r>
          </w:p>
        </w:tc>
        <w:tc>
          <w:tcPr>
            <w:tcW w:w="1558" w:type="pct"/>
            <w:tcBorders>
              <w:top w:val="nil"/>
              <w:left w:val="nil"/>
              <w:bottom w:val="nil"/>
              <w:right w:val="nil"/>
            </w:tcBorders>
            <w:shd w:val="clear" w:color="auto" w:fill="FFFFFF"/>
          </w:tcPr>
          <w:p w14:paraId="78A93CD9" w14:textId="77777777" w:rsidR="000015AE" w:rsidRPr="00F31B08" w:rsidRDefault="00000000" w:rsidP="00F31B08">
            <w:pPr>
              <w:jc w:val="center"/>
              <w:rPr>
                <w:color w:val="000000"/>
                <w:szCs w:val="24"/>
              </w:rPr>
            </w:pPr>
            <w:r w:rsidRPr="00F31B08">
              <w:rPr>
                <w:color w:val="000000"/>
                <w:szCs w:val="24"/>
              </w:rPr>
              <w:t>Task fidelity and completion</w:t>
            </w:r>
          </w:p>
        </w:tc>
        <w:tc>
          <w:tcPr>
            <w:tcW w:w="2267" w:type="pct"/>
            <w:tcBorders>
              <w:top w:val="nil"/>
              <w:left w:val="nil"/>
              <w:bottom w:val="nil"/>
              <w:right w:val="nil"/>
            </w:tcBorders>
            <w:shd w:val="clear" w:color="auto" w:fill="FFFFFF"/>
          </w:tcPr>
          <w:p w14:paraId="0F904786" w14:textId="77777777" w:rsidR="000015AE" w:rsidRPr="00F31B08" w:rsidRDefault="00000000" w:rsidP="00F31B08">
            <w:pPr>
              <w:jc w:val="center"/>
              <w:rPr>
                <w:color w:val="000000"/>
                <w:szCs w:val="24"/>
              </w:rPr>
            </w:pPr>
            <w:r w:rsidRPr="00F31B08">
              <w:rPr>
                <w:color w:val="000000"/>
                <w:szCs w:val="24"/>
              </w:rPr>
              <w:t>System thinking &amp; mechanism mapping</w:t>
            </w:r>
          </w:p>
        </w:tc>
      </w:tr>
      <w:tr w:rsidR="000015AE" w:rsidRPr="00F31B08" w14:paraId="33DC6538" w14:textId="77777777" w:rsidTr="00F31B08">
        <w:trPr>
          <w:trHeight w:val="273"/>
        </w:trPr>
        <w:tc>
          <w:tcPr>
            <w:tcW w:w="1175" w:type="pct"/>
            <w:tcBorders>
              <w:top w:val="nil"/>
              <w:left w:val="nil"/>
              <w:bottom w:val="nil"/>
              <w:right w:val="nil"/>
            </w:tcBorders>
            <w:shd w:val="clear" w:color="auto" w:fill="FFFFFF"/>
          </w:tcPr>
          <w:p w14:paraId="07C049D4" w14:textId="77777777" w:rsidR="000015AE" w:rsidRPr="00F31B08" w:rsidRDefault="00000000" w:rsidP="00F31B08">
            <w:pPr>
              <w:jc w:val="left"/>
              <w:rPr>
                <w:i/>
                <w:color w:val="000000"/>
                <w:szCs w:val="24"/>
              </w:rPr>
            </w:pPr>
            <w:r w:rsidRPr="00F31B08">
              <w:rPr>
                <w:color w:val="000000"/>
                <w:szCs w:val="24"/>
              </w:rPr>
              <w:t>Anomaly Resolution</w:t>
            </w:r>
          </w:p>
        </w:tc>
        <w:tc>
          <w:tcPr>
            <w:tcW w:w="1558" w:type="pct"/>
            <w:tcBorders>
              <w:top w:val="nil"/>
              <w:left w:val="nil"/>
              <w:bottom w:val="nil"/>
              <w:right w:val="nil"/>
            </w:tcBorders>
            <w:shd w:val="clear" w:color="auto" w:fill="FFFFFF"/>
          </w:tcPr>
          <w:p w14:paraId="76DD0F06" w14:textId="77777777" w:rsidR="000015AE" w:rsidRPr="00F31B08" w:rsidRDefault="00000000" w:rsidP="00F31B08">
            <w:pPr>
              <w:jc w:val="center"/>
              <w:rPr>
                <w:color w:val="000000"/>
                <w:szCs w:val="24"/>
              </w:rPr>
            </w:pPr>
            <w:r w:rsidRPr="00F31B08">
              <w:rPr>
                <w:color w:val="000000"/>
                <w:szCs w:val="24"/>
              </w:rPr>
              <w:t>Instructor-dependent</w:t>
            </w:r>
          </w:p>
        </w:tc>
        <w:tc>
          <w:tcPr>
            <w:tcW w:w="2267" w:type="pct"/>
            <w:tcBorders>
              <w:top w:val="nil"/>
              <w:left w:val="nil"/>
              <w:bottom w:val="nil"/>
              <w:right w:val="nil"/>
            </w:tcBorders>
            <w:shd w:val="clear" w:color="auto" w:fill="FFFFFF"/>
          </w:tcPr>
          <w:p w14:paraId="19963E30" w14:textId="77777777" w:rsidR="000015AE" w:rsidRPr="00F31B08" w:rsidRDefault="00000000" w:rsidP="00F31B08">
            <w:pPr>
              <w:jc w:val="center"/>
              <w:rPr>
                <w:color w:val="000000"/>
                <w:szCs w:val="24"/>
                <w:lang w:val="en-US"/>
              </w:rPr>
            </w:pPr>
            <w:r w:rsidRPr="00F31B08">
              <w:rPr>
                <w:color w:val="000000"/>
                <w:szCs w:val="24"/>
                <w:lang w:val="en-US"/>
              </w:rPr>
              <w:t>Autonomous diagnosis via Zone E</w:t>
            </w:r>
          </w:p>
        </w:tc>
      </w:tr>
      <w:tr w:rsidR="000015AE" w:rsidRPr="00F31B08" w14:paraId="70CBCDB1" w14:textId="77777777" w:rsidTr="00F31B08">
        <w:trPr>
          <w:trHeight w:val="273"/>
        </w:trPr>
        <w:tc>
          <w:tcPr>
            <w:tcW w:w="1175" w:type="pct"/>
            <w:tcBorders>
              <w:top w:val="nil"/>
              <w:left w:val="nil"/>
              <w:bottom w:val="single" w:sz="12" w:space="0" w:color="000000"/>
              <w:right w:val="nil"/>
            </w:tcBorders>
            <w:shd w:val="clear" w:color="auto" w:fill="FFFFFF"/>
          </w:tcPr>
          <w:p w14:paraId="2923EE83" w14:textId="77777777" w:rsidR="000015AE" w:rsidRPr="00F31B08" w:rsidRDefault="00000000" w:rsidP="00F31B08">
            <w:pPr>
              <w:jc w:val="left"/>
              <w:rPr>
                <w:i/>
                <w:color w:val="000000"/>
                <w:szCs w:val="24"/>
              </w:rPr>
            </w:pPr>
            <w:r w:rsidRPr="00F31B08">
              <w:rPr>
                <w:color w:val="000000"/>
                <w:szCs w:val="24"/>
              </w:rPr>
              <w:t>Learner Identity</w:t>
            </w:r>
          </w:p>
        </w:tc>
        <w:tc>
          <w:tcPr>
            <w:tcW w:w="1558" w:type="pct"/>
            <w:tcBorders>
              <w:top w:val="nil"/>
              <w:left w:val="nil"/>
              <w:bottom w:val="single" w:sz="12" w:space="0" w:color="000000"/>
              <w:right w:val="nil"/>
            </w:tcBorders>
            <w:shd w:val="clear" w:color="auto" w:fill="FFFFFF"/>
          </w:tcPr>
          <w:p w14:paraId="6281D0E9" w14:textId="77777777" w:rsidR="000015AE" w:rsidRPr="00F31B08" w:rsidRDefault="00000000" w:rsidP="00F31B08">
            <w:pPr>
              <w:jc w:val="center"/>
              <w:rPr>
                <w:color w:val="000000"/>
                <w:szCs w:val="24"/>
              </w:rPr>
            </w:pPr>
            <w:r w:rsidRPr="00F31B08">
              <w:rPr>
                <w:color w:val="000000"/>
                <w:szCs w:val="24"/>
              </w:rPr>
              <w:t>Passive instruction follower</w:t>
            </w:r>
          </w:p>
        </w:tc>
        <w:tc>
          <w:tcPr>
            <w:tcW w:w="2267" w:type="pct"/>
            <w:tcBorders>
              <w:top w:val="nil"/>
              <w:left w:val="nil"/>
              <w:bottom w:val="single" w:sz="12" w:space="0" w:color="000000"/>
              <w:right w:val="nil"/>
            </w:tcBorders>
            <w:shd w:val="clear" w:color="auto" w:fill="FFFFFF"/>
          </w:tcPr>
          <w:p w14:paraId="293852C3" w14:textId="77777777" w:rsidR="000015AE" w:rsidRPr="00F31B08" w:rsidRDefault="00000000" w:rsidP="00F31B08">
            <w:pPr>
              <w:jc w:val="center"/>
              <w:rPr>
                <w:color w:val="000000"/>
                <w:szCs w:val="24"/>
              </w:rPr>
            </w:pPr>
            <w:r w:rsidRPr="00F31B08">
              <w:rPr>
                <w:color w:val="000000"/>
                <w:szCs w:val="24"/>
              </w:rPr>
              <w:t>Active epistemic agent</w:t>
            </w:r>
          </w:p>
        </w:tc>
      </w:tr>
    </w:tbl>
    <w:p w14:paraId="559EEABF" w14:textId="77777777" w:rsidR="000015AE" w:rsidRPr="00F31B08" w:rsidRDefault="000015AE" w:rsidP="00F31B08">
      <w:pPr>
        <w:rPr>
          <w:rFonts w:eastAsiaTheme="minorEastAsia"/>
          <w:szCs w:val="24"/>
          <w:lang w:val="en-US"/>
        </w:rPr>
      </w:pPr>
    </w:p>
    <w:p w14:paraId="4CA08D82" w14:textId="77777777" w:rsidR="000015AE" w:rsidRPr="00F31B08" w:rsidRDefault="00000000" w:rsidP="00F31B08">
      <w:pPr>
        <w:rPr>
          <w:rFonts w:eastAsiaTheme="minorEastAsia"/>
          <w:b/>
          <w:bCs/>
          <w:color w:val="231F20"/>
          <w:spacing w:val="-6"/>
          <w:szCs w:val="24"/>
          <w:lang w:val="en-US"/>
        </w:rPr>
      </w:pPr>
      <w:r w:rsidRPr="00F31B08">
        <w:rPr>
          <w:rFonts w:eastAsiaTheme="minorEastAsia"/>
          <w:b/>
          <w:bCs/>
          <w:color w:val="231F20"/>
          <w:spacing w:val="-6"/>
          <w:szCs w:val="24"/>
          <w:lang w:val="en-US"/>
        </w:rPr>
        <w:t>3. Methodology</w:t>
      </w:r>
    </w:p>
    <w:p w14:paraId="46619230" w14:textId="632A8103" w:rsidR="000015AE" w:rsidRPr="00F31B08" w:rsidRDefault="00000000" w:rsidP="00F31B08">
      <w:pPr>
        <w:rPr>
          <w:rFonts w:eastAsia="SimSun"/>
          <w:kern w:val="2"/>
          <w:szCs w:val="24"/>
          <w:lang w:val="en-US" w:bidi="ar-SA"/>
          <w14:ligatures w14:val="standardContextual"/>
        </w:rPr>
      </w:pPr>
      <w:r w:rsidRPr="00F31B08">
        <w:rPr>
          <w:rFonts w:eastAsia="SimSun"/>
          <w:kern w:val="2"/>
          <w:szCs w:val="24"/>
          <w:lang w:val="en-US" w:bidi="ar-SA"/>
          <w14:ligatures w14:val="standardContextual"/>
        </w:rPr>
        <w:t xml:space="preserve">We conducted one semester </w:t>
      </w:r>
      <w:r w:rsidR="00381BB6" w:rsidRPr="00F31B08">
        <w:rPr>
          <w:rFonts w:eastAsia="SimSun"/>
          <w:kern w:val="2"/>
          <w:szCs w:val="24"/>
          <w:lang w:val="en-US" w:bidi="ar-SA"/>
          <w14:ligatures w14:val="standardContextual"/>
        </w:rPr>
        <w:t xml:space="preserve">of </w:t>
      </w:r>
      <w:r w:rsidRPr="00F31B08">
        <w:rPr>
          <w:rFonts w:eastAsia="SimSun"/>
          <w:kern w:val="2"/>
          <w:szCs w:val="24"/>
          <w:lang w:val="en-US" w:bidi="ar-SA"/>
          <w14:ligatures w14:val="standardContextual"/>
        </w:rPr>
        <w:t xml:space="preserve">teaching reform research on 90 chemistry teacher education students from the 2024 cohort in the second semester of college. This semester, there were a total of 14 experiments in inorganic chemistry laboratory courses. We chose this specific group because they are in the process of transitioning from </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learning to seek knowledge</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 xml:space="preserve"> to </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learning to teach</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 xml:space="preserve">. The control group (N = 45) used </w:t>
      </w:r>
      <w:r w:rsidR="00381BB6" w:rsidRPr="00F31B08">
        <w:rPr>
          <w:rFonts w:eastAsia="SimSun"/>
          <w:kern w:val="2"/>
          <w:szCs w:val="24"/>
          <w:lang w:val="en-US" w:bidi="ar-SA"/>
          <w14:ligatures w14:val="standardContextual"/>
        </w:rPr>
        <w:t>the traditional teaching mode, while the experimental group (N = 45) used the six-zone</w:t>
      </w:r>
      <w:r w:rsidRPr="00F31B08">
        <w:rPr>
          <w:rFonts w:eastAsia="SimSun"/>
          <w:kern w:val="2"/>
          <w:szCs w:val="24"/>
          <w:lang w:val="en-US" w:bidi="ar-SA"/>
          <w14:ligatures w14:val="standardContextual"/>
        </w:rPr>
        <w:t xml:space="preserve"> cognitive scaffolding matrix mode for teaching.</w:t>
      </w:r>
    </w:p>
    <w:p w14:paraId="28320CBD" w14:textId="665390D6" w:rsidR="000015AE" w:rsidRPr="00F31B08" w:rsidRDefault="00000000" w:rsidP="00F31B08">
      <w:pPr>
        <w:ind w:firstLine="420"/>
        <w:rPr>
          <w:rFonts w:eastAsia="SimSun"/>
          <w:kern w:val="2"/>
          <w:szCs w:val="24"/>
          <w:lang w:val="en-US" w:bidi="ar-SA"/>
          <w14:ligatures w14:val="standardContextual"/>
        </w:rPr>
      </w:pPr>
      <w:r w:rsidRPr="00F31B08">
        <w:rPr>
          <w:rFonts w:eastAsia="SimSun"/>
          <w:kern w:val="2"/>
          <w:szCs w:val="24"/>
          <w:lang w:val="en-US" w:bidi="ar-SA"/>
          <w14:ligatures w14:val="standardContextual"/>
        </w:rPr>
        <w:t>The core project of this teaching reform is to use industrial scrap iron to synthesize Mohr</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s salt, because this experiment not only involves basic operations such as dissolution, filtration, evaporation, and pH adjustment, but also the metal ions of the product Mohr</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s salt are easily oxidized during the operation process, requiring full protection to avoid oxidation of ferrous ions. Students must first use sodium carbonate (Na</w:t>
      </w:r>
      <w:r w:rsidRPr="00F31B08">
        <w:rPr>
          <w:rFonts w:eastAsia="SimSun"/>
          <w:kern w:val="2"/>
          <w:szCs w:val="24"/>
          <w:vertAlign w:val="subscript"/>
          <w:lang w:val="en-US" w:bidi="ar-SA"/>
          <w14:ligatures w14:val="standardContextual"/>
        </w:rPr>
        <w:t>2</w:t>
      </w:r>
      <w:r w:rsidRPr="00F31B08">
        <w:rPr>
          <w:rFonts w:eastAsia="SimSun"/>
          <w:kern w:val="2"/>
          <w:szCs w:val="24"/>
          <w:lang w:val="en-US" w:bidi="ar-SA"/>
          <w14:ligatures w14:val="standardContextual"/>
        </w:rPr>
        <w:t>CO</w:t>
      </w:r>
      <w:r w:rsidRPr="00F31B08">
        <w:rPr>
          <w:rFonts w:eastAsia="SimSun"/>
          <w:kern w:val="2"/>
          <w:szCs w:val="24"/>
          <w:vertAlign w:val="subscript"/>
          <w:lang w:val="en-US" w:bidi="ar-SA"/>
          <w14:ligatures w14:val="standardContextual"/>
        </w:rPr>
        <w:t>3</w:t>
      </w:r>
      <w:r w:rsidRPr="00F31B08">
        <w:rPr>
          <w:rFonts w:eastAsia="SimSun"/>
          <w:kern w:val="2"/>
          <w:szCs w:val="24"/>
          <w:lang w:val="en-US" w:bidi="ar-SA"/>
          <w14:ligatures w14:val="standardContextual"/>
        </w:rPr>
        <w:t>) to remove oil and impurities from the scrap iron, carefully control its reaction with sulfuric acid (H</w:t>
      </w:r>
      <w:r w:rsidRPr="00F31B08">
        <w:rPr>
          <w:rFonts w:eastAsia="SimSun"/>
          <w:kern w:val="2"/>
          <w:szCs w:val="24"/>
          <w:vertAlign w:val="subscript"/>
          <w:lang w:val="en-US" w:bidi="ar-SA"/>
          <w14:ligatures w14:val="standardContextual"/>
        </w:rPr>
        <w:t>2</w:t>
      </w:r>
      <w:r w:rsidRPr="00F31B08">
        <w:rPr>
          <w:rFonts w:eastAsia="SimSun"/>
          <w:kern w:val="2"/>
          <w:szCs w:val="24"/>
          <w:lang w:val="en-US" w:bidi="ar-SA"/>
          <w14:ligatures w14:val="standardContextual"/>
        </w:rPr>
        <w:t>SO</w:t>
      </w:r>
      <w:r w:rsidRPr="00F31B08">
        <w:rPr>
          <w:rFonts w:eastAsia="SimSun"/>
          <w:kern w:val="2"/>
          <w:szCs w:val="24"/>
          <w:vertAlign w:val="subscript"/>
          <w:lang w:val="en-US" w:bidi="ar-SA"/>
          <w14:ligatures w14:val="standardContextual"/>
        </w:rPr>
        <w:t>4</w:t>
      </w:r>
      <w:r w:rsidRPr="00F31B08">
        <w:rPr>
          <w:rFonts w:eastAsia="SimSun"/>
          <w:kern w:val="2"/>
          <w:szCs w:val="24"/>
          <w:lang w:val="en-US" w:bidi="ar-SA"/>
          <w14:ligatures w14:val="standardContextual"/>
        </w:rPr>
        <w:t xml:space="preserve">), and also consider the </w:t>
      </w:r>
      <w:proofErr w:type="gramStart"/>
      <w:r w:rsidRPr="00F31B08">
        <w:rPr>
          <w:rFonts w:eastAsia="SimSun"/>
          <w:kern w:val="2"/>
          <w:szCs w:val="24"/>
          <w:lang w:val="en-US" w:bidi="ar-SA"/>
          <w14:ligatures w14:val="standardContextual"/>
        </w:rPr>
        <w:t>amount</w:t>
      </w:r>
      <w:proofErr w:type="gramEnd"/>
      <w:r w:rsidRPr="00F31B08">
        <w:rPr>
          <w:rFonts w:eastAsia="SimSun"/>
          <w:kern w:val="2"/>
          <w:szCs w:val="24"/>
          <w:lang w:val="en-US" w:bidi="ar-SA"/>
          <w14:ligatures w14:val="standardContextual"/>
        </w:rPr>
        <w:t xml:space="preserve"> of reactants used. In addition, the addition method and concentration of ammonium sulfate (NH</w:t>
      </w:r>
      <w:r w:rsidRPr="00F31B08">
        <w:rPr>
          <w:rFonts w:eastAsia="SimSun"/>
          <w:kern w:val="2"/>
          <w:szCs w:val="24"/>
          <w:vertAlign w:val="subscript"/>
          <w:lang w:val="en-US" w:bidi="ar-SA"/>
          <w14:ligatures w14:val="standardContextual"/>
        </w:rPr>
        <w:t>4</w:t>
      </w:r>
      <w:r w:rsidRPr="00F31B08">
        <w:rPr>
          <w:rFonts w:eastAsia="SimSun"/>
          <w:kern w:val="2"/>
          <w:szCs w:val="24"/>
          <w:lang w:val="en-US" w:bidi="ar-SA"/>
          <w14:ligatures w14:val="standardContextual"/>
        </w:rPr>
        <w:t>)</w:t>
      </w:r>
      <w:r w:rsidRPr="00F31B08">
        <w:rPr>
          <w:rFonts w:eastAsia="SimSun"/>
          <w:kern w:val="2"/>
          <w:szCs w:val="24"/>
          <w:vertAlign w:val="subscript"/>
          <w:lang w:val="en-US" w:bidi="ar-SA"/>
          <w14:ligatures w14:val="standardContextual"/>
        </w:rPr>
        <w:t>2</w:t>
      </w:r>
      <w:r w:rsidRPr="00F31B08">
        <w:rPr>
          <w:rFonts w:eastAsia="SimSun"/>
          <w:kern w:val="2"/>
          <w:szCs w:val="24"/>
          <w:lang w:val="en-US" w:bidi="ar-SA"/>
          <w14:ligatures w14:val="standardContextual"/>
        </w:rPr>
        <w:t>SO</w:t>
      </w:r>
      <w:r w:rsidRPr="00F31B08">
        <w:rPr>
          <w:rFonts w:eastAsia="SimSun"/>
          <w:kern w:val="2"/>
          <w:szCs w:val="24"/>
          <w:vertAlign w:val="subscript"/>
          <w:lang w:val="en-US" w:bidi="ar-SA"/>
          <w14:ligatures w14:val="standardContextual"/>
        </w:rPr>
        <w:t>4</w:t>
      </w:r>
      <w:r w:rsidRPr="00F31B08">
        <w:rPr>
          <w:rFonts w:eastAsia="SimSun"/>
          <w:kern w:val="2"/>
          <w:szCs w:val="24"/>
          <w:lang w:val="en-US" w:bidi="ar-SA"/>
          <w14:ligatures w14:val="standardContextual"/>
        </w:rPr>
        <w:t>), as well as the time and temperature of evaporation and concentration, need to be considered.</w:t>
      </w:r>
    </w:p>
    <w:p w14:paraId="231F6536" w14:textId="20DD76CD" w:rsidR="000015AE" w:rsidRPr="00F31B08" w:rsidRDefault="00000000" w:rsidP="00F31B08">
      <w:pPr>
        <w:ind w:firstLine="420"/>
        <w:rPr>
          <w:rFonts w:eastAsia="SimSun"/>
          <w:kern w:val="2"/>
          <w:szCs w:val="24"/>
          <w:lang w:val="en-US" w:bidi="ar-SA"/>
          <w14:ligatures w14:val="standardContextual"/>
        </w:rPr>
      </w:pPr>
      <w:r w:rsidRPr="00F31B08">
        <w:rPr>
          <w:rFonts w:eastAsia="SimSun"/>
          <w:kern w:val="2"/>
          <w:szCs w:val="24"/>
          <w:lang w:val="en-US" w:bidi="ar-SA"/>
          <w14:ligatures w14:val="standardContextual"/>
        </w:rPr>
        <w:t xml:space="preserve">Purity was checked via KSCN qualitative tests and redox titration, while </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soft skills</w:t>
      </w:r>
      <w:r w:rsidR="00E8688C" w:rsidRPr="00F31B08">
        <w:rPr>
          <w:rFonts w:eastAsia="SimSun"/>
          <w:kern w:val="2"/>
          <w:szCs w:val="24"/>
          <w:lang w:val="en-US" w:bidi="ar-SA"/>
          <w14:ligatures w14:val="standardContextual"/>
        </w:rPr>
        <w:t>”</w:t>
      </w:r>
      <w:r w:rsidRPr="00F31B08">
        <w:rPr>
          <w:rFonts w:eastAsia="SimSun"/>
          <w:kern w:val="2"/>
          <w:szCs w:val="24"/>
          <w:lang w:val="en-US" w:bidi="ar-SA"/>
          <w14:ligatures w14:val="standardContextual"/>
        </w:rPr>
        <w:t xml:space="preserve"> like diagnostic reasoning were measured through analytical reports and interviews.</w:t>
      </w:r>
    </w:p>
    <w:p w14:paraId="3E4B27D7" w14:textId="77777777" w:rsidR="00E8688C" w:rsidRPr="00F31B08" w:rsidRDefault="00E8688C" w:rsidP="00E8688C">
      <w:pPr>
        <w:rPr>
          <w:rFonts w:eastAsiaTheme="minorEastAsia"/>
          <w:color w:val="231F20"/>
          <w:spacing w:val="-6"/>
          <w:szCs w:val="24"/>
          <w:lang w:val="en-US"/>
        </w:rPr>
      </w:pPr>
    </w:p>
    <w:p w14:paraId="067A8517" w14:textId="5489F408" w:rsidR="000015AE" w:rsidRPr="00F31B08" w:rsidRDefault="00000000" w:rsidP="00F31B08">
      <w:pPr>
        <w:rPr>
          <w:rFonts w:eastAsiaTheme="minorEastAsia"/>
          <w:b/>
          <w:bCs/>
          <w:color w:val="231F20"/>
          <w:spacing w:val="-6"/>
          <w:szCs w:val="24"/>
          <w:lang w:val="en-US"/>
        </w:rPr>
      </w:pPr>
      <w:r w:rsidRPr="00F31B08">
        <w:rPr>
          <w:rFonts w:eastAsiaTheme="minorEastAsia"/>
          <w:b/>
          <w:bCs/>
          <w:color w:val="231F20"/>
          <w:spacing w:val="-6"/>
          <w:szCs w:val="24"/>
          <w:lang w:val="en-US"/>
        </w:rPr>
        <w:t xml:space="preserve">4. Results and </w:t>
      </w:r>
      <w:r w:rsidR="00E8688C" w:rsidRPr="00F31B08">
        <w:rPr>
          <w:rFonts w:eastAsiaTheme="minorEastAsia"/>
          <w:b/>
          <w:bCs/>
          <w:color w:val="231F20"/>
          <w:spacing w:val="-6"/>
          <w:szCs w:val="24"/>
          <w:lang w:val="en-US"/>
        </w:rPr>
        <w:t>analysis</w:t>
      </w:r>
    </w:p>
    <w:p w14:paraId="255066E0" w14:textId="365B363A" w:rsidR="000015AE" w:rsidRPr="00F31B08" w:rsidRDefault="00000000" w:rsidP="00F31B08">
      <w:pPr>
        <w:rPr>
          <w:szCs w:val="24"/>
          <w:lang w:val="en-US"/>
        </w:rPr>
      </w:pPr>
      <w:r w:rsidRPr="00F31B08">
        <w:rPr>
          <w:szCs w:val="24"/>
          <w:lang w:val="en-US"/>
        </w:rPr>
        <w:t xml:space="preserve">The data showed a fascinating trend: </w:t>
      </w:r>
      <w:r w:rsidR="00E8688C" w:rsidRPr="00F31B08">
        <w:rPr>
          <w:szCs w:val="24"/>
          <w:lang w:val="en-US"/>
        </w:rPr>
        <w:t>“</w:t>
      </w:r>
      <w:r w:rsidRPr="00F31B08">
        <w:rPr>
          <w:szCs w:val="24"/>
          <w:lang w:val="en-US"/>
        </w:rPr>
        <w:t>technical parity</w:t>
      </w:r>
      <w:r w:rsidR="00E8688C" w:rsidRPr="00F31B08">
        <w:rPr>
          <w:szCs w:val="24"/>
          <w:lang w:val="en-US"/>
        </w:rPr>
        <w:t>”</w:t>
      </w:r>
      <w:r w:rsidRPr="00F31B08">
        <w:rPr>
          <w:szCs w:val="24"/>
          <w:lang w:val="en-US"/>
        </w:rPr>
        <w:t xml:space="preserve"> but </w:t>
      </w:r>
      <w:r w:rsidR="00E8688C" w:rsidRPr="00F31B08">
        <w:rPr>
          <w:szCs w:val="24"/>
          <w:lang w:val="en-US"/>
        </w:rPr>
        <w:t>“</w:t>
      </w:r>
      <w:r w:rsidRPr="00F31B08">
        <w:rPr>
          <w:szCs w:val="24"/>
          <w:lang w:val="en-US"/>
        </w:rPr>
        <w:t>cognitive divergence.</w:t>
      </w:r>
      <w:r w:rsidR="00E8688C" w:rsidRPr="00F31B08">
        <w:rPr>
          <w:szCs w:val="24"/>
          <w:lang w:val="en-US"/>
        </w:rPr>
        <w:t>”</w:t>
      </w:r>
      <w:r w:rsidRPr="00F31B08">
        <w:rPr>
          <w:szCs w:val="24"/>
          <w:lang w:val="en-US"/>
        </w:rPr>
        <w:t xml:space="preserve"> As seen in </w:t>
      </w:r>
      <w:r w:rsidRPr="00F31B08">
        <w:rPr>
          <w:b/>
          <w:bCs/>
          <w:szCs w:val="24"/>
          <w:lang w:val="en-US"/>
        </w:rPr>
        <w:t>Table 2</w:t>
      </w:r>
      <w:r w:rsidRPr="00F31B08">
        <w:rPr>
          <w:szCs w:val="24"/>
          <w:lang w:val="en-US"/>
        </w:rPr>
        <w:t xml:space="preserve">, </w:t>
      </w:r>
      <w:r w:rsidRPr="00F31B08">
        <w:rPr>
          <w:szCs w:val="24"/>
          <w:lang w:val="en-US"/>
        </w:rPr>
        <w:lastRenderedPageBreak/>
        <w:t>both groups achieved high purity levels (</w:t>
      </w:r>
      <w:r w:rsidRPr="00F31B08">
        <w:rPr>
          <w:i/>
          <w:iCs/>
          <w:szCs w:val="24"/>
          <w:lang w:val="en-US"/>
        </w:rPr>
        <w:t>p</w:t>
      </w:r>
      <w:r w:rsidRPr="00F31B08">
        <w:rPr>
          <w:szCs w:val="24"/>
          <w:lang w:val="en-US"/>
        </w:rPr>
        <w:t xml:space="preserve"> &gt; 0.05), proving the matrix is as safe as a traditional manual. However, the experimental group</w:t>
      </w:r>
      <w:r w:rsidR="00E8688C" w:rsidRPr="00F31B08">
        <w:rPr>
          <w:szCs w:val="24"/>
          <w:lang w:val="en-US"/>
        </w:rPr>
        <w:t>’</w:t>
      </w:r>
      <w:r w:rsidRPr="00F31B08">
        <w:rPr>
          <w:szCs w:val="24"/>
          <w:lang w:val="en-US"/>
        </w:rPr>
        <w:t xml:space="preserve">s ability to explain </w:t>
      </w:r>
      <w:r w:rsidR="00E8688C" w:rsidRPr="00F31B08">
        <w:rPr>
          <w:szCs w:val="24"/>
          <w:lang w:val="en-US"/>
        </w:rPr>
        <w:t>“</w:t>
      </w:r>
      <w:r w:rsidRPr="00F31B08">
        <w:rPr>
          <w:szCs w:val="24"/>
          <w:lang w:val="en-US"/>
        </w:rPr>
        <w:t>why</w:t>
      </w:r>
      <w:r w:rsidR="00E8688C" w:rsidRPr="00F31B08">
        <w:rPr>
          <w:szCs w:val="24"/>
          <w:lang w:val="en-US"/>
        </w:rPr>
        <w:t>”</w:t>
      </w:r>
      <w:r w:rsidRPr="00F31B08">
        <w:rPr>
          <w:szCs w:val="24"/>
          <w:lang w:val="en-US"/>
        </w:rPr>
        <w:t xml:space="preserve"> things happened was significantly higher.</w:t>
      </w:r>
    </w:p>
    <w:p w14:paraId="28A7AFB5" w14:textId="77777777" w:rsidR="00E8688C" w:rsidRPr="00F31B08" w:rsidRDefault="00E8688C" w:rsidP="00E8688C">
      <w:pPr>
        <w:rPr>
          <w:color w:val="231F20"/>
          <w:szCs w:val="24"/>
          <w:lang w:val="en-US"/>
        </w:rPr>
      </w:pPr>
    </w:p>
    <w:p w14:paraId="1887569A" w14:textId="5D007A46" w:rsidR="000015AE" w:rsidRPr="00F31B08" w:rsidRDefault="00000000" w:rsidP="00F31B08">
      <w:pPr>
        <w:rPr>
          <w:szCs w:val="24"/>
          <w:lang w:val="en-US"/>
        </w:rPr>
      </w:pPr>
      <w:r w:rsidRPr="00F31B08">
        <w:rPr>
          <w:b/>
          <w:bCs/>
          <w:color w:val="231F20"/>
          <w:szCs w:val="24"/>
          <w:lang w:val="en-US"/>
        </w:rPr>
        <w:t xml:space="preserve">Table </w:t>
      </w:r>
      <w:r w:rsidRPr="00F31B08">
        <w:rPr>
          <w:rFonts w:eastAsiaTheme="minorEastAsia"/>
          <w:b/>
          <w:bCs/>
          <w:color w:val="231F20"/>
          <w:szCs w:val="24"/>
          <w:lang w:val="en-US"/>
        </w:rPr>
        <w:t>2</w:t>
      </w:r>
      <w:r w:rsidRPr="00F31B08">
        <w:rPr>
          <w:b/>
          <w:bCs/>
          <w:color w:val="231F20"/>
          <w:szCs w:val="24"/>
          <w:lang w:val="en-US"/>
        </w:rPr>
        <w:t>.</w:t>
      </w:r>
      <w:r w:rsidRPr="00F31B08">
        <w:rPr>
          <w:color w:val="231F20"/>
          <w:szCs w:val="24"/>
          <w:lang w:val="en-US"/>
        </w:rPr>
        <w:t xml:space="preserve"> Statistical </w:t>
      </w:r>
      <w:r w:rsidR="00E8688C" w:rsidRPr="00F31B08">
        <w:rPr>
          <w:color w:val="231F20"/>
          <w:szCs w:val="24"/>
          <w:lang w:val="en-US"/>
        </w:rPr>
        <w:t>analysis of learning outcomes</w:t>
      </w:r>
    </w:p>
    <w:tbl>
      <w:tblPr>
        <w:tblW w:w="5000" w:type="pct"/>
        <w:jc w:val="center"/>
        <w:tblCellMar>
          <w:left w:w="0" w:type="dxa"/>
          <w:right w:w="0" w:type="dxa"/>
        </w:tblCellMar>
        <w:tblLook w:val="04A0" w:firstRow="1" w:lastRow="0" w:firstColumn="1" w:lastColumn="0" w:noHBand="0" w:noVBand="1"/>
      </w:tblPr>
      <w:tblGrid>
        <w:gridCol w:w="4478"/>
        <w:gridCol w:w="2220"/>
        <w:gridCol w:w="1881"/>
        <w:gridCol w:w="1403"/>
      </w:tblGrid>
      <w:tr w:rsidR="000015AE" w:rsidRPr="00F31B08" w14:paraId="7EFCB16A" w14:textId="77777777" w:rsidTr="00F31B08">
        <w:trPr>
          <w:trHeight w:val="263"/>
          <w:jc w:val="center"/>
        </w:trPr>
        <w:tc>
          <w:tcPr>
            <w:tcW w:w="2243" w:type="pct"/>
            <w:tcBorders>
              <w:top w:val="single" w:sz="12" w:space="0" w:color="000000"/>
              <w:left w:val="nil"/>
              <w:bottom w:val="single" w:sz="4" w:space="0" w:color="000000"/>
              <w:right w:val="nil"/>
              <w:tl2br w:val="nil"/>
            </w:tcBorders>
            <w:shd w:val="clear" w:color="auto" w:fill="FFFFFF"/>
          </w:tcPr>
          <w:p w14:paraId="1CA63A93" w14:textId="7472D35F" w:rsidR="000015AE" w:rsidRPr="00F31B08" w:rsidRDefault="00000000" w:rsidP="00F31B08">
            <w:pPr>
              <w:jc w:val="left"/>
              <w:rPr>
                <w:rFonts w:eastAsiaTheme="minorEastAsia"/>
                <w:b/>
                <w:bCs/>
                <w:color w:val="000000"/>
                <w:szCs w:val="24"/>
              </w:rPr>
            </w:pPr>
            <w:r w:rsidRPr="00F31B08">
              <w:rPr>
                <w:rFonts w:eastAsiaTheme="minorEastAsia"/>
                <w:b/>
                <w:bCs/>
                <w:color w:val="000000"/>
                <w:szCs w:val="24"/>
              </w:rPr>
              <w:t>Assessment Metric(1</w:t>
            </w:r>
            <w:r w:rsidR="00E8688C" w:rsidRPr="00F31B08">
              <w:rPr>
                <w:rFonts w:eastAsiaTheme="minorEastAsia"/>
                <w:b/>
                <w:bCs/>
                <w:color w:val="000000"/>
                <w:szCs w:val="24"/>
                <w:lang w:val="en-MY"/>
              </w:rPr>
              <w:t>–</w:t>
            </w:r>
            <w:r w:rsidRPr="00F31B08">
              <w:rPr>
                <w:rFonts w:eastAsiaTheme="minorEastAsia"/>
                <w:b/>
                <w:bCs/>
                <w:color w:val="000000"/>
                <w:szCs w:val="24"/>
              </w:rPr>
              <w:t>10 Scale)</w:t>
            </w:r>
          </w:p>
        </w:tc>
        <w:tc>
          <w:tcPr>
            <w:tcW w:w="1112" w:type="pct"/>
            <w:tcBorders>
              <w:top w:val="single" w:sz="12" w:space="0" w:color="000000"/>
              <w:left w:val="nil"/>
              <w:bottom w:val="single" w:sz="4" w:space="0" w:color="000000"/>
              <w:right w:val="nil"/>
            </w:tcBorders>
            <w:shd w:val="clear" w:color="auto" w:fill="FFFFFF"/>
          </w:tcPr>
          <w:p w14:paraId="1CCEB920" w14:textId="7423E07D" w:rsidR="000015AE" w:rsidRPr="00F31B08" w:rsidRDefault="00000000" w:rsidP="00F31B08">
            <w:pPr>
              <w:jc w:val="center"/>
              <w:rPr>
                <w:b/>
                <w:bCs/>
                <w:color w:val="000000"/>
                <w:szCs w:val="24"/>
                <w:lang w:val="en-US"/>
              </w:rPr>
            </w:pPr>
            <w:r w:rsidRPr="00F31B08">
              <w:rPr>
                <w:b/>
                <w:bCs/>
                <w:color w:val="000000"/>
                <w:szCs w:val="24"/>
                <w:lang w:val="en-US"/>
              </w:rPr>
              <w:t>Control Group(Mean ± SD)</w:t>
            </w:r>
          </w:p>
        </w:tc>
        <w:tc>
          <w:tcPr>
            <w:tcW w:w="942" w:type="pct"/>
            <w:tcBorders>
              <w:top w:val="single" w:sz="12" w:space="0" w:color="000000"/>
              <w:left w:val="nil"/>
              <w:bottom w:val="single" w:sz="4" w:space="0" w:color="000000"/>
              <w:right w:val="nil"/>
            </w:tcBorders>
            <w:shd w:val="clear" w:color="auto" w:fill="FFFFFF"/>
          </w:tcPr>
          <w:p w14:paraId="51AAC742" w14:textId="1F681AB7" w:rsidR="000015AE" w:rsidRPr="00F31B08" w:rsidRDefault="00000000" w:rsidP="00F31B08">
            <w:pPr>
              <w:jc w:val="center"/>
              <w:rPr>
                <w:b/>
                <w:bCs/>
                <w:color w:val="000000"/>
                <w:szCs w:val="24"/>
                <w:lang w:val="en-US"/>
              </w:rPr>
            </w:pPr>
            <w:r w:rsidRPr="00F31B08">
              <w:rPr>
                <w:b/>
                <w:bCs/>
                <w:color w:val="000000"/>
                <w:szCs w:val="24"/>
                <w:lang w:val="en-US"/>
              </w:rPr>
              <w:t>Exp. Group(Mean ± SD)</w:t>
            </w:r>
          </w:p>
        </w:tc>
        <w:tc>
          <w:tcPr>
            <w:tcW w:w="703" w:type="pct"/>
            <w:tcBorders>
              <w:top w:val="single" w:sz="12" w:space="0" w:color="000000"/>
              <w:left w:val="nil"/>
              <w:bottom w:val="single" w:sz="4" w:space="0" w:color="000000"/>
              <w:right w:val="nil"/>
            </w:tcBorders>
            <w:shd w:val="clear" w:color="auto" w:fill="FFFFFF"/>
          </w:tcPr>
          <w:p w14:paraId="1FAB0572" w14:textId="77777777" w:rsidR="000015AE" w:rsidRPr="00F31B08" w:rsidRDefault="00000000" w:rsidP="00F31B08">
            <w:pPr>
              <w:jc w:val="center"/>
              <w:rPr>
                <w:b/>
                <w:bCs/>
                <w:color w:val="000000"/>
                <w:szCs w:val="24"/>
              </w:rPr>
            </w:pPr>
            <w:r w:rsidRPr="00F31B08">
              <w:rPr>
                <w:rFonts w:eastAsiaTheme="minorEastAsia"/>
                <w:b/>
                <w:bCs/>
                <w:i/>
                <w:iCs/>
                <w:color w:val="000000"/>
                <w:szCs w:val="24"/>
              </w:rPr>
              <w:t>P</w:t>
            </w:r>
            <w:r w:rsidRPr="00F31B08">
              <w:rPr>
                <w:b/>
                <w:bCs/>
                <w:color w:val="000000"/>
                <w:szCs w:val="24"/>
              </w:rPr>
              <w:t>-value</w:t>
            </w:r>
          </w:p>
        </w:tc>
      </w:tr>
      <w:tr w:rsidR="000015AE" w:rsidRPr="00F31B08" w14:paraId="389FEDB5" w14:textId="77777777" w:rsidTr="00F31B08">
        <w:trPr>
          <w:trHeight w:val="272"/>
          <w:jc w:val="center"/>
        </w:trPr>
        <w:tc>
          <w:tcPr>
            <w:tcW w:w="2243" w:type="pct"/>
            <w:tcBorders>
              <w:top w:val="single" w:sz="4" w:space="0" w:color="000000"/>
              <w:left w:val="nil"/>
              <w:bottom w:val="nil"/>
              <w:right w:val="nil"/>
            </w:tcBorders>
            <w:shd w:val="clear" w:color="auto" w:fill="FFFFFF"/>
          </w:tcPr>
          <w:p w14:paraId="3F2F28E4" w14:textId="77777777" w:rsidR="000015AE" w:rsidRPr="00F31B08" w:rsidRDefault="00000000" w:rsidP="00F31B08">
            <w:pPr>
              <w:jc w:val="left"/>
              <w:rPr>
                <w:i/>
                <w:color w:val="000000"/>
                <w:szCs w:val="24"/>
              </w:rPr>
            </w:pPr>
            <w:r w:rsidRPr="00F31B08">
              <w:rPr>
                <w:color w:val="000000"/>
                <w:szCs w:val="24"/>
              </w:rPr>
              <w:t>Product Purity (Technical)</w:t>
            </w:r>
          </w:p>
        </w:tc>
        <w:tc>
          <w:tcPr>
            <w:tcW w:w="1112" w:type="pct"/>
            <w:tcBorders>
              <w:top w:val="single" w:sz="4" w:space="0" w:color="000000"/>
              <w:left w:val="nil"/>
              <w:bottom w:val="nil"/>
              <w:right w:val="nil"/>
            </w:tcBorders>
            <w:shd w:val="clear" w:color="auto" w:fill="FFFFFF"/>
          </w:tcPr>
          <w:p w14:paraId="0F409690" w14:textId="77777777" w:rsidR="000015AE" w:rsidRPr="00F31B08" w:rsidRDefault="00000000" w:rsidP="00F31B08">
            <w:pPr>
              <w:jc w:val="center"/>
              <w:rPr>
                <w:color w:val="000000"/>
                <w:szCs w:val="24"/>
              </w:rPr>
            </w:pPr>
            <w:r w:rsidRPr="00F31B08">
              <w:rPr>
                <w:color w:val="000000"/>
                <w:szCs w:val="24"/>
              </w:rPr>
              <w:t>8.12 ± 0.6</w:t>
            </w:r>
          </w:p>
        </w:tc>
        <w:tc>
          <w:tcPr>
            <w:tcW w:w="942" w:type="pct"/>
            <w:tcBorders>
              <w:top w:val="single" w:sz="4" w:space="0" w:color="000000"/>
              <w:left w:val="nil"/>
              <w:bottom w:val="nil"/>
              <w:right w:val="nil"/>
            </w:tcBorders>
            <w:shd w:val="clear" w:color="auto" w:fill="FFFFFF"/>
          </w:tcPr>
          <w:p w14:paraId="3BDCBCB9" w14:textId="77777777" w:rsidR="000015AE" w:rsidRPr="00F31B08" w:rsidRDefault="00000000" w:rsidP="00F31B08">
            <w:pPr>
              <w:jc w:val="center"/>
              <w:rPr>
                <w:color w:val="000000"/>
                <w:szCs w:val="24"/>
              </w:rPr>
            </w:pPr>
            <w:r w:rsidRPr="00F31B08">
              <w:rPr>
                <w:color w:val="000000"/>
                <w:szCs w:val="24"/>
              </w:rPr>
              <w:t>8.35 ± 0.5</w:t>
            </w:r>
          </w:p>
        </w:tc>
        <w:tc>
          <w:tcPr>
            <w:tcW w:w="703" w:type="pct"/>
            <w:tcBorders>
              <w:top w:val="single" w:sz="4" w:space="0" w:color="000000"/>
              <w:left w:val="nil"/>
              <w:bottom w:val="nil"/>
              <w:right w:val="nil"/>
            </w:tcBorders>
            <w:shd w:val="clear" w:color="auto" w:fill="FFFFFF"/>
          </w:tcPr>
          <w:p w14:paraId="1E40D7B5" w14:textId="61F96A37" w:rsidR="000015AE" w:rsidRPr="00F31B08" w:rsidRDefault="00000000" w:rsidP="00F31B08">
            <w:pPr>
              <w:jc w:val="center"/>
              <w:rPr>
                <w:rFonts w:eastAsiaTheme="minorEastAsia"/>
                <w:color w:val="000000"/>
                <w:szCs w:val="24"/>
              </w:rPr>
            </w:pPr>
            <w:r w:rsidRPr="00F31B08">
              <w:rPr>
                <w:color w:val="000000"/>
                <w:szCs w:val="24"/>
              </w:rPr>
              <w:t>0.082 (ns)</w:t>
            </w:r>
          </w:p>
        </w:tc>
      </w:tr>
      <w:tr w:rsidR="000015AE" w:rsidRPr="00F31B08" w14:paraId="28AD0148" w14:textId="77777777" w:rsidTr="00F31B08">
        <w:trPr>
          <w:trHeight w:val="273"/>
          <w:jc w:val="center"/>
        </w:trPr>
        <w:tc>
          <w:tcPr>
            <w:tcW w:w="2243" w:type="pct"/>
            <w:tcBorders>
              <w:top w:val="nil"/>
              <w:left w:val="nil"/>
              <w:bottom w:val="nil"/>
              <w:right w:val="nil"/>
            </w:tcBorders>
            <w:shd w:val="clear" w:color="auto" w:fill="FFFFFF"/>
          </w:tcPr>
          <w:p w14:paraId="6A6F0002" w14:textId="77777777" w:rsidR="000015AE" w:rsidRPr="00F31B08" w:rsidRDefault="00000000" w:rsidP="00F31B08">
            <w:pPr>
              <w:jc w:val="left"/>
              <w:rPr>
                <w:i/>
                <w:color w:val="000000"/>
                <w:szCs w:val="24"/>
              </w:rPr>
            </w:pPr>
            <w:r w:rsidRPr="00F31B08">
              <w:rPr>
                <w:color w:val="000000"/>
                <w:szCs w:val="24"/>
              </w:rPr>
              <w:t>Atom Economy Comprehension</w:t>
            </w:r>
          </w:p>
        </w:tc>
        <w:tc>
          <w:tcPr>
            <w:tcW w:w="1112" w:type="pct"/>
            <w:tcBorders>
              <w:top w:val="nil"/>
              <w:left w:val="nil"/>
              <w:bottom w:val="nil"/>
              <w:right w:val="nil"/>
            </w:tcBorders>
            <w:shd w:val="clear" w:color="auto" w:fill="FFFFFF"/>
          </w:tcPr>
          <w:p w14:paraId="3F6042F7" w14:textId="77777777" w:rsidR="000015AE" w:rsidRPr="00F31B08" w:rsidRDefault="00000000" w:rsidP="00F31B08">
            <w:pPr>
              <w:jc w:val="center"/>
              <w:rPr>
                <w:color w:val="000000"/>
                <w:szCs w:val="24"/>
              </w:rPr>
            </w:pPr>
            <w:r w:rsidRPr="00F31B08">
              <w:rPr>
                <w:color w:val="000000"/>
                <w:szCs w:val="24"/>
              </w:rPr>
              <w:t>5.30 ± 1.2</w:t>
            </w:r>
          </w:p>
        </w:tc>
        <w:tc>
          <w:tcPr>
            <w:tcW w:w="942" w:type="pct"/>
            <w:tcBorders>
              <w:top w:val="nil"/>
              <w:left w:val="nil"/>
              <w:bottom w:val="nil"/>
              <w:right w:val="nil"/>
            </w:tcBorders>
            <w:shd w:val="clear" w:color="auto" w:fill="FFFFFF"/>
          </w:tcPr>
          <w:p w14:paraId="6AF5C955" w14:textId="77777777" w:rsidR="000015AE" w:rsidRPr="00F31B08" w:rsidRDefault="00000000" w:rsidP="00F31B08">
            <w:pPr>
              <w:jc w:val="center"/>
              <w:rPr>
                <w:rFonts w:eastAsiaTheme="minorEastAsia"/>
                <w:color w:val="000000"/>
                <w:szCs w:val="24"/>
              </w:rPr>
            </w:pPr>
            <w:r w:rsidRPr="00F31B08">
              <w:rPr>
                <w:rFonts w:eastAsiaTheme="minorEastAsia"/>
                <w:color w:val="000000"/>
                <w:szCs w:val="24"/>
              </w:rPr>
              <w:t>7.90 ± 0.8</w:t>
            </w:r>
          </w:p>
        </w:tc>
        <w:tc>
          <w:tcPr>
            <w:tcW w:w="703" w:type="pct"/>
            <w:tcBorders>
              <w:top w:val="nil"/>
              <w:left w:val="nil"/>
              <w:bottom w:val="nil"/>
              <w:right w:val="nil"/>
            </w:tcBorders>
            <w:shd w:val="clear" w:color="auto" w:fill="FFFFFF"/>
          </w:tcPr>
          <w:p w14:paraId="7239A648" w14:textId="77777777" w:rsidR="000015AE" w:rsidRPr="00F31B08" w:rsidRDefault="00000000" w:rsidP="00F31B08">
            <w:pPr>
              <w:jc w:val="center"/>
              <w:rPr>
                <w:rFonts w:eastAsiaTheme="minorEastAsia"/>
                <w:color w:val="000000"/>
                <w:szCs w:val="24"/>
              </w:rPr>
            </w:pPr>
            <w:r w:rsidRPr="00F31B08">
              <w:rPr>
                <w:color w:val="000000"/>
                <w:szCs w:val="24"/>
              </w:rPr>
              <w:t>&lt; 0.01 *</w:t>
            </w:r>
          </w:p>
        </w:tc>
      </w:tr>
      <w:tr w:rsidR="000015AE" w:rsidRPr="00F31B08" w14:paraId="799F6A5C" w14:textId="77777777" w:rsidTr="00F31B08">
        <w:trPr>
          <w:trHeight w:val="273"/>
          <w:jc w:val="center"/>
        </w:trPr>
        <w:tc>
          <w:tcPr>
            <w:tcW w:w="2243" w:type="pct"/>
            <w:tcBorders>
              <w:top w:val="nil"/>
              <w:left w:val="nil"/>
              <w:bottom w:val="nil"/>
              <w:right w:val="nil"/>
            </w:tcBorders>
            <w:shd w:val="clear" w:color="auto" w:fill="FFFFFF"/>
          </w:tcPr>
          <w:p w14:paraId="1016FB01" w14:textId="77777777" w:rsidR="000015AE" w:rsidRPr="00F31B08" w:rsidRDefault="00000000" w:rsidP="00F31B08">
            <w:pPr>
              <w:jc w:val="left"/>
              <w:rPr>
                <w:color w:val="000000"/>
                <w:szCs w:val="24"/>
              </w:rPr>
            </w:pPr>
            <w:r w:rsidRPr="00F31B08">
              <w:rPr>
                <w:color w:val="000000"/>
                <w:szCs w:val="24"/>
              </w:rPr>
              <w:t>Quality Metrics</w:t>
            </w:r>
          </w:p>
        </w:tc>
        <w:tc>
          <w:tcPr>
            <w:tcW w:w="1112" w:type="pct"/>
            <w:tcBorders>
              <w:top w:val="nil"/>
              <w:left w:val="nil"/>
              <w:bottom w:val="nil"/>
              <w:right w:val="nil"/>
            </w:tcBorders>
            <w:shd w:val="clear" w:color="auto" w:fill="FFFFFF"/>
          </w:tcPr>
          <w:p w14:paraId="5CA812A7" w14:textId="77777777" w:rsidR="000015AE" w:rsidRPr="00F31B08" w:rsidRDefault="00000000" w:rsidP="00F31B08">
            <w:pPr>
              <w:jc w:val="center"/>
              <w:rPr>
                <w:color w:val="000000"/>
                <w:szCs w:val="24"/>
              </w:rPr>
            </w:pPr>
            <w:r w:rsidRPr="00F31B08">
              <w:rPr>
                <w:color w:val="000000"/>
                <w:szCs w:val="24"/>
              </w:rPr>
              <w:t>5.00 ± 1.4</w:t>
            </w:r>
          </w:p>
        </w:tc>
        <w:tc>
          <w:tcPr>
            <w:tcW w:w="942" w:type="pct"/>
            <w:tcBorders>
              <w:top w:val="nil"/>
              <w:left w:val="nil"/>
              <w:bottom w:val="nil"/>
              <w:right w:val="nil"/>
            </w:tcBorders>
            <w:shd w:val="clear" w:color="auto" w:fill="FFFFFF"/>
          </w:tcPr>
          <w:p w14:paraId="36E080D6" w14:textId="77777777" w:rsidR="000015AE" w:rsidRPr="00F31B08" w:rsidRDefault="00000000" w:rsidP="00F31B08">
            <w:pPr>
              <w:jc w:val="center"/>
              <w:rPr>
                <w:color w:val="000000"/>
                <w:szCs w:val="24"/>
              </w:rPr>
            </w:pPr>
            <w:r w:rsidRPr="00F31B08">
              <w:rPr>
                <w:color w:val="000000"/>
                <w:szCs w:val="24"/>
              </w:rPr>
              <w:t>8.50 ± 0.7</w:t>
            </w:r>
          </w:p>
        </w:tc>
        <w:tc>
          <w:tcPr>
            <w:tcW w:w="703" w:type="pct"/>
            <w:tcBorders>
              <w:top w:val="nil"/>
              <w:left w:val="nil"/>
              <w:bottom w:val="nil"/>
              <w:right w:val="nil"/>
            </w:tcBorders>
            <w:shd w:val="clear" w:color="auto" w:fill="FFFFFF"/>
          </w:tcPr>
          <w:p w14:paraId="5DBB685C" w14:textId="77777777" w:rsidR="000015AE" w:rsidRPr="00F31B08" w:rsidRDefault="00000000" w:rsidP="00F31B08">
            <w:pPr>
              <w:jc w:val="center"/>
              <w:rPr>
                <w:color w:val="000000"/>
                <w:szCs w:val="24"/>
              </w:rPr>
            </w:pPr>
            <w:r w:rsidRPr="00F31B08">
              <w:rPr>
                <w:color w:val="000000"/>
                <w:szCs w:val="24"/>
              </w:rPr>
              <w:t>&lt; 0.01 *</w:t>
            </w:r>
          </w:p>
        </w:tc>
      </w:tr>
      <w:tr w:rsidR="000015AE" w:rsidRPr="00F31B08" w14:paraId="03555D74" w14:textId="77777777" w:rsidTr="00F31B08">
        <w:trPr>
          <w:trHeight w:val="273"/>
          <w:jc w:val="center"/>
        </w:trPr>
        <w:tc>
          <w:tcPr>
            <w:tcW w:w="2243" w:type="pct"/>
            <w:tcBorders>
              <w:top w:val="nil"/>
              <w:left w:val="nil"/>
              <w:bottom w:val="nil"/>
              <w:right w:val="nil"/>
            </w:tcBorders>
            <w:shd w:val="clear" w:color="auto" w:fill="FFFFFF"/>
          </w:tcPr>
          <w:p w14:paraId="73C03C90" w14:textId="77777777" w:rsidR="000015AE" w:rsidRPr="00F31B08" w:rsidRDefault="00000000" w:rsidP="00F31B08">
            <w:pPr>
              <w:jc w:val="left"/>
              <w:rPr>
                <w:i/>
                <w:color w:val="000000"/>
                <w:szCs w:val="24"/>
              </w:rPr>
            </w:pPr>
            <w:r w:rsidRPr="00F31B08">
              <w:rPr>
                <w:color w:val="000000"/>
                <w:szCs w:val="24"/>
              </w:rPr>
              <w:t>Diagnostic Reasoning</w:t>
            </w:r>
          </w:p>
        </w:tc>
        <w:tc>
          <w:tcPr>
            <w:tcW w:w="1112" w:type="pct"/>
            <w:tcBorders>
              <w:top w:val="nil"/>
              <w:left w:val="nil"/>
              <w:bottom w:val="nil"/>
              <w:right w:val="nil"/>
            </w:tcBorders>
            <w:shd w:val="clear" w:color="auto" w:fill="FFFFFF"/>
          </w:tcPr>
          <w:p w14:paraId="30E044F1" w14:textId="77777777" w:rsidR="000015AE" w:rsidRPr="00F31B08" w:rsidRDefault="00000000" w:rsidP="00F31B08">
            <w:pPr>
              <w:jc w:val="center"/>
              <w:rPr>
                <w:color w:val="000000"/>
                <w:szCs w:val="24"/>
              </w:rPr>
            </w:pPr>
            <w:r w:rsidRPr="00F31B08">
              <w:rPr>
                <w:color w:val="000000"/>
                <w:szCs w:val="24"/>
              </w:rPr>
              <w:t>5.25 ± 1.5</w:t>
            </w:r>
          </w:p>
        </w:tc>
        <w:tc>
          <w:tcPr>
            <w:tcW w:w="942" w:type="pct"/>
            <w:tcBorders>
              <w:top w:val="nil"/>
              <w:left w:val="nil"/>
              <w:bottom w:val="nil"/>
              <w:right w:val="nil"/>
            </w:tcBorders>
            <w:shd w:val="clear" w:color="auto" w:fill="FFFFFF"/>
          </w:tcPr>
          <w:p w14:paraId="26C1A94B" w14:textId="77777777" w:rsidR="000015AE" w:rsidRPr="00F31B08" w:rsidRDefault="00000000" w:rsidP="00F31B08">
            <w:pPr>
              <w:jc w:val="center"/>
              <w:rPr>
                <w:color w:val="000000"/>
                <w:szCs w:val="24"/>
              </w:rPr>
            </w:pPr>
            <w:r w:rsidRPr="00F31B08">
              <w:rPr>
                <w:color w:val="000000"/>
                <w:szCs w:val="24"/>
              </w:rPr>
              <w:t>8.85 ± 0.9</w:t>
            </w:r>
          </w:p>
        </w:tc>
        <w:tc>
          <w:tcPr>
            <w:tcW w:w="703" w:type="pct"/>
            <w:tcBorders>
              <w:top w:val="nil"/>
              <w:left w:val="nil"/>
              <w:bottom w:val="nil"/>
              <w:right w:val="nil"/>
            </w:tcBorders>
            <w:shd w:val="clear" w:color="auto" w:fill="FFFFFF"/>
          </w:tcPr>
          <w:p w14:paraId="6E88709E" w14:textId="77777777" w:rsidR="000015AE" w:rsidRPr="00F31B08" w:rsidRDefault="00000000" w:rsidP="00F31B08">
            <w:pPr>
              <w:jc w:val="center"/>
              <w:rPr>
                <w:color w:val="000000"/>
                <w:szCs w:val="24"/>
              </w:rPr>
            </w:pPr>
            <w:r w:rsidRPr="00F31B08">
              <w:rPr>
                <w:color w:val="000000"/>
                <w:szCs w:val="24"/>
              </w:rPr>
              <w:t>&lt; 0.01 *</w:t>
            </w:r>
          </w:p>
        </w:tc>
      </w:tr>
      <w:tr w:rsidR="000015AE" w:rsidRPr="00F31B08" w14:paraId="7F5B4C53" w14:textId="77777777" w:rsidTr="00F31B08">
        <w:trPr>
          <w:trHeight w:val="273"/>
          <w:jc w:val="center"/>
        </w:trPr>
        <w:tc>
          <w:tcPr>
            <w:tcW w:w="2243" w:type="pct"/>
            <w:tcBorders>
              <w:top w:val="nil"/>
              <w:left w:val="nil"/>
              <w:bottom w:val="single" w:sz="12" w:space="0" w:color="000000"/>
              <w:right w:val="nil"/>
            </w:tcBorders>
            <w:shd w:val="clear" w:color="auto" w:fill="FFFFFF"/>
          </w:tcPr>
          <w:p w14:paraId="7CEEEEF3" w14:textId="77777777" w:rsidR="000015AE" w:rsidRPr="00F31B08" w:rsidRDefault="00000000" w:rsidP="00F31B08">
            <w:pPr>
              <w:jc w:val="left"/>
              <w:rPr>
                <w:i/>
                <w:color w:val="000000"/>
                <w:szCs w:val="24"/>
              </w:rPr>
            </w:pPr>
            <w:r w:rsidRPr="00F31B08">
              <w:rPr>
                <w:color w:val="000000"/>
                <w:szCs w:val="24"/>
              </w:rPr>
              <w:t>System Thinking Capacity</w:t>
            </w:r>
          </w:p>
        </w:tc>
        <w:tc>
          <w:tcPr>
            <w:tcW w:w="1112" w:type="pct"/>
            <w:tcBorders>
              <w:top w:val="nil"/>
              <w:left w:val="nil"/>
              <w:bottom w:val="single" w:sz="12" w:space="0" w:color="000000"/>
              <w:right w:val="nil"/>
            </w:tcBorders>
            <w:shd w:val="clear" w:color="auto" w:fill="FFFFFF"/>
          </w:tcPr>
          <w:p w14:paraId="7551C8E0" w14:textId="77777777" w:rsidR="000015AE" w:rsidRPr="00F31B08" w:rsidRDefault="00000000" w:rsidP="00F31B08">
            <w:pPr>
              <w:jc w:val="center"/>
              <w:rPr>
                <w:color w:val="000000"/>
                <w:szCs w:val="24"/>
              </w:rPr>
            </w:pPr>
            <w:r w:rsidRPr="00F31B08">
              <w:rPr>
                <w:color w:val="000000"/>
                <w:szCs w:val="24"/>
              </w:rPr>
              <w:t>4.80 ± 1.3</w:t>
            </w:r>
          </w:p>
        </w:tc>
        <w:tc>
          <w:tcPr>
            <w:tcW w:w="942" w:type="pct"/>
            <w:tcBorders>
              <w:top w:val="nil"/>
              <w:left w:val="nil"/>
              <w:bottom w:val="single" w:sz="12" w:space="0" w:color="000000"/>
              <w:right w:val="nil"/>
            </w:tcBorders>
            <w:shd w:val="clear" w:color="auto" w:fill="FFFFFF"/>
          </w:tcPr>
          <w:p w14:paraId="5D94402B" w14:textId="77777777" w:rsidR="000015AE" w:rsidRPr="00F31B08" w:rsidRDefault="00000000" w:rsidP="00F31B08">
            <w:pPr>
              <w:jc w:val="center"/>
              <w:rPr>
                <w:color w:val="000000"/>
                <w:szCs w:val="24"/>
              </w:rPr>
            </w:pPr>
            <w:r w:rsidRPr="00F31B08">
              <w:rPr>
                <w:color w:val="000000"/>
                <w:szCs w:val="24"/>
              </w:rPr>
              <w:t>8.55 ± 1.1</w:t>
            </w:r>
          </w:p>
        </w:tc>
        <w:tc>
          <w:tcPr>
            <w:tcW w:w="703" w:type="pct"/>
            <w:tcBorders>
              <w:top w:val="nil"/>
              <w:left w:val="nil"/>
              <w:bottom w:val="single" w:sz="12" w:space="0" w:color="000000"/>
              <w:right w:val="nil"/>
            </w:tcBorders>
            <w:shd w:val="clear" w:color="auto" w:fill="FFFFFF"/>
          </w:tcPr>
          <w:p w14:paraId="1B6EA922" w14:textId="77777777" w:rsidR="000015AE" w:rsidRPr="00F31B08" w:rsidRDefault="00000000" w:rsidP="00F31B08">
            <w:pPr>
              <w:jc w:val="center"/>
              <w:rPr>
                <w:color w:val="000000"/>
                <w:szCs w:val="24"/>
              </w:rPr>
            </w:pPr>
            <w:r w:rsidRPr="00F31B08">
              <w:rPr>
                <w:color w:val="000000"/>
                <w:szCs w:val="24"/>
              </w:rPr>
              <w:t>&lt; 0.01 *</w:t>
            </w:r>
          </w:p>
        </w:tc>
      </w:tr>
    </w:tbl>
    <w:p w14:paraId="6C8BF739" w14:textId="1FADD83F" w:rsidR="000015AE" w:rsidRPr="00F31B08" w:rsidRDefault="00000000" w:rsidP="00F31B08">
      <w:pPr>
        <w:rPr>
          <w:rFonts w:eastAsiaTheme="minorEastAsia"/>
          <w:color w:val="231F20"/>
          <w:sz w:val="20"/>
          <w:szCs w:val="20"/>
          <w:lang w:val="en-US"/>
        </w:rPr>
      </w:pPr>
      <w:r w:rsidRPr="00F31B08">
        <w:rPr>
          <w:rFonts w:eastAsiaTheme="minorEastAsia"/>
          <w:color w:val="231F20"/>
          <w:sz w:val="20"/>
          <w:szCs w:val="20"/>
          <w:lang w:val="en-US"/>
        </w:rPr>
        <w:t xml:space="preserve">Note: * ns = not significant. denotes </w:t>
      </w:r>
      <w:r w:rsidR="00381BB6" w:rsidRPr="00F31B08">
        <w:rPr>
          <w:rFonts w:eastAsiaTheme="minorEastAsia"/>
          <w:color w:val="231F20"/>
          <w:sz w:val="20"/>
          <w:szCs w:val="20"/>
          <w:lang w:val="en-US"/>
        </w:rPr>
        <w:t xml:space="preserve">a </w:t>
      </w:r>
      <w:r w:rsidRPr="00F31B08">
        <w:rPr>
          <w:rFonts w:eastAsiaTheme="minorEastAsia"/>
          <w:color w:val="231F20"/>
          <w:sz w:val="20"/>
          <w:szCs w:val="20"/>
          <w:lang w:val="en-US"/>
        </w:rPr>
        <w:t>highly significant difference (</w:t>
      </w:r>
      <w:r w:rsidRPr="00F31B08">
        <w:rPr>
          <w:rFonts w:eastAsiaTheme="minorEastAsia"/>
          <w:i/>
          <w:iCs/>
          <w:color w:val="231F20"/>
          <w:sz w:val="20"/>
          <w:szCs w:val="20"/>
          <w:lang w:val="en-US"/>
        </w:rPr>
        <w:t>p</w:t>
      </w:r>
      <w:r w:rsidRPr="00F31B08">
        <w:rPr>
          <w:rFonts w:eastAsiaTheme="minorEastAsia"/>
          <w:color w:val="231F20"/>
          <w:sz w:val="20"/>
          <w:szCs w:val="20"/>
          <w:lang w:val="en-US"/>
        </w:rPr>
        <w:t xml:space="preserve"> &lt; 0.01). Assessed </w:t>
      </w:r>
      <w:r w:rsidRPr="00F31B08">
        <w:rPr>
          <w:rFonts w:eastAsiaTheme="minorEastAsia"/>
          <w:i/>
          <w:iCs/>
          <w:color w:val="231F20"/>
          <w:sz w:val="20"/>
          <w:szCs w:val="20"/>
          <w:lang w:val="en-US"/>
        </w:rPr>
        <w:t>via</w:t>
      </w:r>
      <w:r w:rsidRPr="00F31B08">
        <w:rPr>
          <w:rFonts w:eastAsiaTheme="minorEastAsia"/>
          <w:color w:val="231F20"/>
          <w:sz w:val="20"/>
          <w:szCs w:val="20"/>
          <w:lang w:val="en-US"/>
        </w:rPr>
        <w:t xml:space="preserve"> double-blind scoring.</w:t>
      </w:r>
    </w:p>
    <w:p w14:paraId="50983546" w14:textId="77777777" w:rsidR="000015AE" w:rsidRPr="00F31B08" w:rsidRDefault="000015AE" w:rsidP="00F31B08">
      <w:pPr>
        <w:rPr>
          <w:rFonts w:eastAsiaTheme="minorEastAsia"/>
          <w:color w:val="231F20"/>
          <w:szCs w:val="24"/>
          <w:lang w:val="en-US"/>
        </w:rPr>
      </w:pPr>
    </w:p>
    <w:p w14:paraId="7A40AA19" w14:textId="62211C89" w:rsidR="000015AE" w:rsidRPr="00F31B08" w:rsidRDefault="00000000" w:rsidP="00F31B08">
      <w:pPr>
        <w:ind w:firstLine="420"/>
        <w:rPr>
          <w:rFonts w:eastAsiaTheme="minorEastAsia"/>
          <w:color w:val="231F20"/>
          <w:szCs w:val="24"/>
          <w:lang w:val="en-US"/>
        </w:rPr>
      </w:pPr>
      <w:r w:rsidRPr="00F31B08">
        <w:rPr>
          <w:rFonts w:eastAsiaTheme="minorEastAsia"/>
          <w:color w:val="231F20"/>
          <w:szCs w:val="24"/>
          <w:lang w:val="en-US"/>
        </w:rPr>
        <w:t>After a semester of research and observation, it was found that the most significant difference between the experimental group and the control group was reflected in the diagnosis of experimental abnormalities. In the control group, when the solution of ferrous sulfate (FeSO</w:t>
      </w:r>
      <w:r w:rsidRPr="00F31B08">
        <w:rPr>
          <w:rFonts w:eastAsiaTheme="minorEastAsia"/>
          <w:color w:val="231F20"/>
          <w:szCs w:val="24"/>
          <w:vertAlign w:val="subscript"/>
          <w:lang w:val="en-US"/>
        </w:rPr>
        <w:t>4</w:t>
      </w:r>
      <w:r w:rsidRPr="00F31B08">
        <w:rPr>
          <w:rFonts w:eastAsiaTheme="minorEastAsia"/>
          <w:color w:val="231F20"/>
          <w:szCs w:val="24"/>
          <w:lang w:val="en-US"/>
        </w:rPr>
        <w:t>) becomes too acidic</w:t>
      </w:r>
      <w:r w:rsidR="00381BB6" w:rsidRPr="00F31B08">
        <w:rPr>
          <w:rFonts w:eastAsiaTheme="minorEastAsia"/>
          <w:color w:val="231F20"/>
          <w:szCs w:val="24"/>
          <w:lang w:val="en-US"/>
        </w:rPr>
        <w:t>,</w:t>
      </w:r>
      <w:r w:rsidRPr="00F31B08">
        <w:rPr>
          <w:rFonts w:eastAsiaTheme="minorEastAsia"/>
          <w:color w:val="231F20"/>
          <w:szCs w:val="24"/>
          <w:lang w:val="en-US"/>
        </w:rPr>
        <w:t xml:space="preserve"> or crystals precipitate in the form of small powders rather than clear monoclinic prisms, students usually ask questions and wait for the teacher to solve the problem. They are trapped in a linear process of operational steps, without systematically considering the reasons from an engineering perspective, let alone having corresponding improvement measures. </w:t>
      </w:r>
    </w:p>
    <w:p w14:paraId="1DCA81F6" w14:textId="5556FC64" w:rsidR="000015AE" w:rsidRPr="00F31B08" w:rsidRDefault="00E8688C" w:rsidP="00F31B08">
      <w:pPr>
        <w:ind w:firstLine="420"/>
        <w:rPr>
          <w:rFonts w:eastAsiaTheme="minorEastAsia"/>
          <w:szCs w:val="24"/>
          <w:lang w:val="en-US"/>
        </w:rPr>
      </w:pPr>
      <w:r w:rsidRPr="00F31B08">
        <w:rPr>
          <w:rFonts w:eastAsiaTheme="minorEastAsia"/>
          <w:color w:val="231F20"/>
          <w:szCs w:val="24"/>
          <w:lang w:val="en-US"/>
        </w:rPr>
        <w:t xml:space="preserve">Students </w:t>
      </w:r>
      <w:r w:rsidR="00000000" w:rsidRPr="00F31B08">
        <w:rPr>
          <w:rFonts w:eastAsiaTheme="minorEastAsia"/>
          <w:color w:val="231F20"/>
          <w:szCs w:val="24"/>
          <w:lang w:val="en-US"/>
        </w:rPr>
        <w:t xml:space="preserve">in the experimental group will engage in </w:t>
      </w:r>
      <w:r w:rsidRPr="00F31B08">
        <w:rPr>
          <w:rFonts w:eastAsiaTheme="minorEastAsia"/>
          <w:color w:val="231F20"/>
          <w:szCs w:val="24"/>
          <w:lang w:val="en-US"/>
        </w:rPr>
        <w:t>“</w:t>
      </w:r>
      <w:r w:rsidR="00000000" w:rsidRPr="00F31B08">
        <w:rPr>
          <w:rFonts w:eastAsiaTheme="minorEastAsia"/>
          <w:color w:val="231F20"/>
          <w:szCs w:val="24"/>
          <w:lang w:val="en-US"/>
        </w:rPr>
        <w:t>collaborative diagnosis</w:t>
      </w:r>
      <w:r w:rsidRPr="00F31B08">
        <w:rPr>
          <w:rFonts w:eastAsiaTheme="minorEastAsia"/>
          <w:color w:val="231F20"/>
          <w:szCs w:val="24"/>
          <w:lang w:val="en-US"/>
        </w:rPr>
        <w:t>”</w:t>
      </w:r>
      <w:r w:rsidR="00000000" w:rsidRPr="00F31B08">
        <w:rPr>
          <w:rFonts w:eastAsiaTheme="minorEastAsia"/>
          <w:color w:val="231F20"/>
          <w:szCs w:val="24"/>
          <w:lang w:val="en-US"/>
        </w:rPr>
        <w:t xml:space="preserve"> when encountering experimental abnormalities or confusion. I once observed a group of students discussing details such as the dosage, concentration, and addition method of ammonium sulfate. They consulted the C region (mechanism) and inferred the need to add saturated solution based on the formation conditions and synthesis principles of double salts. This is precisely the hallmark of a future teacher: being able to diagnose students</w:t>
      </w:r>
      <w:r w:rsidRPr="00F31B08">
        <w:rPr>
          <w:rFonts w:eastAsiaTheme="minorEastAsia"/>
          <w:color w:val="231F20"/>
          <w:szCs w:val="24"/>
          <w:lang w:val="en-US"/>
        </w:rPr>
        <w:t>’</w:t>
      </w:r>
      <w:r w:rsidR="00000000" w:rsidRPr="00F31B08">
        <w:rPr>
          <w:rFonts w:eastAsiaTheme="minorEastAsia"/>
          <w:color w:val="231F20"/>
          <w:szCs w:val="24"/>
          <w:lang w:val="en-US"/>
        </w:rPr>
        <w:t xml:space="preserve"> experimental errors through chemical theory, rather than just guessing. The experimental group scored 36.00% higher in diagnostic reasoning, which strongly demonstrates the enormous potential of visual scaffolds in cultivating cognitive agency (</w:t>
      </w:r>
      <w:r w:rsidR="00000000" w:rsidRPr="00F31B08">
        <w:rPr>
          <w:rFonts w:eastAsiaTheme="minorEastAsia"/>
          <w:b/>
          <w:bCs/>
          <w:color w:val="231F20"/>
          <w:szCs w:val="24"/>
          <w:lang w:val="en-US"/>
        </w:rPr>
        <w:t>Figure 3</w:t>
      </w:r>
      <w:r w:rsidR="00000000" w:rsidRPr="00F31B08">
        <w:rPr>
          <w:rFonts w:eastAsiaTheme="minorEastAsia"/>
          <w:color w:val="231F20"/>
          <w:szCs w:val="24"/>
          <w:lang w:val="en-US"/>
        </w:rPr>
        <w:t>).</w:t>
      </w:r>
    </w:p>
    <w:p w14:paraId="16C742BF" w14:textId="77777777" w:rsidR="00E8688C" w:rsidRPr="00F31B08" w:rsidRDefault="00E8688C" w:rsidP="00E8688C">
      <w:pPr>
        <w:rPr>
          <w:rFonts w:eastAsiaTheme="minorEastAsia"/>
          <w:color w:val="231F20"/>
          <w:szCs w:val="24"/>
          <w:lang w:val="en-US"/>
        </w:rPr>
      </w:pPr>
    </w:p>
    <w:p w14:paraId="7CE87E06" w14:textId="056535A2" w:rsidR="000015AE" w:rsidRPr="00F31B08" w:rsidRDefault="00000000" w:rsidP="00F31B08">
      <w:pPr>
        <w:jc w:val="center"/>
        <w:rPr>
          <w:rFonts w:eastAsiaTheme="minorEastAsia"/>
          <w:color w:val="231F20"/>
          <w:sz w:val="20"/>
          <w:szCs w:val="20"/>
          <w:lang w:val="en-US"/>
        </w:rPr>
      </w:pPr>
      <w:r w:rsidRPr="00F31B08">
        <w:rPr>
          <w:noProof/>
          <w:sz w:val="20"/>
          <w:szCs w:val="20"/>
        </w:rPr>
        <w:drawing>
          <wp:inline distT="0" distB="0" distL="0" distR="0" wp14:anchorId="1CB99351" wp14:editId="16553C68">
            <wp:extent cx="4157980" cy="3364865"/>
            <wp:effectExtent l="0" t="0" r="0" b="6985"/>
            <wp:docPr id="12133044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04438" name="图片 1"/>
                    <pic:cNvPicPr>
                      <a:picLocks noChangeAspect="1"/>
                    </pic:cNvPicPr>
                  </pic:nvPicPr>
                  <pic:blipFill>
                    <a:blip r:embed="rId9"/>
                    <a:stretch>
                      <a:fillRect/>
                    </a:stretch>
                  </pic:blipFill>
                  <pic:spPr>
                    <a:xfrm>
                      <a:off x="0" y="0"/>
                      <a:ext cx="4166570" cy="3371660"/>
                    </a:xfrm>
                    <a:prstGeom prst="rect">
                      <a:avLst/>
                    </a:prstGeom>
                  </pic:spPr>
                </pic:pic>
              </a:graphicData>
            </a:graphic>
          </wp:inline>
        </w:drawing>
      </w:r>
    </w:p>
    <w:p w14:paraId="7E37AD34" w14:textId="0E4AC8BC" w:rsidR="000015AE" w:rsidRPr="00F31B08" w:rsidRDefault="00000000" w:rsidP="00F31B08">
      <w:pPr>
        <w:jc w:val="center"/>
        <w:rPr>
          <w:rFonts w:eastAsiaTheme="minorEastAsia"/>
          <w:color w:val="231F20"/>
          <w:sz w:val="20"/>
          <w:szCs w:val="20"/>
          <w:lang w:val="en-US"/>
        </w:rPr>
      </w:pPr>
      <w:r w:rsidRPr="00F31B08">
        <w:rPr>
          <w:b/>
          <w:bCs/>
          <w:color w:val="231F20"/>
          <w:sz w:val="20"/>
          <w:szCs w:val="20"/>
          <w:lang w:val="en-US"/>
        </w:rPr>
        <w:t>Figure 3.</w:t>
      </w:r>
      <w:r w:rsidRPr="00F31B08">
        <w:rPr>
          <w:color w:val="231F20"/>
          <w:sz w:val="20"/>
          <w:szCs w:val="20"/>
          <w:lang w:val="en-US"/>
        </w:rPr>
        <w:t xml:space="preserve"> Comparative Performance Radar</w:t>
      </w:r>
      <w:r w:rsidRPr="00F31B08">
        <w:rPr>
          <w:rFonts w:eastAsiaTheme="minorEastAsia"/>
          <w:color w:val="231F20"/>
          <w:sz w:val="20"/>
          <w:szCs w:val="20"/>
          <w:lang w:val="en-US"/>
        </w:rPr>
        <w:t xml:space="preserve"> </w:t>
      </w:r>
      <w:r w:rsidRPr="00F31B08">
        <w:rPr>
          <w:rFonts w:eastAsiaTheme="minorEastAsia"/>
          <w:bCs/>
          <w:color w:val="231F20"/>
          <w:sz w:val="20"/>
          <w:szCs w:val="20"/>
          <w:lang w:val="en-US"/>
        </w:rPr>
        <w:t>Chart</w:t>
      </w:r>
      <w:r w:rsidR="00E8688C" w:rsidRPr="00F31B08">
        <w:rPr>
          <w:rFonts w:eastAsiaTheme="minorEastAsia"/>
          <w:bCs/>
          <w:color w:val="231F20"/>
          <w:sz w:val="20"/>
          <w:szCs w:val="20"/>
          <w:lang w:val="en-US"/>
        </w:rPr>
        <w:t>.</w:t>
      </w:r>
    </w:p>
    <w:p w14:paraId="1664ED94" w14:textId="77777777" w:rsidR="00E8688C" w:rsidRPr="00F31B08" w:rsidRDefault="00E8688C" w:rsidP="00E8688C">
      <w:pPr>
        <w:rPr>
          <w:rFonts w:eastAsiaTheme="minorEastAsia"/>
          <w:color w:val="231F20"/>
          <w:spacing w:val="-6"/>
          <w:szCs w:val="24"/>
          <w:lang w:val="en-US"/>
        </w:rPr>
      </w:pPr>
    </w:p>
    <w:p w14:paraId="38FC9C00" w14:textId="53E86B30" w:rsidR="000015AE" w:rsidRPr="00F31B08" w:rsidRDefault="00000000" w:rsidP="00F31B08">
      <w:pPr>
        <w:rPr>
          <w:rFonts w:eastAsiaTheme="minorEastAsia"/>
          <w:b/>
          <w:bCs/>
          <w:color w:val="231F20"/>
          <w:spacing w:val="-6"/>
          <w:szCs w:val="24"/>
          <w:lang w:val="en-US"/>
        </w:rPr>
      </w:pPr>
      <w:r w:rsidRPr="00F31B08">
        <w:rPr>
          <w:rFonts w:eastAsiaTheme="minorEastAsia"/>
          <w:b/>
          <w:bCs/>
          <w:color w:val="231F20"/>
          <w:spacing w:val="-6"/>
          <w:szCs w:val="24"/>
          <w:lang w:val="en-US"/>
        </w:rPr>
        <w:t>5. Discussion</w:t>
      </w:r>
    </w:p>
    <w:p w14:paraId="4DF98C6F" w14:textId="6D41890F" w:rsidR="000015AE" w:rsidRPr="00F31B08" w:rsidRDefault="00000000" w:rsidP="00F31B08">
      <w:pPr>
        <w:rPr>
          <w:rFonts w:eastAsiaTheme="minorEastAsia"/>
          <w:szCs w:val="24"/>
          <w:lang w:val="en-US"/>
        </w:rPr>
      </w:pPr>
      <w:r w:rsidRPr="00F31B08">
        <w:rPr>
          <w:rFonts w:eastAsiaTheme="minorEastAsia"/>
          <w:szCs w:val="24"/>
          <w:lang w:val="en-US"/>
        </w:rPr>
        <w:lastRenderedPageBreak/>
        <w:t xml:space="preserve">The success of this teaching reform lies in its reconstruction of the </w:t>
      </w:r>
      <w:r w:rsidR="00E8688C" w:rsidRPr="00F31B08">
        <w:rPr>
          <w:rFonts w:eastAsiaTheme="minorEastAsia"/>
          <w:szCs w:val="24"/>
          <w:lang w:val="en-US"/>
        </w:rPr>
        <w:t>“</w:t>
      </w:r>
      <w:r w:rsidRPr="00F31B08">
        <w:rPr>
          <w:rFonts w:eastAsiaTheme="minorEastAsia"/>
          <w:szCs w:val="24"/>
          <w:lang w:val="en-US"/>
        </w:rPr>
        <w:t>cognitive division of labor</w:t>
      </w:r>
      <w:r w:rsidR="00E8688C" w:rsidRPr="00F31B08">
        <w:rPr>
          <w:rFonts w:eastAsiaTheme="minorEastAsia"/>
          <w:szCs w:val="24"/>
          <w:lang w:val="en-US"/>
        </w:rPr>
        <w:t>”</w:t>
      </w:r>
      <w:r w:rsidRPr="00F31B08">
        <w:rPr>
          <w:rFonts w:eastAsiaTheme="minorEastAsia"/>
          <w:szCs w:val="24"/>
          <w:lang w:val="en-US"/>
        </w:rPr>
        <w:t xml:space="preserve"> in the laboratory. By explicitly mapping the synthesis of </w:t>
      </w:r>
      <w:r w:rsidRPr="00F31B08">
        <w:rPr>
          <w:color w:val="231F20"/>
          <w:szCs w:val="24"/>
          <w:lang w:val="en-US"/>
        </w:rPr>
        <w:t>Mohr</w:t>
      </w:r>
      <w:r w:rsidR="00E8688C" w:rsidRPr="00F31B08">
        <w:rPr>
          <w:color w:val="231F20"/>
          <w:szCs w:val="24"/>
          <w:lang w:val="en-US"/>
        </w:rPr>
        <w:t>’</w:t>
      </w:r>
      <w:r w:rsidRPr="00F31B08">
        <w:rPr>
          <w:color w:val="231F20"/>
          <w:szCs w:val="24"/>
          <w:lang w:val="en-US"/>
        </w:rPr>
        <w:t>s salt</w:t>
      </w:r>
      <w:r w:rsidRPr="00F31B08">
        <w:rPr>
          <w:rFonts w:eastAsiaTheme="minorEastAsia"/>
          <w:szCs w:val="24"/>
          <w:lang w:val="en-US"/>
        </w:rPr>
        <w:t>, we shift students</w:t>
      </w:r>
      <w:r w:rsidR="00E8688C" w:rsidRPr="00F31B08">
        <w:rPr>
          <w:rFonts w:eastAsiaTheme="minorEastAsia"/>
          <w:szCs w:val="24"/>
          <w:lang w:val="en-US"/>
        </w:rPr>
        <w:t>’</w:t>
      </w:r>
      <w:r w:rsidRPr="00F31B08">
        <w:rPr>
          <w:rFonts w:eastAsiaTheme="minorEastAsia"/>
          <w:szCs w:val="24"/>
          <w:lang w:val="en-US"/>
        </w:rPr>
        <w:t xml:space="preserve"> focus from the </w:t>
      </w:r>
      <w:r w:rsidR="00E8688C" w:rsidRPr="00F31B08">
        <w:rPr>
          <w:rFonts w:eastAsiaTheme="minorEastAsia"/>
          <w:szCs w:val="24"/>
          <w:lang w:val="en-US"/>
        </w:rPr>
        <w:t>“</w:t>
      </w:r>
      <w:r w:rsidRPr="00F31B08">
        <w:rPr>
          <w:rFonts w:eastAsiaTheme="minorEastAsia"/>
          <w:szCs w:val="24"/>
          <w:lang w:val="en-US"/>
        </w:rPr>
        <w:t>macro level</w:t>
      </w:r>
      <w:r w:rsidR="00E8688C" w:rsidRPr="00F31B08">
        <w:rPr>
          <w:rFonts w:eastAsiaTheme="minorEastAsia"/>
          <w:szCs w:val="24"/>
          <w:lang w:val="en-US"/>
        </w:rPr>
        <w:t>”</w:t>
      </w:r>
      <w:r w:rsidRPr="00F31B08">
        <w:rPr>
          <w:rFonts w:eastAsiaTheme="minorEastAsia"/>
          <w:szCs w:val="24"/>
          <w:lang w:val="en-US"/>
        </w:rPr>
        <w:t xml:space="preserve"> (dissolution, heating, solution mixing, etc.) to the </w:t>
      </w:r>
      <w:r w:rsidR="00E8688C" w:rsidRPr="00F31B08">
        <w:rPr>
          <w:rFonts w:eastAsiaTheme="minorEastAsia"/>
          <w:szCs w:val="24"/>
          <w:lang w:val="en-US"/>
        </w:rPr>
        <w:t>“</w:t>
      </w:r>
      <w:r w:rsidRPr="00F31B08">
        <w:rPr>
          <w:rFonts w:eastAsiaTheme="minorEastAsia"/>
          <w:szCs w:val="24"/>
          <w:lang w:val="en-US"/>
        </w:rPr>
        <w:t>micro level</w:t>
      </w:r>
      <w:r w:rsidR="00E8688C" w:rsidRPr="00F31B08">
        <w:rPr>
          <w:rFonts w:eastAsiaTheme="minorEastAsia"/>
          <w:szCs w:val="24"/>
          <w:lang w:val="en-US"/>
        </w:rPr>
        <w:t>”</w:t>
      </w:r>
      <w:r w:rsidRPr="00F31B08">
        <w:rPr>
          <w:rFonts w:eastAsiaTheme="minorEastAsia"/>
          <w:szCs w:val="24"/>
          <w:lang w:val="en-US"/>
        </w:rPr>
        <w:t xml:space="preserve"> (ion behavior, phase equilibrium, etc.) and </w:t>
      </w:r>
      <w:r w:rsidR="00E8688C" w:rsidRPr="00F31B08">
        <w:rPr>
          <w:rFonts w:eastAsiaTheme="minorEastAsia"/>
          <w:szCs w:val="24"/>
          <w:lang w:val="en-US"/>
        </w:rPr>
        <w:t>“</w:t>
      </w:r>
      <w:r w:rsidRPr="00F31B08">
        <w:rPr>
          <w:rFonts w:eastAsiaTheme="minorEastAsia"/>
          <w:szCs w:val="24"/>
          <w:lang w:val="en-US"/>
        </w:rPr>
        <w:t>metacognitive level</w:t>
      </w:r>
      <w:r w:rsidR="00E8688C" w:rsidRPr="00F31B08">
        <w:rPr>
          <w:rFonts w:eastAsiaTheme="minorEastAsia"/>
          <w:szCs w:val="24"/>
          <w:lang w:val="en-US"/>
        </w:rPr>
        <w:t>”</w:t>
      </w:r>
      <w:r w:rsidRPr="00F31B08">
        <w:rPr>
          <w:rFonts w:eastAsiaTheme="minorEastAsia"/>
          <w:szCs w:val="24"/>
          <w:lang w:val="en-US"/>
        </w:rPr>
        <w:t xml:space="preserve"> (problem solving, anomaly attribution, etc.). This is particularly important and crucial for chemistry teacher trainees who will explain these concepts to others in the future </w:t>
      </w:r>
      <w:r w:rsidRPr="00F31B08">
        <w:rPr>
          <w:rFonts w:eastAsia="SimSun"/>
          <w:szCs w:val="24"/>
          <w:vertAlign w:val="superscript"/>
          <w:lang w:val="en-US"/>
        </w:rPr>
        <w:t>[8]</w:t>
      </w:r>
      <w:r w:rsidRPr="00F31B08">
        <w:rPr>
          <w:rFonts w:eastAsiaTheme="minorEastAsia"/>
          <w:szCs w:val="24"/>
          <w:lang w:val="en-US"/>
        </w:rPr>
        <w:t xml:space="preserve">. </w:t>
      </w:r>
    </w:p>
    <w:p w14:paraId="798D4F65" w14:textId="548946EA" w:rsidR="000015AE" w:rsidRPr="00F31B08" w:rsidRDefault="00000000" w:rsidP="00F31B08">
      <w:pPr>
        <w:ind w:firstLine="420"/>
        <w:rPr>
          <w:rFonts w:eastAsiaTheme="minorEastAsia"/>
          <w:szCs w:val="24"/>
          <w:lang w:val="en-US"/>
        </w:rPr>
      </w:pPr>
      <w:r w:rsidRPr="00F31B08">
        <w:rPr>
          <w:rFonts w:eastAsiaTheme="minorEastAsia"/>
          <w:szCs w:val="24"/>
          <w:lang w:val="en-US"/>
        </w:rPr>
        <w:t xml:space="preserve">The </w:t>
      </w:r>
      <w:r w:rsidR="00E8688C" w:rsidRPr="00F31B08">
        <w:rPr>
          <w:rFonts w:eastAsiaTheme="minorEastAsia"/>
          <w:szCs w:val="24"/>
          <w:lang w:val="en-US"/>
        </w:rPr>
        <w:t>“</w:t>
      </w:r>
      <w:r w:rsidRPr="00F31B08">
        <w:rPr>
          <w:rFonts w:eastAsiaTheme="minorEastAsia"/>
          <w:szCs w:val="24"/>
          <w:lang w:val="en-US"/>
        </w:rPr>
        <w:t>micro engineering</w:t>
      </w:r>
      <w:r w:rsidR="00E8688C" w:rsidRPr="00F31B08">
        <w:rPr>
          <w:rFonts w:eastAsiaTheme="minorEastAsia"/>
          <w:szCs w:val="24"/>
          <w:lang w:val="en-US"/>
        </w:rPr>
        <w:t>”</w:t>
      </w:r>
      <w:r w:rsidRPr="00F31B08">
        <w:rPr>
          <w:rFonts w:eastAsiaTheme="minorEastAsia"/>
          <w:szCs w:val="24"/>
          <w:lang w:val="en-US"/>
        </w:rPr>
        <w:t xml:space="preserve"> paradigm allows these freshmen to view experiments as small-scale chemical systems composed of interrelated variables such as temperature, pH, concentration, and purity. When they understand that the stability of </w:t>
      </w:r>
      <w:proofErr w:type="gramStart"/>
      <w:r w:rsidRPr="00F31B08">
        <w:rPr>
          <w:rFonts w:eastAsiaTheme="minorEastAsia"/>
          <w:szCs w:val="24"/>
          <w:lang w:val="en-US"/>
        </w:rPr>
        <w:t>the(</w:t>
      </w:r>
      <w:proofErr w:type="gramEnd"/>
      <w:r w:rsidRPr="00F31B08">
        <w:rPr>
          <w:rFonts w:eastAsiaTheme="minorEastAsia"/>
          <w:szCs w:val="24"/>
          <w:lang w:val="en-US"/>
        </w:rPr>
        <w:t>NH</w:t>
      </w:r>
      <w:r w:rsidRPr="00F31B08">
        <w:rPr>
          <w:rFonts w:eastAsiaTheme="minorEastAsia"/>
          <w:szCs w:val="24"/>
          <w:vertAlign w:val="subscript"/>
          <w:lang w:val="en-US"/>
        </w:rPr>
        <w:t>4</w:t>
      </w:r>
      <w:r w:rsidRPr="00F31B08">
        <w:rPr>
          <w:rFonts w:eastAsiaTheme="minorEastAsia"/>
          <w:szCs w:val="24"/>
          <w:lang w:val="en-US"/>
        </w:rPr>
        <w:t>)</w:t>
      </w:r>
      <w:r w:rsidRPr="00F31B08">
        <w:rPr>
          <w:rFonts w:eastAsiaTheme="minorEastAsia"/>
          <w:szCs w:val="24"/>
          <w:vertAlign w:val="subscript"/>
          <w:lang w:val="en-US"/>
        </w:rPr>
        <w:t>2</w:t>
      </w:r>
      <w:proofErr w:type="gramStart"/>
      <w:r w:rsidRPr="00F31B08">
        <w:rPr>
          <w:rFonts w:eastAsiaTheme="minorEastAsia"/>
          <w:szCs w:val="24"/>
          <w:lang w:val="en-US"/>
        </w:rPr>
        <w:t>Fe(</w:t>
      </w:r>
      <w:proofErr w:type="gramEnd"/>
      <w:r w:rsidRPr="00F31B08">
        <w:rPr>
          <w:rFonts w:eastAsiaTheme="minorEastAsia"/>
          <w:szCs w:val="24"/>
          <w:lang w:val="en-US"/>
        </w:rPr>
        <w:t>SO</w:t>
      </w:r>
      <w:r w:rsidRPr="00F31B08">
        <w:rPr>
          <w:rFonts w:eastAsiaTheme="minorEastAsia"/>
          <w:szCs w:val="24"/>
          <w:vertAlign w:val="subscript"/>
          <w:lang w:val="en-US"/>
        </w:rPr>
        <w:t>4</w:t>
      </w:r>
      <w:r w:rsidRPr="00F31B08">
        <w:rPr>
          <w:rFonts w:eastAsiaTheme="minorEastAsia"/>
          <w:szCs w:val="24"/>
          <w:lang w:val="en-US"/>
        </w:rPr>
        <w:t>)</w:t>
      </w:r>
      <w:r w:rsidRPr="00F31B08">
        <w:rPr>
          <w:rFonts w:eastAsiaTheme="minorEastAsia"/>
          <w:szCs w:val="24"/>
          <w:vertAlign w:val="subscript"/>
          <w:lang w:val="en-US"/>
        </w:rPr>
        <w:t>2</w:t>
      </w:r>
      <w:r w:rsidRPr="00F31B08">
        <w:rPr>
          <w:rFonts w:eastAsiaTheme="minorEastAsia"/>
          <w:szCs w:val="24"/>
          <w:lang w:val="en-US"/>
        </w:rPr>
        <w:t xml:space="preserve"> complex is what makes it a better titrant than FeSO</w:t>
      </w:r>
      <w:r w:rsidRPr="00F31B08">
        <w:rPr>
          <w:rFonts w:eastAsiaTheme="minorEastAsia"/>
          <w:szCs w:val="24"/>
          <w:vertAlign w:val="subscript"/>
          <w:lang w:val="en-US"/>
        </w:rPr>
        <w:t>4</w:t>
      </w:r>
      <w:r w:rsidRPr="00F31B08">
        <w:rPr>
          <w:rFonts w:eastAsiaTheme="minorEastAsia"/>
          <w:szCs w:val="24"/>
          <w:lang w:val="en-US"/>
        </w:rPr>
        <w:t xml:space="preserve">, they are not just memorizing facts; they are building a professional knowledge base. As Stroupe (2023) notes, creating a classroom where students are </w:t>
      </w:r>
      <w:r w:rsidR="00E8688C" w:rsidRPr="00F31B08">
        <w:rPr>
          <w:rFonts w:eastAsiaTheme="minorEastAsia"/>
          <w:szCs w:val="24"/>
          <w:lang w:val="en-US"/>
        </w:rPr>
        <w:t>“</w:t>
      </w:r>
      <w:r w:rsidRPr="00F31B08">
        <w:rPr>
          <w:rFonts w:eastAsiaTheme="minorEastAsia"/>
          <w:szCs w:val="24"/>
          <w:lang w:val="en-US"/>
        </w:rPr>
        <w:t>knowledge-producers</w:t>
      </w:r>
      <w:r w:rsidR="00E8688C" w:rsidRPr="00F31B08">
        <w:rPr>
          <w:rFonts w:eastAsiaTheme="minorEastAsia"/>
          <w:szCs w:val="24"/>
          <w:lang w:val="en-US"/>
        </w:rPr>
        <w:t>”</w:t>
      </w:r>
      <w:r w:rsidRPr="00F31B08">
        <w:rPr>
          <w:rFonts w:eastAsiaTheme="minorEastAsia"/>
          <w:szCs w:val="24"/>
          <w:lang w:val="en-US"/>
        </w:rPr>
        <w:t xml:space="preserve"> requires the teacher to have first experienced that role themselves</w:t>
      </w:r>
      <w:r w:rsidR="00E8688C" w:rsidRPr="00F31B08">
        <w:rPr>
          <w:rFonts w:eastAsiaTheme="minorEastAsia"/>
          <w:szCs w:val="24"/>
          <w:lang w:val="en-US"/>
        </w:rPr>
        <w:t xml:space="preserve"> </w:t>
      </w:r>
      <w:r w:rsidR="00E8688C" w:rsidRPr="00F31B08">
        <w:rPr>
          <w:rFonts w:eastAsia="SimSun"/>
          <w:szCs w:val="24"/>
          <w:vertAlign w:val="superscript"/>
          <w:lang w:val="en-US"/>
        </w:rPr>
        <w:t>[9]</w:t>
      </w:r>
      <w:r w:rsidRPr="00F31B08">
        <w:rPr>
          <w:rFonts w:eastAsiaTheme="minorEastAsia"/>
          <w:szCs w:val="24"/>
          <w:lang w:val="en-US"/>
        </w:rPr>
        <w:t>. Our scaffolding matrix provides that experience early in their career.</w:t>
      </w:r>
    </w:p>
    <w:p w14:paraId="3D2BC410" w14:textId="036654B7" w:rsidR="000015AE" w:rsidRPr="00F31B08" w:rsidRDefault="00000000" w:rsidP="00F31B08">
      <w:pPr>
        <w:ind w:firstLine="420"/>
        <w:rPr>
          <w:rFonts w:eastAsiaTheme="minorEastAsia"/>
          <w:szCs w:val="24"/>
          <w:lang w:val="en-US"/>
        </w:rPr>
      </w:pPr>
      <w:r w:rsidRPr="00F31B08">
        <w:rPr>
          <w:rFonts w:eastAsiaTheme="minorEastAsia"/>
          <w:szCs w:val="24"/>
          <w:lang w:val="en-US"/>
        </w:rPr>
        <w:t xml:space="preserve">While some students initially found the matrix more </w:t>
      </w:r>
      <w:r w:rsidR="00E8688C" w:rsidRPr="00F31B08">
        <w:rPr>
          <w:rFonts w:eastAsiaTheme="minorEastAsia"/>
          <w:szCs w:val="24"/>
          <w:lang w:val="en-US"/>
        </w:rPr>
        <w:t>“</w:t>
      </w:r>
      <w:r w:rsidRPr="00F31B08">
        <w:rPr>
          <w:rFonts w:eastAsiaTheme="minorEastAsia"/>
          <w:szCs w:val="24"/>
          <w:lang w:val="en-US"/>
        </w:rPr>
        <w:t>mentally taxing</w:t>
      </w:r>
      <w:r w:rsidR="00E8688C" w:rsidRPr="00F31B08">
        <w:rPr>
          <w:rFonts w:eastAsiaTheme="minorEastAsia"/>
          <w:szCs w:val="24"/>
          <w:lang w:val="en-US"/>
        </w:rPr>
        <w:t>”</w:t>
      </w:r>
      <w:r w:rsidRPr="00F31B08">
        <w:rPr>
          <w:rFonts w:eastAsiaTheme="minorEastAsia"/>
          <w:szCs w:val="24"/>
          <w:lang w:val="en-US"/>
        </w:rPr>
        <w:t xml:space="preserve"> than a simple list of steps, this </w:t>
      </w:r>
      <w:r w:rsidR="00E8688C" w:rsidRPr="00F31B08">
        <w:rPr>
          <w:rFonts w:eastAsiaTheme="minorEastAsia"/>
          <w:szCs w:val="24"/>
          <w:lang w:val="en-US"/>
        </w:rPr>
        <w:t>“</w:t>
      </w:r>
      <w:r w:rsidRPr="00F31B08">
        <w:rPr>
          <w:rFonts w:eastAsiaTheme="minorEastAsia"/>
          <w:szCs w:val="24"/>
          <w:lang w:val="en-US"/>
        </w:rPr>
        <w:t>productive struggle</w:t>
      </w:r>
      <w:r w:rsidR="00E8688C" w:rsidRPr="00F31B08">
        <w:rPr>
          <w:rFonts w:eastAsiaTheme="minorEastAsia"/>
          <w:szCs w:val="24"/>
          <w:lang w:val="en-US"/>
        </w:rPr>
        <w:t>”</w:t>
      </w:r>
      <w:r w:rsidRPr="00F31B08">
        <w:rPr>
          <w:rFonts w:eastAsiaTheme="minorEastAsia"/>
          <w:szCs w:val="24"/>
          <w:lang w:val="en-US"/>
        </w:rPr>
        <w:t xml:space="preserve"> is essential for deep learning. By the end of the semester, these pre-service teachers were not just better at making Mohr</w:t>
      </w:r>
      <w:r w:rsidR="00E8688C" w:rsidRPr="00F31B08">
        <w:rPr>
          <w:rFonts w:eastAsiaTheme="minorEastAsia"/>
          <w:szCs w:val="24"/>
          <w:lang w:val="en-US"/>
        </w:rPr>
        <w:t>’</w:t>
      </w:r>
      <w:r w:rsidRPr="00F31B08">
        <w:rPr>
          <w:rFonts w:eastAsiaTheme="minorEastAsia"/>
          <w:szCs w:val="24"/>
          <w:lang w:val="en-US"/>
        </w:rPr>
        <w:t>s salt; they were better at thinking like chemists and educators.</w:t>
      </w:r>
    </w:p>
    <w:p w14:paraId="61E7D4F6" w14:textId="77777777" w:rsidR="00E8688C" w:rsidRPr="00F31B08" w:rsidRDefault="00E8688C" w:rsidP="00E8688C">
      <w:pPr>
        <w:rPr>
          <w:rFonts w:eastAsiaTheme="minorEastAsia"/>
          <w:color w:val="231F20"/>
          <w:spacing w:val="-6"/>
          <w:szCs w:val="24"/>
          <w:lang w:val="en-US"/>
        </w:rPr>
      </w:pPr>
    </w:p>
    <w:p w14:paraId="530D62B8" w14:textId="33BFD8AB" w:rsidR="000015AE" w:rsidRPr="00F31B08" w:rsidRDefault="00000000" w:rsidP="00F31B08">
      <w:pPr>
        <w:rPr>
          <w:rFonts w:eastAsiaTheme="minorEastAsia"/>
          <w:b/>
          <w:bCs/>
          <w:color w:val="231F20"/>
          <w:spacing w:val="-6"/>
          <w:szCs w:val="24"/>
          <w:lang w:val="en-US"/>
        </w:rPr>
      </w:pPr>
      <w:r w:rsidRPr="00F31B08">
        <w:rPr>
          <w:rFonts w:eastAsiaTheme="minorEastAsia"/>
          <w:b/>
          <w:bCs/>
          <w:color w:val="231F20"/>
          <w:spacing w:val="-6"/>
          <w:szCs w:val="24"/>
          <w:lang w:val="en-US"/>
        </w:rPr>
        <w:t>6. Conclusion</w:t>
      </w:r>
    </w:p>
    <w:p w14:paraId="4390FC91" w14:textId="3C40AA4F" w:rsidR="000015AE" w:rsidRPr="00F31B08" w:rsidRDefault="00000000" w:rsidP="00E8688C">
      <w:pPr>
        <w:rPr>
          <w:szCs w:val="24"/>
          <w:lang w:val="en-US"/>
        </w:rPr>
      </w:pPr>
      <w:r w:rsidRPr="00F31B08">
        <w:rPr>
          <w:szCs w:val="24"/>
          <w:lang w:val="en-US"/>
        </w:rPr>
        <w:t xml:space="preserve">This study indicates that by using a </w:t>
      </w:r>
      <w:r w:rsidR="00381BB6" w:rsidRPr="00F31B08">
        <w:rPr>
          <w:szCs w:val="24"/>
          <w:lang w:val="en-US"/>
        </w:rPr>
        <w:t>six-zone cognitive scaffold matrix in the preparation of Mohr’s salts, we provide chemistry teacher trainees with a tool to bridge the gap between abstract theory and practical operation, enabling them to undergo systematic micro-engineering</w:t>
      </w:r>
      <w:r w:rsidRPr="00F31B08">
        <w:rPr>
          <w:szCs w:val="24"/>
          <w:lang w:val="en-US"/>
        </w:rPr>
        <w:t xml:space="preserve"> chemistry experiments in their first year of solid foundation. The transition from passive </w:t>
      </w:r>
      <w:r w:rsidR="00E8688C" w:rsidRPr="00F31B08">
        <w:rPr>
          <w:szCs w:val="24"/>
          <w:lang w:val="en-US"/>
        </w:rPr>
        <w:t>‘</w:t>
      </w:r>
      <w:r w:rsidRPr="00F31B08">
        <w:rPr>
          <w:szCs w:val="24"/>
          <w:lang w:val="en-US"/>
        </w:rPr>
        <w:t>scheme executors</w:t>
      </w:r>
      <w:r w:rsidR="00E8688C" w:rsidRPr="00F31B08">
        <w:rPr>
          <w:szCs w:val="24"/>
          <w:lang w:val="en-US"/>
        </w:rPr>
        <w:t>’</w:t>
      </w:r>
      <w:r w:rsidRPr="00F31B08">
        <w:rPr>
          <w:szCs w:val="24"/>
          <w:lang w:val="en-US"/>
        </w:rPr>
        <w:t xml:space="preserve"> to active </w:t>
      </w:r>
      <w:r w:rsidR="00381BB6" w:rsidRPr="00F31B08">
        <w:rPr>
          <w:szCs w:val="24"/>
          <w:lang w:val="en-US"/>
        </w:rPr>
        <w:t>‘</w:t>
      </w:r>
      <w:r w:rsidRPr="00F31B08">
        <w:rPr>
          <w:szCs w:val="24"/>
          <w:lang w:val="en-US"/>
        </w:rPr>
        <w:t>cognitive agents</w:t>
      </w:r>
      <w:r w:rsidR="00E8688C" w:rsidRPr="00F31B08">
        <w:rPr>
          <w:szCs w:val="24"/>
          <w:lang w:val="en-US"/>
        </w:rPr>
        <w:t>’</w:t>
      </w:r>
      <w:r w:rsidRPr="00F31B08">
        <w:rPr>
          <w:szCs w:val="24"/>
          <w:lang w:val="en-US"/>
        </w:rPr>
        <w:t xml:space="preserve"> is crucial for the development of these students who will step onto the podium in the future. By anchoring experiments on systems thinking and diagnostic reasoning, future high school chemistry teachers will not only possess proficiency in experimental operation techniques, but also become deep thinkers who can inspire the next generation of scientists.</w:t>
      </w:r>
    </w:p>
    <w:p w14:paraId="2142697B" w14:textId="77777777" w:rsidR="00E8688C" w:rsidRPr="00F31B08" w:rsidRDefault="00E8688C" w:rsidP="00F31B08">
      <w:pPr>
        <w:rPr>
          <w:szCs w:val="24"/>
          <w:lang w:val="en-US"/>
        </w:rPr>
      </w:pPr>
    </w:p>
    <w:p w14:paraId="2C362AB5" w14:textId="17D26DF8" w:rsidR="000015AE" w:rsidRPr="00F31B08" w:rsidRDefault="00E8688C" w:rsidP="00F31B08">
      <w:pPr>
        <w:rPr>
          <w:rFonts w:eastAsiaTheme="minorEastAsia"/>
          <w:b/>
          <w:bCs/>
          <w:color w:val="231F20"/>
          <w:spacing w:val="-6"/>
          <w:szCs w:val="24"/>
          <w:lang w:val="en-US"/>
        </w:rPr>
      </w:pPr>
      <w:r w:rsidRPr="00F31B08">
        <w:rPr>
          <w:rFonts w:eastAsiaTheme="minorEastAsia"/>
          <w:b/>
          <w:bCs/>
          <w:color w:val="231F20"/>
          <w:spacing w:val="-6"/>
          <w:szCs w:val="24"/>
          <w:lang w:val="en-US"/>
        </w:rPr>
        <w:t>Funding</w:t>
      </w:r>
    </w:p>
    <w:p w14:paraId="3511280A" w14:textId="33E07B8C" w:rsidR="000015AE" w:rsidRPr="00F31B08" w:rsidRDefault="00000000" w:rsidP="00E8688C">
      <w:pPr>
        <w:rPr>
          <w:color w:val="231F20"/>
          <w:szCs w:val="24"/>
          <w:lang w:val="en-US"/>
        </w:rPr>
      </w:pPr>
      <w:r w:rsidRPr="00F31B08">
        <w:rPr>
          <w:color w:val="231F20"/>
          <w:szCs w:val="24"/>
          <w:lang w:val="en-US"/>
        </w:rPr>
        <w:t>2026 Smart Course Development and Construction Project of the College of Chemistry and Chemical Engineering, Lingnan Normal University (</w:t>
      </w:r>
      <w:r w:rsidR="00E8688C" w:rsidRPr="00F31B08">
        <w:rPr>
          <w:color w:val="231F20"/>
          <w:szCs w:val="24"/>
          <w:lang w:val="en-US"/>
        </w:rPr>
        <w:t xml:space="preserve">Project </w:t>
      </w:r>
      <w:r w:rsidRPr="00F31B08">
        <w:rPr>
          <w:color w:val="231F20"/>
          <w:szCs w:val="24"/>
          <w:lang w:val="en-US"/>
        </w:rPr>
        <w:t>No.</w:t>
      </w:r>
      <w:r w:rsidR="00E8688C" w:rsidRPr="00F31B08">
        <w:rPr>
          <w:color w:val="231F20"/>
          <w:szCs w:val="24"/>
          <w:lang w:val="en-US"/>
        </w:rPr>
        <w:t>:</w:t>
      </w:r>
      <w:r w:rsidRPr="00F31B08">
        <w:rPr>
          <w:color w:val="231F20"/>
          <w:szCs w:val="24"/>
          <w:lang w:val="en-US"/>
        </w:rPr>
        <w:t xml:space="preserve"> ZHKC2609)</w:t>
      </w:r>
      <w:r w:rsidR="00E8688C" w:rsidRPr="00F31B08">
        <w:rPr>
          <w:color w:val="231F20"/>
          <w:szCs w:val="24"/>
          <w:lang w:val="en-US"/>
        </w:rPr>
        <w:t>;</w:t>
      </w:r>
      <w:r w:rsidRPr="00F31B08">
        <w:rPr>
          <w:color w:val="231F20"/>
          <w:szCs w:val="24"/>
          <w:lang w:val="en-US"/>
        </w:rPr>
        <w:t xml:space="preserve"> College Students</w:t>
      </w:r>
      <w:r w:rsidR="00E8688C" w:rsidRPr="00F31B08">
        <w:rPr>
          <w:color w:val="231F20"/>
          <w:szCs w:val="24"/>
          <w:lang w:val="en-US"/>
        </w:rPr>
        <w:t>’</w:t>
      </w:r>
      <w:r w:rsidRPr="00F31B08">
        <w:rPr>
          <w:color w:val="231F20"/>
          <w:szCs w:val="24"/>
          <w:lang w:val="en-US"/>
        </w:rPr>
        <w:t xml:space="preserve"> Entrepreneurship Training Program of Lingnan Normal University (Project No</w:t>
      </w:r>
      <w:r w:rsidR="00E8688C" w:rsidRPr="00F31B08">
        <w:rPr>
          <w:color w:val="231F20"/>
          <w:szCs w:val="24"/>
          <w:lang w:val="en-US"/>
        </w:rPr>
        <w:t>.:</w:t>
      </w:r>
      <w:r w:rsidRPr="00F31B08">
        <w:rPr>
          <w:color w:val="231F20"/>
          <w:szCs w:val="24"/>
          <w:lang w:val="en-US"/>
        </w:rPr>
        <w:t xml:space="preserve"> X202610579037, X202610579034</w:t>
      </w:r>
      <w:r w:rsidR="00E8688C" w:rsidRPr="00F31B08">
        <w:rPr>
          <w:color w:val="231F20"/>
          <w:szCs w:val="24"/>
          <w:lang w:val="en-US"/>
        </w:rPr>
        <w:t xml:space="preserve"> &amp; </w:t>
      </w:r>
      <w:r w:rsidRPr="00F31B08">
        <w:rPr>
          <w:color w:val="231F20"/>
          <w:szCs w:val="24"/>
          <w:lang w:val="en-US"/>
        </w:rPr>
        <w:t>X202610579039)</w:t>
      </w:r>
    </w:p>
    <w:p w14:paraId="529ED6FC" w14:textId="77777777" w:rsidR="00E8688C" w:rsidRPr="00F31B08" w:rsidRDefault="00E8688C" w:rsidP="00E8688C">
      <w:pPr>
        <w:rPr>
          <w:color w:val="231F20"/>
          <w:szCs w:val="24"/>
          <w:lang w:val="en-US"/>
        </w:rPr>
      </w:pPr>
    </w:p>
    <w:p w14:paraId="29EA35B0" w14:textId="77777777" w:rsidR="00E8688C" w:rsidRPr="00F31B08" w:rsidRDefault="00E8688C" w:rsidP="00E8688C">
      <w:pPr>
        <w:rPr>
          <w:b/>
          <w:bCs/>
          <w:lang w:val="en-MY"/>
        </w:rPr>
      </w:pPr>
      <w:r w:rsidRPr="00F31B08">
        <w:rPr>
          <w:b/>
          <w:bCs/>
          <w:lang w:val="en-MY"/>
        </w:rPr>
        <w:t>Disclosure statement</w:t>
      </w:r>
    </w:p>
    <w:p w14:paraId="191A6EDE" w14:textId="0DAEA349" w:rsidR="00E8688C" w:rsidRPr="00F31B08" w:rsidRDefault="00E8688C" w:rsidP="00E8688C">
      <w:pPr>
        <w:rPr>
          <w:lang w:val="en-MY"/>
        </w:rPr>
      </w:pPr>
      <w:r w:rsidRPr="00F31B08">
        <w:rPr>
          <w:lang w:val="en-MY"/>
        </w:rPr>
        <w:t>The author</w:t>
      </w:r>
      <w:r w:rsidRPr="00F31B08">
        <w:rPr>
          <w:lang w:val="en-MY"/>
        </w:rPr>
        <w:t>s</w:t>
      </w:r>
      <w:r w:rsidRPr="00F31B08">
        <w:rPr>
          <w:lang w:val="en-MY"/>
        </w:rPr>
        <w:t xml:space="preserve"> declare no conflict of interest.</w:t>
      </w:r>
    </w:p>
    <w:p w14:paraId="136ED301" w14:textId="77777777" w:rsidR="00E8688C" w:rsidRPr="00F31B08" w:rsidRDefault="00E8688C" w:rsidP="00F31B08">
      <w:pPr>
        <w:rPr>
          <w:color w:val="231F20"/>
          <w:szCs w:val="24"/>
          <w:lang w:val="en-US"/>
        </w:rPr>
      </w:pPr>
    </w:p>
    <w:p w14:paraId="6E39C9A4" w14:textId="77777777" w:rsidR="000015AE" w:rsidRPr="00F31B08" w:rsidRDefault="00000000" w:rsidP="00E8688C">
      <w:pPr>
        <w:rPr>
          <w:b/>
          <w:bCs/>
          <w:color w:val="231F20"/>
          <w:spacing w:val="-6"/>
          <w:szCs w:val="24"/>
          <w:lang w:val="en-US"/>
        </w:rPr>
      </w:pPr>
      <w:r w:rsidRPr="00F31B08">
        <w:rPr>
          <w:b/>
          <w:bCs/>
          <w:color w:val="231F20"/>
          <w:spacing w:val="-6"/>
          <w:szCs w:val="24"/>
          <w:lang w:val="en-US"/>
        </w:rPr>
        <w:t>References</w:t>
      </w:r>
    </w:p>
    <w:p w14:paraId="53162983" w14:textId="148520F7" w:rsidR="00E8688C" w:rsidRPr="00F31B08" w:rsidRDefault="00E8688C" w:rsidP="00E8688C">
      <w:pPr>
        <w:ind w:left="454" w:hanging="454"/>
        <w:rPr>
          <w:lang w:val="en-MY"/>
        </w:rPr>
      </w:pPr>
      <w:bookmarkStart w:id="1" w:name="_Hlk185327419"/>
      <w:r w:rsidRPr="00F31B08">
        <w:rPr>
          <w:lang w:val="en-MY"/>
        </w:rPr>
        <w:t>[1]</w:t>
      </w:r>
      <w:r w:rsidRPr="00F31B08">
        <w:rPr>
          <w:lang w:val="en-MY"/>
        </w:rPr>
        <w:tab/>
      </w:r>
      <w:proofErr w:type="spellStart"/>
      <w:r w:rsidRPr="00F31B08">
        <w:rPr>
          <w:lang w:val="en-MY"/>
        </w:rPr>
        <w:t>Hofstein</w:t>
      </w:r>
      <w:proofErr w:type="spellEnd"/>
      <w:r w:rsidRPr="00F31B08">
        <w:rPr>
          <w:lang w:val="en-MY"/>
        </w:rPr>
        <w:t xml:space="preserve"> A, Lunetta VN, 2004, The Laboratory in Science Education: Foundations for the Twenty-First Century. Science Education, 88(1): 28–54.</w:t>
      </w:r>
    </w:p>
    <w:p w14:paraId="7644BFBC" w14:textId="75AEA584" w:rsidR="00E8688C" w:rsidRPr="00F31B08" w:rsidRDefault="00E8688C" w:rsidP="00E8688C">
      <w:pPr>
        <w:ind w:left="454" w:hanging="454"/>
        <w:rPr>
          <w:lang w:val="en-MY"/>
        </w:rPr>
      </w:pPr>
      <w:r w:rsidRPr="00F31B08">
        <w:rPr>
          <w:lang w:val="en-MY"/>
        </w:rPr>
        <w:t>[2]</w:t>
      </w:r>
      <w:r w:rsidRPr="00F31B08">
        <w:rPr>
          <w:lang w:val="en-MY"/>
        </w:rPr>
        <w:tab/>
      </w:r>
      <w:r w:rsidRPr="00F31B08">
        <w:rPr>
          <w:lang w:val="en-MY"/>
        </w:rPr>
        <w:t xml:space="preserve">Mahaffy PG, </w:t>
      </w:r>
      <w:proofErr w:type="spellStart"/>
      <w:r w:rsidRPr="00F31B08">
        <w:rPr>
          <w:lang w:val="en-MY"/>
        </w:rPr>
        <w:t>Krief</w:t>
      </w:r>
      <w:proofErr w:type="spellEnd"/>
      <w:r w:rsidRPr="00F31B08">
        <w:rPr>
          <w:lang w:val="en-MY"/>
        </w:rPr>
        <w:t xml:space="preserve"> A, Hopf H, </w:t>
      </w:r>
      <w:r w:rsidRPr="00F31B08">
        <w:rPr>
          <w:lang w:val="en-MY"/>
        </w:rPr>
        <w:t>et al.</w:t>
      </w:r>
      <w:r w:rsidRPr="00F31B08">
        <w:rPr>
          <w:lang w:val="en-MY"/>
        </w:rPr>
        <w:t>, 2018, Reorienting Chemistry Education Through Systems Thinking. Nature Reviews Chemistry, 2(4): 1–3.</w:t>
      </w:r>
    </w:p>
    <w:p w14:paraId="33C23170" w14:textId="6F8003B7" w:rsidR="00E8688C" w:rsidRPr="00F31B08" w:rsidRDefault="00E8688C" w:rsidP="00E8688C">
      <w:pPr>
        <w:ind w:left="454" w:hanging="454"/>
        <w:rPr>
          <w:lang w:val="en-MY"/>
        </w:rPr>
      </w:pPr>
      <w:r w:rsidRPr="00F31B08">
        <w:rPr>
          <w:lang w:val="en-MY"/>
        </w:rPr>
        <w:t>[3]</w:t>
      </w:r>
      <w:r w:rsidRPr="00F31B08">
        <w:rPr>
          <w:lang w:val="en-MY"/>
        </w:rPr>
        <w:tab/>
      </w:r>
      <w:r w:rsidRPr="00F31B08">
        <w:rPr>
          <w:lang w:val="en-MY"/>
        </w:rPr>
        <w:t>Stroupe D, 2014, Examining Classroom Science Practice Communities: How Teachers and Students Negotiate Epistemic Agency. Science Education, 98(3): 487–516.</w:t>
      </w:r>
    </w:p>
    <w:p w14:paraId="69AAD5D4" w14:textId="062087D8" w:rsidR="00E8688C" w:rsidRPr="00F31B08" w:rsidRDefault="00E8688C" w:rsidP="00E8688C">
      <w:pPr>
        <w:ind w:left="454" w:hanging="454"/>
        <w:rPr>
          <w:lang w:val="en-MY"/>
        </w:rPr>
      </w:pPr>
      <w:r w:rsidRPr="00F31B08">
        <w:rPr>
          <w:lang w:val="en-MY"/>
        </w:rPr>
        <w:t>[4]</w:t>
      </w:r>
      <w:r w:rsidRPr="00F31B08">
        <w:rPr>
          <w:lang w:val="en-MY"/>
        </w:rPr>
        <w:tab/>
      </w:r>
      <w:r w:rsidRPr="00F31B08">
        <w:rPr>
          <w:lang w:val="en-MY"/>
        </w:rPr>
        <w:t>Pea RD, 2004, The Social and Technological Dimensions of Scaffolding and Related Theoretical Concepts for Learning, Education, and Human Activity. Journal of the Learning Sciences, 13(3): 423–451.</w:t>
      </w:r>
    </w:p>
    <w:p w14:paraId="1D474E91" w14:textId="32BC2277" w:rsidR="00E8688C" w:rsidRPr="00F31B08" w:rsidRDefault="00E8688C" w:rsidP="00E8688C">
      <w:pPr>
        <w:ind w:left="454" w:hanging="454"/>
        <w:rPr>
          <w:lang w:val="en-MY"/>
        </w:rPr>
      </w:pPr>
      <w:r w:rsidRPr="00F31B08">
        <w:rPr>
          <w:lang w:val="en-MY"/>
        </w:rPr>
        <w:t>[5]</w:t>
      </w:r>
      <w:r w:rsidRPr="00F31B08">
        <w:rPr>
          <w:lang w:val="en-MY"/>
        </w:rPr>
        <w:tab/>
      </w:r>
      <w:r w:rsidRPr="00F31B08">
        <w:rPr>
          <w:lang w:val="en-MY"/>
        </w:rPr>
        <w:t xml:space="preserve">Kirschner PA, </w:t>
      </w:r>
      <w:proofErr w:type="spellStart"/>
      <w:r w:rsidRPr="00F31B08">
        <w:rPr>
          <w:lang w:val="en-MY"/>
        </w:rPr>
        <w:t>Sweller</w:t>
      </w:r>
      <w:proofErr w:type="spellEnd"/>
      <w:r w:rsidRPr="00F31B08">
        <w:rPr>
          <w:lang w:val="en-MY"/>
        </w:rPr>
        <w:t xml:space="preserve"> J, Clark RE, 2006, Why Minimal Guidance During Instruction Does Not Work: An Analysis of the Failure of Constructivist, Discovery, Problem-Based, Experiential, and Inquiry-Based Teaching. Educational Psychologist, 41(2): 75–86.</w:t>
      </w:r>
    </w:p>
    <w:p w14:paraId="6860A7FB" w14:textId="07DDED0C" w:rsidR="00E8688C" w:rsidRPr="00F31B08" w:rsidRDefault="00E8688C" w:rsidP="00E8688C">
      <w:pPr>
        <w:ind w:left="454" w:hanging="454"/>
        <w:rPr>
          <w:lang w:val="en-MY"/>
        </w:rPr>
      </w:pPr>
      <w:r w:rsidRPr="00F31B08">
        <w:rPr>
          <w:lang w:val="en-MY"/>
        </w:rPr>
        <w:t>[6]</w:t>
      </w:r>
      <w:r w:rsidRPr="00F31B08">
        <w:rPr>
          <w:lang w:val="en-MY"/>
        </w:rPr>
        <w:tab/>
      </w:r>
      <w:r w:rsidRPr="00F31B08">
        <w:rPr>
          <w:lang w:val="en-MY"/>
        </w:rPr>
        <w:t xml:space="preserve">Vygotsky LS, 1978, Mind in Society: The Development of Higher Psychological Processes. Harvard </w:t>
      </w:r>
      <w:r w:rsidRPr="00F31B08">
        <w:rPr>
          <w:lang w:val="en-MY"/>
        </w:rPr>
        <w:lastRenderedPageBreak/>
        <w:t>University Press</w:t>
      </w:r>
      <w:r w:rsidRPr="00F31B08">
        <w:rPr>
          <w:lang w:val="en-MY"/>
        </w:rPr>
        <w:t xml:space="preserve">, </w:t>
      </w:r>
      <w:r w:rsidRPr="00F31B08">
        <w:t>Massachusetts</w:t>
      </w:r>
      <w:r w:rsidRPr="00F31B08">
        <w:rPr>
          <w:lang w:val="en-MY"/>
        </w:rPr>
        <w:t>.</w:t>
      </w:r>
    </w:p>
    <w:p w14:paraId="67067AA1" w14:textId="3581B316" w:rsidR="00E8688C" w:rsidRPr="00F31B08" w:rsidRDefault="00E8688C" w:rsidP="00E8688C">
      <w:pPr>
        <w:ind w:left="454" w:hanging="454"/>
        <w:rPr>
          <w:lang w:val="en-MY"/>
        </w:rPr>
      </w:pPr>
      <w:r w:rsidRPr="00F31B08">
        <w:rPr>
          <w:lang w:val="en-MY"/>
        </w:rPr>
        <w:t>[7]</w:t>
      </w:r>
      <w:r w:rsidRPr="00F31B08">
        <w:rPr>
          <w:lang w:val="en-MY"/>
        </w:rPr>
        <w:tab/>
      </w:r>
      <w:r w:rsidRPr="00F31B08">
        <w:rPr>
          <w:lang w:val="en-MY"/>
        </w:rPr>
        <w:t xml:space="preserve">Collins A, Brown JS, Newman SE, 1991, Cognitive Apprenticeship: Teaching the Crafts of Reading, Writing, and Mathematics. In: Resnick LB (Ed.), Knowing, Learning, and Instruction: Essays in Honor of Robert Glaser, 453–494. </w:t>
      </w:r>
    </w:p>
    <w:p w14:paraId="277B5C4D" w14:textId="0E259033" w:rsidR="00E8688C" w:rsidRPr="00F31B08" w:rsidRDefault="00E8688C" w:rsidP="00E8688C">
      <w:pPr>
        <w:ind w:left="454" w:hanging="454"/>
        <w:rPr>
          <w:lang w:val="en-MY"/>
        </w:rPr>
      </w:pPr>
      <w:r w:rsidRPr="00F31B08">
        <w:rPr>
          <w:lang w:val="en-MY"/>
        </w:rPr>
        <w:t>[8]</w:t>
      </w:r>
      <w:r w:rsidRPr="00F31B08">
        <w:rPr>
          <w:lang w:val="en-MY"/>
        </w:rPr>
        <w:tab/>
      </w:r>
      <w:proofErr w:type="spellStart"/>
      <w:r w:rsidRPr="00F31B08">
        <w:rPr>
          <w:lang w:val="en-MY"/>
        </w:rPr>
        <w:t>Talanquer</w:t>
      </w:r>
      <w:proofErr w:type="spellEnd"/>
      <w:r w:rsidRPr="00F31B08">
        <w:rPr>
          <w:lang w:val="en-MY"/>
        </w:rPr>
        <w:t xml:space="preserve"> V, 2022, Fostering Mechanistic Reasoning in Chemistry: A Critical Priority. Journal of Chemical Education, 99(1): 12–19.</w:t>
      </w:r>
    </w:p>
    <w:p w14:paraId="4F67C309" w14:textId="17AA0506" w:rsidR="00E8688C" w:rsidRPr="00F31B08" w:rsidRDefault="00E8688C" w:rsidP="00E8688C">
      <w:pPr>
        <w:ind w:left="454" w:hanging="454"/>
        <w:rPr>
          <w:lang w:val="en-MY"/>
        </w:rPr>
      </w:pPr>
      <w:r w:rsidRPr="00F31B08">
        <w:rPr>
          <w:lang w:val="en-MY"/>
        </w:rPr>
        <w:t>[9]</w:t>
      </w:r>
      <w:r w:rsidRPr="00F31B08">
        <w:rPr>
          <w:lang w:val="en-MY"/>
        </w:rPr>
        <w:tab/>
      </w:r>
      <w:r w:rsidRPr="00F31B08">
        <w:rPr>
          <w:lang w:val="en-MY"/>
        </w:rPr>
        <w:t>Stroupe D, 2023, Growing and Sustaining Student-</w:t>
      </w:r>
      <w:proofErr w:type="spellStart"/>
      <w:r w:rsidRPr="00F31B08">
        <w:rPr>
          <w:lang w:val="en-MY"/>
        </w:rPr>
        <w:t>Centered</w:t>
      </w:r>
      <w:proofErr w:type="spellEnd"/>
      <w:r w:rsidRPr="00F31B08">
        <w:rPr>
          <w:lang w:val="en-MY"/>
        </w:rPr>
        <w:t xml:space="preserve"> Science Classrooms. Harvard Education Press</w:t>
      </w:r>
      <w:r w:rsidRPr="00F31B08">
        <w:rPr>
          <w:lang w:val="en-MY"/>
        </w:rPr>
        <w:t xml:space="preserve">, </w:t>
      </w:r>
      <w:r w:rsidRPr="00F31B08">
        <w:t>Massachusetts</w:t>
      </w:r>
      <w:r w:rsidRPr="00F31B08">
        <w:rPr>
          <w:lang w:val="en-MY"/>
        </w:rPr>
        <w:t>.</w:t>
      </w:r>
    </w:p>
    <w:p w14:paraId="555CBB66" w14:textId="77777777" w:rsidR="00E8688C" w:rsidRPr="00F31B08" w:rsidRDefault="00E8688C" w:rsidP="00E8688C">
      <w:pPr>
        <w:rPr>
          <w:lang w:val="en-MY"/>
        </w:rPr>
      </w:pPr>
    </w:p>
    <w:p w14:paraId="618E14D0" w14:textId="40D4E223" w:rsidR="00E8688C" w:rsidRPr="00F31B08" w:rsidRDefault="00E8688C" w:rsidP="00E8688C">
      <w:pPr>
        <w:widowControl/>
        <w:snapToGrid/>
        <w:jc w:val="left"/>
        <w:rPr>
          <w:rFonts w:eastAsia="SimSun"/>
          <w:b/>
          <w:bCs/>
          <w:sz w:val="20"/>
          <w:lang w:val="en-MY" w:eastAsia="en-US"/>
        </w:rPr>
      </w:pPr>
      <w:r w:rsidRPr="00F31B08">
        <w:rPr>
          <w:rFonts w:eastAsia="SimSun"/>
          <w:b/>
          <w:bCs/>
          <w:sz w:val="20"/>
          <w:lang w:val="en-MY" w:eastAsia="en-US"/>
        </w:rPr>
        <w:t>Publisher</w:t>
      </w:r>
      <w:r w:rsidRPr="00F31B08">
        <w:rPr>
          <w:rFonts w:eastAsia="SimSun"/>
          <w:b/>
          <w:bCs/>
          <w:sz w:val="20"/>
          <w:lang w:val="en-MY" w:eastAsia="en-US"/>
        </w:rPr>
        <w:t>’</w:t>
      </w:r>
      <w:r w:rsidRPr="00F31B08">
        <w:rPr>
          <w:rFonts w:eastAsia="SimSun"/>
          <w:b/>
          <w:bCs/>
          <w:sz w:val="20"/>
          <w:lang w:val="en-MY" w:eastAsia="en-US"/>
        </w:rPr>
        <w:t>s note</w:t>
      </w:r>
    </w:p>
    <w:p w14:paraId="22C16AD2" w14:textId="77777777" w:rsidR="00E8688C" w:rsidRPr="00F31B08" w:rsidRDefault="00E8688C" w:rsidP="00E8688C">
      <w:pPr>
        <w:adjustRightInd/>
        <w:snapToGrid/>
        <w:rPr>
          <w:lang w:val="en-MY"/>
        </w:rPr>
      </w:pPr>
      <w:r w:rsidRPr="00F31B08">
        <w:rPr>
          <w:rFonts w:eastAsia="SimSun"/>
          <w:sz w:val="20"/>
          <w:lang w:val="en-MY" w:eastAsia="en-US"/>
        </w:rPr>
        <w:t>Bio-Byword Scientific Publishing remains neutral with regard to jurisdictional claims in published maps and institutional affiliations.</w:t>
      </w:r>
      <w:r w:rsidRPr="00F31B08">
        <w:rPr>
          <w:lang w:val="en-MY"/>
        </w:rPr>
        <w:t xml:space="preserve"> </w:t>
      </w:r>
    </w:p>
    <w:bookmarkEnd w:id="1"/>
    <w:p w14:paraId="7D72AF77" w14:textId="5385C058" w:rsidR="000015AE" w:rsidRPr="00E8688C" w:rsidRDefault="000015AE" w:rsidP="00F31B08">
      <w:pPr>
        <w:rPr>
          <w:szCs w:val="24"/>
          <w:lang w:val="en-US"/>
        </w:rPr>
      </w:pPr>
    </w:p>
    <w:sectPr w:rsidR="000015AE" w:rsidRPr="00E8688C" w:rsidSect="00F31B08">
      <w:footerReference w:type="even" r:id="rId10"/>
      <w:footerReference w:type="default" r:id="rId11"/>
      <w:pgSz w:w="12250" w:h="17180"/>
      <w:pgMar w:top="1418" w:right="1134" w:bottom="1418" w:left="1134" w:header="0" w:footer="9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3822E" w14:textId="77777777" w:rsidR="00C60D6D" w:rsidRDefault="00C60D6D">
      <w:r>
        <w:separator/>
      </w:r>
    </w:p>
  </w:endnote>
  <w:endnote w:type="continuationSeparator" w:id="0">
    <w:p w14:paraId="5938DFA5" w14:textId="77777777" w:rsidR="00C60D6D" w:rsidRDefault="00C6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2547" w14:textId="77777777" w:rsidR="000015AE" w:rsidRDefault="000015AE">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8411" w14:textId="77777777" w:rsidR="000015AE" w:rsidRDefault="000015A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BF54" w14:textId="77777777" w:rsidR="00C60D6D" w:rsidRDefault="00C60D6D">
      <w:r>
        <w:separator/>
      </w:r>
    </w:p>
  </w:footnote>
  <w:footnote w:type="continuationSeparator" w:id="0">
    <w:p w14:paraId="05AFA8B9" w14:textId="77777777" w:rsidR="00C60D6D" w:rsidRDefault="00C60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D3F30"/>
    <w:multiLevelType w:val="multilevel"/>
    <w:tmpl w:val="178D3F30"/>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882716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trackRevisions/>
  <w:documentProtection w:edit="readOnly" w:enforcement="0"/>
  <w:defaultTabStop w:val="420"/>
  <w:evenAndOddHeaders/>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5AE"/>
    <w:rsid w:val="000E6366"/>
    <w:rsid w:val="000F4158"/>
    <w:rsid w:val="00104D9E"/>
    <w:rsid w:val="0010510D"/>
    <w:rsid w:val="00141472"/>
    <w:rsid w:val="00153A54"/>
    <w:rsid w:val="00172A27"/>
    <w:rsid w:val="00180C73"/>
    <w:rsid w:val="001C4ECF"/>
    <w:rsid w:val="00207BB7"/>
    <w:rsid w:val="0022346F"/>
    <w:rsid w:val="00256200"/>
    <w:rsid w:val="002B096E"/>
    <w:rsid w:val="003014AE"/>
    <w:rsid w:val="003561B2"/>
    <w:rsid w:val="00381BB6"/>
    <w:rsid w:val="003C0499"/>
    <w:rsid w:val="003C70A1"/>
    <w:rsid w:val="003D2789"/>
    <w:rsid w:val="003D79A7"/>
    <w:rsid w:val="003E0956"/>
    <w:rsid w:val="0041307B"/>
    <w:rsid w:val="004160EA"/>
    <w:rsid w:val="00473847"/>
    <w:rsid w:val="004B7700"/>
    <w:rsid w:val="004D32A9"/>
    <w:rsid w:val="00513E17"/>
    <w:rsid w:val="0052539F"/>
    <w:rsid w:val="005524DF"/>
    <w:rsid w:val="00560725"/>
    <w:rsid w:val="00584FA9"/>
    <w:rsid w:val="005D2862"/>
    <w:rsid w:val="006065AC"/>
    <w:rsid w:val="006230D2"/>
    <w:rsid w:val="0068190F"/>
    <w:rsid w:val="00693F34"/>
    <w:rsid w:val="006B6791"/>
    <w:rsid w:val="006C2F84"/>
    <w:rsid w:val="006F48F3"/>
    <w:rsid w:val="00723E9D"/>
    <w:rsid w:val="00791B97"/>
    <w:rsid w:val="007E729A"/>
    <w:rsid w:val="007F29A4"/>
    <w:rsid w:val="007F36EC"/>
    <w:rsid w:val="00800E40"/>
    <w:rsid w:val="008057DA"/>
    <w:rsid w:val="00845DC5"/>
    <w:rsid w:val="009365D4"/>
    <w:rsid w:val="009528DB"/>
    <w:rsid w:val="00965BA3"/>
    <w:rsid w:val="00984933"/>
    <w:rsid w:val="00A03665"/>
    <w:rsid w:val="00A23768"/>
    <w:rsid w:val="00A31529"/>
    <w:rsid w:val="00A37771"/>
    <w:rsid w:val="00A37F9F"/>
    <w:rsid w:val="00A66EF1"/>
    <w:rsid w:val="00A67B30"/>
    <w:rsid w:val="00AA2870"/>
    <w:rsid w:val="00AE5A19"/>
    <w:rsid w:val="00AF4D04"/>
    <w:rsid w:val="00B22CD3"/>
    <w:rsid w:val="00B274A9"/>
    <w:rsid w:val="00B41C74"/>
    <w:rsid w:val="00B45842"/>
    <w:rsid w:val="00B64D4A"/>
    <w:rsid w:val="00B94004"/>
    <w:rsid w:val="00BB24C8"/>
    <w:rsid w:val="00BB6EB6"/>
    <w:rsid w:val="00BE1A5B"/>
    <w:rsid w:val="00C14E2C"/>
    <w:rsid w:val="00C41831"/>
    <w:rsid w:val="00C56296"/>
    <w:rsid w:val="00C60D6D"/>
    <w:rsid w:val="00C650DF"/>
    <w:rsid w:val="00C65F71"/>
    <w:rsid w:val="00C730A2"/>
    <w:rsid w:val="00C77C95"/>
    <w:rsid w:val="00C94185"/>
    <w:rsid w:val="00C97C1F"/>
    <w:rsid w:val="00D117B7"/>
    <w:rsid w:val="00D16058"/>
    <w:rsid w:val="00D74B50"/>
    <w:rsid w:val="00D84A1D"/>
    <w:rsid w:val="00DA3A6B"/>
    <w:rsid w:val="00E11A29"/>
    <w:rsid w:val="00E21E96"/>
    <w:rsid w:val="00E40D40"/>
    <w:rsid w:val="00E45F12"/>
    <w:rsid w:val="00E8688C"/>
    <w:rsid w:val="00EA609F"/>
    <w:rsid w:val="00EB3E9C"/>
    <w:rsid w:val="00EB4E7D"/>
    <w:rsid w:val="00EB643E"/>
    <w:rsid w:val="00EE7D17"/>
    <w:rsid w:val="00F052EA"/>
    <w:rsid w:val="00F30F39"/>
    <w:rsid w:val="00F31B08"/>
    <w:rsid w:val="00F50FA9"/>
    <w:rsid w:val="00F56D52"/>
    <w:rsid w:val="00F91CB6"/>
    <w:rsid w:val="00FE3516"/>
    <w:rsid w:val="01D474CE"/>
    <w:rsid w:val="05DF453D"/>
    <w:rsid w:val="0634616F"/>
    <w:rsid w:val="09E247C6"/>
    <w:rsid w:val="0E2C2BD1"/>
    <w:rsid w:val="0E3B0000"/>
    <w:rsid w:val="17243B59"/>
    <w:rsid w:val="1CD37A02"/>
    <w:rsid w:val="2C517A1E"/>
    <w:rsid w:val="32287A98"/>
    <w:rsid w:val="329C393D"/>
    <w:rsid w:val="3B6944CA"/>
    <w:rsid w:val="45742B37"/>
    <w:rsid w:val="46DA08F7"/>
    <w:rsid w:val="4B083EF1"/>
    <w:rsid w:val="57284198"/>
    <w:rsid w:val="596877B5"/>
    <w:rsid w:val="5C7152A7"/>
    <w:rsid w:val="5DEA4621"/>
    <w:rsid w:val="60006DFF"/>
    <w:rsid w:val="61CA743E"/>
    <w:rsid w:val="63941E6C"/>
    <w:rsid w:val="66B67C40"/>
    <w:rsid w:val="689723FA"/>
    <w:rsid w:val="70080443"/>
    <w:rsid w:val="71110AFE"/>
    <w:rsid w:val="728B07CD"/>
    <w:rsid w:val="76314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5A5CB"/>
  <w15:docId w15:val="{76B31034-73EE-4F89-A585-C077E43C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8688C"/>
    <w:pPr>
      <w:widowControl w:val="0"/>
      <w:suppressAutoHyphens/>
      <w:autoSpaceDE w:val="0"/>
      <w:autoSpaceDN w:val="0"/>
      <w:adjustRightInd w:val="0"/>
      <w:snapToGrid w:val="0"/>
      <w:jc w:val="both"/>
    </w:pPr>
    <w:rPr>
      <w:rFonts w:eastAsia="Times New Roman"/>
      <w:sz w:val="24"/>
      <w:szCs w:val="22"/>
      <w:lang w:val="zh-CN" w:bidi="zh-CN"/>
    </w:rPr>
  </w:style>
  <w:style w:type="paragraph" w:styleId="Heading1">
    <w:name w:val="heading 1"/>
    <w:basedOn w:val="Normal"/>
    <w:uiPriority w:val="1"/>
    <w:qFormat/>
    <w:pPr>
      <w:ind w:left="390" w:hanging="280"/>
      <w:outlineLvl w:val="0"/>
    </w:pPr>
    <w:rPr>
      <w:b/>
      <w:bCs/>
      <w:sz w:val="28"/>
      <w:szCs w:val="28"/>
    </w:rPr>
  </w:style>
  <w:style w:type="paragraph" w:styleId="Heading2">
    <w:name w:val="heading 2"/>
    <w:basedOn w:val="Normal"/>
    <w:uiPriority w:val="1"/>
    <w:qFormat/>
    <w:pPr>
      <w:spacing w:before="1"/>
      <w:ind w:left="470" w:hanging="360"/>
      <w:outlineLvl w:val="1"/>
    </w:pPr>
    <w:rPr>
      <w:b/>
      <w:bCs/>
      <w:szCs w:val="24"/>
    </w:rPr>
  </w:style>
  <w:style w:type="paragraph" w:styleId="Heading3">
    <w:name w:val="heading 3"/>
    <w:basedOn w:val="Normal"/>
    <w:uiPriority w:val="1"/>
    <w:qFormat/>
    <w:pPr>
      <w:ind w:left="560" w:hanging="450"/>
      <w:outlineLvl w:val="2"/>
    </w:pPr>
    <w:rPr>
      <w:b/>
      <w:bCs/>
      <w:sz w:val="20"/>
      <w:szCs w:val="20"/>
    </w:rPr>
  </w:style>
  <w:style w:type="paragraph" w:styleId="Heading4">
    <w:name w:val="heading 4"/>
    <w:basedOn w:val="Normal"/>
    <w:next w:val="Normal"/>
    <w:link w:val="Heading4Char"/>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style>
  <w:style w:type="paragraph" w:styleId="BodyText">
    <w:name w:val="Body Text"/>
    <w:basedOn w:val="Normal"/>
    <w:uiPriority w:val="1"/>
    <w:qFormat/>
    <w:rPr>
      <w:sz w:val="20"/>
      <w:szCs w:val="20"/>
    </w:rPr>
  </w:style>
  <w:style w:type="paragraph" w:styleId="Footer">
    <w:name w:val="footer"/>
    <w:basedOn w:val="Normal"/>
    <w:link w:val="FooterChar"/>
    <w:qFormat/>
    <w:pPr>
      <w:tabs>
        <w:tab w:val="center" w:pos="4153"/>
        <w:tab w:val="right" w:pos="8306"/>
      </w:tabs>
    </w:pPr>
    <w:rPr>
      <w:sz w:val="18"/>
      <w:szCs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NormalWeb">
    <w:name w:val="Normal (Web)"/>
    <w:basedOn w:val="Normal"/>
    <w:qFormat/>
    <w:rPr>
      <w:szCs w:val="24"/>
    </w:rPr>
  </w:style>
  <w:style w:type="character" w:styleId="Strong">
    <w:name w:val="Strong"/>
    <w:basedOn w:val="DefaultParagraphFont"/>
    <w:uiPriority w:val="22"/>
    <w:qFormat/>
    <w:rPr>
      <w:b/>
      <w:bCs/>
    </w:rPr>
  </w:style>
  <w:style w:type="character" w:styleId="Emphasis">
    <w:name w:val="Emphasis"/>
    <w:basedOn w:val="DefaultParagraphFont"/>
    <w:qFormat/>
    <w:rPr>
      <w:i/>
    </w:rPr>
  </w:style>
  <w:style w:type="character" w:styleId="CommentReference">
    <w:name w:val="annotation reference"/>
    <w:basedOn w:val="DefaultParagraphFont"/>
    <w:qFormat/>
    <w:rPr>
      <w:sz w:val="21"/>
      <w:szCs w:val="21"/>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spacing w:before="1"/>
      <w:ind w:left="510" w:hanging="400"/>
    </w:pPr>
  </w:style>
  <w:style w:type="paragraph" w:customStyle="1" w:styleId="TableParagraph">
    <w:name w:val="Table Paragraph"/>
    <w:basedOn w:val="Normal"/>
    <w:uiPriority w:val="1"/>
    <w:qFormat/>
    <w:pPr>
      <w:jc w:val="center"/>
    </w:pPr>
  </w:style>
  <w:style w:type="paragraph" w:customStyle="1" w:styleId="Default">
    <w:name w:val="Default"/>
    <w:uiPriority w:val="99"/>
    <w:unhideWhenUsed/>
    <w:qFormat/>
    <w:pPr>
      <w:widowControl w:val="0"/>
      <w:autoSpaceDE w:val="0"/>
      <w:autoSpaceDN w:val="0"/>
      <w:adjustRightInd w:val="0"/>
    </w:pPr>
    <w:rPr>
      <w:rFonts w:eastAsia="Times New Roman" w:cstheme="minorBidi" w:hint="eastAsia"/>
      <w:color w:val="000000"/>
      <w:sz w:val="24"/>
      <w:szCs w:val="24"/>
      <w:lang w:val="en-US"/>
    </w:rPr>
  </w:style>
  <w:style w:type="character" w:customStyle="1" w:styleId="FooterChar">
    <w:name w:val="Footer Char"/>
    <w:basedOn w:val="DefaultParagraphFont"/>
    <w:link w:val="Footer"/>
    <w:qFormat/>
    <w:rPr>
      <w:rFonts w:eastAsia="Times New Roman"/>
      <w:sz w:val="18"/>
      <w:szCs w:val="18"/>
      <w:lang w:val="zh-CN" w:bidi="zh-CN"/>
    </w:rPr>
  </w:style>
  <w:style w:type="character" w:customStyle="1" w:styleId="Heading4Char">
    <w:name w:val="Heading 4 Char"/>
    <w:basedOn w:val="DefaultParagraphFont"/>
    <w:link w:val="Heading4"/>
    <w:semiHidden/>
    <w:qFormat/>
    <w:rPr>
      <w:rFonts w:asciiTheme="majorHAnsi" w:eastAsiaTheme="majorEastAsia" w:hAnsiTheme="majorHAnsi" w:cstheme="majorBidi"/>
      <w:b/>
      <w:bCs/>
      <w:sz w:val="28"/>
      <w:szCs w:val="28"/>
      <w:lang w:val="zh-CN" w:bidi="zh-CN"/>
    </w:rPr>
  </w:style>
  <w:style w:type="character" w:styleId="PlaceholderText">
    <w:name w:val="Placeholder Text"/>
    <w:basedOn w:val="DefaultParagraphFont"/>
    <w:uiPriority w:val="99"/>
    <w:unhideWhenUsed/>
    <w:qFormat/>
    <w:rPr>
      <w:color w:val="666666"/>
    </w:rPr>
  </w:style>
  <w:style w:type="paragraph" w:styleId="Revision">
    <w:name w:val="Revision"/>
    <w:hidden/>
    <w:uiPriority w:val="99"/>
    <w:unhideWhenUsed/>
    <w:rsid w:val="00E8688C"/>
    <w:rPr>
      <w:rFonts w:eastAsia="Times New Roman"/>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2450</Words>
  <Characters>13968</Characters>
  <Application>Microsoft Office Word</Application>
  <DocSecurity>0</DocSecurity>
  <Lines>116</Lines>
  <Paragraphs>32</Paragraphs>
  <ScaleCrop>false</ScaleCrop>
  <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Editor J</cp:lastModifiedBy>
  <cp:revision>2</cp:revision>
  <dcterms:created xsi:type="dcterms:W3CDTF">2026-07-17T07:45:00Z</dcterms:created>
  <dcterms:modified xsi:type="dcterms:W3CDTF">2026-07-17T07:45:00Z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Adobe InDesign 15.0 (Windows)</vt:lpwstr>
  </property>
  <property fmtid="{D5CDD505-2E9C-101B-9397-08002B2CF9AE}" pid="4" name="LastSaved">
    <vt:filetime>2025-02-14T00:00:00Z</vt:filetime>
  </property>
  <property fmtid="{D5CDD505-2E9C-101B-9397-08002B2CF9AE}" pid="5" name="KSOTemplateDocerSaveRecord">
    <vt:lpwstr>eyJoZGlkIjoiYjNmNjIwNGYxNTc1ODFiN2Y4YjhmYzJiZDI2NDI2YjMiLCJ1c2VySWQiOiIyNTcyMTk5NzAifQ==</vt:lpwstr>
  </property>
  <property fmtid="{D5CDD505-2E9C-101B-9397-08002B2CF9AE}" pid="6" name="KSOProductBuildVer">
    <vt:lpwstr>2052-12.1.0.26895</vt:lpwstr>
  </property>
  <property fmtid="{D5CDD505-2E9C-101B-9397-08002B2CF9AE}" pid="7" name="ICV">
    <vt:lpwstr>6A4B12A355784328B9EC41356543E165_13</vt:lpwstr>
  </property>
  <property fmtid="{D5CDD505-2E9C-101B-9397-08002B2CF9AE}" pid="8" name="GrammarlyDocumentId">
    <vt:lpwstr>c3aad049-28e4-4cde-8f36-26c395abe74b</vt:lpwstr>
  </property>
</Properties>
</file>