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91F41" w14:textId="77777777" w:rsidR="00A2378B" w:rsidRPr="00110121" w:rsidRDefault="00000000" w:rsidP="00110121">
      <w:pPr>
        <w:jc w:val="left"/>
        <w:rPr>
          <w:rFonts w:cs="Times New Roman"/>
          <w:b/>
          <w:bCs/>
          <w:sz w:val="44"/>
          <w:szCs w:val="44"/>
        </w:rPr>
      </w:pPr>
      <w:bookmarkStart w:id="0" w:name="heading_0"/>
      <w:r w:rsidRPr="00110121">
        <w:rPr>
          <w:rFonts w:cs="Times New Roman"/>
          <w:b/>
          <w:bCs/>
          <w:sz w:val="44"/>
          <w:szCs w:val="44"/>
        </w:rPr>
        <w:t>Research on Practical Teaching for Big Data Majors in the Era of Artificial Intelligence</w:t>
      </w:r>
      <w:bookmarkEnd w:id="0"/>
    </w:p>
    <w:p w14:paraId="7A79E10E" w14:textId="3554B446" w:rsidR="002832AF" w:rsidRPr="00110121" w:rsidRDefault="00000000" w:rsidP="00791180">
      <w:pPr>
        <w:rPr>
          <w:rFonts w:cs="Times New Roman"/>
          <w:b/>
          <w:bCs/>
          <w:szCs w:val="24"/>
        </w:rPr>
      </w:pPr>
      <w:r w:rsidRPr="00110121">
        <w:rPr>
          <w:rFonts w:cs="Times New Roman"/>
          <w:b/>
          <w:bCs/>
          <w:szCs w:val="24"/>
        </w:rPr>
        <w:t>Guoyu</w:t>
      </w:r>
      <w:r w:rsidRPr="00110121">
        <w:rPr>
          <w:rFonts w:cs="Times New Roman"/>
          <w:b/>
          <w:bCs/>
          <w:szCs w:val="24"/>
          <w:lang w:val="en-US"/>
        </w:rPr>
        <w:t xml:space="preserve"> </w:t>
      </w:r>
      <w:r w:rsidRPr="00110121">
        <w:rPr>
          <w:rFonts w:cs="Times New Roman"/>
          <w:b/>
          <w:bCs/>
          <w:szCs w:val="24"/>
        </w:rPr>
        <w:t xml:space="preserve">Lin, </w:t>
      </w:r>
      <w:proofErr w:type="spellStart"/>
      <w:r w:rsidRPr="00110121">
        <w:rPr>
          <w:rFonts w:cs="Times New Roman"/>
          <w:b/>
          <w:bCs/>
          <w:szCs w:val="24"/>
        </w:rPr>
        <w:t>Baozhu</w:t>
      </w:r>
      <w:proofErr w:type="spellEnd"/>
      <w:r w:rsidRPr="00110121">
        <w:rPr>
          <w:rFonts w:cs="Times New Roman"/>
          <w:b/>
          <w:bCs/>
          <w:szCs w:val="24"/>
          <w:lang w:val="en-US"/>
        </w:rPr>
        <w:t xml:space="preserve"> </w:t>
      </w:r>
      <w:r w:rsidRPr="00110121">
        <w:rPr>
          <w:rFonts w:cs="Times New Roman"/>
          <w:b/>
          <w:bCs/>
          <w:szCs w:val="24"/>
        </w:rPr>
        <w:t>Fan, Zibo</w:t>
      </w:r>
      <w:r w:rsidRPr="00110121">
        <w:rPr>
          <w:rFonts w:cs="Times New Roman"/>
          <w:b/>
          <w:bCs/>
          <w:szCs w:val="24"/>
          <w:lang w:val="en-US"/>
        </w:rPr>
        <w:t xml:space="preserve"> </w:t>
      </w:r>
      <w:r w:rsidRPr="00110121">
        <w:rPr>
          <w:rFonts w:cs="Times New Roman"/>
          <w:b/>
          <w:bCs/>
          <w:szCs w:val="24"/>
        </w:rPr>
        <w:t xml:space="preserve">Chen </w:t>
      </w:r>
    </w:p>
    <w:p w14:paraId="50DBEDC1" w14:textId="094D6DCC" w:rsidR="00A2378B" w:rsidRPr="002832AF" w:rsidRDefault="00000000" w:rsidP="00110121">
      <w:pPr>
        <w:rPr>
          <w:rFonts w:cs="Times New Roman"/>
          <w:szCs w:val="24"/>
        </w:rPr>
      </w:pPr>
      <w:r w:rsidRPr="002832AF">
        <w:rPr>
          <w:rFonts w:cs="Times New Roman"/>
          <w:szCs w:val="24"/>
        </w:rPr>
        <w:t>Guangzhou College of Technology and Business, Guangzhou</w:t>
      </w:r>
      <w:r w:rsidRPr="002832AF">
        <w:rPr>
          <w:rFonts w:cs="Times New Roman"/>
          <w:szCs w:val="24"/>
          <w:lang w:val="en-US"/>
        </w:rPr>
        <w:t xml:space="preserve"> </w:t>
      </w:r>
      <w:r w:rsidRPr="002832AF">
        <w:rPr>
          <w:rFonts w:cs="Times New Roman"/>
          <w:szCs w:val="24"/>
        </w:rPr>
        <w:t>510850, Guangdong, China</w:t>
      </w:r>
    </w:p>
    <w:p w14:paraId="1D683A6C" w14:textId="77777777" w:rsidR="00A2378B" w:rsidRDefault="00A2378B" w:rsidP="00791180">
      <w:pPr>
        <w:rPr>
          <w:rFonts w:cs="Times New Roman"/>
          <w:szCs w:val="24"/>
        </w:rPr>
      </w:pPr>
    </w:p>
    <w:p w14:paraId="35F2547F" w14:textId="77777777" w:rsidR="002832AF" w:rsidRDefault="002832AF" w:rsidP="00791180">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01A23697" w14:textId="77777777" w:rsidR="002832AF" w:rsidRPr="002832AF" w:rsidRDefault="002832AF" w:rsidP="00110121">
      <w:pPr>
        <w:rPr>
          <w:rFonts w:cs="Times New Roman"/>
          <w:szCs w:val="24"/>
        </w:rPr>
      </w:pPr>
    </w:p>
    <w:p w14:paraId="3618ABE2" w14:textId="2277BDE9" w:rsidR="00A2378B" w:rsidRPr="002832AF" w:rsidRDefault="00000000" w:rsidP="00110121">
      <w:pPr>
        <w:rPr>
          <w:rFonts w:cs="Times New Roman"/>
          <w:szCs w:val="24"/>
        </w:rPr>
      </w:pPr>
      <w:bookmarkStart w:id="2" w:name="heading_1"/>
      <w:r w:rsidRPr="00110121">
        <w:rPr>
          <w:rFonts w:cs="Times New Roman"/>
          <w:b/>
          <w:bCs/>
          <w:szCs w:val="24"/>
        </w:rPr>
        <w:t>Abstract</w:t>
      </w:r>
      <w:bookmarkEnd w:id="2"/>
      <w:r w:rsidR="002832AF">
        <w:rPr>
          <w:rFonts w:cs="Times New Roman"/>
          <w:b/>
          <w:bCs/>
          <w:szCs w:val="24"/>
        </w:rPr>
        <w:t>:</w:t>
      </w:r>
      <w:r w:rsidR="002832AF">
        <w:rPr>
          <w:rFonts w:cs="Times New Roman"/>
          <w:szCs w:val="24"/>
        </w:rPr>
        <w:t xml:space="preserve"> </w:t>
      </w:r>
      <w:r w:rsidRPr="002832AF">
        <w:rPr>
          <w:rFonts w:cs="Times New Roman"/>
          <w:szCs w:val="24"/>
        </w:rPr>
        <w:t xml:space="preserve">Against the backdrop of artificial intelligence and digital economy development, practical teaching for big data majors needs to shift its focus from knowledge transmission to competency cultivation. At present, prominent problems including outdated teaching content and insufficient practical training remain prevalent. To address these issues, this paper proposes AI-enabled teaching reforms: constructing an </w:t>
      </w:r>
      <w:r w:rsidR="00791180">
        <w:rPr>
          <w:rFonts w:cs="Times New Roman"/>
          <w:szCs w:val="24"/>
        </w:rPr>
        <w:t>“</w:t>
      </w:r>
      <w:r w:rsidRPr="002832AF">
        <w:rPr>
          <w:rFonts w:cs="Times New Roman"/>
          <w:szCs w:val="24"/>
        </w:rPr>
        <w:t>AI + Knowledge Graph</w:t>
      </w:r>
      <w:r w:rsidR="00791180">
        <w:rPr>
          <w:rFonts w:cs="Times New Roman"/>
          <w:szCs w:val="24"/>
        </w:rPr>
        <w:t>”</w:t>
      </w:r>
      <w:r w:rsidRPr="002832AF">
        <w:rPr>
          <w:rFonts w:cs="Times New Roman"/>
          <w:szCs w:val="24"/>
        </w:rPr>
        <w:t xml:space="preserve"> intelligent teaching system, building intelligent practical training environments, advancing project-driven teaching and the integration of </w:t>
      </w:r>
      <w:r w:rsidR="00791180">
        <w:rPr>
          <w:rFonts w:cs="Times New Roman"/>
          <w:szCs w:val="24"/>
        </w:rPr>
        <w:t>“</w:t>
      </w:r>
      <w:r w:rsidRPr="002832AF">
        <w:rPr>
          <w:rFonts w:cs="Times New Roman"/>
          <w:szCs w:val="24"/>
        </w:rPr>
        <w:t>posts, courses, competitions, certificates and innovation</w:t>
      </w:r>
      <w:r w:rsidR="00791180">
        <w:rPr>
          <w:rFonts w:cs="Times New Roman"/>
          <w:szCs w:val="24"/>
        </w:rPr>
        <w:t>”</w:t>
      </w:r>
      <w:r w:rsidRPr="002832AF">
        <w:rPr>
          <w:rFonts w:cs="Times New Roman"/>
          <w:szCs w:val="24"/>
        </w:rPr>
        <w:t>, deepening industry-education integration, and establishing a closed-loop evaluation system. These measures will drive scenario-based and personalized teaching transformation, strengthen students</w:t>
      </w:r>
      <w:r w:rsidR="00791180">
        <w:rPr>
          <w:rFonts w:cs="Times New Roman"/>
          <w:szCs w:val="24"/>
        </w:rPr>
        <w:t>’</w:t>
      </w:r>
      <w:r w:rsidRPr="002832AF">
        <w:rPr>
          <w:rFonts w:cs="Times New Roman"/>
          <w:szCs w:val="24"/>
        </w:rPr>
        <w:t xml:space="preserve"> engineering practice and problem-solving capabilities, and lay solid foundations for the cultivation of application-oriented talents.</w:t>
      </w:r>
    </w:p>
    <w:p w14:paraId="252051A4" w14:textId="4C7B48FF" w:rsidR="00A2378B" w:rsidRDefault="00000000" w:rsidP="00791180">
      <w:pPr>
        <w:rPr>
          <w:rFonts w:cs="Times New Roman"/>
          <w:szCs w:val="24"/>
        </w:rPr>
      </w:pPr>
      <w:r w:rsidRPr="00110121">
        <w:rPr>
          <w:rFonts w:cs="Times New Roman"/>
          <w:b/>
          <w:bCs/>
          <w:szCs w:val="24"/>
        </w:rPr>
        <w:t>Keywords:</w:t>
      </w:r>
      <w:r w:rsidRPr="002832AF">
        <w:rPr>
          <w:rFonts w:cs="Times New Roman"/>
          <w:szCs w:val="24"/>
        </w:rPr>
        <w:t xml:space="preserve"> Artificial </w:t>
      </w:r>
      <w:r w:rsidR="002832AF" w:rsidRPr="002832AF">
        <w:rPr>
          <w:rFonts w:cs="Times New Roman"/>
          <w:szCs w:val="24"/>
        </w:rPr>
        <w:t>intelligence</w:t>
      </w:r>
      <w:r w:rsidRPr="002832AF">
        <w:rPr>
          <w:rFonts w:cs="Times New Roman"/>
          <w:szCs w:val="24"/>
        </w:rPr>
        <w:t xml:space="preserve">; Big </w:t>
      </w:r>
      <w:r w:rsidR="002832AF" w:rsidRPr="002832AF">
        <w:rPr>
          <w:rFonts w:cs="Times New Roman"/>
          <w:szCs w:val="24"/>
        </w:rPr>
        <w:t>data</w:t>
      </w:r>
      <w:r w:rsidRPr="002832AF">
        <w:rPr>
          <w:rFonts w:cs="Times New Roman"/>
          <w:szCs w:val="24"/>
        </w:rPr>
        <w:t xml:space="preserve">; Practical </w:t>
      </w:r>
      <w:r w:rsidR="002832AF" w:rsidRPr="002832AF">
        <w:rPr>
          <w:rFonts w:cs="Times New Roman"/>
          <w:szCs w:val="24"/>
        </w:rPr>
        <w:t>teaching</w:t>
      </w:r>
      <w:r w:rsidRPr="002832AF">
        <w:rPr>
          <w:rFonts w:cs="Times New Roman"/>
          <w:szCs w:val="24"/>
        </w:rPr>
        <w:t xml:space="preserve">; Teaching </w:t>
      </w:r>
      <w:r w:rsidR="002832AF" w:rsidRPr="002832AF">
        <w:rPr>
          <w:rFonts w:cs="Times New Roman"/>
          <w:szCs w:val="24"/>
        </w:rPr>
        <w:t>model</w:t>
      </w:r>
    </w:p>
    <w:p w14:paraId="4E70585C" w14:textId="77777777" w:rsidR="002832AF" w:rsidRDefault="002832AF" w:rsidP="00791180">
      <w:pPr>
        <w:rPr>
          <w:rFonts w:cs="Times New Roman"/>
          <w:szCs w:val="24"/>
        </w:rPr>
      </w:pPr>
    </w:p>
    <w:p w14:paraId="11CC7B23" w14:textId="7A551401" w:rsidR="002832AF" w:rsidRPr="00110121" w:rsidRDefault="002832AF" w:rsidP="00791180">
      <w:pPr>
        <w:rPr>
          <w:rFonts w:cs="Times New Roman"/>
          <w:b/>
          <w:bCs/>
          <w:szCs w:val="24"/>
        </w:rPr>
      </w:pPr>
      <w:r>
        <w:rPr>
          <w:rFonts w:cs="Times New Roman"/>
          <w:b/>
          <w:bCs/>
          <w:szCs w:val="24"/>
        </w:rPr>
        <w:t>Online publication:</w:t>
      </w:r>
    </w:p>
    <w:p w14:paraId="197A8EB8" w14:textId="77777777" w:rsidR="002832AF" w:rsidRPr="002832AF" w:rsidRDefault="002832AF" w:rsidP="00110121">
      <w:pPr>
        <w:rPr>
          <w:rFonts w:cs="Times New Roman"/>
          <w:szCs w:val="24"/>
        </w:rPr>
      </w:pPr>
    </w:p>
    <w:p w14:paraId="5BD19233" w14:textId="4D3EAFA8" w:rsidR="00A2378B" w:rsidRPr="00110121" w:rsidRDefault="00000000" w:rsidP="00110121">
      <w:pPr>
        <w:rPr>
          <w:rFonts w:cs="Times New Roman"/>
          <w:b/>
          <w:bCs/>
          <w:szCs w:val="24"/>
        </w:rPr>
      </w:pPr>
      <w:bookmarkStart w:id="3" w:name="heading_2"/>
      <w:r w:rsidRPr="00110121">
        <w:rPr>
          <w:rFonts w:cs="Times New Roman"/>
          <w:b/>
          <w:bCs/>
          <w:szCs w:val="24"/>
        </w:rPr>
        <w:t>1</w:t>
      </w:r>
      <w:r w:rsidR="002832AF">
        <w:rPr>
          <w:rFonts w:cs="Times New Roman"/>
          <w:b/>
          <w:bCs/>
          <w:szCs w:val="24"/>
        </w:rPr>
        <w:t>.</w:t>
      </w:r>
      <w:r w:rsidRPr="00110121">
        <w:rPr>
          <w:rFonts w:cs="Times New Roman"/>
          <w:b/>
          <w:bCs/>
          <w:szCs w:val="24"/>
        </w:rPr>
        <w:t xml:space="preserve"> Introduction</w:t>
      </w:r>
      <w:bookmarkEnd w:id="3"/>
    </w:p>
    <w:p w14:paraId="4482E2EA" w14:textId="0CDD19C1" w:rsidR="00A2378B" w:rsidRPr="002832AF" w:rsidRDefault="00000000" w:rsidP="00110121">
      <w:pPr>
        <w:rPr>
          <w:rFonts w:cs="Times New Roman"/>
          <w:szCs w:val="24"/>
        </w:rPr>
      </w:pPr>
      <w:r w:rsidRPr="002832AF">
        <w:rPr>
          <w:rFonts w:cs="Times New Roman"/>
          <w:szCs w:val="24"/>
        </w:rPr>
        <w:t>Currently, the world is accelerating into an intelligent era where data serves as the core production factor and artificial intelligence acts as the key driving force. Artificial intelligence not only reshapes industrial structures and business models, but also reconstructs the entire education system</w:t>
      </w:r>
      <w:r w:rsidR="00791180">
        <w:rPr>
          <w:rFonts w:cs="Times New Roman"/>
          <w:szCs w:val="24"/>
        </w:rPr>
        <w:t xml:space="preserve"> </w:t>
      </w:r>
      <w:r w:rsidRPr="002832AF">
        <w:rPr>
          <w:rFonts w:cs="Times New Roman"/>
          <w:szCs w:val="24"/>
          <w:vertAlign w:val="superscript"/>
        </w:rPr>
        <w:t>[1</w:t>
      </w:r>
      <w:r w:rsidR="00791180">
        <w:rPr>
          <w:rFonts w:cs="Times New Roman"/>
          <w:szCs w:val="24"/>
          <w:vertAlign w:val="superscript"/>
        </w:rPr>
        <w:t>–</w:t>
      </w:r>
      <w:r w:rsidRPr="002832AF">
        <w:rPr>
          <w:rFonts w:cs="Times New Roman"/>
          <w:szCs w:val="24"/>
          <w:vertAlign w:val="superscript"/>
        </w:rPr>
        <w:t>3]</w:t>
      </w:r>
      <w:r w:rsidRPr="002832AF">
        <w:rPr>
          <w:rFonts w:cs="Times New Roman"/>
          <w:szCs w:val="24"/>
        </w:rPr>
        <w:t xml:space="preserve">. As an essential foundational discipline supporting artificial intelligence development, the quality of talent cultivation for big data majors directly determines the progress of </w:t>
      </w:r>
      <w:r w:rsidR="00B431DA">
        <w:rPr>
          <w:rFonts w:cs="Times New Roman"/>
          <w:szCs w:val="24"/>
        </w:rPr>
        <w:t xml:space="preserve">the </w:t>
      </w:r>
      <w:r w:rsidRPr="002832AF">
        <w:rPr>
          <w:rFonts w:cs="Times New Roman"/>
          <w:szCs w:val="24"/>
        </w:rPr>
        <w:t xml:space="preserve">digital economy and scientific and technological innovation. In recent years, China has continuously strengthened top-level design in relevant fields. The </w:t>
      </w:r>
      <w:r w:rsidRPr="002832AF">
        <w:rPr>
          <w:rFonts w:cs="Times New Roman"/>
          <w:i/>
          <w:szCs w:val="24"/>
        </w:rPr>
        <w:t>Opinions on Strengthening the Discipline Construction of Data Elements and the Development of Digital Talent Teams</w:t>
      </w:r>
      <w:r w:rsidRPr="002832AF">
        <w:rPr>
          <w:rFonts w:cs="Times New Roman"/>
          <w:szCs w:val="24"/>
        </w:rPr>
        <w:t xml:space="preserve"> emphasizes the deep integration of education chains, talent chains, industrial chains and innovation chains</w:t>
      </w:r>
      <w:r w:rsidR="00791180">
        <w:rPr>
          <w:rFonts w:cs="Times New Roman"/>
          <w:szCs w:val="24"/>
        </w:rPr>
        <w:t xml:space="preserve"> </w:t>
      </w:r>
      <w:r w:rsidRPr="002832AF">
        <w:rPr>
          <w:rFonts w:cs="Times New Roman"/>
          <w:szCs w:val="24"/>
          <w:vertAlign w:val="superscript"/>
        </w:rPr>
        <w:t>[4]</w:t>
      </w:r>
      <w:r w:rsidRPr="002832AF">
        <w:rPr>
          <w:rFonts w:cs="Times New Roman"/>
          <w:szCs w:val="24"/>
        </w:rPr>
        <w:t xml:space="preserve">. The </w:t>
      </w:r>
      <w:r w:rsidRPr="002832AF">
        <w:rPr>
          <w:rFonts w:cs="Times New Roman"/>
          <w:i/>
          <w:szCs w:val="24"/>
        </w:rPr>
        <w:t xml:space="preserve">Action Plan for </w:t>
      </w:r>
      <w:r w:rsidR="00791180">
        <w:rPr>
          <w:rFonts w:cs="Times New Roman"/>
          <w:i/>
          <w:szCs w:val="24"/>
        </w:rPr>
        <w:t>“</w:t>
      </w:r>
      <w:r w:rsidRPr="002832AF">
        <w:rPr>
          <w:rFonts w:cs="Times New Roman"/>
          <w:i/>
          <w:szCs w:val="24"/>
        </w:rPr>
        <w:t>Artificial Intelligence + Education</w:t>
      </w:r>
      <w:r w:rsidR="00791180">
        <w:rPr>
          <w:rFonts w:cs="Times New Roman"/>
          <w:i/>
          <w:szCs w:val="24"/>
        </w:rPr>
        <w:t>”</w:t>
      </w:r>
      <w:r w:rsidRPr="002832AF">
        <w:rPr>
          <w:rFonts w:cs="Times New Roman"/>
          <w:szCs w:val="24"/>
        </w:rPr>
        <w:t xml:space="preserve"> also puts forward requirements to integrate artificial intelligence into all stages of teaching and learning</w:t>
      </w:r>
      <w:r w:rsidR="00791180">
        <w:rPr>
          <w:rFonts w:cs="Times New Roman"/>
          <w:szCs w:val="24"/>
        </w:rPr>
        <w:t xml:space="preserve"> </w:t>
      </w:r>
      <w:r w:rsidRPr="002832AF">
        <w:rPr>
          <w:rFonts w:cs="Times New Roman"/>
          <w:szCs w:val="24"/>
          <w:vertAlign w:val="superscript"/>
        </w:rPr>
        <w:t>[5]</w:t>
      </w:r>
      <w:r w:rsidRPr="002832AF">
        <w:rPr>
          <w:rFonts w:cs="Times New Roman"/>
          <w:szCs w:val="24"/>
        </w:rPr>
        <w:t>. Against this background, the talent cultivation objective for big data majors has shifted from knowledge delivery to competency development</w:t>
      </w:r>
      <w:r w:rsidR="00791180">
        <w:rPr>
          <w:rFonts w:cs="Times New Roman"/>
          <w:szCs w:val="24"/>
        </w:rPr>
        <w:t xml:space="preserve"> </w:t>
      </w:r>
      <w:r w:rsidRPr="002832AF">
        <w:rPr>
          <w:rFonts w:cs="Times New Roman"/>
          <w:szCs w:val="24"/>
          <w:vertAlign w:val="superscript"/>
        </w:rPr>
        <w:t>[6]</w:t>
      </w:r>
      <w:r w:rsidRPr="002832AF">
        <w:rPr>
          <w:rFonts w:cs="Times New Roman"/>
          <w:szCs w:val="24"/>
        </w:rPr>
        <w:t>, with greater emphasis placed on engineering practical abilities including data collection, processing, analysis, visualization and AI model application</w:t>
      </w:r>
      <w:r w:rsidR="00791180">
        <w:rPr>
          <w:rFonts w:cs="Times New Roman"/>
          <w:szCs w:val="24"/>
        </w:rPr>
        <w:t xml:space="preserve"> </w:t>
      </w:r>
      <w:r w:rsidRPr="002832AF">
        <w:rPr>
          <w:rFonts w:cs="Times New Roman"/>
          <w:szCs w:val="24"/>
          <w:vertAlign w:val="superscript"/>
        </w:rPr>
        <w:t>[7]</w:t>
      </w:r>
      <w:r w:rsidRPr="002832AF">
        <w:rPr>
          <w:rFonts w:cs="Times New Roman"/>
          <w:szCs w:val="24"/>
        </w:rPr>
        <w:t>. As a vital link connecting theoretical knowledge and industrial demands, the reform and innovation of practical teaching have become a core concern in higher education research</w:t>
      </w:r>
      <w:r w:rsidR="00791180">
        <w:rPr>
          <w:rFonts w:cs="Times New Roman"/>
          <w:szCs w:val="24"/>
        </w:rPr>
        <w:t xml:space="preserve"> </w:t>
      </w:r>
      <w:r w:rsidRPr="002832AF">
        <w:rPr>
          <w:rFonts w:cs="Times New Roman"/>
          <w:szCs w:val="24"/>
          <w:vertAlign w:val="superscript"/>
        </w:rPr>
        <w:t>[8</w:t>
      </w:r>
      <w:r w:rsidR="00791180">
        <w:rPr>
          <w:rFonts w:cs="Times New Roman"/>
          <w:szCs w:val="24"/>
          <w:vertAlign w:val="superscript"/>
        </w:rPr>
        <w:t>,</w:t>
      </w:r>
      <w:r w:rsidRPr="002832AF">
        <w:rPr>
          <w:rFonts w:cs="Times New Roman"/>
          <w:szCs w:val="24"/>
          <w:vertAlign w:val="superscript"/>
        </w:rPr>
        <w:t>9]</w:t>
      </w:r>
      <w:r w:rsidRPr="002832AF">
        <w:rPr>
          <w:rFonts w:cs="Times New Roman"/>
          <w:szCs w:val="24"/>
        </w:rPr>
        <w:t>.</w:t>
      </w:r>
    </w:p>
    <w:p w14:paraId="6F2543FB" w14:textId="77777777" w:rsidR="00791180" w:rsidRDefault="00791180" w:rsidP="00791180">
      <w:pPr>
        <w:rPr>
          <w:rFonts w:cs="Times New Roman"/>
          <w:szCs w:val="24"/>
        </w:rPr>
      </w:pPr>
      <w:bookmarkStart w:id="4" w:name="heading_3"/>
    </w:p>
    <w:p w14:paraId="5A51EAE5" w14:textId="528191CE" w:rsidR="00A2378B" w:rsidRPr="00110121" w:rsidRDefault="00000000" w:rsidP="00110121">
      <w:pPr>
        <w:rPr>
          <w:rFonts w:cs="Times New Roman"/>
          <w:b/>
          <w:bCs/>
          <w:szCs w:val="24"/>
        </w:rPr>
      </w:pPr>
      <w:r w:rsidRPr="00110121">
        <w:rPr>
          <w:rFonts w:cs="Times New Roman"/>
          <w:b/>
          <w:bCs/>
          <w:szCs w:val="24"/>
        </w:rPr>
        <w:t>2</w:t>
      </w:r>
      <w:r w:rsidR="00791180">
        <w:rPr>
          <w:rFonts w:cs="Times New Roman"/>
          <w:b/>
          <w:bCs/>
          <w:szCs w:val="24"/>
        </w:rPr>
        <w:t>.</w:t>
      </w:r>
      <w:r w:rsidRPr="00110121">
        <w:rPr>
          <w:rFonts w:cs="Times New Roman"/>
          <w:b/>
          <w:bCs/>
          <w:szCs w:val="24"/>
        </w:rPr>
        <w:t xml:space="preserve"> Major </w:t>
      </w:r>
      <w:r w:rsidR="00791180" w:rsidRPr="00791180">
        <w:rPr>
          <w:rFonts w:cs="Times New Roman"/>
          <w:b/>
          <w:bCs/>
          <w:szCs w:val="24"/>
        </w:rPr>
        <w:t>challenges facing practical teaching for big data majors</w:t>
      </w:r>
      <w:bookmarkEnd w:id="4"/>
    </w:p>
    <w:p w14:paraId="39989CBF" w14:textId="4E97F557" w:rsidR="00A2378B" w:rsidRPr="002832AF" w:rsidRDefault="00000000" w:rsidP="00110121">
      <w:pPr>
        <w:rPr>
          <w:rFonts w:cs="Times New Roman"/>
          <w:szCs w:val="24"/>
        </w:rPr>
      </w:pPr>
      <w:r w:rsidRPr="002832AF">
        <w:rPr>
          <w:rFonts w:cs="Times New Roman"/>
          <w:szCs w:val="24"/>
        </w:rPr>
        <w:t>Despite continuous improvements in the construction of big data majors across universities in recent years, structural shortcomings still exist within practical teaching systems, which undermine the quality of talent cultivation</w:t>
      </w:r>
      <w:r w:rsidR="00791180">
        <w:rPr>
          <w:rFonts w:cs="Times New Roman"/>
          <w:szCs w:val="24"/>
        </w:rPr>
        <w:t xml:space="preserve"> </w:t>
      </w:r>
      <w:r w:rsidRPr="002832AF">
        <w:rPr>
          <w:rFonts w:cs="Times New Roman"/>
          <w:szCs w:val="24"/>
          <w:vertAlign w:val="superscript"/>
        </w:rPr>
        <w:t>[10</w:t>
      </w:r>
      <w:r w:rsidR="00791180">
        <w:rPr>
          <w:rFonts w:cs="Times New Roman"/>
          <w:szCs w:val="24"/>
          <w:vertAlign w:val="superscript"/>
        </w:rPr>
        <w:t>,</w:t>
      </w:r>
      <w:r w:rsidRPr="002832AF">
        <w:rPr>
          <w:rFonts w:cs="Times New Roman"/>
          <w:szCs w:val="24"/>
          <w:vertAlign w:val="superscript"/>
        </w:rPr>
        <w:t>11]</w:t>
      </w:r>
      <w:r w:rsidRPr="002832AF">
        <w:rPr>
          <w:rFonts w:cs="Times New Roman"/>
          <w:szCs w:val="24"/>
        </w:rPr>
        <w:t>. On the one hand, teaching content lags behind technological evolution. Big data and artificial intelligence technologies are advancing toward cloud-native architecture, large model application and intelligent agent development</w:t>
      </w:r>
      <w:r w:rsidR="00791180">
        <w:rPr>
          <w:rFonts w:cs="Times New Roman"/>
          <w:szCs w:val="24"/>
        </w:rPr>
        <w:t xml:space="preserve"> </w:t>
      </w:r>
      <w:r w:rsidRPr="002832AF">
        <w:rPr>
          <w:rFonts w:cs="Times New Roman"/>
          <w:szCs w:val="24"/>
          <w:vertAlign w:val="superscript"/>
        </w:rPr>
        <w:t>[12</w:t>
      </w:r>
      <w:r w:rsidR="00791180">
        <w:rPr>
          <w:rFonts w:cs="Times New Roman"/>
          <w:szCs w:val="24"/>
          <w:vertAlign w:val="superscript"/>
        </w:rPr>
        <w:t>–</w:t>
      </w:r>
      <w:r w:rsidRPr="002832AF">
        <w:rPr>
          <w:rFonts w:cs="Times New Roman"/>
          <w:szCs w:val="24"/>
          <w:vertAlign w:val="superscript"/>
        </w:rPr>
        <w:t>14]</w:t>
      </w:r>
      <w:r w:rsidRPr="002832AF">
        <w:rPr>
          <w:rFonts w:cs="Times New Roman"/>
          <w:szCs w:val="24"/>
        </w:rPr>
        <w:t xml:space="preserve">. However, many courses and experimental contents remain confined to basic technologies, creating a disconnect </w:t>
      </w:r>
      <w:r w:rsidRPr="002832AF">
        <w:rPr>
          <w:rFonts w:cs="Times New Roman"/>
          <w:szCs w:val="24"/>
        </w:rPr>
        <w:lastRenderedPageBreak/>
        <w:t>between students</w:t>
      </w:r>
      <w:r w:rsidR="00791180">
        <w:rPr>
          <w:rFonts w:cs="Times New Roman"/>
          <w:szCs w:val="24"/>
        </w:rPr>
        <w:t>’</w:t>
      </w:r>
      <w:r w:rsidRPr="002832AF">
        <w:rPr>
          <w:rFonts w:cs="Times New Roman"/>
          <w:szCs w:val="24"/>
        </w:rPr>
        <w:t xml:space="preserve"> knowledge framework and actual industrial requirements. On the other hand, restricted by insufficient funding, computing power and platform infrastructure, most universities cannot support complex data processing and model training tasks, resulting in shallow practical training for students. In addition, existing practical teaching mainly consists of verification-based experiments, lacking comprehensive projects set in real workplace scenarios. The team of dual-qualified teachers and school-enterprise collaborative mechanisms are imperfect, with limited in-depth participation from enterprises, failing to form stable and effective collaborative education mechanisms through industry-education integration</w:t>
      </w:r>
      <w:r w:rsidR="00791180">
        <w:rPr>
          <w:rFonts w:cs="Times New Roman"/>
          <w:szCs w:val="24"/>
        </w:rPr>
        <w:t xml:space="preserve"> </w:t>
      </w:r>
      <w:r w:rsidRPr="002832AF">
        <w:rPr>
          <w:rFonts w:cs="Times New Roman"/>
          <w:szCs w:val="24"/>
          <w:vertAlign w:val="superscript"/>
        </w:rPr>
        <w:t>[15]</w:t>
      </w:r>
      <w:r w:rsidRPr="002832AF">
        <w:rPr>
          <w:rFonts w:cs="Times New Roman"/>
          <w:szCs w:val="24"/>
        </w:rPr>
        <w:t>.</w:t>
      </w:r>
    </w:p>
    <w:p w14:paraId="40A4C81A" w14:textId="77777777" w:rsidR="00791180" w:rsidRDefault="00791180" w:rsidP="00791180">
      <w:pPr>
        <w:rPr>
          <w:rFonts w:cs="Times New Roman"/>
          <w:szCs w:val="24"/>
        </w:rPr>
      </w:pPr>
      <w:bookmarkStart w:id="5" w:name="heading_4"/>
    </w:p>
    <w:p w14:paraId="7C80C28C" w14:textId="0C8AF5FA" w:rsidR="00A2378B" w:rsidRPr="00110121" w:rsidRDefault="00000000" w:rsidP="00110121">
      <w:pPr>
        <w:rPr>
          <w:rFonts w:cs="Times New Roman"/>
          <w:b/>
          <w:bCs/>
          <w:szCs w:val="24"/>
        </w:rPr>
      </w:pPr>
      <w:r w:rsidRPr="00110121">
        <w:rPr>
          <w:rFonts w:cs="Times New Roman"/>
          <w:b/>
          <w:bCs/>
          <w:szCs w:val="24"/>
        </w:rPr>
        <w:t>3</w:t>
      </w:r>
      <w:r w:rsidR="00791180">
        <w:rPr>
          <w:rFonts w:cs="Times New Roman"/>
          <w:b/>
          <w:bCs/>
          <w:szCs w:val="24"/>
        </w:rPr>
        <w:t>.</w:t>
      </w:r>
      <w:r w:rsidRPr="00110121">
        <w:rPr>
          <w:rFonts w:cs="Times New Roman"/>
          <w:b/>
          <w:bCs/>
          <w:szCs w:val="24"/>
        </w:rPr>
        <w:t xml:space="preserve"> Paths and </w:t>
      </w:r>
      <w:r w:rsidR="00791180" w:rsidRPr="00791180">
        <w:rPr>
          <w:rFonts w:cs="Times New Roman"/>
          <w:b/>
          <w:bCs/>
          <w:szCs w:val="24"/>
        </w:rPr>
        <w:t xml:space="preserve">modes </w:t>
      </w:r>
      <w:r w:rsidRPr="00110121">
        <w:rPr>
          <w:rFonts w:cs="Times New Roman"/>
          <w:b/>
          <w:bCs/>
          <w:szCs w:val="24"/>
        </w:rPr>
        <w:t>of AI-</w:t>
      </w:r>
      <w:r w:rsidR="00791180" w:rsidRPr="00791180">
        <w:rPr>
          <w:rFonts w:cs="Times New Roman"/>
          <w:b/>
          <w:bCs/>
          <w:szCs w:val="24"/>
        </w:rPr>
        <w:t>enabled practical teaching reform</w:t>
      </w:r>
      <w:bookmarkEnd w:id="5"/>
    </w:p>
    <w:p w14:paraId="2A9B63E3" w14:textId="79AADC88" w:rsidR="00A2378B" w:rsidRPr="002832AF" w:rsidRDefault="00000000" w:rsidP="00110121">
      <w:pPr>
        <w:rPr>
          <w:rFonts w:cs="Times New Roman"/>
          <w:szCs w:val="24"/>
        </w:rPr>
      </w:pPr>
      <w:r w:rsidRPr="002832AF">
        <w:rPr>
          <w:rFonts w:cs="Times New Roman"/>
          <w:szCs w:val="24"/>
        </w:rPr>
        <w:t xml:space="preserve">The core value of artificial intelligence empowering practical teaching lies not merely in introducing intelligent tools to assist teachers in administrative work, but in reconstructing teaching content, teaching procedures and evaluation systems through data-driven approaches. Traditional practical teaching adopts fixed experimental procedures with unified learning schedules for all students, making it difficult for instructors to identify individual gaps in knowledge comprehension and skill mastery. Supported by artificial intelligence, practical teaching can transform from </w:t>
      </w:r>
      <w:r w:rsidR="00791180">
        <w:rPr>
          <w:rFonts w:cs="Times New Roman"/>
          <w:szCs w:val="24"/>
        </w:rPr>
        <w:t>“</w:t>
      </w:r>
      <w:r w:rsidRPr="002832AF">
        <w:rPr>
          <w:rFonts w:cs="Times New Roman"/>
          <w:szCs w:val="24"/>
        </w:rPr>
        <w:t>unified tasks, unified schedules, unified assessments</w:t>
      </w:r>
      <w:r w:rsidR="00791180">
        <w:rPr>
          <w:rFonts w:cs="Times New Roman"/>
          <w:szCs w:val="24"/>
        </w:rPr>
        <w:t>”</w:t>
      </w:r>
      <w:r w:rsidRPr="002832AF">
        <w:rPr>
          <w:rFonts w:cs="Times New Roman"/>
          <w:szCs w:val="24"/>
        </w:rPr>
        <w:t xml:space="preserve"> to </w:t>
      </w:r>
      <w:r w:rsidR="00791180">
        <w:rPr>
          <w:rFonts w:cs="Times New Roman"/>
          <w:szCs w:val="24"/>
        </w:rPr>
        <w:t>“</w:t>
      </w:r>
      <w:r w:rsidRPr="002832AF">
        <w:rPr>
          <w:rFonts w:cs="Times New Roman"/>
          <w:szCs w:val="24"/>
        </w:rPr>
        <w:t>personalized learning paths, dynamic assignments and process-oriented evaluation</w:t>
      </w:r>
      <w:r w:rsidR="00791180">
        <w:rPr>
          <w:rFonts w:cs="Times New Roman"/>
          <w:szCs w:val="24"/>
        </w:rPr>
        <w:t>”</w:t>
      </w:r>
      <w:r w:rsidRPr="002832AF">
        <w:rPr>
          <w:rFonts w:cs="Times New Roman"/>
          <w:szCs w:val="24"/>
        </w:rPr>
        <w:t>.</w:t>
      </w:r>
    </w:p>
    <w:p w14:paraId="7A60D529" w14:textId="6FA7FF9C" w:rsidR="00A2378B" w:rsidRPr="002832AF" w:rsidRDefault="00000000" w:rsidP="00110121">
      <w:pPr>
        <w:ind w:firstLine="420"/>
        <w:rPr>
          <w:rFonts w:cs="Times New Roman"/>
          <w:szCs w:val="24"/>
        </w:rPr>
      </w:pPr>
      <w:r w:rsidRPr="002832AF">
        <w:rPr>
          <w:rFonts w:cs="Times New Roman"/>
          <w:szCs w:val="24"/>
        </w:rPr>
        <w:t xml:space="preserve">Specifically, universities can carry out AI-enabled reforms from three dimensions: teaching content, practical training environments and teaching modes. The </w:t>
      </w:r>
      <w:r w:rsidR="00791180">
        <w:rPr>
          <w:rFonts w:cs="Times New Roman"/>
          <w:szCs w:val="24"/>
        </w:rPr>
        <w:t>“</w:t>
      </w:r>
      <w:r w:rsidRPr="002832AF">
        <w:rPr>
          <w:rFonts w:cs="Times New Roman"/>
          <w:szCs w:val="24"/>
        </w:rPr>
        <w:t>AI + Knowledge Graph</w:t>
      </w:r>
      <w:r w:rsidR="00791180">
        <w:rPr>
          <w:rFonts w:cs="Times New Roman"/>
          <w:szCs w:val="24"/>
        </w:rPr>
        <w:t>”</w:t>
      </w:r>
      <w:r w:rsidRPr="002832AF">
        <w:rPr>
          <w:rFonts w:cs="Times New Roman"/>
          <w:szCs w:val="24"/>
        </w:rPr>
        <w:t xml:space="preserve"> framework can integrate course knowledge points, skill requirements and post competencies to realize learning diagnosis and targeted resource recommendation. Intelligent practical training platforms built on cloud computing, big data and AI frameworks can support full-cycle project training. Meanwhile, real enterprise tasks can be incorporated into teaching procedures to deepen the integrated training model of </w:t>
      </w:r>
      <w:r w:rsidR="00791180">
        <w:rPr>
          <w:rFonts w:cs="Times New Roman"/>
          <w:szCs w:val="24"/>
        </w:rPr>
        <w:t>“</w:t>
      </w:r>
      <w:r w:rsidRPr="002832AF">
        <w:rPr>
          <w:rFonts w:cs="Times New Roman"/>
          <w:szCs w:val="24"/>
        </w:rPr>
        <w:t>posts, courses, competitions, certificates and innovation</w:t>
      </w:r>
      <w:r w:rsidR="00791180">
        <w:rPr>
          <w:rFonts w:cs="Times New Roman"/>
          <w:szCs w:val="24"/>
        </w:rPr>
        <w:t>”</w:t>
      </w:r>
      <w:r w:rsidRPr="002832AF">
        <w:rPr>
          <w:rFonts w:cs="Times New Roman"/>
          <w:szCs w:val="24"/>
        </w:rPr>
        <w:t>, shifting practical teaching from knowledge-oriented to competency-oriented.</w:t>
      </w:r>
    </w:p>
    <w:p w14:paraId="11745168" w14:textId="77777777" w:rsidR="000B191C" w:rsidRDefault="000B191C" w:rsidP="000B191C">
      <w:pPr>
        <w:rPr>
          <w:rFonts w:cs="Times New Roman"/>
          <w:szCs w:val="24"/>
        </w:rPr>
      </w:pPr>
      <w:bookmarkStart w:id="6" w:name="heading_5"/>
    </w:p>
    <w:p w14:paraId="320D7637" w14:textId="0CD6143E" w:rsidR="00A2378B" w:rsidRPr="00110121" w:rsidRDefault="00000000" w:rsidP="00110121">
      <w:pPr>
        <w:rPr>
          <w:rFonts w:cs="Times New Roman"/>
          <w:b/>
          <w:bCs/>
          <w:szCs w:val="24"/>
        </w:rPr>
      </w:pPr>
      <w:r w:rsidRPr="00110121">
        <w:rPr>
          <w:rFonts w:cs="Times New Roman"/>
          <w:b/>
          <w:bCs/>
          <w:szCs w:val="24"/>
        </w:rPr>
        <w:t>4</w:t>
      </w:r>
      <w:r w:rsidR="000B191C">
        <w:rPr>
          <w:rFonts w:cs="Times New Roman"/>
          <w:b/>
          <w:bCs/>
          <w:szCs w:val="24"/>
        </w:rPr>
        <w:t>.</w:t>
      </w:r>
      <w:r w:rsidRPr="00110121">
        <w:rPr>
          <w:rFonts w:cs="Times New Roman"/>
          <w:b/>
          <w:bCs/>
          <w:szCs w:val="24"/>
        </w:rPr>
        <w:t xml:space="preserve"> Innovative </w:t>
      </w:r>
      <w:r w:rsidR="000B191C" w:rsidRPr="000B191C">
        <w:rPr>
          <w:rFonts w:cs="Times New Roman"/>
          <w:b/>
          <w:bCs/>
          <w:szCs w:val="24"/>
        </w:rPr>
        <w:t>practical mode of in-depth industry-education integration</w:t>
      </w:r>
      <w:bookmarkEnd w:id="6"/>
    </w:p>
    <w:p w14:paraId="7D32FCE6" w14:textId="116937C4" w:rsidR="00A2378B" w:rsidRPr="002832AF" w:rsidRDefault="00000000" w:rsidP="00110121">
      <w:pPr>
        <w:rPr>
          <w:rFonts w:cs="Times New Roman"/>
          <w:szCs w:val="24"/>
        </w:rPr>
      </w:pPr>
      <w:r w:rsidRPr="002832AF">
        <w:rPr>
          <w:rFonts w:cs="Times New Roman"/>
          <w:szCs w:val="24"/>
        </w:rPr>
        <w:t>The core of practical teaching reform lies in deepening industry-education integration and establishing a collaborative education mechanism featuring school-enterprise cooperation, resource sharing, whole-process co-management and joint achievement evaluation. The big data discipline maintains tight connections with industrial practices; classroom teaching alone cannot replicate the complexity of real business scenarios. Therefore, universities should promote school-enterprise cooperation covering courses, projects, tutors and achievement transformation. First, invite enterprise technical specialists to participate in curriculum standard formulation, and translate competency requirements for data analysis, big data development and algorithm positions into modular course contents. Second, introduce desensitized real business data, demand documents and project evaluation criteria, and design basic, comprehensive and innovative tasks tailored to students</w:t>
      </w:r>
      <w:r w:rsidR="00791180">
        <w:rPr>
          <w:rFonts w:cs="Times New Roman"/>
          <w:szCs w:val="24"/>
        </w:rPr>
        <w:t>’</w:t>
      </w:r>
      <w:r w:rsidRPr="002832AF">
        <w:rPr>
          <w:rFonts w:cs="Times New Roman"/>
          <w:szCs w:val="24"/>
        </w:rPr>
        <w:t xml:space="preserve"> varying proficiency levels. Third, establish joint tutoring mechanisms involving both university instructors and enterprise mentors, enabling students to receive dual guidance on theoretical methodologies, engineering specifications and project acceptance standards. Through coherent connections between curriculum projects, discipline competitions, graduation projects and innovation &amp; entrepreneurship training as well as enterprise internships, the outcomes of practical teaching can be continuously refined and transformed, enhancing students</w:t>
      </w:r>
      <w:r w:rsidR="00791180">
        <w:rPr>
          <w:rFonts w:cs="Times New Roman"/>
          <w:szCs w:val="24"/>
        </w:rPr>
        <w:t>’</w:t>
      </w:r>
      <w:r w:rsidRPr="002832AF">
        <w:rPr>
          <w:rFonts w:cs="Times New Roman"/>
          <w:szCs w:val="24"/>
        </w:rPr>
        <w:t xml:space="preserve"> consistent professional growth and </w:t>
      </w:r>
      <w:r w:rsidR="00B431DA">
        <w:rPr>
          <w:rFonts w:cs="Times New Roman"/>
          <w:szCs w:val="24"/>
        </w:rPr>
        <w:t>post-adaptability</w:t>
      </w:r>
      <w:r w:rsidRPr="002832AF">
        <w:rPr>
          <w:rFonts w:cs="Times New Roman"/>
          <w:szCs w:val="24"/>
        </w:rPr>
        <w:t>.</w:t>
      </w:r>
    </w:p>
    <w:p w14:paraId="437C4AF8" w14:textId="77777777" w:rsidR="000B191C" w:rsidRDefault="000B191C" w:rsidP="00791180">
      <w:pPr>
        <w:rPr>
          <w:rFonts w:cs="Times New Roman"/>
          <w:szCs w:val="24"/>
        </w:rPr>
      </w:pPr>
      <w:bookmarkStart w:id="7" w:name="heading_6"/>
    </w:p>
    <w:p w14:paraId="18A13F7E" w14:textId="69E258F4" w:rsidR="00A2378B" w:rsidRPr="00110121" w:rsidRDefault="00000000" w:rsidP="00110121">
      <w:pPr>
        <w:rPr>
          <w:rFonts w:cs="Times New Roman"/>
          <w:b/>
          <w:bCs/>
          <w:szCs w:val="24"/>
        </w:rPr>
      </w:pPr>
      <w:r w:rsidRPr="00110121">
        <w:rPr>
          <w:rFonts w:cs="Times New Roman"/>
          <w:b/>
          <w:bCs/>
          <w:szCs w:val="24"/>
        </w:rPr>
        <w:t>5</w:t>
      </w:r>
      <w:r w:rsidR="000B191C">
        <w:rPr>
          <w:rFonts w:cs="Times New Roman"/>
          <w:b/>
          <w:bCs/>
          <w:szCs w:val="24"/>
        </w:rPr>
        <w:t>.</w:t>
      </w:r>
      <w:r w:rsidRPr="00110121">
        <w:rPr>
          <w:rFonts w:cs="Times New Roman"/>
          <w:b/>
          <w:bCs/>
          <w:szCs w:val="24"/>
        </w:rPr>
        <w:t xml:space="preserve"> Construction of AI-</w:t>
      </w:r>
      <w:r w:rsidR="000B191C" w:rsidRPr="000B191C">
        <w:rPr>
          <w:rFonts w:cs="Times New Roman"/>
          <w:b/>
          <w:bCs/>
          <w:szCs w:val="24"/>
        </w:rPr>
        <w:t>enabled practical teaching evaluation system</w:t>
      </w:r>
      <w:bookmarkEnd w:id="7"/>
    </w:p>
    <w:p w14:paraId="4701AFBF" w14:textId="410DAB87" w:rsidR="00A2378B" w:rsidRPr="002832AF" w:rsidRDefault="00000000" w:rsidP="00110121">
      <w:pPr>
        <w:rPr>
          <w:rFonts w:cs="Times New Roman"/>
          <w:szCs w:val="24"/>
        </w:rPr>
      </w:pPr>
      <w:r w:rsidRPr="002832AF">
        <w:rPr>
          <w:rFonts w:cs="Times New Roman"/>
          <w:szCs w:val="24"/>
        </w:rPr>
        <w:t xml:space="preserve">For AI-driven practical teaching reform of big data majors, a comprehensive evaluation system combining process assessment, competency assessment and multi-stakeholder evaluation shall be established. Conventional evaluation methods mostly rely on experimental reports, final projects or </w:t>
      </w:r>
      <w:r w:rsidRPr="002832AF">
        <w:rPr>
          <w:rFonts w:cs="Times New Roman"/>
          <w:szCs w:val="24"/>
        </w:rPr>
        <w:lastRenderedPageBreak/>
        <w:t>written examinations, ignoring students</w:t>
      </w:r>
      <w:r w:rsidR="00791180">
        <w:rPr>
          <w:rFonts w:cs="Times New Roman"/>
          <w:szCs w:val="24"/>
        </w:rPr>
        <w:t>’</w:t>
      </w:r>
      <w:r w:rsidRPr="002832AF">
        <w:rPr>
          <w:rFonts w:cs="Times New Roman"/>
          <w:szCs w:val="24"/>
        </w:rPr>
        <w:t xml:space="preserve"> real performance during practical training. Since practical competencies for big data majors are procedural and comprehensive, evaluation shall focus not only on final deliverables but also </w:t>
      </w:r>
      <w:r w:rsidR="00B431DA">
        <w:rPr>
          <w:rFonts w:cs="Times New Roman"/>
          <w:szCs w:val="24"/>
        </w:rPr>
        <w:t xml:space="preserve">on synthesizing learning </w:t>
      </w:r>
      <w:proofErr w:type="spellStart"/>
      <w:r w:rsidR="00B431DA">
        <w:rPr>
          <w:rFonts w:cs="Times New Roman"/>
          <w:szCs w:val="24"/>
        </w:rPr>
        <w:t>behavior</w:t>
      </w:r>
      <w:proofErr w:type="spellEnd"/>
      <w:r w:rsidR="00B431DA">
        <w:rPr>
          <w:rFonts w:cs="Times New Roman"/>
          <w:szCs w:val="24"/>
        </w:rPr>
        <w:t xml:space="preserve"> data, project outputs,</w:t>
      </w:r>
      <w:r w:rsidRPr="002832AF">
        <w:rPr>
          <w:rFonts w:cs="Times New Roman"/>
          <w:szCs w:val="24"/>
        </w:rPr>
        <w:t xml:space="preserve"> and multi-party feedback. Intelligent teaching platforms can collect data including experimental progress, code submissions, debugging records and resource browsing to generate individual learning trajectories, allowing teachers to identify students</w:t>
      </w:r>
      <w:r w:rsidR="00791180">
        <w:rPr>
          <w:rFonts w:cs="Times New Roman"/>
          <w:szCs w:val="24"/>
        </w:rPr>
        <w:t>’</w:t>
      </w:r>
      <w:r w:rsidRPr="002832AF">
        <w:rPr>
          <w:rFonts w:cs="Times New Roman"/>
          <w:szCs w:val="24"/>
        </w:rPr>
        <w:t xml:space="preserve"> weak points and deliver targeted guidance. A complete evaluation indicator system can be constructed covering learning process, knowledge mastery, engineering capabilities, teamwork and professional ethics.</w:t>
      </w:r>
    </w:p>
    <w:p w14:paraId="38BA7C16" w14:textId="77777777" w:rsidR="00A2378B" w:rsidRPr="002832AF" w:rsidRDefault="00000000" w:rsidP="00110121">
      <w:pPr>
        <w:ind w:firstLine="420"/>
        <w:rPr>
          <w:rFonts w:cs="Times New Roman"/>
          <w:szCs w:val="24"/>
        </w:rPr>
      </w:pPr>
      <w:r w:rsidRPr="002832AF">
        <w:rPr>
          <w:rFonts w:cs="Times New Roman"/>
          <w:szCs w:val="24"/>
        </w:rPr>
        <w:t xml:space="preserve">As shown in </w:t>
      </w:r>
      <w:r w:rsidRPr="00110121">
        <w:rPr>
          <w:rFonts w:cs="Times New Roman"/>
          <w:b/>
          <w:bCs/>
          <w:szCs w:val="24"/>
        </w:rPr>
        <w:t>Table 1</w:t>
      </w:r>
      <w:r w:rsidRPr="002832AF">
        <w:rPr>
          <w:rFonts w:cs="Times New Roman"/>
          <w:szCs w:val="24"/>
        </w:rPr>
        <w:t>, this evaluation system balances learning progress, project deliverables and career development potential. Learning process and knowledge mastery indicators are used to measure student participation and identify knowledge gaps; engineering capability indicators assess proficiency in complete project implementation; teamwork and professional ethics indicators evaluate team awareness, sense of responsibility, data security awareness and ethical norms. Joint evaluation by teachers, enterprise mentors, student self-assessment and group peer review can improve the comprehensiveness and authenticity of evaluation results.</w:t>
      </w:r>
    </w:p>
    <w:p w14:paraId="3DCCA647" w14:textId="77777777" w:rsidR="000B191C" w:rsidRDefault="000B191C" w:rsidP="00791180">
      <w:pPr>
        <w:rPr>
          <w:rFonts w:cs="Times New Roman"/>
          <w:szCs w:val="24"/>
        </w:rPr>
      </w:pPr>
    </w:p>
    <w:p w14:paraId="11AE81C2" w14:textId="48A705BF" w:rsidR="00A2378B" w:rsidRPr="002832AF" w:rsidRDefault="00000000" w:rsidP="00110121">
      <w:pPr>
        <w:rPr>
          <w:rFonts w:cs="Times New Roman"/>
          <w:szCs w:val="24"/>
        </w:rPr>
      </w:pPr>
      <w:r w:rsidRPr="00110121">
        <w:rPr>
          <w:rFonts w:cs="Times New Roman"/>
          <w:b/>
          <w:bCs/>
          <w:szCs w:val="24"/>
        </w:rPr>
        <w:t>Table 1</w:t>
      </w:r>
      <w:r w:rsidR="000B191C">
        <w:rPr>
          <w:rFonts w:cs="Times New Roman"/>
          <w:b/>
          <w:bCs/>
          <w:szCs w:val="24"/>
        </w:rPr>
        <w:t>.</w:t>
      </w:r>
      <w:r w:rsidRPr="00110121">
        <w:rPr>
          <w:rFonts w:cs="Times New Roman"/>
          <w:b/>
          <w:bCs/>
          <w:szCs w:val="24"/>
        </w:rPr>
        <w:t xml:space="preserve"> </w:t>
      </w:r>
      <w:r w:rsidRPr="000B191C">
        <w:rPr>
          <w:rFonts w:cs="Times New Roman"/>
          <w:szCs w:val="24"/>
        </w:rPr>
        <w:t>Design</w:t>
      </w:r>
      <w:r w:rsidRPr="002832AF">
        <w:rPr>
          <w:rFonts w:cs="Times New Roman"/>
          <w:szCs w:val="24"/>
        </w:rPr>
        <w:t xml:space="preserve"> of </w:t>
      </w:r>
      <w:r w:rsidR="000B191C" w:rsidRPr="002832AF">
        <w:rPr>
          <w:rFonts w:cs="Times New Roman"/>
          <w:szCs w:val="24"/>
        </w:rPr>
        <w:t xml:space="preserve">evaluation indicators </w:t>
      </w:r>
      <w:r w:rsidRPr="002832AF">
        <w:rPr>
          <w:rFonts w:cs="Times New Roman"/>
          <w:szCs w:val="24"/>
        </w:rPr>
        <w:t>for AI-</w:t>
      </w:r>
      <w:r w:rsidR="000B191C" w:rsidRPr="002832AF">
        <w:rPr>
          <w:rFonts w:cs="Times New Roman"/>
          <w:szCs w:val="24"/>
        </w:rPr>
        <w:t>enabled practical teaching</w:t>
      </w:r>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410"/>
        <w:gridCol w:w="2409"/>
        <w:gridCol w:w="2409"/>
        <w:gridCol w:w="2409"/>
      </w:tblGrid>
      <w:tr w:rsidR="00A2378B" w:rsidRPr="002832AF" w14:paraId="46D448BA" w14:textId="77777777" w:rsidTr="00110121">
        <w:tc>
          <w:tcPr>
            <w:tcW w:w="1250" w:type="pct"/>
            <w:tcBorders>
              <w:top w:val="single" w:sz="4" w:space="0" w:color="auto"/>
              <w:bottom w:val="single" w:sz="4" w:space="0" w:color="auto"/>
            </w:tcBorders>
            <w:tcMar>
              <w:top w:w="60" w:type="dxa"/>
              <w:left w:w="120" w:type="dxa"/>
              <w:bottom w:w="30" w:type="dxa"/>
              <w:right w:w="120" w:type="dxa"/>
            </w:tcMar>
          </w:tcPr>
          <w:p w14:paraId="13274EB0" w14:textId="77777777" w:rsidR="00A2378B" w:rsidRPr="00110121" w:rsidRDefault="00000000" w:rsidP="00110121">
            <w:pPr>
              <w:jc w:val="left"/>
              <w:rPr>
                <w:rFonts w:cs="Times New Roman"/>
                <w:b/>
                <w:bCs/>
                <w:szCs w:val="24"/>
              </w:rPr>
            </w:pPr>
            <w:r w:rsidRPr="00110121">
              <w:rPr>
                <w:rFonts w:cs="Times New Roman"/>
                <w:b/>
                <w:bCs/>
                <w:szCs w:val="24"/>
              </w:rPr>
              <w:t>Primary Indicator</w:t>
            </w:r>
          </w:p>
        </w:tc>
        <w:tc>
          <w:tcPr>
            <w:tcW w:w="1250" w:type="pct"/>
            <w:tcBorders>
              <w:top w:val="single" w:sz="4" w:space="0" w:color="auto"/>
              <w:bottom w:val="single" w:sz="4" w:space="0" w:color="auto"/>
            </w:tcBorders>
            <w:tcMar>
              <w:top w:w="60" w:type="dxa"/>
              <w:left w:w="120" w:type="dxa"/>
              <w:bottom w:w="30" w:type="dxa"/>
              <w:right w:w="120" w:type="dxa"/>
            </w:tcMar>
          </w:tcPr>
          <w:p w14:paraId="1F0AA28D" w14:textId="77777777" w:rsidR="00A2378B" w:rsidRPr="00110121" w:rsidRDefault="00000000" w:rsidP="00110121">
            <w:pPr>
              <w:jc w:val="center"/>
              <w:rPr>
                <w:rFonts w:cs="Times New Roman"/>
                <w:b/>
                <w:bCs/>
                <w:szCs w:val="24"/>
              </w:rPr>
            </w:pPr>
            <w:r w:rsidRPr="00110121">
              <w:rPr>
                <w:rFonts w:cs="Times New Roman"/>
                <w:b/>
                <w:bCs/>
                <w:szCs w:val="24"/>
              </w:rPr>
              <w:t>Secondary Indicators</w:t>
            </w:r>
          </w:p>
        </w:tc>
        <w:tc>
          <w:tcPr>
            <w:tcW w:w="1250" w:type="pct"/>
            <w:tcBorders>
              <w:top w:val="single" w:sz="4" w:space="0" w:color="auto"/>
              <w:bottom w:val="single" w:sz="4" w:space="0" w:color="auto"/>
            </w:tcBorders>
            <w:tcMar>
              <w:top w:w="60" w:type="dxa"/>
              <w:left w:w="120" w:type="dxa"/>
              <w:bottom w:w="30" w:type="dxa"/>
              <w:right w:w="120" w:type="dxa"/>
            </w:tcMar>
          </w:tcPr>
          <w:p w14:paraId="2D3C967B" w14:textId="77777777" w:rsidR="00A2378B" w:rsidRPr="00110121" w:rsidRDefault="00000000" w:rsidP="00110121">
            <w:pPr>
              <w:jc w:val="center"/>
              <w:rPr>
                <w:rFonts w:cs="Times New Roman"/>
                <w:b/>
                <w:bCs/>
                <w:szCs w:val="24"/>
              </w:rPr>
            </w:pPr>
            <w:r w:rsidRPr="00110121">
              <w:rPr>
                <w:rFonts w:cs="Times New Roman"/>
                <w:b/>
                <w:bCs/>
                <w:szCs w:val="24"/>
              </w:rPr>
              <w:t>Data Sources</w:t>
            </w:r>
          </w:p>
        </w:tc>
        <w:tc>
          <w:tcPr>
            <w:tcW w:w="1250" w:type="pct"/>
            <w:tcBorders>
              <w:top w:val="single" w:sz="4" w:space="0" w:color="auto"/>
              <w:bottom w:val="single" w:sz="4" w:space="0" w:color="auto"/>
            </w:tcBorders>
            <w:tcMar>
              <w:top w:w="60" w:type="dxa"/>
              <w:left w:w="120" w:type="dxa"/>
              <w:bottom w:w="30" w:type="dxa"/>
              <w:right w:w="120" w:type="dxa"/>
            </w:tcMar>
          </w:tcPr>
          <w:p w14:paraId="112544C3" w14:textId="77777777" w:rsidR="00A2378B" w:rsidRPr="00110121" w:rsidRDefault="00000000" w:rsidP="00110121">
            <w:pPr>
              <w:jc w:val="center"/>
              <w:rPr>
                <w:rFonts w:cs="Times New Roman"/>
                <w:b/>
                <w:bCs/>
                <w:szCs w:val="24"/>
              </w:rPr>
            </w:pPr>
            <w:r w:rsidRPr="00110121">
              <w:rPr>
                <w:rFonts w:cs="Times New Roman"/>
                <w:b/>
                <w:bCs/>
                <w:szCs w:val="24"/>
              </w:rPr>
              <w:t>Evaluation Focus</w:t>
            </w:r>
          </w:p>
        </w:tc>
      </w:tr>
      <w:tr w:rsidR="00A2378B" w:rsidRPr="002832AF" w14:paraId="5ED68CD1" w14:textId="77777777" w:rsidTr="00110121">
        <w:tc>
          <w:tcPr>
            <w:tcW w:w="1250" w:type="pct"/>
            <w:tcBorders>
              <w:top w:val="single" w:sz="4" w:space="0" w:color="auto"/>
            </w:tcBorders>
            <w:tcMar>
              <w:top w:w="60" w:type="dxa"/>
              <w:left w:w="120" w:type="dxa"/>
              <w:bottom w:w="30" w:type="dxa"/>
              <w:right w:w="120" w:type="dxa"/>
            </w:tcMar>
          </w:tcPr>
          <w:p w14:paraId="074AEA10" w14:textId="77777777" w:rsidR="00A2378B" w:rsidRPr="002832AF" w:rsidRDefault="00000000" w:rsidP="00110121">
            <w:pPr>
              <w:jc w:val="left"/>
              <w:rPr>
                <w:rFonts w:cs="Times New Roman"/>
                <w:szCs w:val="24"/>
              </w:rPr>
            </w:pPr>
            <w:r w:rsidRPr="002832AF">
              <w:rPr>
                <w:rFonts w:cs="Times New Roman"/>
                <w:szCs w:val="24"/>
              </w:rPr>
              <w:t>Learning Process</w:t>
            </w:r>
          </w:p>
        </w:tc>
        <w:tc>
          <w:tcPr>
            <w:tcW w:w="1250" w:type="pct"/>
            <w:tcBorders>
              <w:top w:val="single" w:sz="4" w:space="0" w:color="auto"/>
            </w:tcBorders>
            <w:tcMar>
              <w:top w:w="60" w:type="dxa"/>
              <w:left w:w="120" w:type="dxa"/>
              <w:bottom w:w="30" w:type="dxa"/>
              <w:right w:w="120" w:type="dxa"/>
            </w:tcMar>
          </w:tcPr>
          <w:p w14:paraId="7A039827" w14:textId="77777777" w:rsidR="00A2378B" w:rsidRPr="002832AF" w:rsidRDefault="00000000" w:rsidP="00110121">
            <w:pPr>
              <w:jc w:val="center"/>
              <w:rPr>
                <w:rFonts w:cs="Times New Roman"/>
                <w:szCs w:val="24"/>
              </w:rPr>
            </w:pPr>
            <w:r w:rsidRPr="002832AF">
              <w:rPr>
                <w:rFonts w:cs="Times New Roman"/>
                <w:szCs w:val="24"/>
              </w:rPr>
              <w:t>Experimental progress, submission frequency, debugging records</w:t>
            </w:r>
          </w:p>
        </w:tc>
        <w:tc>
          <w:tcPr>
            <w:tcW w:w="1250" w:type="pct"/>
            <w:tcBorders>
              <w:top w:val="single" w:sz="4" w:space="0" w:color="auto"/>
            </w:tcBorders>
            <w:tcMar>
              <w:top w:w="60" w:type="dxa"/>
              <w:left w:w="120" w:type="dxa"/>
              <w:bottom w:w="30" w:type="dxa"/>
              <w:right w:w="120" w:type="dxa"/>
            </w:tcMar>
          </w:tcPr>
          <w:p w14:paraId="28D2B430" w14:textId="77777777" w:rsidR="00A2378B" w:rsidRPr="002832AF" w:rsidRDefault="00000000" w:rsidP="00110121">
            <w:pPr>
              <w:jc w:val="center"/>
              <w:rPr>
                <w:rFonts w:cs="Times New Roman"/>
                <w:szCs w:val="24"/>
              </w:rPr>
            </w:pPr>
            <w:r w:rsidRPr="002832AF">
              <w:rPr>
                <w:rFonts w:cs="Times New Roman"/>
                <w:szCs w:val="24"/>
              </w:rPr>
              <w:t>Intelligent teaching platform, code repository</w:t>
            </w:r>
          </w:p>
        </w:tc>
        <w:tc>
          <w:tcPr>
            <w:tcW w:w="1250" w:type="pct"/>
            <w:tcBorders>
              <w:top w:val="single" w:sz="4" w:space="0" w:color="auto"/>
            </w:tcBorders>
            <w:tcMar>
              <w:top w:w="60" w:type="dxa"/>
              <w:left w:w="120" w:type="dxa"/>
              <w:bottom w:w="30" w:type="dxa"/>
              <w:right w:w="120" w:type="dxa"/>
            </w:tcMar>
          </w:tcPr>
          <w:p w14:paraId="389104FD" w14:textId="77777777" w:rsidR="00A2378B" w:rsidRPr="002832AF" w:rsidRDefault="00000000" w:rsidP="00110121">
            <w:pPr>
              <w:jc w:val="center"/>
              <w:rPr>
                <w:rFonts w:cs="Times New Roman"/>
                <w:szCs w:val="24"/>
              </w:rPr>
            </w:pPr>
            <w:r w:rsidRPr="002832AF">
              <w:rPr>
                <w:rFonts w:cs="Times New Roman"/>
                <w:szCs w:val="24"/>
              </w:rPr>
              <w:t>Evaluate student participation and learning persistence</w:t>
            </w:r>
          </w:p>
        </w:tc>
      </w:tr>
      <w:tr w:rsidR="00A2378B" w:rsidRPr="002832AF" w14:paraId="4D2635B2" w14:textId="77777777" w:rsidTr="00110121">
        <w:tc>
          <w:tcPr>
            <w:tcW w:w="1250" w:type="pct"/>
            <w:tcMar>
              <w:top w:w="60" w:type="dxa"/>
              <w:left w:w="120" w:type="dxa"/>
              <w:bottom w:w="30" w:type="dxa"/>
              <w:right w:w="120" w:type="dxa"/>
            </w:tcMar>
          </w:tcPr>
          <w:p w14:paraId="75AC31D4" w14:textId="77777777" w:rsidR="00A2378B" w:rsidRPr="002832AF" w:rsidRDefault="00000000" w:rsidP="00110121">
            <w:pPr>
              <w:jc w:val="left"/>
              <w:rPr>
                <w:rFonts w:cs="Times New Roman"/>
                <w:szCs w:val="24"/>
              </w:rPr>
            </w:pPr>
            <w:r w:rsidRPr="002832AF">
              <w:rPr>
                <w:rFonts w:cs="Times New Roman"/>
                <w:szCs w:val="24"/>
              </w:rPr>
              <w:t>Knowledge Mastery</w:t>
            </w:r>
          </w:p>
        </w:tc>
        <w:tc>
          <w:tcPr>
            <w:tcW w:w="1250" w:type="pct"/>
            <w:tcMar>
              <w:top w:w="60" w:type="dxa"/>
              <w:left w:w="120" w:type="dxa"/>
              <w:bottom w:w="30" w:type="dxa"/>
              <w:right w:w="120" w:type="dxa"/>
            </w:tcMar>
          </w:tcPr>
          <w:p w14:paraId="24A0BAF8" w14:textId="77777777" w:rsidR="00A2378B" w:rsidRPr="002832AF" w:rsidRDefault="00000000" w:rsidP="00110121">
            <w:pPr>
              <w:jc w:val="center"/>
              <w:rPr>
                <w:rFonts w:cs="Times New Roman"/>
                <w:szCs w:val="24"/>
              </w:rPr>
            </w:pPr>
            <w:r w:rsidRPr="002832AF">
              <w:rPr>
                <w:rFonts w:cs="Times New Roman"/>
                <w:szCs w:val="24"/>
              </w:rPr>
              <w:t>Online tests, completion rate of knowledge points, error distribution</w:t>
            </w:r>
          </w:p>
        </w:tc>
        <w:tc>
          <w:tcPr>
            <w:tcW w:w="1250" w:type="pct"/>
            <w:tcMar>
              <w:top w:w="60" w:type="dxa"/>
              <w:left w:w="120" w:type="dxa"/>
              <w:bottom w:w="30" w:type="dxa"/>
              <w:right w:w="120" w:type="dxa"/>
            </w:tcMar>
          </w:tcPr>
          <w:p w14:paraId="3FD68CFC" w14:textId="77777777" w:rsidR="00A2378B" w:rsidRPr="002832AF" w:rsidRDefault="00000000" w:rsidP="00110121">
            <w:pPr>
              <w:jc w:val="center"/>
              <w:rPr>
                <w:rFonts w:cs="Times New Roman"/>
                <w:szCs w:val="24"/>
              </w:rPr>
            </w:pPr>
            <w:r w:rsidRPr="002832AF">
              <w:rPr>
                <w:rFonts w:cs="Times New Roman"/>
                <w:szCs w:val="24"/>
              </w:rPr>
              <w:t>Course platform, knowledge graph system</w:t>
            </w:r>
          </w:p>
        </w:tc>
        <w:tc>
          <w:tcPr>
            <w:tcW w:w="1250" w:type="pct"/>
            <w:tcMar>
              <w:top w:w="60" w:type="dxa"/>
              <w:left w:w="120" w:type="dxa"/>
              <w:bottom w:w="30" w:type="dxa"/>
              <w:right w:w="120" w:type="dxa"/>
            </w:tcMar>
          </w:tcPr>
          <w:p w14:paraId="6CA97566" w14:textId="77777777" w:rsidR="00A2378B" w:rsidRPr="002832AF" w:rsidRDefault="00000000" w:rsidP="00110121">
            <w:pPr>
              <w:jc w:val="center"/>
              <w:rPr>
                <w:rFonts w:cs="Times New Roman"/>
                <w:szCs w:val="24"/>
              </w:rPr>
            </w:pPr>
            <w:r w:rsidRPr="002832AF">
              <w:rPr>
                <w:rFonts w:cs="Times New Roman"/>
                <w:szCs w:val="24"/>
              </w:rPr>
              <w:t>Identify weak knowledge modules</w:t>
            </w:r>
          </w:p>
        </w:tc>
      </w:tr>
      <w:tr w:rsidR="00A2378B" w:rsidRPr="002832AF" w14:paraId="6E961097" w14:textId="77777777" w:rsidTr="00110121">
        <w:tc>
          <w:tcPr>
            <w:tcW w:w="1250" w:type="pct"/>
            <w:tcMar>
              <w:top w:w="60" w:type="dxa"/>
              <w:left w:w="120" w:type="dxa"/>
              <w:bottom w:w="30" w:type="dxa"/>
              <w:right w:w="120" w:type="dxa"/>
            </w:tcMar>
          </w:tcPr>
          <w:p w14:paraId="5949514E" w14:textId="77777777" w:rsidR="00A2378B" w:rsidRPr="002832AF" w:rsidRDefault="00000000" w:rsidP="00110121">
            <w:pPr>
              <w:jc w:val="left"/>
              <w:rPr>
                <w:rFonts w:cs="Times New Roman"/>
                <w:szCs w:val="24"/>
              </w:rPr>
            </w:pPr>
            <w:r w:rsidRPr="002832AF">
              <w:rPr>
                <w:rFonts w:cs="Times New Roman"/>
                <w:szCs w:val="24"/>
              </w:rPr>
              <w:t>Engineering Capability</w:t>
            </w:r>
          </w:p>
        </w:tc>
        <w:tc>
          <w:tcPr>
            <w:tcW w:w="1250" w:type="pct"/>
            <w:tcMar>
              <w:top w:w="60" w:type="dxa"/>
              <w:left w:w="120" w:type="dxa"/>
              <w:bottom w:w="30" w:type="dxa"/>
              <w:right w:w="120" w:type="dxa"/>
            </w:tcMar>
          </w:tcPr>
          <w:p w14:paraId="44781698" w14:textId="77777777" w:rsidR="00A2378B" w:rsidRPr="002832AF" w:rsidRDefault="00000000" w:rsidP="00110121">
            <w:pPr>
              <w:jc w:val="center"/>
              <w:rPr>
                <w:rFonts w:cs="Times New Roman"/>
                <w:szCs w:val="24"/>
              </w:rPr>
            </w:pPr>
            <w:r w:rsidRPr="002832AF">
              <w:rPr>
                <w:rFonts w:cs="Times New Roman"/>
                <w:szCs w:val="24"/>
              </w:rPr>
              <w:t>Data processing, model deployment, system construction, project documents</w:t>
            </w:r>
          </w:p>
        </w:tc>
        <w:tc>
          <w:tcPr>
            <w:tcW w:w="1250" w:type="pct"/>
            <w:tcMar>
              <w:top w:w="60" w:type="dxa"/>
              <w:left w:w="120" w:type="dxa"/>
              <w:bottom w:w="30" w:type="dxa"/>
              <w:right w:w="120" w:type="dxa"/>
            </w:tcMar>
          </w:tcPr>
          <w:p w14:paraId="2A74B45F" w14:textId="77777777" w:rsidR="00A2378B" w:rsidRPr="002832AF" w:rsidRDefault="00000000" w:rsidP="00110121">
            <w:pPr>
              <w:jc w:val="center"/>
              <w:rPr>
                <w:rFonts w:cs="Times New Roman"/>
                <w:szCs w:val="24"/>
              </w:rPr>
            </w:pPr>
            <w:r w:rsidRPr="002832AF">
              <w:rPr>
                <w:rFonts w:cs="Times New Roman"/>
                <w:szCs w:val="24"/>
              </w:rPr>
              <w:t xml:space="preserve">Project outputs, platform logs, </w:t>
            </w:r>
            <w:proofErr w:type="spellStart"/>
            <w:r w:rsidRPr="002832AF">
              <w:rPr>
                <w:rFonts w:cs="Times New Roman"/>
                <w:szCs w:val="24"/>
              </w:rPr>
              <w:t>defense</w:t>
            </w:r>
            <w:proofErr w:type="spellEnd"/>
            <w:r w:rsidRPr="002832AF">
              <w:rPr>
                <w:rFonts w:cs="Times New Roman"/>
                <w:szCs w:val="24"/>
              </w:rPr>
              <w:t xml:space="preserve"> materials</w:t>
            </w:r>
          </w:p>
        </w:tc>
        <w:tc>
          <w:tcPr>
            <w:tcW w:w="1250" w:type="pct"/>
            <w:tcMar>
              <w:top w:w="60" w:type="dxa"/>
              <w:left w:w="120" w:type="dxa"/>
              <w:bottom w:w="30" w:type="dxa"/>
              <w:right w:w="120" w:type="dxa"/>
            </w:tcMar>
          </w:tcPr>
          <w:p w14:paraId="18009AF1" w14:textId="77777777" w:rsidR="00A2378B" w:rsidRPr="002832AF" w:rsidRDefault="00000000" w:rsidP="00110121">
            <w:pPr>
              <w:jc w:val="center"/>
              <w:rPr>
                <w:rFonts w:cs="Times New Roman"/>
                <w:szCs w:val="24"/>
              </w:rPr>
            </w:pPr>
            <w:r w:rsidRPr="002832AF">
              <w:rPr>
                <w:rFonts w:cs="Times New Roman"/>
                <w:szCs w:val="24"/>
              </w:rPr>
              <w:t>Evaluate comprehensive full-cycle project capabilities</w:t>
            </w:r>
          </w:p>
        </w:tc>
      </w:tr>
      <w:tr w:rsidR="00A2378B" w:rsidRPr="002832AF" w14:paraId="6C86C70B" w14:textId="77777777" w:rsidTr="00110121">
        <w:tc>
          <w:tcPr>
            <w:tcW w:w="1250" w:type="pct"/>
            <w:tcMar>
              <w:top w:w="60" w:type="dxa"/>
              <w:left w:w="120" w:type="dxa"/>
              <w:bottom w:w="30" w:type="dxa"/>
              <w:right w:w="120" w:type="dxa"/>
            </w:tcMar>
          </w:tcPr>
          <w:p w14:paraId="33759B27" w14:textId="77777777" w:rsidR="00A2378B" w:rsidRPr="002832AF" w:rsidRDefault="00000000" w:rsidP="00110121">
            <w:pPr>
              <w:jc w:val="left"/>
              <w:rPr>
                <w:rFonts w:cs="Times New Roman"/>
                <w:szCs w:val="24"/>
              </w:rPr>
            </w:pPr>
            <w:r w:rsidRPr="002832AF">
              <w:rPr>
                <w:rFonts w:cs="Times New Roman"/>
                <w:szCs w:val="24"/>
              </w:rPr>
              <w:t>Collaboration Ability</w:t>
            </w:r>
          </w:p>
        </w:tc>
        <w:tc>
          <w:tcPr>
            <w:tcW w:w="1250" w:type="pct"/>
            <w:tcMar>
              <w:top w:w="60" w:type="dxa"/>
              <w:left w:w="120" w:type="dxa"/>
              <w:bottom w:w="30" w:type="dxa"/>
              <w:right w:w="120" w:type="dxa"/>
            </w:tcMar>
          </w:tcPr>
          <w:p w14:paraId="3497C4DF" w14:textId="77777777" w:rsidR="00A2378B" w:rsidRPr="002832AF" w:rsidRDefault="00000000" w:rsidP="00110121">
            <w:pPr>
              <w:jc w:val="center"/>
              <w:rPr>
                <w:rFonts w:cs="Times New Roman"/>
                <w:szCs w:val="24"/>
              </w:rPr>
            </w:pPr>
            <w:r w:rsidRPr="002832AF">
              <w:rPr>
                <w:rFonts w:cs="Times New Roman"/>
                <w:szCs w:val="24"/>
              </w:rPr>
              <w:t>Task allocation, communication records, team contribution</w:t>
            </w:r>
          </w:p>
        </w:tc>
        <w:tc>
          <w:tcPr>
            <w:tcW w:w="1250" w:type="pct"/>
            <w:tcMar>
              <w:top w:w="60" w:type="dxa"/>
              <w:left w:w="120" w:type="dxa"/>
              <w:bottom w:w="30" w:type="dxa"/>
              <w:right w:w="120" w:type="dxa"/>
            </w:tcMar>
          </w:tcPr>
          <w:p w14:paraId="16FAD48A" w14:textId="77777777" w:rsidR="00A2378B" w:rsidRPr="002832AF" w:rsidRDefault="00000000" w:rsidP="00110121">
            <w:pPr>
              <w:jc w:val="center"/>
              <w:rPr>
                <w:rFonts w:cs="Times New Roman"/>
                <w:szCs w:val="24"/>
              </w:rPr>
            </w:pPr>
            <w:r w:rsidRPr="002832AF">
              <w:rPr>
                <w:rFonts w:cs="Times New Roman"/>
                <w:szCs w:val="24"/>
              </w:rPr>
              <w:t>Team logs, peer evaluation forms</w:t>
            </w:r>
          </w:p>
        </w:tc>
        <w:tc>
          <w:tcPr>
            <w:tcW w:w="1250" w:type="pct"/>
            <w:tcMar>
              <w:top w:w="60" w:type="dxa"/>
              <w:left w:w="120" w:type="dxa"/>
              <w:bottom w:w="30" w:type="dxa"/>
              <w:right w:w="120" w:type="dxa"/>
            </w:tcMar>
          </w:tcPr>
          <w:p w14:paraId="23B81799" w14:textId="77777777" w:rsidR="00A2378B" w:rsidRPr="002832AF" w:rsidRDefault="00000000" w:rsidP="00110121">
            <w:pPr>
              <w:jc w:val="center"/>
              <w:rPr>
                <w:rFonts w:cs="Times New Roman"/>
                <w:szCs w:val="24"/>
              </w:rPr>
            </w:pPr>
            <w:r w:rsidRPr="002832AF">
              <w:rPr>
                <w:rFonts w:cs="Times New Roman"/>
                <w:szCs w:val="24"/>
              </w:rPr>
              <w:t>Evaluate teamwork and sense of responsibility</w:t>
            </w:r>
          </w:p>
        </w:tc>
      </w:tr>
      <w:tr w:rsidR="00A2378B" w:rsidRPr="002832AF" w14:paraId="668D5B8D" w14:textId="77777777" w:rsidTr="00110121">
        <w:tc>
          <w:tcPr>
            <w:tcW w:w="1250" w:type="pct"/>
            <w:tcMar>
              <w:top w:w="60" w:type="dxa"/>
              <w:left w:w="120" w:type="dxa"/>
              <w:bottom w:w="30" w:type="dxa"/>
              <w:right w:w="120" w:type="dxa"/>
            </w:tcMar>
          </w:tcPr>
          <w:p w14:paraId="4A5B9B45" w14:textId="77777777" w:rsidR="00A2378B" w:rsidRPr="002832AF" w:rsidRDefault="00000000" w:rsidP="00110121">
            <w:pPr>
              <w:jc w:val="left"/>
              <w:rPr>
                <w:rFonts w:cs="Times New Roman"/>
                <w:szCs w:val="24"/>
              </w:rPr>
            </w:pPr>
            <w:r w:rsidRPr="002832AF">
              <w:rPr>
                <w:rFonts w:cs="Times New Roman"/>
                <w:szCs w:val="24"/>
              </w:rPr>
              <w:t>Professional Ethics</w:t>
            </w:r>
          </w:p>
        </w:tc>
        <w:tc>
          <w:tcPr>
            <w:tcW w:w="1250" w:type="pct"/>
            <w:tcMar>
              <w:top w:w="60" w:type="dxa"/>
              <w:left w:w="120" w:type="dxa"/>
              <w:bottom w:w="30" w:type="dxa"/>
              <w:right w:w="120" w:type="dxa"/>
            </w:tcMar>
          </w:tcPr>
          <w:p w14:paraId="1467A732" w14:textId="77777777" w:rsidR="00A2378B" w:rsidRPr="002832AF" w:rsidRDefault="00000000" w:rsidP="00110121">
            <w:pPr>
              <w:jc w:val="center"/>
              <w:rPr>
                <w:rFonts w:cs="Times New Roman"/>
                <w:szCs w:val="24"/>
              </w:rPr>
            </w:pPr>
            <w:r w:rsidRPr="002832AF">
              <w:rPr>
                <w:rFonts w:cs="Times New Roman"/>
                <w:szCs w:val="24"/>
              </w:rPr>
              <w:t>Data security awareness, ethical norms, standard compliance</w:t>
            </w:r>
          </w:p>
        </w:tc>
        <w:tc>
          <w:tcPr>
            <w:tcW w:w="1250" w:type="pct"/>
            <w:tcMar>
              <w:top w:w="60" w:type="dxa"/>
              <w:left w:w="120" w:type="dxa"/>
              <w:bottom w:w="30" w:type="dxa"/>
              <w:right w:w="120" w:type="dxa"/>
            </w:tcMar>
          </w:tcPr>
          <w:p w14:paraId="7D387FB2" w14:textId="77777777" w:rsidR="00A2378B" w:rsidRPr="002832AF" w:rsidRDefault="00000000" w:rsidP="00110121">
            <w:pPr>
              <w:jc w:val="center"/>
              <w:rPr>
                <w:rFonts w:cs="Times New Roman"/>
                <w:szCs w:val="24"/>
              </w:rPr>
            </w:pPr>
            <w:r w:rsidRPr="002832AF">
              <w:rPr>
                <w:rFonts w:cs="Times New Roman"/>
                <w:szCs w:val="24"/>
              </w:rPr>
              <w:t>Project reports, enterprise mentor comments</w:t>
            </w:r>
          </w:p>
        </w:tc>
        <w:tc>
          <w:tcPr>
            <w:tcW w:w="1250" w:type="pct"/>
            <w:tcMar>
              <w:top w:w="60" w:type="dxa"/>
              <w:left w:w="120" w:type="dxa"/>
              <w:bottom w:w="30" w:type="dxa"/>
              <w:right w:w="120" w:type="dxa"/>
            </w:tcMar>
          </w:tcPr>
          <w:p w14:paraId="20591DC0" w14:textId="77777777" w:rsidR="00A2378B" w:rsidRPr="002832AF" w:rsidRDefault="00000000" w:rsidP="00110121">
            <w:pPr>
              <w:jc w:val="center"/>
              <w:rPr>
                <w:rFonts w:cs="Times New Roman"/>
                <w:szCs w:val="24"/>
              </w:rPr>
            </w:pPr>
            <w:r w:rsidRPr="002832AF">
              <w:rPr>
                <w:rFonts w:cs="Times New Roman"/>
                <w:szCs w:val="24"/>
              </w:rPr>
              <w:t>Evaluate post adaptability and social responsibility</w:t>
            </w:r>
          </w:p>
        </w:tc>
      </w:tr>
    </w:tbl>
    <w:p w14:paraId="3A288D74" w14:textId="77777777" w:rsidR="000B191C" w:rsidRDefault="000B191C" w:rsidP="00791180">
      <w:pPr>
        <w:rPr>
          <w:rFonts w:cs="Times New Roman"/>
          <w:szCs w:val="24"/>
        </w:rPr>
      </w:pPr>
      <w:bookmarkStart w:id="8" w:name="heading_7"/>
    </w:p>
    <w:p w14:paraId="4D353B6F" w14:textId="25077AEB" w:rsidR="00A2378B" w:rsidRPr="00110121" w:rsidRDefault="00000000" w:rsidP="00110121">
      <w:pPr>
        <w:rPr>
          <w:rFonts w:cs="Times New Roman"/>
          <w:b/>
          <w:bCs/>
          <w:szCs w:val="24"/>
        </w:rPr>
      </w:pPr>
      <w:r w:rsidRPr="00110121">
        <w:rPr>
          <w:rFonts w:cs="Times New Roman"/>
          <w:b/>
          <w:bCs/>
          <w:szCs w:val="24"/>
        </w:rPr>
        <w:t>6</w:t>
      </w:r>
      <w:r w:rsidR="000B191C">
        <w:rPr>
          <w:rFonts w:cs="Times New Roman"/>
          <w:b/>
          <w:bCs/>
          <w:szCs w:val="24"/>
        </w:rPr>
        <w:t>.</w:t>
      </w:r>
      <w:r w:rsidRPr="00110121">
        <w:rPr>
          <w:rFonts w:cs="Times New Roman"/>
          <w:b/>
          <w:bCs/>
          <w:szCs w:val="24"/>
        </w:rPr>
        <w:t xml:space="preserve"> Conclusion and </w:t>
      </w:r>
      <w:r w:rsidR="000B191C" w:rsidRPr="000B191C">
        <w:rPr>
          <w:rFonts w:cs="Times New Roman"/>
          <w:b/>
          <w:bCs/>
          <w:szCs w:val="24"/>
        </w:rPr>
        <w:t>outlook</w:t>
      </w:r>
      <w:bookmarkEnd w:id="8"/>
    </w:p>
    <w:p w14:paraId="65FA7BD6" w14:textId="447A20A0" w:rsidR="00A2378B" w:rsidRDefault="00000000" w:rsidP="00791180">
      <w:pPr>
        <w:rPr>
          <w:rFonts w:cs="Times New Roman"/>
          <w:szCs w:val="24"/>
        </w:rPr>
      </w:pPr>
      <w:r w:rsidRPr="002832AF">
        <w:rPr>
          <w:rFonts w:cs="Times New Roman"/>
          <w:szCs w:val="24"/>
        </w:rPr>
        <w:t xml:space="preserve">Against the backdrop of artificial intelligence, practical teaching for big data majors is undergoing a transformation from knowledge transmission to intelligent, competency-oriented modes. This paper </w:t>
      </w:r>
      <w:proofErr w:type="spellStart"/>
      <w:r w:rsidRPr="002832AF">
        <w:rPr>
          <w:rFonts w:cs="Times New Roman"/>
          <w:szCs w:val="24"/>
        </w:rPr>
        <w:t>analyzes</w:t>
      </w:r>
      <w:proofErr w:type="spellEnd"/>
      <w:r w:rsidRPr="002832AF">
        <w:rPr>
          <w:rFonts w:cs="Times New Roman"/>
          <w:szCs w:val="24"/>
        </w:rPr>
        <w:t xml:space="preserve"> prominent deficiencies in current practical teaching</w:t>
      </w:r>
      <w:r w:rsidR="00B431DA">
        <w:rPr>
          <w:rFonts w:cs="Times New Roman"/>
          <w:szCs w:val="24"/>
        </w:rPr>
        <w:t>, including outdated content, insufficient resource support, rigid teaching modes,</w:t>
      </w:r>
      <w:r w:rsidRPr="002832AF">
        <w:rPr>
          <w:rFonts w:cs="Times New Roman"/>
          <w:szCs w:val="24"/>
        </w:rPr>
        <w:t xml:space="preserve"> and superficial industry-education integration, and proposes AI-driven reform approaches. In the future, practical teaching for big data majors will further develop toward intelligence, scenario-based design and lifelong learning. Continuous deep integration of artificial intelligence and education will greatly improve the quality of talent cultivation and foster high-quality application-oriented professionals capable of supporting digital economic development.</w:t>
      </w:r>
    </w:p>
    <w:p w14:paraId="494A4375" w14:textId="77777777" w:rsidR="002832AF" w:rsidRDefault="002832AF" w:rsidP="00791180">
      <w:pPr>
        <w:rPr>
          <w:rFonts w:cs="Times New Roman"/>
          <w:szCs w:val="24"/>
        </w:rPr>
      </w:pPr>
    </w:p>
    <w:p w14:paraId="495B844F" w14:textId="77777777" w:rsidR="002832AF" w:rsidRDefault="002832AF" w:rsidP="00791180">
      <w:pPr>
        <w:rPr>
          <w:b/>
          <w:bCs/>
        </w:rPr>
      </w:pPr>
      <w:r>
        <w:rPr>
          <w:b/>
          <w:bCs/>
        </w:rPr>
        <w:t>Disclosure statement</w:t>
      </w:r>
    </w:p>
    <w:p w14:paraId="56EF9FD1" w14:textId="254C754A" w:rsidR="002832AF" w:rsidRDefault="002832AF" w:rsidP="00791180">
      <w:r w:rsidRPr="00E05BC9">
        <w:t>The author</w:t>
      </w:r>
      <w:r>
        <w:t>s</w:t>
      </w:r>
      <w:r w:rsidRPr="00E05BC9">
        <w:t xml:space="preserve"> declare no conflict of interest.</w:t>
      </w:r>
    </w:p>
    <w:p w14:paraId="2CBF977D" w14:textId="77777777" w:rsidR="002832AF" w:rsidRPr="002832AF" w:rsidRDefault="002832AF" w:rsidP="00110121">
      <w:pPr>
        <w:rPr>
          <w:rFonts w:cs="Times New Roman"/>
          <w:szCs w:val="24"/>
        </w:rPr>
      </w:pPr>
    </w:p>
    <w:p w14:paraId="428D6A53" w14:textId="77777777" w:rsidR="00A2378B" w:rsidRDefault="00000000" w:rsidP="00791180">
      <w:pPr>
        <w:rPr>
          <w:rFonts w:cs="Times New Roman"/>
          <w:b/>
          <w:bCs/>
          <w:szCs w:val="24"/>
        </w:rPr>
      </w:pPr>
      <w:bookmarkStart w:id="9" w:name="heading_8"/>
      <w:r w:rsidRPr="00110121">
        <w:rPr>
          <w:rFonts w:cs="Times New Roman"/>
          <w:b/>
          <w:bCs/>
          <w:szCs w:val="24"/>
        </w:rPr>
        <w:t>References</w:t>
      </w:r>
      <w:bookmarkEnd w:id="9"/>
    </w:p>
    <w:p w14:paraId="1586B026" w14:textId="30AA60AC" w:rsidR="002832AF" w:rsidRDefault="002832AF" w:rsidP="00791180">
      <w:pPr>
        <w:ind w:left="454" w:hanging="454"/>
      </w:pPr>
      <w:bookmarkStart w:id="10" w:name="_Hlk185327419"/>
      <w:r>
        <w:t>[1]</w:t>
      </w:r>
      <w:r>
        <w:tab/>
      </w:r>
      <w:r>
        <w:t>Wang S, Wang F, Zhu Z, Wang J, Tran T, Du Z, 2024, Artificial Intelligence in Education: A Systematic Literature Review. Expert Systems with Applications, 252: 124167.</w:t>
      </w:r>
    </w:p>
    <w:p w14:paraId="6B206649" w14:textId="763232BC" w:rsidR="002832AF" w:rsidRDefault="002832AF" w:rsidP="00791180">
      <w:pPr>
        <w:ind w:left="454" w:hanging="454"/>
      </w:pPr>
      <w:r>
        <w:t>[2]</w:t>
      </w:r>
      <w:r>
        <w:tab/>
      </w:r>
      <w:r>
        <w:t>Long DY, Wang S, Rashid SM, Lu XT, 2025, Artificial Intelligence in Higher Education: A Systematic Review of Its Impact on Student Engagement and the Mediating Role of Teaching Methods. Frontiers in Education, 10: 1648661.</w:t>
      </w:r>
    </w:p>
    <w:p w14:paraId="5500FF78" w14:textId="0979CB1F" w:rsidR="002832AF" w:rsidRDefault="002832AF" w:rsidP="00791180">
      <w:pPr>
        <w:ind w:left="454" w:hanging="454"/>
      </w:pPr>
      <w:r>
        <w:t>[3]</w:t>
      </w:r>
      <w:r>
        <w:tab/>
      </w:r>
      <w:r>
        <w:t>Kumar S, Rao P, Singhal S, Verma S, 2024, Will Artificial Intelligence Drive the Advancements in Higher Education? A Tri-Phased Exploration. Technological Forecasting and Social Change, 201: 123258.</w:t>
      </w:r>
    </w:p>
    <w:p w14:paraId="22558FAA" w14:textId="684AC9E6" w:rsidR="002832AF" w:rsidRDefault="002832AF" w:rsidP="00791180">
      <w:pPr>
        <w:ind w:left="454" w:hanging="454"/>
        <w:rPr>
          <w:rFonts w:hint="eastAsia"/>
        </w:rPr>
      </w:pPr>
      <w:r>
        <w:t>[4]</w:t>
      </w:r>
      <w:r>
        <w:tab/>
      </w:r>
      <w:r>
        <w:t>National Development and Reform Commission, National Data Administration, Ministry of Education, Ministry of Science and Technology, Organization Department of the CPC Central Committee, 2025, Opinions on Strengthening the Discipline Construction of Data E</w:t>
      </w:r>
      <w:r>
        <w:rPr>
          <w:rFonts w:hint="eastAsia"/>
        </w:rPr>
        <w:t>lements and the Development of Digital Talent Teams: Document No. FG Data</w:t>
      </w:r>
      <w:r>
        <w:t xml:space="preserve"> (</w:t>
      </w:r>
      <w:r>
        <w:rPr>
          <w:rFonts w:hint="eastAsia"/>
        </w:rPr>
        <w:t>2025</w:t>
      </w:r>
      <w:r>
        <w:t xml:space="preserve">) </w:t>
      </w:r>
      <w:r>
        <w:rPr>
          <w:rFonts w:hint="eastAsia"/>
        </w:rPr>
        <w:t>1425</w:t>
      </w:r>
      <w:r>
        <w:t xml:space="preserve">, visited on June 25, 2026, </w:t>
      </w:r>
      <w:r>
        <w:rPr>
          <w:rFonts w:hint="eastAsia"/>
        </w:rPr>
        <w:t>https://www.ndrc.gov.cn/xwdt/tzgg/202512/t20251202_1402115_ext.html.</w:t>
      </w:r>
    </w:p>
    <w:p w14:paraId="477523E8" w14:textId="03123191" w:rsidR="002832AF" w:rsidRDefault="002832AF" w:rsidP="00791180">
      <w:pPr>
        <w:ind w:left="454" w:hanging="454"/>
        <w:rPr>
          <w:rFonts w:hint="eastAsia"/>
        </w:rPr>
      </w:pPr>
      <w:r>
        <w:t>[5]</w:t>
      </w:r>
      <w:r>
        <w:tab/>
      </w:r>
      <w:r>
        <w:t>Ministry of Education, National Development and Reform Commission, Ministry of Industry and Information Technology, Ministry of Science and Technology, National Data Administration, 2026, Notice Issued by Five Departments Including the Ministry of Educatio</w:t>
      </w:r>
      <w:r>
        <w:rPr>
          <w:rFonts w:hint="eastAsia"/>
        </w:rPr>
        <w:t xml:space="preserve">n on Printing and Distributing the Action Plan for </w:t>
      </w:r>
      <w:r w:rsidR="00791180">
        <w:t>“</w:t>
      </w:r>
      <w:r>
        <w:rPr>
          <w:rFonts w:hint="eastAsia"/>
        </w:rPr>
        <w:t>Artificial Intelligence + Education</w:t>
      </w:r>
      <w:r w:rsidR="00791180">
        <w:t>”</w:t>
      </w:r>
      <w:r>
        <w:rPr>
          <w:rFonts w:hint="eastAsia"/>
        </w:rPr>
        <w:t>: Document No. Jiao Ke Xin</w:t>
      </w:r>
      <w:r>
        <w:t xml:space="preserve"> (</w:t>
      </w:r>
      <w:r>
        <w:rPr>
          <w:rFonts w:hint="eastAsia"/>
        </w:rPr>
        <w:t>2026</w:t>
      </w:r>
      <w:r>
        <w:t xml:space="preserve">) </w:t>
      </w:r>
      <w:r>
        <w:rPr>
          <w:rFonts w:hint="eastAsia"/>
        </w:rPr>
        <w:t>1</w:t>
      </w:r>
      <w:r>
        <w:t xml:space="preserve">, visited on </w:t>
      </w:r>
      <w:r>
        <w:rPr>
          <w:rFonts w:hint="eastAsia"/>
        </w:rPr>
        <w:t>June 25, 2026</w:t>
      </w:r>
      <w:r>
        <w:t>,</w:t>
      </w:r>
      <w:r>
        <w:rPr>
          <w:rFonts w:hint="eastAsia"/>
        </w:rPr>
        <w:t xml:space="preserve"> http://www.moe.gov.cn/srcsite/A16/s3342/202604/t20260410_1433240.html.</w:t>
      </w:r>
    </w:p>
    <w:p w14:paraId="73EF4921" w14:textId="0BD02537" w:rsidR="002832AF" w:rsidRDefault="002832AF" w:rsidP="00791180">
      <w:pPr>
        <w:ind w:left="454" w:hanging="454"/>
      </w:pPr>
      <w:r>
        <w:t>[6]</w:t>
      </w:r>
      <w:r>
        <w:tab/>
      </w:r>
      <w:r>
        <w:t>Sun K, Deng X, Wang J, 2023, Research on Practical Teaching System for Data Science and Big Data Majors Under Emerging Engineering Education Background. Journal of Higher Education, 9(14): 5–8.</w:t>
      </w:r>
    </w:p>
    <w:p w14:paraId="3DD56CA0" w14:textId="259B59CB" w:rsidR="002832AF" w:rsidRDefault="002832AF" w:rsidP="00791180">
      <w:pPr>
        <w:ind w:left="454" w:hanging="454"/>
      </w:pPr>
      <w:r>
        <w:t>[7]</w:t>
      </w:r>
      <w:r>
        <w:tab/>
      </w:r>
      <w:r>
        <w:t>Shi Z, Zhao F, 2024, Thoughts on the Transformation of Education Empowered by Generative Artificial Intelligence. Advances in Education, 14(5): 950–956.</w:t>
      </w:r>
    </w:p>
    <w:p w14:paraId="3FB516DC" w14:textId="0F619F53" w:rsidR="002832AF" w:rsidRDefault="002832AF" w:rsidP="00791180">
      <w:pPr>
        <w:ind w:left="454" w:hanging="454"/>
      </w:pPr>
      <w:r>
        <w:t>[8]</w:t>
      </w:r>
      <w:r>
        <w:tab/>
      </w:r>
      <w:r>
        <w:t>Yang X, Zeng J, Li X, 2025, Scenario Refinement and Practical Implementation of Deep Integration Between Artificial Intelligence and Education—Based on Exploratory Multiple Case Analysis. Open Education Research, 31(1): 82–92.</w:t>
      </w:r>
    </w:p>
    <w:p w14:paraId="213ABC82" w14:textId="7F8332D7" w:rsidR="002832AF" w:rsidRDefault="002832AF" w:rsidP="00791180">
      <w:pPr>
        <w:ind w:left="454" w:hanging="454"/>
      </w:pPr>
      <w:r>
        <w:t>[9]</w:t>
      </w:r>
      <w:r>
        <w:tab/>
      </w:r>
      <w:r>
        <w:t>Li J, Liu B, Deng X, Lu X, Du Y, Sun K, Ding X, Wang J, 2025, Research on the Reform of AI-Enabled Big Data Development Practical Courses—Taking Big Data System Development Practice as an Example. Research on Innovative Education, 13(11): 132–140.</w:t>
      </w:r>
    </w:p>
    <w:p w14:paraId="655E7EBF" w14:textId="338FF343" w:rsidR="002832AF" w:rsidRDefault="002832AF" w:rsidP="00791180">
      <w:pPr>
        <w:ind w:left="454" w:hanging="454"/>
      </w:pPr>
      <w:r>
        <w:t>[10]</w:t>
      </w:r>
      <w:r>
        <w:tab/>
      </w:r>
      <w:r>
        <w:t>Liu J, Fang Y, 2024, Exploration of Practical Teaching Mode for Data Science and Big Data Technology Majors. China New Telecommunications, 26(4): 96–98.</w:t>
      </w:r>
    </w:p>
    <w:p w14:paraId="75315613" w14:textId="1AF630AC" w:rsidR="002832AF" w:rsidRDefault="002832AF" w:rsidP="00791180">
      <w:pPr>
        <w:ind w:left="454" w:hanging="454"/>
      </w:pPr>
      <w:r>
        <w:t>[11]</w:t>
      </w:r>
      <w:r>
        <w:tab/>
      </w:r>
      <w:r>
        <w:t>Canal-Esteve M, Gutiérrez Y, 2024, Educational Material to Knowledge Graph Conversion: A Methodology to Enhance Digital Education. Proceedings of the 1st Workshop on Knowledge Graphs and Large Language Models, Bangkok: Association for Computational Linguistics, 85–91.</w:t>
      </w:r>
    </w:p>
    <w:p w14:paraId="00C01E4D" w14:textId="29DBA70D" w:rsidR="002832AF" w:rsidRDefault="002832AF" w:rsidP="00791180">
      <w:pPr>
        <w:ind w:left="454" w:hanging="454"/>
      </w:pPr>
      <w:r>
        <w:t>[12]</w:t>
      </w:r>
      <w:r>
        <w:tab/>
      </w:r>
      <w:r>
        <w:t xml:space="preserve">Gao R, </w:t>
      </w:r>
      <w:proofErr w:type="spellStart"/>
      <w:r>
        <w:t>Merzdorf</w:t>
      </w:r>
      <w:proofErr w:type="spellEnd"/>
      <w:r>
        <w:t xml:space="preserve"> HE, Anwar S, Hipwell MC, Srinivasa AR, 2024, Automatic Assessment of Text-Based Responses in Post-Secondary Education: A Systematic Review. Computers and Education: Artificial Intelligence, 6: 100206.</w:t>
      </w:r>
    </w:p>
    <w:p w14:paraId="65572C23" w14:textId="68D7D93E" w:rsidR="002832AF" w:rsidRDefault="002832AF" w:rsidP="00791180">
      <w:pPr>
        <w:ind w:left="454" w:hanging="454"/>
      </w:pPr>
      <w:r>
        <w:t>[13]</w:t>
      </w:r>
      <w:r>
        <w:tab/>
      </w:r>
      <w:r>
        <w:t>Wang P, Jing Y, Shen S, 2025, A Systematic Literature Review on the Application of Generative Artificial Intelligence (GAI) in Teaching Within Higher Education: Instructional Contexts, Process, and Strategies. The Internet and Higher Education: 100996.</w:t>
      </w:r>
    </w:p>
    <w:p w14:paraId="5C453572" w14:textId="50456DA9" w:rsidR="002832AF" w:rsidRDefault="002832AF" w:rsidP="00791180">
      <w:pPr>
        <w:ind w:left="454" w:hanging="454"/>
      </w:pPr>
      <w:r>
        <w:t>[14]</w:t>
      </w:r>
      <w:r>
        <w:tab/>
      </w:r>
      <w:r>
        <w:t>Chiu TKF, 2024, Future Research Recommendations for Transforming Higher Education with Generative AI. Computers and Education: Artificial Intelligence, 6: 100197.</w:t>
      </w:r>
    </w:p>
    <w:p w14:paraId="7736B4E1" w14:textId="42626755" w:rsidR="002832AF" w:rsidRDefault="002832AF" w:rsidP="00791180">
      <w:pPr>
        <w:ind w:left="454" w:hanging="454"/>
      </w:pPr>
      <w:r>
        <w:t>[15]</w:t>
      </w:r>
      <w:r>
        <w:tab/>
      </w:r>
      <w:r>
        <w:t xml:space="preserve">Wang H, Li B, 2024, Research on the Integration Path of </w:t>
      </w:r>
      <w:r w:rsidR="00791180">
        <w:t>“</w:t>
      </w:r>
      <w:r>
        <w:t xml:space="preserve">Posts, Courses, Competitions and </w:t>
      </w:r>
      <w:r>
        <w:lastRenderedPageBreak/>
        <w:t>Certificates</w:t>
      </w:r>
      <w:r w:rsidR="00791180">
        <w:t>”</w:t>
      </w:r>
      <w:r>
        <w:t xml:space="preserve"> Based on the </w:t>
      </w:r>
      <w:r w:rsidR="00791180">
        <w:t>“</w:t>
      </w:r>
      <w:r>
        <w:t>1+X</w:t>
      </w:r>
      <w:r w:rsidR="00791180">
        <w:t>”</w:t>
      </w:r>
      <w:r>
        <w:t xml:space="preserve"> Certificate System. Journal of Yellow River Conservancy Technical Institute, 36(1): 91–94.</w:t>
      </w:r>
    </w:p>
    <w:p w14:paraId="119B042B" w14:textId="77777777" w:rsidR="002832AF" w:rsidRDefault="002832AF" w:rsidP="00791180"/>
    <w:p w14:paraId="02FB9DE5" w14:textId="1BA2B2F5" w:rsidR="002832AF" w:rsidRDefault="002832AF" w:rsidP="00791180">
      <w:pPr>
        <w:widowControl/>
        <w:autoSpaceDE w:val="0"/>
        <w:autoSpaceDN w:val="0"/>
        <w:snapToGrid/>
        <w:jc w:val="left"/>
        <w:rPr>
          <w:rFonts w:eastAsia="SimSun"/>
          <w:b/>
          <w:bCs/>
          <w:sz w:val="20"/>
          <w:lang w:eastAsia="en-US"/>
        </w:rPr>
      </w:pPr>
      <w:r>
        <w:rPr>
          <w:rFonts w:eastAsia="SimSun"/>
          <w:b/>
          <w:bCs/>
          <w:sz w:val="20"/>
          <w:lang w:eastAsia="en-US"/>
        </w:rPr>
        <w:t>Publisher</w:t>
      </w:r>
      <w:r w:rsidR="00791180">
        <w:rPr>
          <w:rFonts w:eastAsia="SimSun"/>
          <w:b/>
          <w:bCs/>
          <w:sz w:val="20"/>
          <w:lang w:eastAsia="en-US"/>
        </w:rPr>
        <w:t>’</w:t>
      </w:r>
      <w:r>
        <w:rPr>
          <w:rFonts w:eastAsia="SimSun"/>
          <w:b/>
          <w:bCs/>
          <w:sz w:val="20"/>
          <w:lang w:eastAsia="en-US"/>
        </w:rPr>
        <w:t>s note</w:t>
      </w:r>
    </w:p>
    <w:p w14:paraId="09E51D7B" w14:textId="77777777" w:rsidR="002832AF" w:rsidRDefault="002832AF" w:rsidP="00791180">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0"/>
    <w:p w14:paraId="5E7B3740" w14:textId="29195A43" w:rsidR="00A2378B" w:rsidRPr="002832AF" w:rsidRDefault="00A2378B" w:rsidP="00110121">
      <w:pPr>
        <w:rPr>
          <w:rFonts w:cs="Times New Roman"/>
          <w:szCs w:val="24"/>
        </w:rPr>
      </w:pPr>
    </w:p>
    <w:sectPr w:rsidR="00A2378B" w:rsidRPr="002832AF" w:rsidSect="00110121">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B4CE8" w14:textId="77777777" w:rsidR="000D53F2" w:rsidRDefault="000D53F2">
      <w:r>
        <w:separator/>
      </w:r>
    </w:p>
  </w:endnote>
  <w:endnote w:type="continuationSeparator" w:id="0">
    <w:p w14:paraId="6D6F522C" w14:textId="77777777" w:rsidR="000D53F2" w:rsidRDefault="000D5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AAA8" w14:textId="77777777" w:rsidR="00A2378B" w:rsidRDefault="00A237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DBE7" w14:textId="77777777" w:rsidR="000D53F2" w:rsidRDefault="000D53F2">
      <w:r>
        <w:separator/>
      </w:r>
    </w:p>
  </w:footnote>
  <w:footnote w:type="continuationSeparator" w:id="0">
    <w:p w14:paraId="3FF9FB46" w14:textId="77777777" w:rsidR="000D53F2" w:rsidRDefault="000D5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2E46" w14:textId="77777777" w:rsidR="00A2378B" w:rsidRDefault="00A2378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8B"/>
    <w:rsid w:val="000B191C"/>
    <w:rsid w:val="000D53F2"/>
    <w:rsid w:val="00110121"/>
    <w:rsid w:val="002832AF"/>
    <w:rsid w:val="00791180"/>
    <w:rsid w:val="00A2378B"/>
    <w:rsid w:val="00B431DA"/>
    <w:rsid w:val="00CC4A4C"/>
    <w:rsid w:val="351D5647"/>
    <w:rsid w:val="3B0A0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E112"/>
  <w15:docId w15:val="{B8840307-4DAD-4CBF-BD78-902233D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32AF"/>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2832AF"/>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2026-07-22T02:16:00Z</dcterms:created>
  <dcterms:modified xsi:type="dcterms:W3CDTF">2026-07-22T02:16:00Z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{"Label":"1","ContentProducer":"001191110102MACQD9K64010000","ProduceID":"7660367225472404437","ReservedCode1":"","ContentPropagator":"","PropagateID":"","ReservedCode2":""}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85B2D70B82664A38AB227C2B18A0F819_12</vt:lpwstr>
  </property>
  <property fmtid="{D5CDD505-2E9C-101B-9397-08002B2CF9AE}" pid="6" name="GrammarlyDocumentId">
    <vt:lpwstr>ef4d65c5-dda0-46b8-ac8c-fc96db546ded</vt:lpwstr>
  </property>
</Properties>
</file>