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CA859" w14:textId="2B126EB4" w:rsidR="00547C0C" w:rsidRPr="008D2937" w:rsidRDefault="00000000" w:rsidP="008D2937">
      <w:pPr>
        <w:jc w:val="left"/>
        <w:rPr>
          <w:rFonts w:cs="Times New Roman"/>
          <w:sz w:val="44"/>
          <w:szCs w:val="44"/>
        </w:rPr>
      </w:pPr>
      <w:r w:rsidRPr="008D2937">
        <w:rPr>
          <w:rFonts w:cs="Times New Roman"/>
          <w:b/>
          <w:sz w:val="44"/>
          <w:szCs w:val="44"/>
        </w:rPr>
        <w:t xml:space="preserve">Reconstructing and Empowering Formative Assessment in University </w:t>
      </w:r>
      <w:r w:rsidR="00FB1F0F" w:rsidRPr="008D2937">
        <w:rPr>
          <w:rFonts w:cs="Times New Roman"/>
          <w:b/>
          <w:sz w:val="44"/>
          <w:szCs w:val="44"/>
        </w:rPr>
        <w:t>English Teaching</w:t>
      </w:r>
      <w:r w:rsidR="00FB1F0F" w:rsidRPr="008D2937">
        <w:rPr>
          <w:rFonts w:cs="Times New Roman"/>
          <w:b/>
          <w:sz w:val="44"/>
          <w:szCs w:val="44"/>
        </w:rPr>
        <w:t xml:space="preserve"> </w:t>
      </w:r>
      <w:r w:rsidRPr="008D2937">
        <w:rPr>
          <w:rFonts w:cs="Times New Roman"/>
          <w:b/>
          <w:sz w:val="44"/>
          <w:szCs w:val="44"/>
        </w:rPr>
        <w:t>Reform Based on the Production-Oriented Approach (POA):</w:t>
      </w:r>
      <w:r w:rsidR="00FB1F0F" w:rsidRPr="008D2937">
        <w:rPr>
          <w:rFonts w:cs="Times New Roman"/>
          <w:b/>
          <w:sz w:val="44"/>
          <w:szCs w:val="44"/>
        </w:rPr>
        <w:t xml:space="preserve"> </w:t>
      </w:r>
      <w:r w:rsidRPr="008D2937">
        <w:rPr>
          <w:rFonts w:cs="Times New Roman"/>
          <w:b/>
          <w:sz w:val="44"/>
          <w:szCs w:val="44"/>
        </w:rPr>
        <w:t>A Case Study of College English at Hunan Women</w:t>
      </w:r>
      <w:r w:rsidR="00FB1F0F">
        <w:rPr>
          <w:rFonts w:cs="Times New Roman"/>
          <w:b/>
          <w:sz w:val="44"/>
          <w:szCs w:val="44"/>
        </w:rPr>
        <w:t>’</w:t>
      </w:r>
      <w:r w:rsidRPr="008D2937">
        <w:rPr>
          <w:rFonts w:cs="Times New Roman"/>
          <w:b/>
          <w:sz w:val="44"/>
          <w:szCs w:val="44"/>
        </w:rPr>
        <w:t>s University</w:t>
      </w:r>
    </w:p>
    <w:p w14:paraId="3D531734" w14:textId="7F2133EB" w:rsidR="00547C0C" w:rsidRPr="008D2937" w:rsidRDefault="00000000" w:rsidP="008D2937">
      <w:pPr>
        <w:rPr>
          <w:rFonts w:cs="Times New Roman"/>
          <w:b/>
          <w:bCs/>
        </w:rPr>
      </w:pPr>
      <w:r w:rsidRPr="008D2937">
        <w:rPr>
          <w:rFonts w:cs="Times New Roman"/>
          <w:b/>
          <w:bCs/>
        </w:rPr>
        <w:t>Xiaoli</w:t>
      </w:r>
      <w:r w:rsidR="00FB1F0F">
        <w:rPr>
          <w:rFonts w:cs="Times New Roman"/>
          <w:b/>
          <w:bCs/>
        </w:rPr>
        <w:t xml:space="preserve"> </w:t>
      </w:r>
      <w:r w:rsidR="00FB1F0F" w:rsidRPr="00DB2AAB">
        <w:rPr>
          <w:rFonts w:cs="Times New Roman"/>
          <w:b/>
          <w:bCs/>
        </w:rPr>
        <w:t>Qin</w:t>
      </w:r>
      <w:r w:rsidR="00FB1F0F">
        <w:rPr>
          <w:rFonts w:cs="Times New Roman"/>
          <w:b/>
          <w:bCs/>
        </w:rPr>
        <w:t xml:space="preserve">, </w:t>
      </w:r>
      <w:r w:rsidRPr="008D2937">
        <w:rPr>
          <w:rFonts w:cs="Times New Roman"/>
          <w:b/>
          <w:bCs/>
        </w:rPr>
        <w:t>Sha</w:t>
      </w:r>
      <w:r w:rsidR="00FB1F0F">
        <w:rPr>
          <w:rFonts w:cs="Times New Roman"/>
          <w:b/>
          <w:bCs/>
        </w:rPr>
        <w:t xml:space="preserve"> </w:t>
      </w:r>
      <w:r w:rsidR="00FB1F0F" w:rsidRPr="00DB2AAB">
        <w:rPr>
          <w:rFonts w:cs="Times New Roman"/>
          <w:b/>
          <w:bCs/>
        </w:rPr>
        <w:t>He</w:t>
      </w:r>
    </w:p>
    <w:p w14:paraId="6ED81E57" w14:textId="5A0349C1" w:rsidR="00FB1F0F" w:rsidRPr="00FB1F0F" w:rsidRDefault="00000000" w:rsidP="008D2937">
      <w:pPr>
        <w:rPr>
          <w:rFonts w:cs="Times New Roman"/>
        </w:rPr>
      </w:pPr>
      <w:r w:rsidRPr="008D2937">
        <w:rPr>
          <w:rFonts w:cs="Times New Roman"/>
        </w:rPr>
        <w:t>School of Foreign Languages, Hunan Women</w:t>
      </w:r>
      <w:r w:rsidR="00FB1F0F">
        <w:rPr>
          <w:rFonts w:cs="Times New Roman"/>
        </w:rPr>
        <w:t>’</w:t>
      </w:r>
      <w:r w:rsidRPr="008D2937">
        <w:rPr>
          <w:rFonts w:cs="Times New Roman"/>
        </w:rPr>
        <w:t>s University</w:t>
      </w:r>
      <w:r w:rsidR="00FB1F0F">
        <w:rPr>
          <w:rFonts w:cs="Times New Roman"/>
        </w:rPr>
        <w:t xml:space="preserve">, </w:t>
      </w:r>
      <w:r w:rsidRPr="008D2937">
        <w:rPr>
          <w:rFonts w:cs="Times New Roman"/>
        </w:rPr>
        <w:t>Changsha, Hunan 410000, China</w:t>
      </w:r>
    </w:p>
    <w:p w14:paraId="16FF6A5F" w14:textId="77777777" w:rsidR="00FB1F0F" w:rsidRPr="003017C3" w:rsidRDefault="00FB1F0F" w:rsidP="00FB1F0F">
      <w:pPr>
        <w:rPr>
          <w:rFonts w:eastAsia="DengXian"/>
          <w:b/>
          <w:bCs/>
          <w:i/>
          <w:iCs/>
          <w:kern w:val="0"/>
        </w:rPr>
      </w:pPr>
      <w:r w:rsidRPr="003017C3">
        <w:rPr>
          <w:rFonts w:eastAsia="DengXian"/>
          <w:b/>
          <w:bCs/>
          <w:i/>
          <w:iCs/>
          <w:kern w:val="0"/>
          <w:lang w:bidi="ar"/>
        </w:rPr>
        <w:t>*Author to whom correspondence should be addressed</w:t>
      </w:r>
      <w:r w:rsidRPr="004636F6">
        <w:rPr>
          <w:rFonts w:eastAsia="DengXian"/>
          <w:b/>
          <w:bCs/>
          <w:i/>
          <w:iCs/>
          <w:kern w:val="0"/>
          <w:lang w:bidi="ar"/>
        </w:rPr>
        <w:t>.</w:t>
      </w:r>
    </w:p>
    <w:p w14:paraId="5FA06BC4" w14:textId="77777777" w:rsidR="00FB1F0F" w:rsidRDefault="00FB1F0F" w:rsidP="00FB1F0F">
      <w:pPr>
        <w:rPr>
          <w:highlight w:val="yellow"/>
        </w:rPr>
      </w:pPr>
    </w:p>
    <w:p w14:paraId="28533351" w14:textId="77777777" w:rsidR="00FB1F0F" w:rsidRDefault="00FB1F0F" w:rsidP="00FB1F0F">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1EF4C5A3" w14:textId="77777777" w:rsidR="00FB1F0F" w:rsidRDefault="00FB1F0F" w:rsidP="00FB1F0F">
      <w:pPr>
        <w:rPr>
          <w:rFonts w:cs="Times New Roman"/>
          <w:b/>
        </w:rPr>
      </w:pPr>
    </w:p>
    <w:p w14:paraId="2ACC46E8" w14:textId="3B1AD67E" w:rsidR="00547C0C" w:rsidRPr="00FB1F0F" w:rsidRDefault="00000000" w:rsidP="008D2937">
      <w:pPr>
        <w:rPr>
          <w:rFonts w:cs="Times New Roman"/>
        </w:rPr>
      </w:pPr>
      <w:r w:rsidRPr="008D2937">
        <w:rPr>
          <w:rFonts w:cs="Times New Roman"/>
          <w:b/>
        </w:rPr>
        <w:t>Abstract</w:t>
      </w:r>
      <w:r w:rsidR="00FB1F0F">
        <w:rPr>
          <w:rFonts w:cs="Times New Roman"/>
          <w:b/>
        </w:rPr>
        <w:t>:</w:t>
      </w:r>
      <w:r w:rsidR="00FB1F0F">
        <w:rPr>
          <w:rFonts w:cs="Times New Roman"/>
        </w:rPr>
        <w:t xml:space="preserve"> </w:t>
      </w:r>
      <w:r w:rsidRPr="008D2937">
        <w:rPr>
          <w:rFonts w:cs="Times New Roman"/>
        </w:rPr>
        <w:t>Grounded in the newly revised 2024 syllabi of College English A (I) and College English A (II) at Hunan Women</w:t>
      </w:r>
      <w:r w:rsidR="00FB1F0F">
        <w:rPr>
          <w:rFonts w:cs="Times New Roman"/>
        </w:rPr>
        <w:t>’</w:t>
      </w:r>
      <w:r w:rsidRPr="008D2937">
        <w:rPr>
          <w:rFonts w:cs="Times New Roman"/>
        </w:rPr>
        <w:t xml:space="preserve">s University, and informed by the Hunan Provincial Educational Reform project titled </w:t>
      </w:r>
      <w:r w:rsidR="00FB1F0F">
        <w:rPr>
          <w:rFonts w:cs="Times New Roman"/>
        </w:rPr>
        <w:t>“</w:t>
      </w:r>
      <w:r w:rsidRPr="008D2937">
        <w:rPr>
          <w:rFonts w:cs="Times New Roman"/>
        </w:rPr>
        <w:t>Research and Practice on a POA-Inspired College English Teaching Model in the Digital Era,</w:t>
      </w:r>
      <w:r w:rsidR="00FB1F0F">
        <w:rPr>
          <w:rFonts w:cs="Times New Roman"/>
        </w:rPr>
        <w:t>”</w:t>
      </w:r>
      <w:r w:rsidRPr="008D2937">
        <w:rPr>
          <w:rFonts w:cs="Times New Roman"/>
        </w:rPr>
        <w:t xml:space="preserve"> this study examines how the three foundational pillars of the Production-Oriented Approach (POA)</w:t>
      </w:r>
      <w:r w:rsidR="00FB1F0F">
        <w:rPr>
          <w:rFonts w:cs="Times New Roman"/>
        </w:rPr>
        <w:t xml:space="preserve">, </w:t>
      </w:r>
      <w:r w:rsidRPr="008D2937">
        <w:rPr>
          <w:rFonts w:cs="Times New Roman"/>
        </w:rPr>
        <w:t>namely, teaching philosophy, pedagogical hypotheses, and teaching procedures</w:t>
      </w:r>
      <w:r w:rsidR="00FB1F0F">
        <w:rPr>
          <w:rFonts w:cs="Times New Roman"/>
        </w:rPr>
        <w:t xml:space="preserve">, </w:t>
      </w:r>
      <w:r w:rsidRPr="008D2937">
        <w:rPr>
          <w:rFonts w:cs="Times New Roman"/>
        </w:rPr>
        <w:t>structurally reshape formative assessment. The research identifies four systemic deficiencies in current university English formative assessment: (1) procedural assessment formalism; (2) ambiguous competence orientation; (3) fragmented feedback mechanisms; and (4) imbalanced teacher-student roles and responsibilities. Crucially, POA</w:t>
      </w:r>
      <w:r w:rsidR="00FB1F0F">
        <w:rPr>
          <w:rFonts w:cs="Times New Roman"/>
        </w:rPr>
        <w:t>’</w:t>
      </w:r>
      <w:r w:rsidRPr="008D2937">
        <w:rPr>
          <w:rFonts w:cs="Times New Roman"/>
        </w:rPr>
        <w:t>s principle of Assessment for Learning (AfL) functions not as a peripheral evaluative add-on but as a central, generative engine that closes the learning loop, advances learners</w:t>
      </w:r>
      <w:r w:rsidR="00FB1F0F">
        <w:rPr>
          <w:rFonts w:cs="Times New Roman"/>
        </w:rPr>
        <w:t>’</w:t>
      </w:r>
      <w:r w:rsidRPr="008D2937">
        <w:rPr>
          <w:rFonts w:cs="Times New Roman"/>
        </w:rPr>
        <w:t xml:space="preserve"> competence trajectories, and realizes the integration of learning and application. Drawing on the dual-course multilayered assessment framework, this paper systematically constructs a five-dimensional, POA-aligned formative assessment model</w:t>
      </w:r>
      <w:r w:rsidR="00FB1F0F">
        <w:rPr>
          <w:rFonts w:cs="Times New Roman"/>
        </w:rPr>
        <w:t xml:space="preserve">, </w:t>
      </w:r>
      <w:r w:rsidRPr="008D2937">
        <w:rPr>
          <w:rFonts w:cs="Times New Roman"/>
        </w:rPr>
        <w:t>Goal-Task-Evidence-Feedback-Regulation</w:t>
      </w:r>
      <w:r w:rsidR="00FB1F0F">
        <w:rPr>
          <w:rFonts w:cs="Times New Roman"/>
        </w:rPr>
        <w:t xml:space="preserve">, </w:t>
      </w:r>
      <w:r w:rsidRPr="008D2937">
        <w:rPr>
          <w:rFonts w:cs="Times New Roman"/>
        </w:rPr>
        <w:t>and leverages digital platforms (e.g., U-School, Pigai.org, and Chaoxing Learning Platform) to enable data-driven dynamic diagnosis and personalized pedagogical intervention. Empirical evidence demonstrates significant improvements across multiple domains: (1) language production quality (a 37.2% increase in logical coherence in writing; a 41.5% rise in strategic oral communication usage); (2) higher-order critical thinking (enhanced depth and nuance in cultural stance expression within critical writing); and (3) metacognitive autonomy in self-regulated learning (a 2.8-fold increase in frequency of goal-setting and self-monitoring behaviors). This study offers a theoretically robust and practically resilient paradigm for college English teaching reform in application-oriented universities of the new era.</w:t>
      </w:r>
    </w:p>
    <w:p w14:paraId="2F2826DA" w14:textId="7F38061D" w:rsidR="00547C0C" w:rsidRPr="00FB1F0F" w:rsidRDefault="00000000" w:rsidP="008D2937">
      <w:pPr>
        <w:rPr>
          <w:rFonts w:cs="Times New Roman"/>
          <w:iCs/>
        </w:rPr>
      </w:pPr>
      <w:r w:rsidRPr="008D2937">
        <w:rPr>
          <w:rFonts w:cs="Times New Roman"/>
          <w:b/>
          <w:iCs/>
        </w:rPr>
        <w:t>Keywords:</w:t>
      </w:r>
      <w:r w:rsidRPr="008D2937">
        <w:rPr>
          <w:rFonts w:cs="Times New Roman"/>
          <w:b/>
          <w:i/>
        </w:rPr>
        <w:t xml:space="preserve"> </w:t>
      </w:r>
      <w:r w:rsidRPr="008D2937">
        <w:rPr>
          <w:rFonts w:cs="Times New Roman"/>
          <w:iCs/>
        </w:rPr>
        <w:t>Production-</w:t>
      </w:r>
      <w:r w:rsidR="00FB1F0F" w:rsidRPr="00FB1F0F">
        <w:rPr>
          <w:rFonts w:cs="Times New Roman"/>
          <w:iCs/>
        </w:rPr>
        <w:t>oriented approach</w:t>
      </w:r>
      <w:r w:rsidRPr="008D2937">
        <w:rPr>
          <w:rFonts w:cs="Times New Roman"/>
          <w:iCs/>
        </w:rPr>
        <w:t xml:space="preserve">; </w:t>
      </w:r>
      <w:r w:rsidR="00FB1F0F" w:rsidRPr="00FB1F0F">
        <w:rPr>
          <w:rFonts w:cs="Times New Roman"/>
          <w:iCs/>
        </w:rPr>
        <w:t xml:space="preserve">Formative </w:t>
      </w:r>
      <w:r w:rsidRPr="008D2937">
        <w:rPr>
          <w:rFonts w:cs="Times New Roman"/>
          <w:iCs/>
        </w:rPr>
        <w:t xml:space="preserve">assessment; </w:t>
      </w:r>
      <w:r w:rsidR="00FB1F0F" w:rsidRPr="00FB1F0F">
        <w:rPr>
          <w:rFonts w:cs="Times New Roman"/>
          <w:iCs/>
        </w:rPr>
        <w:t xml:space="preserve">College </w:t>
      </w:r>
      <w:r w:rsidRPr="008D2937">
        <w:rPr>
          <w:rFonts w:cs="Times New Roman"/>
          <w:iCs/>
        </w:rPr>
        <w:t xml:space="preserve">English teaching reform; </w:t>
      </w:r>
      <w:r w:rsidR="00FB1F0F" w:rsidRPr="00FB1F0F">
        <w:rPr>
          <w:rFonts w:cs="Times New Roman"/>
          <w:iCs/>
        </w:rPr>
        <w:t xml:space="preserve">Integration </w:t>
      </w:r>
      <w:r w:rsidRPr="008D2937">
        <w:rPr>
          <w:rFonts w:cs="Times New Roman"/>
          <w:iCs/>
        </w:rPr>
        <w:t xml:space="preserve">of learning and application; </w:t>
      </w:r>
      <w:r w:rsidR="00FB1F0F" w:rsidRPr="00FB1F0F">
        <w:rPr>
          <w:rFonts w:cs="Times New Roman"/>
          <w:iCs/>
        </w:rPr>
        <w:t xml:space="preserve">Digital </w:t>
      </w:r>
      <w:r w:rsidRPr="008D2937">
        <w:rPr>
          <w:rFonts w:cs="Times New Roman"/>
          <w:iCs/>
        </w:rPr>
        <w:t>empowerment</w:t>
      </w:r>
    </w:p>
    <w:p w14:paraId="2C107C87" w14:textId="77777777" w:rsidR="00547C0C" w:rsidRDefault="00547C0C" w:rsidP="00FB1F0F">
      <w:pPr>
        <w:rPr>
          <w:rFonts w:cs="Times New Roman"/>
        </w:rPr>
      </w:pPr>
    </w:p>
    <w:p w14:paraId="152003C1" w14:textId="77777777" w:rsidR="00FB1F0F" w:rsidRDefault="00FB1F0F" w:rsidP="00FB1F0F">
      <w:pPr>
        <w:rPr>
          <w:rFonts w:cs="Times New Roman"/>
          <w:b/>
          <w:bCs/>
        </w:rPr>
      </w:pPr>
      <w:r>
        <w:rPr>
          <w:rFonts w:cs="Times New Roman"/>
          <w:b/>
          <w:bCs/>
        </w:rPr>
        <w:t>Online publication:</w:t>
      </w:r>
    </w:p>
    <w:p w14:paraId="00F652A6" w14:textId="77777777" w:rsidR="00FB1F0F" w:rsidRPr="00FB1F0F" w:rsidRDefault="00FB1F0F" w:rsidP="00FB1F0F">
      <w:pPr>
        <w:rPr>
          <w:rFonts w:cs="Times New Roman"/>
          <w:b/>
          <w:bCs/>
        </w:rPr>
      </w:pPr>
    </w:p>
    <w:p w14:paraId="3E3770FB" w14:textId="77777777" w:rsidR="00547C0C" w:rsidRPr="008D2937" w:rsidRDefault="00000000" w:rsidP="008D2937">
      <w:pPr>
        <w:rPr>
          <w:rFonts w:cs="Times New Roman"/>
          <w:b/>
          <w:bCs/>
        </w:rPr>
      </w:pPr>
      <w:r w:rsidRPr="008D2937">
        <w:rPr>
          <w:rFonts w:cs="Times New Roman"/>
          <w:b/>
          <w:bCs/>
        </w:rPr>
        <w:t>1. Structural Misalignment of Traditional Formative Assessment Within the POA Framework</w:t>
      </w:r>
    </w:p>
    <w:p w14:paraId="6FF61E2E" w14:textId="7AC4D2B0" w:rsidR="00547C0C" w:rsidRPr="00FB1F0F" w:rsidRDefault="00000000" w:rsidP="008D2937">
      <w:pPr>
        <w:rPr>
          <w:rFonts w:eastAsiaTheme="minorEastAsia" w:cs="Times New Roman"/>
        </w:rPr>
      </w:pPr>
      <w:r w:rsidRPr="008D2937">
        <w:rPr>
          <w:rFonts w:cs="Times New Roman"/>
        </w:rPr>
        <w:t>The Guidelines for College English Teaching (2020 Edition), issued by China</w:t>
      </w:r>
      <w:r w:rsidR="00FB1F0F">
        <w:rPr>
          <w:rFonts w:cs="Times New Roman"/>
        </w:rPr>
        <w:t>’</w:t>
      </w:r>
      <w:r w:rsidRPr="008D2937">
        <w:rPr>
          <w:rFonts w:cs="Times New Roman"/>
        </w:rPr>
        <w:t xml:space="preserve">s Ministry of Education, explicitly mandates </w:t>
      </w:r>
      <w:r w:rsidR="00FB1F0F">
        <w:rPr>
          <w:rFonts w:cs="Times New Roman"/>
        </w:rPr>
        <w:t>“</w:t>
      </w:r>
      <w:r w:rsidRPr="008D2937">
        <w:rPr>
          <w:rFonts w:cs="Times New Roman"/>
        </w:rPr>
        <w:t>strengthening formative assessment, focusing on the learning process, and promoting holistic student development.</w:t>
      </w:r>
      <w:r w:rsidR="00FB1F0F">
        <w:rPr>
          <w:rFonts w:cs="Times New Roman"/>
        </w:rPr>
        <w:t>”</w:t>
      </w:r>
      <w:r w:rsidRPr="008D2937">
        <w:rPr>
          <w:rFonts w:cs="Times New Roman"/>
        </w:rPr>
        <w:t xml:space="preserve"> Yet a close examination of the 2024 syllabi for College English A (I) and College English A (II) at Hunan Women</w:t>
      </w:r>
      <w:r w:rsidR="00FB1F0F">
        <w:rPr>
          <w:rFonts w:cs="Times New Roman"/>
        </w:rPr>
        <w:t>’</w:t>
      </w:r>
      <w:r w:rsidRPr="008D2937">
        <w:rPr>
          <w:rFonts w:cs="Times New Roman"/>
        </w:rPr>
        <w:t>s University reveals persistent structural contradictions</w:t>
      </w:r>
      <w:r w:rsidR="00FB1F0F">
        <w:rPr>
          <w:rFonts w:cs="Times New Roman"/>
        </w:rPr>
        <w:t xml:space="preserve">, </w:t>
      </w:r>
      <w:r w:rsidRPr="008D2937">
        <w:rPr>
          <w:rFonts w:cs="Times New Roman"/>
        </w:rPr>
        <w:t>even though formative assessment has moved beyond paper-and-pencil tests to adopt a hybrid model (</w:t>
      </w:r>
      <w:r w:rsidR="00FB1F0F">
        <w:rPr>
          <w:rFonts w:cs="Times New Roman"/>
        </w:rPr>
        <w:t>“</w:t>
      </w:r>
      <w:r w:rsidRPr="008D2937">
        <w:rPr>
          <w:rFonts w:cs="Times New Roman"/>
        </w:rPr>
        <w:t xml:space="preserve">U-School assignments + in-class discussions + Pigai.org </w:t>
      </w:r>
      <w:r w:rsidRPr="008D2937">
        <w:rPr>
          <w:rFonts w:cs="Times New Roman"/>
        </w:rPr>
        <w:lastRenderedPageBreak/>
        <w:t>submissions</w:t>
      </w:r>
      <w:r w:rsidR="00FB1F0F">
        <w:rPr>
          <w:rFonts w:cs="Times New Roman"/>
        </w:rPr>
        <w:t>”</w:t>
      </w:r>
      <w:r w:rsidRPr="008D2937">
        <w:rPr>
          <w:rFonts w:cs="Times New Roman"/>
        </w:rPr>
        <w:t>), accounting for 30% of the final grade. Three fundamental paradoxes remain unresolved</w:t>
      </w:r>
      <w:r w:rsidR="00FB1F0F">
        <w:rPr>
          <w:rFonts w:cs="Times New Roman"/>
        </w:rPr>
        <w:t xml:space="preserve"> </w:t>
      </w:r>
      <w:r w:rsidR="0068580F" w:rsidRPr="008D2937">
        <w:rPr>
          <w:rFonts w:cs="Times New Roman"/>
          <w:vertAlign w:val="superscript"/>
        </w:rPr>
        <w:t>[1]</w:t>
      </w:r>
      <w:r w:rsidR="00FB1F0F">
        <w:rPr>
          <w:rFonts w:cs="Times New Roman"/>
        </w:rPr>
        <w:t>.</w:t>
      </w:r>
    </w:p>
    <w:p w14:paraId="4FF0B21D" w14:textId="5AFA1E6E" w:rsidR="00547C0C" w:rsidRPr="00FB1F0F" w:rsidRDefault="00000000" w:rsidP="008D2937">
      <w:pPr>
        <w:ind w:firstLine="420"/>
        <w:rPr>
          <w:rFonts w:eastAsiaTheme="minorEastAsia" w:cs="Times New Roman"/>
        </w:rPr>
      </w:pPr>
      <w:r w:rsidRPr="008D2937">
        <w:rPr>
          <w:rFonts w:cs="Times New Roman"/>
        </w:rPr>
        <w:t>First, misalignment between assessment objectives and POA</w:t>
      </w:r>
      <w:r w:rsidR="00FB1F0F">
        <w:rPr>
          <w:rFonts w:cs="Times New Roman"/>
        </w:rPr>
        <w:t>’</w:t>
      </w:r>
      <w:r w:rsidRPr="008D2937">
        <w:rPr>
          <w:rFonts w:cs="Times New Roman"/>
        </w:rPr>
        <w:t>s integration of learning and application. POA posits that all instructional activities must serve authentic communicative output</w:t>
      </w:r>
      <w:r w:rsidR="004B2BFB" w:rsidRPr="008D2937">
        <w:rPr>
          <w:rFonts w:cs="Times New Roman"/>
          <w:vertAlign w:val="superscript"/>
        </w:rPr>
        <w:t xml:space="preserve"> [</w:t>
      </w:r>
      <w:r w:rsidR="004B2BFB" w:rsidRPr="008D2937">
        <w:rPr>
          <w:rFonts w:eastAsiaTheme="minorEastAsia" w:cs="Times New Roman"/>
          <w:vertAlign w:val="superscript"/>
        </w:rPr>
        <w:t>2</w:t>
      </w:r>
      <w:r w:rsidR="004B2BFB" w:rsidRPr="008D2937">
        <w:rPr>
          <w:rFonts w:cs="Times New Roman"/>
          <w:vertAlign w:val="superscript"/>
        </w:rPr>
        <w:t>]</w:t>
      </w:r>
      <w:r w:rsidR="00FB1F0F">
        <w:rPr>
          <w:rFonts w:cs="Times New Roman"/>
        </w:rPr>
        <w:t>.</w:t>
      </w:r>
      <w:r w:rsidRPr="008D2937">
        <w:rPr>
          <w:rFonts w:cs="Times New Roman"/>
        </w:rPr>
        <w:t xml:space="preserve"> However, current formative tasks largely fail this criterion: U-School exercises emphasize mechanical vocabulary and grammar drills (e.g., fill-in-the-blank, matching); Pigai.org writing assessments prioritize linguistic accuracy over rhetorical or pragmatic efficacy; and classroom discussions often devolve into superficial opinion listing rather than anchoring to core unit-level output tasks</w:t>
      </w:r>
      <w:r w:rsidR="00FB1F0F">
        <w:rPr>
          <w:rFonts w:cs="Times New Roman"/>
        </w:rPr>
        <w:t xml:space="preserve">, </w:t>
      </w:r>
      <w:r w:rsidRPr="008D2937">
        <w:rPr>
          <w:rFonts w:cs="Times New Roman"/>
        </w:rPr>
        <w:t xml:space="preserve">such as designing a volunteer project (Unit 6) or crafting advertising copy (Unit 3). Notably, Course Objective 1 (language proficiency) carries the highest formative weight (10 points), yet its assessment items bear little functional correspondence to stated outcomes like </w:t>
      </w:r>
      <w:r w:rsidR="00FB1F0F">
        <w:rPr>
          <w:rFonts w:cs="Times New Roman"/>
        </w:rPr>
        <w:t>“</w:t>
      </w:r>
      <w:r w:rsidRPr="008D2937">
        <w:rPr>
          <w:rFonts w:cs="Times New Roman"/>
        </w:rPr>
        <w:t>engaging in discussion on socio-political issues</w:t>
      </w:r>
      <w:r w:rsidR="00FB1F0F">
        <w:rPr>
          <w:rFonts w:cs="Times New Roman"/>
        </w:rPr>
        <w:t>”</w:t>
      </w:r>
      <w:r w:rsidRPr="008D2937">
        <w:rPr>
          <w:rFonts w:cs="Times New Roman"/>
        </w:rPr>
        <w:t xml:space="preserve"> or </w:t>
      </w:r>
      <w:r w:rsidR="00FB1F0F">
        <w:rPr>
          <w:rFonts w:cs="Times New Roman"/>
        </w:rPr>
        <w:t>“</w:t>
      </w:r>
      <w:r w:rsidRPr="008D2937">
        <w:rPr>
          <w:rFonts w:cs="Times New Roman"/>
        </w:rPr>
        <w:t>translating discipline-specific texts.</w:t>
      </w:r>
      <w:r w:rsidR="00FB1F0F">
        <w:rPr>
          <w:rFonts w:cs="Times New Roman"/>
        </w:rPr>
        <w:t>”</w:t>
      </w:r>
      <w:r w:rsidRPr="008D2937">
        <w:rPr>
          <w:rFonts w:cs="Times New Roman"/>
        </w:rPr>
        <w:t xml:space="preserve"> Consequently, evaluation functions not as a scaffolding mechanism driving output, but as an isolated knowledge-check</w:t>
      </w:r>
      <w:r w:rsidR="00FB1F0F">
        <w:rPr>
          <w:rFonts w:cs="Times New Roman"/>
        </w:rPr>
        <w:t xml:space="preserve">, </w:t>
      </w:r>
      <w:r w:rsidRPr="008D2937">
        <w:rPr>
          <w:rFonts w:cs="Times New Roman"/>
        </w:rPr>
        <w:t>a static endpoint rather than a dynamic catalyst</w:t>
      </w:r>
      <w:r w:rsidR="004B2BFB" w:rsidRPr="008D2937">
        <w:rPr>
          <w:rFonts w:cs="Times New Roman"/>
          <w:kern w:val="0"/>
          <w14:ligatures w14:val="none"/>
        </w:rPr>
        <w:t xml:space="preserve"> </w:t>
      </w:r>
      <w:r w:rsidR="004B2BFB" w:rsidRPr="008D2937">
        <w:rPr>
          <w:rFonts w:cs="Times New Roman"/>
          <w:vertAlign w:val="superscript"/>
        </w:rPr>
        <w:t>[</w:t>
      </w:r>
      <w:r w:rsidR="004B2BFB" w:rsidRPr="008D2937">
        <w:rPr>
          <w:rFonts w:eastAsiaTheme="minorEastAsia" w:cs="Times New Roman"/>
          <w:vertAlign w:val="superscript"/>
        </w:rPr>
        <w:t>3</w:t>
      </w:r>
      <w:r w:rsidR="004B2BFB" w:rsidRPr="008D2937">
        <w:rPr>
          <w:rFonts w:cs="Times New Roman"/>
          <w:vertAlign w:val="superscript"/>
        </w:rPr>
        <w:t>]</w:t>
      </w:r>
      <w:r w:rsidR="00FB1F0F">
        <w:rPr>
          <w:rFonts w:cs="Times New Roman"/>
        </w:rPr>
        <w:t>.</w:t>
      </w:r>
    </w:p>
    <w:p w14:paraId="5FEDCF7C" w14:textId="3E14C663" w:rsidR="00547C0C" w:rsidRPr="00FB1F0F" w:rsidRDefault="00000000" w:rsidP="008D2937">
      <w:pPr>
        <w:ind w:firstLine="420"/>
        <w:rPr>
          <w:rFonts w:cs="Times New Roman"/>
        </w:rPr>
      </w:pPr>
      <w:r w:rsidRPr="008D2937">
        <w:rPr>
          <w:rFonts w:cs="Times New Roman"/>
        </w:rPr>
        <w:t xml:space="preserve">Second, </w:t>
      </w:r>
      <w:r w:rsidR="004808D5">
        <w:rPr>
          <w:rFonts w:cs="Times New Roman"/>
        </w:rPr>
        <w:t xml:space="preserve">there is an </w:t>
      </w:r>
      <w:r w:rsidRPr="008D2937">
        <w:rPr>
          <w:rFonts w:cs="Times New Roman"/>
        </w:rPr>
        <w:t>imbalance in assessment agency vis-a-vis POA</w:t>
      </w:r>
      <w:r w:rsidR="00FB1F0F">
        <w:rPr>
          <w:rFonts w:cs="Times New Roman"/>
        </w:rPr>
        <w:t>’</w:t>
      </w:r>
      <w:r w:rsidRPr="008D2937">
        <w:rPr>
          <w:rFonts w:cs="Times New Roman"/>
        </w:rPr>
        <w:t>s dual-track principle of teacher-led design and student-centered engagement. Within POA</w:t>
      </w:r>
      <w:r w:rsidR="00FB1F0F">
        <w:rPr>
          <w:rFonts w:cs="Times New Roman"/>
        </w:rPr>
        <w:t>’</w:t>
      </w:r>
      <w:r w:rsidRPr="008D2937">
        <w:rPr>
          <w:rFonts w:cs="Times New Roman"/>
        </w:rPr>
        <w:t>s tripartite teaching cycle (Driving-Enabling-Assessing), teachers assume multifaceted roles</w:t>
      </w:r>
      <w:r w:rsidR="00FB1F0F">
        <w:rPr>
          <w:rFonts w:cs="Times New Roman"/>
        </w:rPr>
        <w:t xml:space="preserve">, </w:t>
      </w:r>
      <w:r w:rsidRPr="008D2937">
        <w:rPr>
          <w:rFonts w:cs="Times New Roman"/>
        </w:rPr>
        <w:t>as designers, diagnosticians, and feedback providers</w:t>
      </w:r>
      <w:r w:rsidR="00FB1F0F">
        <w:rPr>
          <w:rFonts w:cs="Times New Roman"/>
        </w:rPr>
        <w:t xml:space="preserve">, </w:t>
      </w:r>
      <w:r w:rsidRPr="008D2937">
        <w:rPr>
          <w:rFonts w:cs="Times New Roman"/>
        </w:rPr>
        <w:t>while students are expected to act as task executors, evidence generators, and reflective regulators. In practice, however, teachers retain near-exclusive control over scoring (e.g., final grading after AI-assisted Pigai.org evaluations), while students remain passive recipients of scores</w:t>
      </w:r>
      <w:r w:rsidR="004808D5">
        <w:rPr>
          <w:rFonts w:cs="Times New Roman"/>
        </w:rPr>
        <w:t xml:space="preserve">, </w:t>
      </w:r>
      <w:r w:rsidRPr="008D2937">
        <w:rPr>
          <w:rFonts w:cs="Times New Roman"/>
        </w:rPr>
        <w:t>lacking conceptual clarity about rubrics, metacognitive awareness of their own performance, or agency in responding to feedback. Moreover, course objective attainment is calculated via static averages, ignoring individual developmental trajectories. Thus, assessment serves as retrospective attribution</w:t>
      </w:r>
      <w:r w:rsidR="004808D5">
        <w:rPr>
          <w:rFonts w:cs="Times New Roman"/>
        </w:rPr>
        <w:t xml:space="preserve">, </w:t>
      </w:r>
      <w:r w:rsidRPr="008D2937">
        <w:rPr>
          <w:rFonts w:cs="Times New Roman"/>
        </w:rPr>
        <w:t>not prospective navigation.</w:t>
      </w:r>
    </w:p>
    <w:p w14:paraId="413DB6CB" w14:textId="5F2C05F3" w:rsidR="00547C0C" w:rsidRPr="00FB1F0F" w:rsidRDefault="00000000" w:rsidP="008D2937">
      <w:pPr>
        <w:ind w:firstLine="420"/>
        <w:rPr>
          <w:rFonts w:cs="Times New Roman"/>
        </w:rPr>
      </w:pPr>
      <w:r w:rsidRPr="008D2937">
        <w:rPr>
          <w:rFonts w:cs="Times New Roman"/>
        </w:rPr>
        <w:t>Third, epistemological disconnection between assessment data and POA</w:t>
      </w:r>
      <w:r w:rsidR="00FB1F0F">
        <w:rPr>
          <w:rFonts w:cs="Times New Roman"/>
        </w:rPr>
        <w:t>’</w:t>
      </w:r>
      <w:r w:rsidRPr="008D2937">
        <w:rPr>
          <w:rFonts w:cs="Times New Roman"/>
        </w:rPr>
        <w:t>s AfL hypothesis. As Wen</w:t>
      </w:r>
      <w:r w:rsidR="00FB1F0F">
        <w:rPr>
          <w:rFonts w:cs="Times New Roman"/>
        </w:rPr>
        <w:t xml:space="preserve"> </w:t>
      </w:r>
      <w:r w:rsidRPr="008D2937">
        <w:rPr>
          <w:rFonts w:cs="Times New Roman"/>
          <w:vertAlign w:val="superscript"/>
        </w:rPr>
        <w:t>[2]</w:t>
      </w:r>
      <w:r w:rsidRPr="008D2937">
        <w:rPr>
          <w:rFonts w:cs="Times New Roman"/>
        </w:rPr>
        <w:t xml:space="preserve"> emphasizes, AfL demands that assessment be embedded throughout instruction, enabling real-time diagnosis, precise feedback, and iterative regulation. Yet current platform-generated data (e.g., correctness rates, response time) from U-School and Pigai.org remain confined to surface-level behavioral metrics. They fail to map onto POA</w:t>
      </w:r>
      <w:r w:rsidR="00FB1F0F">
        <w:rPr>
          <w:rFonts w:cs="Times New Roman"/>
        </w:rPr>
        <w:t>’</w:t>
      </w:r>
      <w:r w:rsidRPr="008D2937">
        <w:rPr>
          <w:rFonts w:cs="Times New Roman"/>
        </w:rPr>
        <w:t xml:space="preserve">s higher-order dimensions: output task completion fidelity, effectiveness of enabling scaffolds, and depth of intercultural critical thinking. Digital resources function merely as </w:t>
      </w:r>
      <w:r w:rsidR="00FB1F0F">
        <w:rPr>
          <w:rFonts w:cs="Times New Roman"/>
        </w:rPr>
        <w:t>“</w:t>
      </w:r>
      <w:r w:rsidRPr="008D2937">
        <w:rPr>
          <w:rFonts w:cs="Times New Roman"/>
        </w:rPr>
        <w:t>electronic question banks,</w:t>
      </w:r>
      <w:r w:rsidR="00FB1F0F">
        <w:rPr>
          <w:rFonts w:cs="Times New Roman"/>
        </w:rPr>
        <w:t>”</w:t>
      </w:r>
      <w:r w:rsidRPr="008D2937">
        <w:rPr>
          <w:rFonts w:cs="Times New Roman"/>
        </w:rPr>
        <w:t xml:space="preserve"> falling short of POA</w:t>
      </w:r>
      <w:r w:rsidR="00FB1F0F">
        <w:rPr>
          <w:rFonts w:cs="Times New Roman"/>
        </w:rPr>
        <w:t>’</w:t>
      </w:r>
      <w:r w:rsidRPr="008D2937">
        <w:rPr>
          <w:rFonts w:cs="Times New Roman"/>
        </w:rPr>
        <w:t>s vision of data-informed pedagogical decision-making</w:t>
      </w:r>
      <w:r w:rsidR="00C06990" w:rsidRPr="008D2937">
        <w:rPr>
          <w:rFonts w:cs="Times New Roman"/>
          <w:vertAlign w:val="superscript"/>
        </w:rPr>
        <w:t xml:space="preserve"> [</w:t>
      </w:r>
      <w:r w:rsidR="00C06990" w:rsidRPr="008D2937">
        <w:rPr>
          <w:rFonts w:eastAsiaTheme="minorEastAsia" w:cs="Times New Roman"/>
          <w:vertAlign w:val="superscript"/>
        </w:rPr>
        <w:t>4</w:t>
      </w:r>
      <w:r w:rsidR="00C06990" w:rsidRPr="008D2937">
        <w:rPr>
          <w:rFonts w:cs="Times New Roman"/>
          <w:vertAlign w:val="superscript"/>
        </w:rPr>
        <w:t>]</w:t>
      </w:r>
      <w:r w:rsidR="00FB1F0F">
        <w:rPr>
          <w:rFonts w:cs="Times New Roman"/>
        </w:rPr>
        <w:t>.</w:t>
      </w:r>
    </w:p>
    <w:p w14:paraId="779A4F0D" w14:textId="002769EB" w:rsidR="00547C0C" w:rsidRPr="00FB1F0F" w:rsidRDefault="0068580F" w:rsidP="008D2937">
      <w:pPr>
        <w:ind w:firstLine="420"/>
        <w:rPr>
          <w:rFonts w:eastAsiaTheme="minorEastAsia" w:cs="Times New Roman"/>
        </w:rPr>
      </w:pPr>
      <w:r w:rsidRPr="008D2937">
        <w:rPr>
          <w:rFonts w:cs="Times New Roman"/>
        </w:rPr>
        <w:t xml:space="preserve">Hence, the central research proposition emerges: How can POA theory transform formative assessment from a mere </w:t>
      </w:r>
      <w:r w:rsidR="00FB1F0F">
        <w:rPr>
          <w:rFonts w:cs="Times New Roman"/>
        </w:rPr>
        <w:t>“</w:t>
      </w:r>
      <w:r w:rsidRPr="008D2937">
        <w:rPr>
          <w:rFonts w:cs="Times New Roman"/>
        </w:rPr>
        <w:t>assessment tool</w:t>
      </w:r>
      <w:r w:rsidR="00FB1F0F">
        <w:rPr>
          <w:rFonts w:cs="Times New Roman"/>
        </w:rPr>
        <w:t>”</w:t>
      </w:r>
      <w:r w:rsidRPr="008D2937">
        <w:rPr>
          <w:rFonts w:cs="Times New Roman"/>
        </w:rPr>
        <w:t xml:space="preserve"> into a fully integrated </w:t>
      </w:r>
      <w:r w:rsidR="00FB1F0F">
        <w:rPr>
          <w:rFonts w:cs="Times New Roman"/>
        </w:rPr>
        <w:t>“</w:t>
      </w:r>
      <w:r w:rsidRPr="008D2937">
        <w:rPr>
          <w:rFonts w:cs="Times New Roman"/>
        </w:rPr>
        <w:t>pedagogical operating system</w:t>
      </w:r>
      <w:r w:rsidR="00FB1F0F">
        <w:rPr>
          <w:rFonts w:cs="Times New Roman"/>
        </w:rPr>
        <w:t>”</w:t>
      </w:r>
      <w:r w:rsidR="004808D5">
        <w:rPr>
          <w:rFonts w:cs="Times New Roman"/>
        </w:rPr>
        <w:t xml:space="preserve">, </w:t>
      </w:r>
      <w:r w:rsidRPr="008D2937">
        <w:rPr>
          <w:rFonts w:cs="Times New Roman"/>
        </w:rPr>
        <w:t>one that structurally drives language production, enables competence progression, and fulfills the holistic aims of whole-person education.</w:t>
      </w:r>
      <w:r w:rsidR="00C06990" w:rsidRPr="008D2937">
        <w:rPr>
          <w:rFonts w:cs="Times New Roman"/>
          <w:vertAlign w:val="superscript"/>
        </w:rPr>
        <w:t xml:space="preserve"> </w:t>
      </w:r>
    </w:p>
    <w:p w14:paraId="4CEF9A27" w14:textId="77777777" w:rsidR="00FB1F0F" w:rsidRDefault="00FB1F0F" w:rsidP="00FB1F0F">
      <w:pPr>
        <w:rPr>
          <w:rFonts w:cs="Times New Roman"/>
        </w:rPr>
      </w:pPr>
    </w:p>
    <w:p w14:paraId="75D7A699" w14:textId="1DFB767F" w:rsidR="00547C0C" w:rsidRPr="008D2937" w:rsidRDefault="00000000" w:rsidP="008D2937">
      <w:pPr>
        <w:rPr>
          <w:rFonts w:cs="Times New Roman"/>
          <w:b/>
          <w:bCs/>
        </w:rPr>
      </w:pPr>
      <w:r w:rsidRPr="008D2937">
        <w:rPr>
          <w:rFonts w:cs="Times New Roman"/>
          <w:b/>
          <w:bCs/>
        </w:rPr>
        <w:t xml:space="preserve">2. Paradigmatic </w:t>
      </w:r>
      <w:r w:rsidR="00FB1F0F" w:rsidRPr="00FB1F0F">
        <w:rPr>
          <w:rFonts w:cs="Times New Roman"/>
          <w:b/>
          <w:bCs/>
        </w:rPr>
        <w:t>reconstruction of formative assessment under the POA framework</w:t>
      </w:r>
    </w:p>
    <w:p w14:paraId="6D1F259A" w14:textId="03170955" w:rsidR="00547C0C" w:rsidRPr="00752A65" w:rsidRDefault="00000000" w:rsidP="008D2937">
      <w:pPr>
        <w:rPr>
          <w:rFonts w:cs="Times New Roman"/>
        </w:rPr>
      </w:pPr>
      <w:r w:rsidRPr="008D2937">
        <w:rPr>
          <w:rFonts w:cs="Times New Roman"/>
        </w:rPr>
        <w:t>POA provides an indispensable theoretical foundation for deep, principled reform of formative assessment. Its three pillars collectively define the genetic architecture of a reimagined evaluative paradigm</w:t>
      </w:r>
      <w:r w:rsidR="00C06990" w:rsidRPr="008D2937">
        <w:rPr>
          <w:rFonts w:cs="Times New Roman"/>
          <w:vertAlign w:val="superscript"/>
        </w:rPr>
        <w:t xml:space="preserve"> [</w:t>
      </w:r>
      <w:r w:rsidR="00C06990" w:rsidRPr="008D2937">
        <w:rPr>
          <w:rFonts w:eastAsiaTheme="minorEastAsia" w:cs="Times New Roman"/>
          <w:vertAlign w:val="superscript"/>
        </w:rPr>
        <w:t>5</w:t>
      </w:r>
      <w:r w:rsidR="00C06990" w:rsidRPr="008D2937">
        <w:rPr>
          <w:rFonts w:cs="Times New Roman"/>
          <w:vertAlign w:val="superscript"/>
        </w:rPr>
        <w:t>]</w:t>
      </w:r>
      <w:r w:rsidR="00752A65">
        <w:rPr>
          <w:rFonts w:cs="Times New Roman"/>
        </w:rPr>
        <w:t>.</w:t>
      </w:r>
    </w:p>
    <w:p w14:paraId="6FA31C1C" w14:textId="77777777" w:rsidR="00752A65" w:rsidRDefault="00752A65" w:rsidP="00FB1F0F">
      <w:pPr>
        <w:rPr>
          <w:rFonts w:cs="Times New Roman"/>
        </w:rPr>
      </w:pPr>
    </w:p>
    <w:p w14:paraId="5EF2860C" w14:textId="587F4BA5" w:rsidR="00547C0C" w:rsidRPr="008D2937" w:rsidRDefault="00000000" w:rsidP="008D2937">
      <w:pPr>
        <w:rPr>
          <w:rFonts w:cs="Times New Roman"/>
          <w:b/>
          <w:bCs/>
        </w:rPr>
      </w:pPr>
      <w:r w:rsidRPr="008D2937">
        <w:rPr>
          <w:rFonts w:cs="Times New Roman"/>
          <w:b/>
          <w:bCs/>
        </w:rPr>
        <w:t xml:space="preserve">2.1. Teaching </w:t>
      </w:r>
      <w:r w:rsidR="00752A65" w:rsidRPr="00752A65">
        <w:rPr>
          <w:rFonts w:cs="Times New Roman"/>
          <w:b/>
          <w:bCs/>
        </w:rPr>
        <w:t>philosophy</w:t>
      </w:r>
      <w:r w:rsidRPr="008D2937">
        <w:rPr>
          <w:rFonts w:cs="Times New Roman"/>
          <w:b/>
          <w:bCs/>
        </w:rPr>
        <w:t xml:space="preserve">: Shifting </w:t>
      </w:r>
      <w:r w:rsidR="00752A65" w:rsidRPr="00752A65">
        <w:rPr>
          <w:rFonts w:cs="Times New Roman"/>
          <w:b/>
          <w:bCs/>
        </w:rPr>
        <w:t>the value axis from “knowledge testing” to “competence growth</w:t>
      </w:r>
      <w:r w:rsidR="00FB1F0F" w:rsidRPr="008D2937">
        <w:rPr>
          <w:rFonts w:cs="Times New Roman"/>
          <w:b/>
          <w:bCs/>
        </w:rPr>
        <w:t>”</w:t>
      </w:r>
    </w:p>
    <w:p w14:paraId="190D5301" w14:textId="7B1024FE" w:rsidR="00547C0C" w:rsidRPr="00FB1F0F" w:rsidRDefault="00000000" w:rsidP="008D2937">
      <w:pPr>
        <w:rPr>
          <w:rFonts w:cs="Times New Roman"/>
        </w:rPr>
      </w:pPr>
      <w:r w:rsidRPr="008D2937">
        <w:rPr>
          <w:rFonts w:cs="Times New Roman"/>
        </w:rPr>
        <w:t>The learner-centered principle requires assessment design to answer: What transferable competencies have students developed through this process?</w:t>
      </w:r>
      <w:r w:rsidR="00752A65">
        <w:rPr>
          <w:rFonts w:cs="Times New Roman"/>
        </w:rPr>
        <w:t xml:space="preserve"> </w:t>
      </w:r>
      <w:r w:rsidR="00752A65" w:rsidRPr="00752A65">
        <w:rPr>
          <w:rFonts w:cs="Times New Roman"/>
        </w:rPr>
        <w:t xml:space="preserve">Not </w:t>
      </w:r>
      <w:r w:rsidR="004808D5">
        <w:rPr>
          <w:rFonts w:cs="Times New Roman"/>
        </w:rPr>
        <w:t>how</w:t>
      </w:r>
      <w:r w:rsidR="004808D5" w:rsidRPr="008D2937">
        <w:rPr>
          <w:rFonts w:cs="Times New Roman"/>
        </w:rPr>
        <w:t xml:space="preserve"> </w:t>
      </w:r>
      <w:r w:rsidRPr="008D2937">
        <w:rPr>
          <w:rFonts w:cs="Times New Roman"/>
        </w:rPr>
        <w:t>many facts have they memorized?</w:t>
      </w:r>
    </w:p>
    <w:p w14:paraId="2F35FC45" w14:textId="756943CA" w:rsidR="00547C0C" w:rsidRPr="00FB1F0F" w:rsidRDefault="00000000" w:rsidP="008D2937">
      <w:pPr>
        <w:ind w:firstLine="420"/>
        <w:rPr>
          <w:rFonts w:cs="Times New Roman"/>
        </w:rPr>
      </w:pPr>
      <w:r w:rsidRPr="008D2937">
        <w:rPr>
          <w:rFonts w:cs="Times New Roman"/>
        </w:rPr>
        <w:t>The integration of learning and application dictates that assessment must cohere with authentic output tasks. For instance, when students draft a business proposal, formative assessment should foreground market analysis logic, feasibility argumentation, and anticipation of cross-cultural risks</w:t>
      </w:r>
      <w:r w:rsidR="00752A65">
        <w:rPr>
          <w:rFonts w:cs="Times New Roman"/>
        </w:rPr>
        <w:t xml:space="preserve">, </w:t>
      </w:r>
      <w:r w:rsidRPr="008D2937">
        <w:rPr>
          <w:rFonts w:cs="Times New Roman"/>
        </w:rPr>
        <w:lastRenderedPageBreak/>
        <w:t>not merely tally grammatical errors.</w:t>
      </w:r>
    </w:p>
    <w:p w14:paraId="451BB1AB" w14:textId="77777777" w:rsidR="00547C0C" w:rsidRPr="00FB1F0F" w:rsidRDefault="00000000" w:rsidP="008D2937">
      <w:pPr>
        <w:ind w:firstLine="420"/>
        <w:rPr>
          <w:rFonts w:cs="Times New Roman"/>
        </w:rPr>
      </w:pPr>
      <w:r w:rsidRPr="008D2937">
        <w:rPr>
          <w:rFonts w:cs="Times New Roman"/>
        </w:rPr>
        <w:t>The whole-person education principle further expands assessment scope to include ideological literacy, cultural confidence, and collaborative ethos. In evaluating advertising projects, for example, rubrics must incorporate indicators such as appropriateness of integrating fine traditional Chinese cultural elements and degree of embodiment of sustainable consumption values, rendering assessment an explicit vehicle for value cultivation.</w:t>
      </w:r>
    </w:p>
    <w:p w14:paraId="572F1CFD" w14:textId="77777777" w:rsidR="00752A65" w:rsidRDefault="00752A65" w:rsidP="00FB1F0F">
      <w:pPr>
        <w:rPr>
          <w:rFonts w:cs="Times New Roman"/>
        </w:rPr>
      </w:pPr>
    </w:p>
    <w:p w14:paraId="527BB55A" w14:textId="566C071D" w:rsidR="00547C0C" w:rsidRPr="008D2937" w:rsidRDefault="00000000" w:rsidP="008D2937">
      <w:pPr>
        <w:rPr>
          <w:rFonts w:cs="Times New Roman"/>
          <w:b/>
          <w:bCs/>
        </w:rPr>
      </w:pPr>
      <w:r w:rsidRPr="008D2937">
        <w:rPr>
          <w:rFonts w:cs="Times New Roman"/>
          <w:b/>
          <w:bCs/>
        </w:rPr>
        <w:t xml:space="preserve">2.2. Pedagogical </w:t>
      </w:r>
      <w:r w:rsidR="00752A65" w:rsidRPr="00752A65">
        <w:rPr>
          <w:rFonts w:cs="Times New Roman"/>
          <w:b/>
          <w:bCs/>
        </w:rPr>
        <w:t>hypotheses</w:t>
      </w:r>
      <w:r w:rsidRPr="008D2937">
        <w:rPr>
          <w:rFonts w:cs="Times New Roman"/>
          <w:b/>
          <w:bCs/>
        </w:rPr>
        <w:t xml:space="preserve">: Operationalizing </w:t>
      </w:r>
      <w:r w:rsidR="00752A65" w:rsidRPr="00752A65">
        <w:rPr>
          <w:rFonts w:cs="Times New Roman"/>
          <w:b/>
          <w:bCs/>
        </w:rPr>
        <w:t>assessment for learning</w:t>
      </w:r>
    </w:p>
    <w:p w14:paraId="6EE91B6E" w14:textId="77777777" w:rsidR="00547C0C" w:rsidRPr="00FB1F0F" w:rsidRDefault="00000000" w:rsidP="008D2937">
      <w:pPr>
        <w:rPr>
          <w:rFonts w:cs="Times New Roman"/>
        </w:rPr>
      </w:pPr>
      <w:r w:rsidRPr="008D2937">
        <w:rPr>
          <w:rFonts w:cs="Times New Roman"/>
        </w:rPr>
        <w:t>POA translates AfL into actionable, empirically grounded hypotheses:</w:t>
      </w:r>
    </w:p>
    <w:p w14:paraId="7FCE2DB6" w14:textId="6BC9C539" w:rsidR="00547C0C" w:rsidRPr="00752A65" w:rsidRDefault="00752A65" w:rsidP="008D2937">
      <w:pPr>
        <w:rPr>
          <w:rFonts w:cs="Times New Roman"/>
        </w:rPr>
      </w:pPr>
      <w:r>
        <w:rPr>
          <w:rFonts w:cs="Times New Roman"/>
        </w:rPr>
        <w:t xml:space="preserve">(1) </w:t>
      </w:r>
      <w:r w:rsidR="00000000" w:rsidRPr="008D2937">
        <w:rPr>
          <w:rFonts w:cs="Times New Roman"/>
        </w:rPr>
        <w:t xml:space="preserve">Output-driven assessment. Assessment is front-loaded into the Driving phase. Pre-class micro-video tasks (e.g., </w:t>
      </w:r>
      <w:r w:rsidR="00FB1F0F">
        <w:rPr>
          <w:rFonts w:cs="Times New Roman"/>
        </w:rPr>
        <w:t>“</w:t>
      </w:r>
      <w:r w:rsidR="00000000" w:rsidRPr="008D2937">
        <w:rPr>
          <w:rFonts w:cs="Times New Roman"/>
        </w:rPr>
        <w:t>Design English promotional copy for Hunan intangible cultural heritage products</w:t>
      </w:r>
      <w:r w:rsidR="00FB1F0F">
        <w:rPr>
          <w:rFonts w:cs="Times New Roman"/>
        </w:rPr>
        <w:t>”</w:t>
      </w:r>
      <w:r w:rsidR="00000000" w:rsidRPr="008D2937">
        <w:rPr>
          <w:rFonts w:cs="Times New Roman"/>
        </w:rPr>
        <w:t>) yield students</w:t>
      </w:r>
      <w:r w:rsidR="00FB1F0F">
        <w:rPr>
          <w:rFonts w:cs="Times New Roman"/>
        </w:rPr>
        <w:t>’</w:t>
      </w:r>
      <w:r w:rsidR="00000000" w:rsidRPr="008D2937">
        <w:rPr>
          <w:rFonts w:cs="Times New Roman"/>
        </w:rPr>
        <w:t xml:space="preserve"> initial drafts</w:t>
      </w:r>
      <w:r w:rsidR="004808D5">
        <w:rPr>
          <w:rFonts w:cs="Times New Roman"/>
        </w:rPr>
        <w:t xml:space="preserve">, </w:t>
      </w:r>
      <w:r w:rsidR="00000000" w:rsidRPr="008D2937">
        <w:rPr>
          <w:rFonts w:cs="Times New Roman"/>
        </w:rPr>
        <w:t>their first formative evidence</w:t>
      </w:r>
      <w:r w:rsidR="004808D5">
        <w:rPr>
          <w:rFonts w:cs="Times New Roman"/>
        </w:rPr>
        <w:t xml:space="preserve">, </w:t>
      </w:r>
      <w:r w:rsidR="00000000" w:rsidRPr="008D2937">
        <w:rPr>
          <w:rFonts w:cs="Times New Roman"/>
        </w:rPr>
        <w:t>exposing genuine linguistic gaps and triggering subsequent input-based learning</w:t>
      </w:r>
      <w:r>
        <w:rPr>
          <w:rFonts w:cs="Times New Roman"/>
        </w:rPr>
        <w:t xml:space="preserve"> </w:t>
      </w:r>
      <w:r w:rsidR="000C5D25" w:rsidRPr="008D2937">
        <w:rPr>
          <w:rFonts w:cs="Times New Roman"/>
          <w:vertAlign w:val="superscript"/>
        </w:rPr>
        <w:t xml:space="preserve"> [</w:t>
      </w:r>
      <w:r w:rsidR="004B2BFB" w:rsidRPr="008D2937">
        <w:rPr>
          <w:rFonts w:eastAsiaTheme="minorEastAsia" w:cs="Times New Roman"/>
          <w:vertAlign w:val="superscript"/>
        </w:rPr>
        <w:t>4</w:t>
      </w:r>
      <w:r w:rsidR="000C5D25" w:rsidRPr="008D2937">
        <w:rPr>
          <w:rFonts w:cs="Times New Roman"/>
          <w:vertAlign w:val="superscript"/>
        </w:rPr>
        <w:t>]</w:t>
      </w:r>
      <w:r>
        <w:rPr>
          <w:rFonts w:cs="Times New Roman"/>
        </w:rPr>
        <w:t>.</w:t>
      </w:r>
    </w:p>
    <w:p w14:paraId="23BCAEE8" w14:textId="34A6CAA3" w:rsidR="00547C0C" w:rsidRPr="00752A65" w:rsidRDefault="00752A65" w:rsidP="008D2937">
      <w:pPr>
        <w:rPr>
          <w:rFonts w:cs="Times New Roman"/>
        </w:rPr>
      </w:pPr>
      <w:r>
        <w:rPr>
          <w:rFonts w:cs="Times New Roman"/>
        </w:rPr>
        <w:t xml:space="preserve">(2) </w:t>
      </w:r>
      <w:r w:rsidR="00000000" w:rsidRPr="008D2937">
        <w:rPr>
          <w:rFonts w:cs="Times New Roman"/>
        </w:rPr>
        <w:t>Input-</w:t>
      </w:r>
      <w:r w:rsidR="000C5D25" w:rsidRPr="008D2937">
        <w:rPr>
          <w:rFonts w:cs="Times New Roman"/>
        </w:rPr>
        <w:t>enabled assessment</w:t>
      </w:r>
      <w:r w:rsidR="00000000" w:rsidRPr="008D2937">
        <w:rPr>
          <w:rFonts w:cs="Times New Roman"/>
        </w:rPr>
        <w:t>. Evaluation permeates the Enabling phase. Teachers use initial-draft analytics to deliver targeted resources: curated reading materials (e.g., exemplars of contrastive argument structure), domain-specific Pigai.org drills (e.g., logical connectors), and scaffolded speaking prompts</w:t>
      </w:r>
      <w:r w:rsidR="004808D5">
        <w:rPr>
          <w:rFonts w:cs="Times New Roman"/>
        </w:rPr>
        <w:t xml:space="preserve">, </w:t>
      </w:r>
      <w:r w:rsidR="00000000" w:rsidRPr="008D2937">
        <w:rPr>
          <w:rFonts w:cs="Times New Roman"/>
        </w:rPr>
        <w:t>all directly derived from diagnostic data</w:t>
      </w:r>
      <w:r w:rsidR="000C5D25" w:rsidRPr="008D2937">
        <w:rPr>
          <w:rFonts w:cs="Times New Roman"/>
          <w:vertAlign w:val="superscript"/>
        </w:rPr>
        <w:t xml:space="preserve"> [</w:t>
      </w:r>
      <w:r w:rsidR="004B2BFB" w:rsidRPr="008D2937">
        <w:rPr>
          <w:rFonts w:eastAsiaTheme="minorEastAsia" w:cs="Times New Roman"/>
          <w:vertAlign w:val="superscript"/>
        </w:rPr>
        <w:t>5</w:t>
      </w:r>
      <w:r w:rsidR="000C5D25" w:rsidRPr="008D2937">
        <w:rPr>
          <w:rFonts w:cs="Times New Roman"/>
          <w:vertAlign w:val="superscript"/>
        </w:rPr>
        <w:t>]</w:t>
      </w:r>
      <w:r>
        <w:rPr>
          <w:rFonts w:cs="Times New Roman"/>
        </w:rPr>
        <w:t>.</w:t>
      </w:r>
    </w:p>
    <w:p w14:paraId="188EC3A4" w14:textId="0A7279DF" w:rsidR="00547C0C" w:rsidRPr="00752A65" w:rsidRDefault="00752A65" w:rsidP="008D2937">
      <w:pPr>
        <w:rPr>
          <w:rFonts w:cs="Times New Roman"/>
        </w:rPr>
      </w:pPr>
      <w:r>
        <w:rPr>
          <w:rFonts w:cs="Times New Roman"/>
        </w:rPr>
        <w:t xml:space="preserve">(3) </w:t>
      </w:r>
      <w:r w:rsidR="00000000" w:rsidRPr="008D2937">
        <w:rPr>
          <w:rFonts w:cs="Times New Roman"/>
        </w:rPr>
        <w:t xml:space="preserve">Selective learning guidance. Assessment directs attention to high-leverage competencies. Where students consistently struggle with intercultural responsive strategies, U-School delivers scenario-based multiple-choice items (e.g., </w:t>
      </w:r>
      <w:r w:rsidR="00FB1F0F">
        <w:rPr>
          <w:rFonts w:cs="Times New Roman"/>
        </w:rPr>
        <w:t>“</w:t>
      </w:r>
      <w:r w:rsidR="00000000" w:rsidRPr="008D2937">
        <w:rPr>
          <w:rFonts w:cs="Times New Roman"/>
        </w:rPr>
        <w:t>What is the most appropriate response to a foreigner</w:t>
      </w:r>
      <w:r w:rsidR="00FB1F0F">
        <w:rPr>
          <w:rFonts w:cs="Times New Roman"/>
        </w:rPr>
        <w:t>’</w:t>
      </w:r>
      <w:r w:rsidR="00000000" w:rsidRPr="008D2937">
        <w:rPr>
          <w:rFonts w:cs="Times New Roman"/>
        </w:rPr>
        <w:t>s misconception about Chinese dietary habits?</w:t>
      </w:r>
      <w:r w:rsidR="00FB1F0F">
        <w:rPr>
          <w:rFonts w:cs="Times New Roman"/>
        </w:rPr>
        <w:t>”</w:t>
      </w:r>
      <w:r w:rsidR="00000000" w:rsidRPr="008D2937">
        <w:rPr>
          <w:rFonts w:cs="Times New Roman"/>
        </w:rPr>
        <w:t>), and resulting analytics determine the focus of in-class enabling activities</w:t>
      </w:r>
      <w:r w:rsidR="000C5D25" w:rsidRPr="008D2937">
        <w:rPr>
          <w:rFonts w:cs="Times New Roman"/>
          <w:vertAlign w:val="superscript"/>
        </w:rPr>
        <w:t xml:space="preserve"> [5]</w:t>
      </w:r>
      <w:r>
        <w:rPr>
          <w:rFonts w:cs="Times New Roman"/>
        </w:rPr>
        <w:t>.</w:t>
      </w:r>
    </w:p>
    <w:p w14:paraId="34FC5CE0" w14:textId="77777777" w:rsidR="00752A65" w:rsidRDefault="00752A65" w:rsidP="00FB1F0F">
      <w:pPr>
        <w:rPr>
          <w:rFonts w:cs="Times New Roman"/>
        </w:rPr>
      </w:pPr>
    </w:p>
    <w:p w14:paraId="37F41763" w14:textId="0A7CEF7F" w:rsidR="00547C0C" w:rsidRPr="008D2937" w:rsidRDefault="00000000" w:rsidP="008D2937">
      <w:pPr>
        <w:rPr>
          <w:rFonts w:cs="Times New Roman"/>
          <w:b/>
          <w:bCs/>
        </w:rPr>
      </w:pPr>
      <w:r w:rsidRPr="008D2937">
        <w:rPr>
          <w:rFonts w:cs="Times New Roman"/>
          <w:b/>
          <w:bCs/>
        </w:rPr>
        <w:t xml:space="preserve">2.3. Teaching </w:t>
      </w:r>
      <w:r w:rsidR="00752A65" w:rsidRPr="00752A65">
        <w:rPr>
          <w:rFonts w:cs="Times New Roman"/>
          <w:b/>
          <w:bCs/>
        </w:rPr>
        <w:t>procedures</w:t>
      </w:r>
      <w:r w:rsidRPr="008D2937">
        <w:rPr>
          <w:rFonts w:cs="Times New Roman"/>
          <w:b/>
          <w:bCs/>
        </w:rPr>
        <w:t xml:space="preserve">: A </w:t>
      </w:r>
      <w:r w:rsidR="00752A65" w:rsidRPr="00752A65">
        <w:rPr>
          <w:rFonts w:cs="Times New Roman"/>
          <w:b/>
          <w:bCs/>
        </w:rPr>
        <w:t>triadic, cyclical design of driving-enabling-assessing</w:t>
      </w:r>
    </w:p>
    <w:p w14:paraId="2A31FC45" w14:textId="52E36490" w:rsidR="00547C0C" w:rsidRDefault="00000000" w:rsidP="00FB1F0F">
      <w:pPr>
        <w:rPr>
          <w:rFonts w:cs="Times New Roman"/>
        </w:rPr>
      </w:pPr>
      <w:r w:rsidRPr="008D2937">
        <w:rPr>
          <w:rFonts w:cs="Times New Roman"/>
        </w:rPr>
        <w:t>POA</w:t>
      </w:r>
      <w:r w:rsidR="00FB1F0F">
        <w:rPr>
          <w:rFonts w:cs="Times New Roman"/>
        </w:rPr>
        <w:t>’</w:t>
      </w:r>
      <w:r w:rsidRPr="008D2937">
        <w:rPr>
          <w:rFonts w:cs="Times New Roman"/>
        </w:rPr>
        <w:t xml:space="preserve">s non-linear, recursive procedure provides a dynamic temporal-spatial framework for embedding formative assessment. As illustrated in </w:t>
      </w:r>
      <w:r w:rsidRPr="008D2937">
        <w:rPr>
          <w:rFonts w:cs="Times New Roman"/>
          <w:b/>
          <w:bCs/>
        </w:rPr>
        <w:t>Figure 1</w:t>
      </w:r>
      <w:r w:rsidRPr="008D2937">
        <w:rPr>
          <w:rFonts w:cs="Times New Roman"/>
        </w:rPr>
        <w:t>, the three phases form a cyclical, iterative loop with Assessment for Learning (AfL) as the central unifying principle</w:t>
      </w:r>
      <w:r w:rsidR="000C5D25" w:rsidRPr="008D2937">
        <w:rPr>
          <w:rFonts w:cs="Times New Roman"/>
          <w:vertAlign w:val="superscript"/>
        </w:rPr>
        <w:t xml:space="preserve"> [</w:t>
      </w:r>
      <w:r w:rsidR="00C06990" w:rsidRPr="008D2937">
        <w:rPr>
          <w:rFonts w:eastAsiaTheme="minorEastAsia" w:cs="Times New Roman"/>
          <w:vertAlign w:val="superscript"/>
        </w:rPr>
        <w:t>6</w:t>
      </w:r>
      <w:r w:rsidR="000C5D25" w:rsidRPr="008D2937">
        <w:rPr>
          <w:rFonts w:cs="Times New Roman"/>
          <w:vertAlign w:val="superscript"/>
        </w:rPr>
        <w:t>]</w:t>
      </w:r>
      <w:r w:rsidR="00752A65">
        <w:rPr>
          <w:rFonts w:cs="Times New Roman"/>
        </w:rPr>
        <w:t>.</w:t>
      </w:r>
    </w:p>
    <w:p w14:paraId="66B25EB3" w14:textId="77777777" w:rsidR="00752A65" w:rsidRPr="00752A65" w:rsidRDefault="00752A65" w:rsidP="008D2937">
      <w:pPr>
        <w:rPr>
          <w:rFonts w:eastAsiaTheme="minorEastAsia" w:cs="Times New Roman"/>
        </w:rPr>
      </w:pPr>
    </w:p>
    <w:p w14:paraId="5AA7AB98" w14:textId="77777777" w:rsidR="00547C0C" w:rsidRPr="008D2937" w:rsidRDefault="00000000" w:rsidP="008D2937">
      <w:pPr>
        <w:jc w:val="center"/>
        <w:rPr>
          <w:rFonts w:cs="Times New Roman"/>
          <w:sz w:val="20"/>
          <w:szCs w:val="20"/>
        </w:rPr>
      </w:pPr>
      <w:r w:rsidRPr="008D2937">
        <w:rPr>
          <w:rFonts w:cs="Times New Roman"/>
          <w:noProof/>
          <w:sz w:val="20"/>
          <w:szCs w:val="20"/>
        </w:rPr>
        <w:drawing>
          <wp:inline distT="0" distB="0" distL="0" distR="0" wp14:anchorId="54DEFF72" wp14:editId="5AB59904">
            <wp:extent cx="5184183" cy="3161309"/>
            <wp:effectExtent l="0" t="0" r="0" b="0"/>
            <wp:docPr id="1" name="POA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A Flow Chart.png"/>
                    <pic:cNvPicPr/>
                  </pic:nvPicPr>
                  <pic:blipFill>
                    <a:blip r:embed="rId6"/>
                    <a:stretch>
                      <a:fillRect/>
                    </a:stretch>
                  </pic:blipFill>
                  <pic:spPr>
                    <a:xfrm>
                      <a:off x="0" y="0"/>
                      <a:ext cx="5256743" cy="3205556"/>
                    </a:xfrm>
                    <a:prstGeom prst="rect">
                      <a:avLst/>
                    </a:prstGeom>
                  </pic:spPr>
                </pic:pic>
              </a:graphicData>
            </a:graphic>
          </wp:inline>
        </w:drawing>
      </w:r>
    </w:p>
    <w:p w14:paraId="518D9A49" w14:textId="3B9A7707" w:rsidR="00547C0C" w:rsidRPr="008D2937" w:rsidRDefault="00000000" w:rsidP="008D2937">
      <w:pPr>
        <w:jc w:val="center"/>
        <w:rPr>
          <w:rFonts w:cs="Times New Roman"/>
          <w:iCs/>
          <w:sz w:val="20"/>
          <w:szCs w:val="20"/>
        </w:rPr>
      </w:pPr>
      <w:r w:rsidRPr="008D2937">
        <w:rPr>
          <w:rFonts w:cs="Times New Roman"/>
          <w:b/>
          <w:sz w:val="20"/>
          <w:szCs w:val="20"/>
        </w:rPr>
        <w:t>Figure 1</w:t>
      </w:r>
      <w:r w:rsidR="00752A65" w:rsidRPr="008D2937">
        <w:rPr>
          <w:rFonts w:cs="Times New Roman"/>
          <w:b/>
          <w:sz w:val="20"/>
          <w:szCs w:val="20"/>
        </w:rPr>
        <w:t>.</w:t>
      </w:r>
      <w:r w:rsidRPr="008D2937">
        <w:rPr>
          <w:rFonts w:cs="Times New Roman"/>
          <w:iCs/>
          <w:sz w:val="20"/>
          <w:szCs w:val="20"/>
        </w:rPr>
        <w:t xml:space="preserve">The POA </w:t>
      </w:r>
      <w:r w:rsidR="00FB1F0F" w:rsidRPr="008D2937">
        <w:rPr>
          <w:rFonts w:cs="Times New Roman"/>
          <w:iCs/>
          <w:sz w:val="20"/>
          <w:szCs w:val="20"/>
        </w:rPr>
        <w:t>“</w:t>
      </w:r>
      <w:r w:rsidRPr="008D2937">
        <w:rPr>
          <w:rFonts w:cs="Times New Roman"/>
          <w:iCs/>
          <w:sz w:val="20"/>
          <w:szCs w:val="20"/>
        </w:rPr>
        <w:t>Driving-Enabling-Assessing</w:t>
      </w:r>
      <w:r w:rsidR="00FB1F0F" w:rsidRPr="008D2937">
        <w:rPr>
          <w:rFonts w:cs="Times New Roman"/>
          <w:iCs/>
          <w:sz w:val="20"/>
          <w:szCs w:val="20"/>
        </w:rPr>
        <w:t>”</w:t>
      </w:r>
      <w:r w:rsidRPr="008D2937">
        <w:rPr>
          <w:rFonts w:cs="Times New Roman"/>
          <w:iCs/>
          <w:sz w:val="20"/>
          <w:szCs w:val="20"/>
        </w:rPr>
        <w:t xml:space="preserve"> Triadic Nonlinear Cyclical Framework</w:t>
      </w:r>
      <w:r w:rsidR="00752A65" w:rsidRPr="008D2937">
        <w:rPr>
          <w:rFonts w:cs="Times New Roman"/>
          <w:iCs/>
          <w:sz w:val="20"/>
          <w:szCs w:val="20"/>
        </w:rPr>
        <w:t>.</w:t>
      </w:r>
    </w:p>
    <w:p w14:paraId="3F7805BC" w14:textId="77777777" w:rsidR="00752A65" w:rsidRPr="00752A65" w:rsidRDefault="00752A65" w:rsidP="008D2937">
      <w:pPr>
        <w:rPr>
          <w:rFonts w:cs="Times New Roman"/>
          <w:iCs/>
        </w:rPr>
      </w:pPr>
    </w:p>
    <w:p w14:paraId="4064CD71" w14:textId="0DA6A389" w:rsidR="00547C0C" w:rsidRDefault="00000000" w:rsidP="00752A65">
      <w:pPr>
        <w:ind w:firstLine="420"/>
        <w:rPr>
          <w:rFonts w:cs="Times New Roman"/>
        </w:rPr>
      </w:pPr>
      <w:r w:rsidRPr="008D2937">
        <w:rPr>
          <w:rFonts w:cs="Times New Roman"/>
        </w:rPr>
        <w:t xml:space="preserve">In the Driving phase, diagnostic assessment is implemented through U-School scenarios (e.g., a </w:t>
      </w:r>
      <w:r w:rsidR="00FB1F0F">
        <w:rPr>
          <w:rFonts w:cs="Times New Roman"/>
        </w:rPr>
        <w:t>“</w:t>
      </w:r>
      <w:r w:rsidRPr="008D2937">
        <w:rPr>
          <w:rFonts w:cs="Times New Roman"/>
        </w:rPr>
        <w:t>career-choice dilemma</w:t>
      </w:r>
      <w:r w:rsidR="00FB1F0F">
        <w:rPr>
          <w:rFonts w:cs="Times New Roman"/>
        </w:rPr>
        <w:t>”</w:t>
      </w:r>
      <w:r w:rsidRPr="008D2937">
        <w:rPr>
          <w:rFonts w:cs="Times New Roman"/>
        </w:rPr>
        <w:t xml:space="preserve"> poll combined with three-minute voice statements analyzed by AI for </w:t>
      </w:r>
      <w:r w:rsidRPr="008D2937">
        <w:rPr>
          <w:rFonts w:cs="Times New Roman"/>
        </w:rPr>
        <w:lastRenderedPageBreak/>
        <w:t xml:space="preserve">fluency and keyword density), generating a class-wide competency heat map that precisely identifies gaps to be addressed. In the Enabling phase, formative feedback follows AI scoring on Pigai.org with POA-aligned scaffolded annotations; peer review employs a Production Task Checklist assessing content logic, cultural stance, and linguistic appropriateness. In the Assessing phase, the 20% </w:t>
      </w:r>
      <w:r w:rsidR="00FB1F0F">
        <w:rPr>
          <w:rFonts w:cs="Times New Roman"/>
        </w:rPr>
        <w:t>“</w:t>
      </w:r>
      <w:r w:rsidRPr="008D2937">
        <w:rPr>
          <w:rFonts w:cs="Times New Roman"/>
        </w:rPr>
        <w:t>performance/comprehensive assessment</w:t>
      </w:r>
      <w:r w:rsidR="00FB1F0F">
        <w:rPr>
          <w:rFonts w:cs="Times New Roman"/>
        </w:rPr>
        <w:t>”</w:t>
      </w:r>
      <w:r w:rsidRPr="008D2937">
        <w:rPr>
          <w:rFonts w:cs="Times New Roman"/>
        </w:rPr>
        <w:t xml:space="preserve"> functions not as a free-choice assignment but as a POA capstone exhibition: volunteer posters require an attached </w:t>
      </w:r>
      <w:r w:rsidR="00FB1F0F">
        <w:rPr>
          <w:rFonts w:cs="Times New Roman"/>
        </w:rPr>
        <w:t>“</w:t>
      </w:r>
      <w:r w:rsidRPr="008D2937">
        <w:rPr>
          <w:rFonts w:cs="Times New Roman"/>
        </w:rPr>
        <w:t>cross-cultural conflict anticipation and resolution plan</w:t>
      </w:r>
      <w:r w:rsidR="00FB1F0F">
        <w:rPr>
          <w:rFonts w:cs="Times New Roman"/>
        </w:rPr>
        <w:t>”</w:t>
      </w:r>
      <w:r w:rsidRPr="008D2937">
        <w:rPr>
          <w:rFonts w:cs="Times New Roman"/>
        </w:rPr>
        <w:t>; business proposals undergo a five-minute English pitch evaluated jointly by instructor, peers, and industry mentors</w:t>
      </w:r>
      <w:r w:rsidR="004808D5">
        <w:rPr>
          <w:rFonts w:cs="Times New Roman"/>
        </w:rPr>
        <w:t xml:space="preserve">, </w:t>
      </w:r>
      <w:r w:rsidRPr="008D2937">
        <w:rPr>
          <w:rFonts w:cs="Times New Roman"/>
        </w:rPr>
        <w:t>ensuring authenticity and learning-application integration.</w:t>
      </w:r>
    </w:p>
    <w:p w14:paraId="54F01790" w14:textId="77777777" w:rsidR="00752A65" w:rsidRPr="00FB1F0F" w:rsidRDefault="00752A65" w:rsidP="008D2937">
      <w:pPr>
        <w:ind w:firstLine="420"/>
        <w:rPr>
          <w:rFonts w:cs="Times New Roman"/>
        </w:rPr>
      </w:pPr>
    </w:p>
    <w:p w14:paraId="762A499B" w14:textId="62A2A53B" w:rsidR="00547C0C" w:rsidRPr="008D2937" w:rsidRDefault="00000000" w:rsidP="008D2937">
      <w:pPr>
        <w:rPr>
          <w:rFonts w:cs="Times New Roman"/>
          <w:b/>
          <w:bCs/>
        </w:rPr>
      </w:pPr>
      <w:r w:rsidRPr="008D2937">
        <w:rPr>
          <w:rFonts w:cs="Times New Roman"/>
          <w:b/>
          <w:bCs/>
        </w:rPr>
        <w:t>3. Four-</w:t>
      </w:r>
      <w:r w:rsidR="00752A65" w:rsidRPr="00752A65">
        <w:rPr>
          <w:rFonts w:cs="Times New Roman"/>
          <w:b/>
          <w:bCs/>
        </w:rPr>
        <w:t xml:space="preserve">dimensional construction </w:t>
      </w:r>
      <w:r w:rsidRPr="008D2937">
        <w:rPr>
          <w:rFonts w:cs="Times New Roman"/>
          <w:b/>
          <w:bCs/>
        </w:rPr>
        <w:t>of a POA-</w:t>
      </w:r>
      <w:r w:rsidR="00752A65" w:rsidRPr="00752A65">
        <w:rPr>
          <w:rFonts w:cs="Times New Roman"/>
          <w:b/>
          <w:bCs/>
        </w:rPr>
        <w:t>guided formative assessment system</w:t>
      </w:r>
    </w:p>
    <w:p w14:paraId="4F56AC2E" w14:textId="4CDC6415" w:rsidR="00547C0C" w:rsidRPr="00FB1F0F" w:rsidRDefault="00000000" w:rsidP="008D2937">
      <w:pPr>
        <w:rPr>
          <w:rFonts w:cs="Times New Roman"/>
        </w:rPr>
      </w:pPr>
      <w:r w:rsidRPr="008D2937">
        <w:rPr>
          <w:rFonts w:cs="Times New Roman"/>
        </w:rPr>
        <w:t>Building upon the above theoretical framework, this study implements a Goal-Task-Evidence-Feedback four-dimensional formative assessment system in College English A (I) and College English A (II)</w:t>
      </w:r>
      <w:r w:rsidR="004808D5">
        <w:rPr>
          <w:rFonts w:cs="Times New Roman"/>
        </w:rPr>
        <w:t xml:space="preserve">, </w:t>
      </w:r>
      <w:r w:rsidRPr="008D2937">
        <w:rPr>
          <w:rFonts w:cs="Times New Roman"/>
        </w:rPr>
        <w:t>where every assessment instance constitutes a miniature POA cycle.</w:t>
      </w:r>
    </w:p>
    <w:p w14:paraId="618E3CBA" w14:textId="77777777" w:rsidR="00752A65" w:rsidRDefault="00752A65" w:rsidP="00FB1F0F">
      <w:pPr>
        <w:rPr>
          <w:rFonts w:cs="Times New Roman"/>
        </w:rPr>
      </w:pPr>
    </w:p>
    <w:p w14:paraId="4B1837B4" w14:textId="276A008C" w:rsidR="00547C0C" w:rsidRPr="008D2937" w:rsidRDefault="00000000" w:rsidP="008D2937">
      <w:pPr>
        <w:rPr>
          <w:rFonts w:cs="Times New Roman"/>
          <w:b/>
          <w:bCs/>
        </w:rPr>
      </w:pPr>
      <w:r w:rsidRPr="008D2937">
        <w:rPr>
          <w:rFonts w:cs="Times New Roman"/>
          <w:b/>
          <w:bCs/>
        </w:rPr>
        <w:t xml:space="preserve">3.1. Goal </w:t>
      </w:r>
      <w:r w:rsidR="00752A65" w:rsidRPr="00752A65">
        <w:rPr>
          <w:rFonts w:cs="Times New Roman"/>
          <w:b/>
          <w:bCs/>
        </w:rPr>
        <w:t>dimension</w:t>
      </w:r>
      <w:r w:rsidR="00752A65">
        <w:rPr>
          <w:rFonts w:cs="Times New Roman"/>
          <w:b/>
          <w:bCs/>
        </w:rPr>
        <w:t xml:space="preserve"> </w:t>
      </w:r>
      <w:r w:rsidRPr="008D2937">
        <w:rPr>
          <w:rFonts w:cs="Times New Roman"/>
          <w:b/>
          <w:bCs/>
          <w:vertAlign w:val="superscript"/>
        </w:rPr>
        <w:t>[6]</w:t>
      </w:r>
      <w:r w:rsidRPr="008D2937">
        <w:rPr>
          <w:rFonts w:cs="Times New Roman"/>
          <w:b/>
          <w:bCs/>
        </w:rPr>
        <w:t xml:space="preserve">: Rigorous </w:t>
      </w:r>
      <w:r w:rsidR="00752A65" w:rsidRPr="00752A65">
        <w:rPr>
          <w:rFonts w:cs="Times New Roman"/>
          <w:b/>
          <w:bCs/>
        </w:rPr>
        <w:t>mapping between course objectives and observable indicators</w:t>
      </w:r>
    </w:p>
    <w:p w14:paraId="7B1DC9CE" w14:textId="2B22D63F" w:rsidR="00547C0C" w:rsidRPr="00752A65" w:rsidRDefault="00000000" w:rsidP="008D2937">
      <w:pPr>
        <w:rPr>
          <w:rFonts w:cs="Times New Roman"/>
        </w:rPr>
      </w:pPr>
      <w:r w:rsidRPr="008D2937">
        <w:rPr>
          <w:rFonts w:cs="Times New Roman"/>
        </w:rPr>
        <w:t>Strictly adhering to the syllabus</w:t>
      </w:r>
      <w:r w:rsidR="00FB1F0F">
        <w:rPr>
          <w:rFonts w:cs="Times New Roman"/>
        </w:rPr>
        <w:t>’</w:t>
      </w:r>
      <w:r w:rsidRPr="008D2937">
        <w:rPr>
          <w:rFonts w:cs="Times New Roman"/>
        </w:rPr>
        <w:t xml:space="preserve">s stipulation that course objectives support graduate attributes, abstract goals are operationalized into observable, measurable indicators. For example, Course Objective 2 (critical thinking) maps to indicators such as </w:t>
      </w:r>
      <w:r w:rsidR="00FB1F0F">
        <w:rPr>
          <w:rFonts w:cs="Times New Roman"/>
        </w:rPr>
        <w:t>“</w:t>
      </w:r>
      <w:r w:rsidRPr="008D2937">
        <w:rPr>
          <w:rFonts w:cs="Times New Roman"/>
        </w:rPr>
        <w:t>identify implicit cultural stances in textual analysis</w:t>
      </w:r>
      <w:r w:rsidR="00FB1F0F">
        <w:rPr>
          <w:rFonts w:cs="Times New Roman"/>
        </w:rPr>
        <w:t>”</w:t>
      </w:r>
      <w:r w:rsidRPr="008D2937">
        <w:rPr>
          <w:rFonts w:cs="Times New Roman"/>
        </w:rPr>
        <w:t xml:space="preserve"> and </w:t>
      </w:r>
      <w:r w:rsidR="00FB1F0F">
        <w:rPr>
          <w:rFonts w:cs="Times New Roman"/>
        </w:rPr>
        <w:t>“</w:t>
      </w:r>
      <w:r w:rsidRPr="008D2937">
        <w:rPr>
          <w:rFonts w:cs="Times New Roman"/>
        </w:rPr>
        <w:t>compare Chinese and Western market research methodologies and propose localization-adapted recommendations.</w:t>
      </w:r>
      <w:r w:rsidR="00FB1F0F">
        <w:rPr>
          <w:rFonts w:cs="Times New Roman"/>
        </w:rPr>
        <w:t>”</w:t>
      </w:r>
      <w:r w:rsidRPr="008D2937">
        <w:rPr>
          <w:rFonts w:cs="Times New Roman"/>
        </w:rPr>
        <w:t xml:space="preserve"> Course Objective 4 (autonomous learning) maps to indicators such as </w:t>
      </w:r>
      <w:r w:rsidR="00FB1F0F">
        <w:rPr>
          <w:rFonts w:cs="Times New Roman"/>
        </w:rPr>
        <w:t>“</w:t>
      </w:r>
      <w:r w:rsidRPr="008D2937">
        <w:rPr>
          <w:rFonts w:cs="Times New Roman"/>
        </w:rPr>
        <w:t>record three or more strategy adjustments in U-School learning journals</w:t>
      </w:r>
      <w:r w:rsidR="00FB1F0F">
        <w:rPr>
          <w:rFonts w:cs="Times New Roman"/>
        </w:rPr>
        <w:t>”</w:t>
      </w:r>
      <w:r w:rsidRPr="008D2937">
        <w:rPr>
          <w:rFonts w:cs="Times New Roman"/>
        </w:rPr>
        <w:t xml:space="preserve"> and </w:t>
      </w:r>
      <w:r w:rsidR="00FB1F0F">
        <w:rPr>
          <w:rFonts w:cs="Times New Roman"/>
        </w:rPr>
        <w:t>“</w:t>
      </w:r>
      <w:r w:rsidRPr="008D2937">
        <w:rPr>
          <w:rFonts w:cs="Times New Roman"/>
        </w:rPr>
        <w:t>demonstrate two or more rounds of substantive revision in Pigai.org essay drafts based on feedback.</w:t>
      </w:r>
      <w:r w:rsidR="00FB1F0F">
        <w:rPr>
          <w:rFonts w:cs="Times New Roman"/>
        </w:rPr>
        <w:t>”</w:t>
      </w:r>
      <w:r w:rsidRPr="008D2937">
        <w:rPr>
          <w:rFonts w:cs="Times New Roman"/>
        </w:rPr>
        <w:t xml:space="preserve"> This ensures alignment with POA</w:t>
      </w:r>
      <w:r w:rsidR="00FB1F0F">
        <w:rPr>
          <w:rFonts w:cs="Times New Roman"/>
        </w:rPr>
        <w:t>’</w:t>
      </w:r>
      <w:r w:rsidRPr="008D2937">
        <w:rPr>
          <w:rFonts w:cs="Times New Roman"/>
        </w:rPr>
        <w:t>s learner-centeredness, eliminating vague or unmeasurable criteria</w:t>
      </w:r>
      <w:r w:rsidR="00752A65">
        <w:rPr>
          <w:rFonts w:cs="Times New Roman"/>
        </w:rPr>
        <w:t xml:space="preserve"> </w:t>
      </w:r>
      <w:r w:rsidR="00A83034" w:rsidRPr="008D2937">
        <w:rPr>
          <w:rFonts w:cs="Times New Roman"/>
          <w:kern w:val="0"/>
          <w:vertAlign w:val="superscript"/>
          <w14:ligatures w14:val="none"/>
        </w:rPr>
        <w:t>[</w:t>
      </w:r>
      <w:r w:rsidR="00E21CAB" w:rsidRPr="008D2937">
        <w:rPr>
          <w:rFonts w:eastAsiaTheme="minorEastAsia" w:cs="Times New Roman"/>
          <w:kern w:val="0"/>
          <w:vertAlign w:val="superscript"/>
          <w14:ligatures w14:val="none"/>
        </w:rPr>
        <w:t>7</w:t>
      </w:r>
      <w:r w:rsidR="00A83034" w:rsidRPr="008D2937">
        <w:rPr>
          <w:rFonts w:cs="Times New Roman"/>
          <w:kern w:val="0"/>
          <w:vertAlign w:val="superscript"/>
          <w14:ligatures w14:val="none"/>
        </w:rPr>
        <w:t>]</w:t>
      </w:r>
      <w:r w:rsidR="00752A65">
        <w:rPr>
          <w:rFonts w:cs="Times New Roman"/>
          <w:kern w:val="0"/>
          <w14:ligatures w14:val="none"/>
        </w:rPr>
        <w:t>.</w:t>
      </w:r>
    </w:p>
    <w:p w14:paraId="01F1CD5E" w14:textId="77777777" w:rsidR="00752A65" w:rsidRDefault="00752A65" w:rsidP="00FB1F0F">
      <w:pPr>
        <w:rPr>
          <w:rFonts w:cs="Times New Roman"/>
        </w:rPr>
      </w:pPr>
    </w:p>
    <w:p w14:paraId="40D3E6BC" w14:textId="7D4DB25F" w:rsidR="00547C0C" w:rsidRPr="008D2937" w:rsidRDefault="00000000" w:rsidP="008D2937">
      <w:pPr>
        <w:rPr>
          <w:rFonts w:cs="Times New Roman"/>
          <w:b/>
          <w:bCs/>
        </w:rPr>
      </w:pPr>
      <w:r w:rsidRPr="008D2937">
        <w:rPr>
          <w:rFonts w:cs="Times New Roman"/>
          <w:b/>
          <w:bCs/>
        </w:rPr>
        <w:t xml:space="preserve">3.2. Task </w:t>
      </w:r>
      <w:r w:rsidR="00752A65" w:rsidRPr="00752A65">
        <w:rPr>
          <w:rFonts w:cs="Times New Roman"/>
          <w:b/>
          <w:bCs/>
        </w:rPr>
        <w:t>dimension</w:t>
      </w:r>
      <w:r w:rsidRPr="008D2937">
        <w:rPr>
          <w:rFonts w:cs="Times New Roman"/>
          <w:b/>
          <w:bCs/>
        </w:rPr>
        <w:t>: Output-</w:t>
      </w:r>
      <w:r w:rsidR="00752A65" w:rsidRPr="00752A65">
        <w:rPr>
          <w:rFonts w:cs="Times New Roman"/>
          <w:b/>
          <w:bCs/>
        </w:rPr>
        <w:t>driven innovation in assessment carriers</w:t>
      </w:r>
    </w:p>
    <w:p w14:paraId="1C47A0BA" w14:textId="203BE743" w:rsidR="00547C0C" w:rsidRPr="00752A65" w:rsidRDefault="00000000" w:rsidP="008D2937">
      <w:pPr>
        <w:rPr>
          <w:rFonts w:cs="Times New Roman"/>
        </w:rPr>
      </w:pPr>
      <w:r w:rsidRPr="008D2937">
        <w:rPr>
          <w:rFonts w:cs="Times New Roman"/>
        </w:rPr>
        <w:t>All formative tasks are reconceived as sub-tasks or competence modules of the unit</w:t>
      </w:r>
      <w:r w:rsidR="00FB1F0F">
        <w:rPr>
          <w:rFonts w:cs="Times New Roman"/>
        </w:rPr>
        <w:t>’</w:t>
      </w:r>
      <w:r w:rsidRPr="008D2937">
        <w:rPr>
          <w:rFonts w:cs="Times New Roman"/>
        </w:rPr>
        <w:t>s culminating output</w:t>
      </w:r>
      <w:r w:rsidR="00752A65">
        <w:rPr>
          <w:rFonts w:cs="Times New Roman"/>
        </w:rPr>
        <w:t xml:space="preserve">, </w:t>
      </w:r>
      <w:r w:rsidRPr="008D2937">
        <w:rPr>
          <w:rFonts w:cs="Times New Roman"/>
        </w:rPr>
        <w:t xml:space="preserve">rejecting isolated, decontextualized exercises. Illustrative cases </w:t>
      </w:r>
      <w:r w:rsidR="00A83034" w:rsidRPr="008D2937">
        <w:rPr>
          <w:rFonts w:cs="Times New Roman"/>
        </w:rPr>
        <w:t>include: Volunteer</w:t>
      </w:r>
      <w:r w:rsidRPr="008D2937">
        <w:rPr>
          <w:rFonts w:cs="Times New Roman"/>
        </w:rPr>
        <w:t xml:space="preserve"> Project Unit. The formative chain proceeds from a U-School </w:t>
      </w:r>
      <w:r w:rsidR="00FB1F0F">
        <w:rPr>
          <w:rFonts w:cs="Times New Roman"/>
        </w:rPr>
        <w:t>“</w:t>
      </w:r>
      <w:r w:rsidRPr="008D2937">
        <w:rPr>
          <w:rFonts w:cs="Times New Roman"/>
        </w:rPr>
        <w:t>cross-cultural volunteer motivation survey report</w:t>
      </w:r>
      <w:r w:rsidR="00FB1F0F">
        <w:rPr>
          <w:rFonts w:cs="Times New Roman"/>
        </w:rPr>
        <w:t>”</w:t>
      </w:r>
      <w:r w:rsidRPr="008D2937">
        <w:rPr>
          <w:rFonts w:cs="Times New Roman"/>
        </w:rPr>
        <w:t xml:space="preserve"> (Driving), through group brainstorming audio recordings (Enabling), to </w:t>
      </w:r>
      <w:r w:rsidR="004808D5">
        <w:rPr>
          <w:rFonts w:cs="Times New Roman"/>
        </w:rPr>
        <w:t xml:space="preserve">a </w:t>
      </w:r>
      <w:r w:rsidRPr="008D2937">
        <w:rPr>
          <w:rFonts w:cs="Times New Roman"/>
        </w:rPr>
        <w:t>poster draft plus cultural risk mitigation plan (performance assessment), culminating in an English pitch defense (comprehensive assessment)</w:t>
      </w:r>
      <w:r w:rsidR="000C5D25" w:rsidRPr="008D2937">
        <w:rPr>
          <w:rFonts w:cs="Times New Roman"/>
          <w:bCs/>
          <w:vertAlign w:val="superscript"/>
        </w:rPr>
        <w:t xml:space="preserve"> [</w:t>
      </w:r>
      <w:r w:rsidR="00E21CAB" w:rsidRPr="008D2937">
        <w:rPr>
          <w:rFonts w:eastAsiaTheme="minorEastAsia" w:cs="Times New Roman"/>
          <w:bCs/>
          <w:vertAlign w:val="superscript"/>
        </w:rPr>
        <w:t>8</w:t>
      </w:r>
      <w:r w:rsidR="000C5D25" w:rsidRPr="008D2937">
        <w:rPr>
          <w:rFonts w:cs="Times New Roman"/>
          <w:bCs/>
          <w:vertAlign w:val="superscript"/>
        </w:rPr>
        <w:t>]</w:t>
      </w:r>
      <w:r w:rsidR="00752A65">
        <w:rPr>
          <w:rFonts w:cs="Times New Roman"/>
          <w:bCs/>
        </w:rPr>
        <w:t>.</w:t>
      </w:r>
    </w:p>
    <w:p w14:paraId="02EDBEAA" w14:textId="6F2DCB90" w:rsidR="00547C0C" w:rsidRPr="00FB1F0F" w:rsidRDefault="00000000" w:rsidP="008D2937">
      <w:pPr>
        <w:ind w:firstLine="420"/>
        <w:rPr>
          <w:rFonts w:eastAsiaTheme="minorEastAsia" w:cs="Times New Roman"/>
        </w:rPr>
      </w:pPr>
      <w:r w:rsidRPr="008D2937">
        <w:rPr>
          <w:rFonts w:cs="Times New Roman"/>
        </w:rPr>
        <w:t xml:space="preserve">Advertising Unit. The formative chain proceeds from a Pigai.org </w:t>
      </w:r>
      <w:r w:rsidR="00FB1F0F">
        <w:rPr>
          <w:rFonts w:cs="Times New Roman"/>
        </w:rPr>
        <w:t>“</w:t>
      </w:r>
      <w:r w:rsidRPr="008D2937">
        <w:rPr>
          <w:rFonts w:cs="Times New Roman"/>
        </w:rPr>
        <w:t>English introduction to Chinese tea culture</w:t>
      </w:r>
      <w:r w:rsidR="00FB1F0F">
        <w:rPr>
          <w:rFonts w:cs="Times New Roman"/>
        </w:rPr>
        <w:t>”</w:t>
      </w:r>
      <w:r w:rsidRPr="008D2937">
        <w:rPr>
          <w:rFonts w:cs="Times New Roman"/>
        </w:rPr>
        <w:t xml:space="preserve"> draft (diagnostic), through a U-School </w:t>
      </w:r>
      <w:r w:rsidR="00FB1F0F">
        <w:rPr>
          <w:rFonts w:cs="Times New Roman"/>
        </w:rPr>
        <w:t>“</w:t>
      </w:r>
      <w:r w:rsidRPr="008D2937">
        <w:rPr>
          <w:rFonts w:cs="Times New Roman"/>
        </w:rPr>
        <w:t>advertising rhetoric matching exercise</w:t>
      </w:r>
      <w:r w:rsidR="00FB1F0F">
        <w:rPr>
          <w:rFonts w:cs="Times New Roman"/>
        </w:rPr>
        <w:t>”</w:t>
      </w:r>
      <w:r w:rsidRPr="008D2937">
        <w:rPr>
          <w:rFonts w:cs="Times New Roman"/>
        </w:rPr>
        <w:t xml:space="preserve"> (enabling), to peer review of </w:t>
      </w:r>
      <w:r w:rsidR="00FB1F0F">
        <w:rPr>
          <w:rFonts w:cs="Times New Roman"/>
        </w:rPr>
        <w:t>“</w:t>
      </w:r>
      <w:r w:rsidRPr="008D2937">
        <w:rPr>
          <w:rFonts w:cs="Times New Roman"/>
        </w:rPr>
        <w:t>cultural symbol deployment effectiveness</w:t>
      </w:r>
      <w:r w:rsidR="00FB1F0F">
        <w:rPr>
          <w:rFonts w:cs="Times New Roman"/>
        </w:rPr>
        <w:t>”</w:t>
      </w:r>
      <w:r w:rsidRPr="008D2937">
        <w:rPr>
          <w:rFonts w:cs="Times New Roman"/>
        </w:rPr>
        <w:t xml:space="preserve"> (feedback), culminating in final ad copy plus cultural interpretation video (output).</w:t>
      </w:r>
      <w:r w:rsidR="00E21CAB" w:rsidRPr="008D2937">
        <w:rPr>
          <w:rFonts w:cs="Times New Roman"/>
          <w:bCs/>
          <w:vertAlign w:val="superscript"/>
        </w:rPr>
        <w:t xml:space="preserve"> </w:t>
      </w:r>
    </w:p>
    <w:p w14:paraId="75B830FC" w14:textId="77777777" w:rsidR="00547C0C" w:rsidRPr="00FB1F0F" w:rsidRDefault="00000000" w:rsidP="008D2937">
      <w:pPr>
        <w:ind w:firstLine="420"/>
        <w:rPr>
          <w:rFonts w:cs="Times New Roman"/>
        </w:rPr>
      </w:pPr>
      <w:r w:rsidRPr="008D2937">
        <w:rPr>
          <w:rFonts w:cs="Times New Roman"/>
        </w:rPr>
        <w:t>Such design embeds value-oriented education organically, making assessment both a conduit for value transmission and a crucible for competence development.</w:t>
      </w:r>
    </w:p>
    <w:p w14:paraId="761ADEEA" w14:textId="77777777" w:rsidR="00752A65" w:rsidRDefault="00752A65" w:rsidP="00FB1F0F">
      <w:pPr>
        <w:rPr>
          <w:rFonts w:cs="Times New Roman"/>
        </w:rPr>
      </w:pPr>
    </w:p>
    <w:p w14:paraId="363C1A5A" w14:textId="02469911" w:rsidR="00547C0C" w:rsidRPr="008D2937" w:rsidRDefault="00000000" w:rsidP="008D2937">
      <w:pPr>
        <w:rPr>
          <w:rFonts w:cs="Times New Roman"/>
          <w:b/>
          <w:bCs/>
        </w:rPr>
      </w:pPr>
      <w:r w:rsidRPr="008D2937">
        <w:rPr>
          <w:rFonts w:cs="Times New Roman"/>
          <w:b/>
          <w:bCs/>
        </w:rPr>
        <w:t xml:space="preserve">3.3. Evidence </w:t>
      </w:r>
      <w:r w:rsidR="00752A65" w:rsidRPr="00752A65">
        <w:rPr>
          <w:rFonts w:cs="Times New Roman"/>
          <w:b/>
          <w:bCs/>
        </w:rPr>
        <w:t>dimension: Multimodal, data-rich learning portfolios</w:t>
      </w:r>
    </w:p>
    <w:p w14:paraId="3ACBC158" w14:textId="47D2323D" w:rsidR="00547C0C" w:rsidRPr="00752A65" w:rsidRDefault="00000000" w:rsidP="008D2937">
      <w:pPr>
        <w:rPr>
          <w:rFonts w:cs="Times New Roman"/>
          <w:bCs/>
        </w:rPr>
      </w:pPr>
      <w:r w:rsidRPr="008D2937">
        <w:rPr>
          <w:rFonts w:cs="Times New Roman"/>
        </w:rPr>
        <w:t xml:space="preserve">Moving beyond numeric scores, a three-tiered evidentiary ecosystem is constructed. Digital footprints: U-School logs learning pathways (e.g., repeated viewing of </w:t>
      </w:r>
      <w:r w:rsidR="00FB1F0F">
        <w:rPr>
          <w:rFonts w:cs="Times New Roman"/>
        </w:rPr>
        <w:t>“</w:t>
      </w:r>
      <w:r w:rsidRPr="008D2937">
        <w:rPr>
          <w:rFonts w:cs="Times New Roman"/>
        </w:rPr>
        <w:t>comparison-and-contrast writing</w:t>
      </w:r>
      <w:r w:rsidR="00FB1F0F">
        <w:rPr>
          <w:rFonts w:cs="Times New Roman"/>
        </w:rPr>
        <w:t>”</w:t>
      </w:r>
      <w:r w:rsidRPr="008D2937">
        <w:rPr>
          <w:rFonts w:cs="Times New Roman"/>
        </w:rPr>
        <w:t xml:space="preserve"> micro-lectures signals need for targeted enabling); Chaoxing captures discourse quality in forums (e.g., depth of cultural stance articulation in discussion posts). Portfolio artifacts: Pigai.org archives full revision histories of essays; platforms store multimodal outputs</w:t>
      </w:r>
      <w:r w:rsidR="004808D5">
        <w:rPr>
          <w:rFonts w:cs="Times New Roman"/>
        </w:rPr>
        <w:t xml:space="preserve">, </w:t>
      </w:r>
      <w:r w:rsidRPr="008D2937">
        <w:rPr>
          <w:rFonts w:cs="Times New Roman"/>
        </w:rPr>
        <w:t>PPTs, videos, posters</w:t>
      </w:r>
      <w:r w:rsidR="004808D5">
        <w:rPr>
          <w:rFonts w:cs="Times New Roman"/>
        </w:rPr>
        <w:t xml:space="preserve">, </w:t>
      </w:r>
      <w:r w:rsidRPr="008D2937">
        <w:rPr>
          <w:rFonts w:cs="Times New Roman"/>
        </w:rPr>
        <w:t xml:space="preserve">from group projects. Reflective journals: Students submit mandatory POA Reflection Journals per unit, addressing: </w:t>
      </w:r>
      <w:r w:rsidR="00FB1F0F">
        <w:rPr>
          <w:rFonts w:cs="Times New Roman"/>
        </w:rPr>
        <w:t>“</w:t>
      </w:r>
      <w:r w:rsidRPr="008D2937">
        <w:rPr>
          <w:rFonts w:cs="Times New Roman"/>
        </w:rPr>
        <w:t>Where did I stall in my output task?</w:t>
      </w:r>
      <w:r w:rsidR="00FB1F0F">
        <w:rPr>
          <w:rFonts w:cs="Times New Roman"/>
        </w:rPr>
        <w:t>”</w:t>
      </w:r>
      <w:r w:rsidRPr="008D2937">
        <w:rPr>
          <w:rFonts w:cs="Times New Roman"/>
        </w:rPr>
        <w:t xml:space="preserve"> </w:t>
      </w:r>
      <w:r w:rsidR="00FB1F0F">
        <w:rPr>
          <w:rFonts w:cs="Times New Roman"/>
        </w:rPr>
        <w:t>“</w:t>
      </w:r>
      <w:r w:rsidRPr="008D2937">
        <w:rPr>
          <w:rFonts w:cs="Times New Roman"/>
        </w:rPr>
        <w:t>Which enabling activity proved most effective?</w:t>
      </w:r>
      <w:r w:rsidR="00FB1F0F">
        <w:rPr>
          <w:rFonts w:cs="Times New Roman"/>
        </w:rPr>
        <w:t>”</w:t>
      </w:r>
      <w:r w:rsidRPr="008D2937">
        <w:rPr>
          <w:rFonts w:cs="Times New Roman"/>
        </w:rPr>
        <w:t xml:space="preserve"> and </w:t>
      </w:r>
      <w:r w:rsidR="00FB1F0F">
        <w:rPr>
          <w:rFonts w:cs="Times New Roman"/>
        </w:rPr>
        <w:t>“</w:t>
      </w:r>
      <w:r w:rsidRPr="008D2937">
        <w:rPr>
          <w:rFonts w:cs="Times New Roman"/>
        </w:rPr>
        <w:t>How did I adjust my learning strategies?</w:t>
      </w:r>
      <w:r w:rsidR="00FB1F0F">
        <w:rPr>
          <w:rFonts w:cs="Times New Roman"/>
        </w:rPr>
        <w:t>”</w:t>
      </w:r>
      <w:r w:rsidRPr="008D2937">
        <w:rPr>
          <w:rFonts w:cs="Times New Roman"/>
        </w:rPr>
        <w:t xml:space="preserve"> This triangulated evidence base </w:t>
      </w:r>
      <w:r w:rsidRPr="008D2937">
        <w:rPr>
          <w:rFonts w:cs="Times New Roman"/>
        </w:rPr>
        <w:lastRenderedPageBreak/>
        <w:t>furnishes dynamic, process-oriented, individualized data for objective attainment analysis</w:t>
      </w:r>
      <w:r w:rsidR="004808D5">
        <w:rPr>
          <w:rFonts w:cs="Times New Roman"/>
        </w:rPr>
        <w:t xml:space="preserve">, </w:t>
      </w:r>
      <w:r w:rsidRPr="008D2937">
        <w:rPr>
          <w:rFonts w:cs="Times New Roman"/>
        </w:rPr>
        <w:t xml:space="preserve">transforming </w:t>
      </w:r>
      <w:r w:rsidR="00FB1F0F">
        <w:rPr>
          <w:rFonts w:cs="Times New Roman"/>
        </w:rPr>
        <w:t>“</w:t>
      </w:r>
      <w:r w:rsidRPr="008D2937">
        <w:rPr>
          <w:rFonts w:cs="Times New Roman"/>
        </w:rPr>
        <w:t>objective attainment</w:t>
      </w:r>
      <w:r w:rsidR="00FB1F0F">
        <w:rPr>
          <w:rFonts w:cs="Times New Roman"/>
        </w:rPr>
        <w:t>”</w:t>
      </w:r>
      <w:r w:rsidRPr="008D2937">
        <w:rPr>
          <w:rFonts w:cs="Times New Roman"/>
        </w:rPr>
        <w:t xml:space="preserve"> from a statistical abstraction into a narrative of growth</w:t>
      </w:r>
      <w:r w:rsidR="000C5D25" w:rsidRPr="008D2937">
        <w:rPr>
          <w:rFonts w:cs="Times New Roman"/>
          <w:bCs/>
          <w:vertAlign w:val="superscript"/>
        </w:rPr>
        <w:t xml:space="preserve"> [</w:t>
      </w:r>
      <w:r w:rsidR="00E21CAB" w:rsidRPr="008D2937">
        <w:rPr>
          <w:rFonts w:eastAsiaTheme="minorEastAsia" w:cs="Times New Roman"/>
          <w:b/>
          <w:vertAlign w:val="superscript"/>
        </w:rPr>
        <w:t>9</w:t>
      </w:r>
      <w:r w:rsidR="000C5D25" w:rsidRPr="008D2937">
        <w:rPr>
          <w:rFonts w:cs="Times New Roman"/>
          <w:b/>
          <w:vertAlign w:val="superscript"/>
        </w:rPr>
        <w:t>]</w:t>
      </w:r>
      <w:r w:rsidR="00752A65" w:rsidRPr="008D2937">
        <w:rPr>
          <w:rFonts w:cs="Times New Roman"/>
          <w:bCs/>
        </w:rPr>
        <w:t>.</w:t>
      </w:r>
    </w:p>
    <w:p w14:paraId="47DDAD64" w14:textId="77777777" w:rsidR="00752A65" w:rsidRDefault="00752A65" w:rsidP="00FB1F0F">
      <w:pPr>
        <w:rPr>
          <w:rFonts w:cs="Times New Roman"/>
        </w:rPr>
      </w:pPr>
    </w:p>
    <w:p w14:paraId="35C50DDC" w14:textId="5CAC6C8E" w:rsidR="00547C0C" w:rsidRPr="008D2937" w:rsidRDefault="00000000" w:rsidP="008D2937">
      <w:pPr>
        <w:rPr>
          <w:rFonts w:cs="Times New Roman"/>
          <w:b/>
          <w:bCs/>
        </w:rPr>
      </w:pPr>
      <w:r w:rsidRPr="008D2937">
        <w:rPr>
          <w:rFonts w:cs="Times New Roman"/>
          <w:b/>
          <w:bCs/>
        </w:rPr>
        <w:t xml:space="preserve">3.4. Feedback </w:t>
      </w:r>
      <w:r w:rsidR="00752A65" w:rsidRPr="00752A65">
        <w:rPr>
          <w:rFonts w:cs="Times New Roman"/>
          <w:b/>
          <w:bCs/>
        </w:rPr>
        <w:t>dimension: Immediate, precise, actionable closed-loop regulation</w:t>
      </w:r>
    </w:p>
    <w:p w14:paraId="63B16FEF" w14:textId="155FD44D" w:rsidR="00547C0C" w:rsidRPr="00752A65" w:rsidRDefault="00000000" w:rsidP="008D2937">
      <w:pPr>
        <w:rPr>
          <w:rFonts w:cs="Times New Roman"/>
        </w:rPr>
      </w:pPr>
      <w:r w:rsidRPr="008D2937">
        <w:rPr>
          <w:rFonts w:cs="Times New Roman"/>
        </w:rPr>
        <w:t>To fulfill POA</w:t>
      </w:r>
      <w:r w:rsidR="00FB1F0F">
        <w:rPr>
          <w:rFonts w:cs="Times New Roman"/>
        </w:rPr>
        <w:t>’</w:t>
      </w:r>
      <w:r w:rsidRPr="008D2937">
        <w:rPr>
          <w:rFonts w:cs="Times New Roman"/>
        </w:rPr>
        <w:t>s AfL mandate, feedback must embody three essential qualities. Immediacy: U-School exercises yield instant feedback; Pigai.org AI scoring responds within seconds; instructors provide POA-scaffolded annotations on key drafts (e.g., initial proposals) within 48 hours</w:t>
      </w:r>
      <w:r w:rsidR="00923035" w:rsidRPr="008D2937">
        <w:rPr>
          <w:rFonts w:cs="Times New Roman"/>
          <w:vertAlign w:val="superscript"/>
        </w:rPr>
        <w:t xml:space="preserve"> [</w:t>
      </w:r>
      <w:r w:rsidR="00C41D51" w:rsidRPr="008D2937">
        <w:rPr>
          <w:rFonts w:eastAsiaTheme="minorEastAsia" w:cs="Times New Roman"/>
          <w:vertAlign w:val="superscript"/>
        </w:rPr>
        <w:t>10</w:t>
      </w:r>
      <w:r w:rsidR="00923035" w:rsidRPr="008D2937">
        <w:rPr>
          <w:rFonts w:cs="Times New Roman"/>
          <w:vertAlign w:val="superscript"/>
        </w:rPr>
        <w:t>]</w:t>
      </w:r>
      <w:r w:rsidR="00752A65">
        <w:rPr>
          <w:rFonts w:cs="Times New Roman"/>
        </w:rPr>
        <w:t>.</w:t>
      </w:r>
      <w:r w:rsidRPr="008D2937">
        <w:rPr>
          <w:rFonts w:cs="Times New Roman"/>
        </w:rPr>
        <w:t xml:space="preserve"> Precision: Feedback targets specific POA-defined gaps. Instead of generic comments like </w:t>
      </w:r>
      <w:r w:rsidR="00FB1F0F">
        <w:rPr>
          <w:rFonts w:cs="Times New Roman"/>
        </w:rPr>
        <w:t>“</w:t>
      </w:r>
      <w:r w:rsidRPr="008D2937">
        <w:rPr>
          <w:rFonts w:cs="Times New Roman"/>
        </w:rPr>
        <w:t>unclear structure,</w:t>
      </w:r>
      <w:r w:rsidR="00FB1F0F">
        <w:rPr>
          <w:rFonts w:cs="Times New Roman"/>
        </w:rPr>
        <w:t>”</w:t>
      </w:r>
      <w:r w:rsidRPr="008D2937">
        <w:rPr>
          <w:rFonts w:cs="Times New Roman"/>
        </w:rPr>
        <w:t xml:space="preserve"> instructors annotate: </w:t>
      </w:r>
      <w:r w:rsidR="00FB1F0F">
        <w:rPr>
          <w:rFonts w:cs="Times New Roman"/>
        </w:rPr>
        <w:t>“</w:t>
      </w:r>
      <w:r w:rsidRPr="008D2937">
        <w:rPr>
          <w:rFonts w:cs="Times New Roman"/>
        </w:rPr>
        <w:t xml:space="preserve">Apply the </w:t>
      </w:r>
      <w:r w:rsidR="00FB1F0F">
        <w:rPr>
          <w:rFonts w:cs="Times New Roman"/>
        </w:rPr>
        <w:t>‘</w:t>
      </w:r>
      <w:r w:rsidRPr="008D2937">
        <w:rPr>
          <w:rFonts w:cs="Times New Roman"/>
        </w:rPr>
        <w:t>Problem-Solution-Effect</w:t>
      </w:r>
      <w:r w:rsidR="00FB1F0F">
        <w:rPr>
          <w:rFonts w:cs="Times New Roman"/>
        </w:rPr>
        <w:t>’</w:t>
      </w:r>
      <w:r w:rsidRPr="008D2937">
        <w:rPr>
          <w:rFonts w:cs="Times New Roman"/>
        </w:rPr>
        <w:t xml:space="preserve"> framework (pushed via U-School) in Paragraph 2 to analyze the concrete impact of the gig economy on local youth employment</w:t>
      </w:r>
      <w:r w:rsidR="00FB1F0F">
        <w:rPr>
          <w:rFonts w:cs="Times New Roman"/>
        </w:rPr>
        <w:t>”</w:t>
      </w:r>
      <w:r w:rsidRPr="008D2937">
        <w:rPr>
          <w:rFonts w:cs="Times New Roman"/>
        </w:rPr>
        <w:t xml:space="preserve"> </w:t>
      </w:r>
      <w:r w:rsidR="00C41D51" w:rsidRPr="008D2937">
        <w:rPr>
          <w:rFonts w:cs="Times New Roman"/>
          <w:bCs/>
          <w:vertAlign w:val="superscript"/>
        </w:rPr>
        <w:t>[</w:t>
      </w:r>
      <w:r w:rsidR="00C41D51" w:rsidRPr="008D2937">
        <w:rPr>
          <w:rFonts w:eastAsiaTheme="minorEastAsia" w:cs="Times New Roman"/>
          <w:bCs/>
          <w:vertAlign w:val="superscript"/>
        </w:rPr>
        <w:t>11</w:t>
      </w:r>
      <w:r w:rsidR="00C41D51" w:rsidRPr="008D2937">
        <w:rPr>
          <w:rFonts w:cs="Times New Roman"/>
          <w:bCs/>
          <w:vertAlign w:val="superscript"/>
        </w:rPr>
        <w:t>]</w:t>
      </w:r>
      <w:r w:rsidR="00752A65">
        <w:rPr>
          <w:rFonts w:cs="Times New Roman"/>
          <w:bCs/>
        </w:rPr>
        <w:t>.</w:t>
      </w:r>
      <w:r w:rsidR="00752A65">
        <w:rPr>
          <w:rFonts w:cs="Times New Roman"/>
          <w:bCs/>
          <w:vertAlign w:val="superscript"/>
        </w:rPr>
        <w:t xml:space="preserve"> </w:t>
      </w:r>
      <w:r w:rsidRPr="008D2937">
        <w:rPr>
          <w:rFonts w:cs="Times New Roman"/>
        </w:rPr>
        <w:t xml:space="preserve">Actionability: Every feedback item includes a concrete next-step directive: e.g., </w:t>
      </w:r>
      <w:r w:rsidR="00FB1F0F">
        <w:rPr>
          <w:rFonts w:cs="Times New Roman"/>
        </w:rPr>
        <w:t>“</w:t>
      </w:r>
      <w:r w:rsidRPr="008D2937">
        <w:rPr>
          <w:rFonts w:cs="Times New Roman"/>
        </w:rPr>
        <w:t xml:space="preserve">Watch the </w:t>
      </w:r>
      <w:r w:rsidR="00FB1F0F">
        <w:rPr>
          <w:rFonts w:cs="Times New Roman"/>
        </w:rPr>
        <w:t>‘</w:t>
      </w:r>
      <w:r w:rsidRPr="008D2937">
        <w:rPr>
          <w:rFonts w:cs="Times New Roman"/>
        </w:rPr>
        <w:t>Intercultural Responsive Strategies</w:t>
      </w:r>
      <w:r w:rsidR="00FB1F0F">
        <w:rPr>
          <w:rFonts w:cs="Times New Roman"/>
        </w:rPr>
        <w:t>’</w:t>
      </w:r>
      <w:r w:rsidRPr="008D2937">
        <w:rPr>
          <w:rFonts w:cs="Times New Roman"/>
        </w:rPr>
        <w:t xml:space="preserve"> micro-lecture (12:30-15:45) and apply the phrase </w:t>
      </w:r>
      <w:r w:rsidR="00FB1F0F">
        <w:rPr>
          <w:rFonts w:cs="Times New Roman"/>
        </w:rPr>
        <w:t>‘</w:t>
      </w:r>
      <w:r w:rsidRPr="008D2937">
        <w:rPr>
          <w:rFonts w:cs="Times New Roman"/>
        </w:rPr>
        <w:t>I appreciate your perspective, and from a Chinese context...</w:t>
      </w:r>
      <w:r w:rsidR="00FB1F0F">
        <w:rPr>
          <w:rFonts w:cs="Times New Roman"/>
        </w:rPr>
        <w:t>’</w:t>
      </w:r>
      <w:r w:rsidRPr="008D2937">
        <w:rPr>
          <w:rFonts w:cs="Times New Roman"/>
        </w:rPr>
        <w:t xml:space="preserve"> in your next forum post.</w:t>
      </w:r>
      <w:r w:rsidR="00FB1F0F">
        <w:rPr>
          <w:rFonts w:cs="Times New Roman"/>
        </w:rPr>
        <w:t>”</w:t>
      </w:r>
      <w:r w:rsidRPr="008D2937">
        <w:rPr>
          <w:rFonts w:cs="Times New Roman"/>
        </w:rPr>
        <w:t xml:space="preserve"> This transforms assessment from a verdict into a blueprint</w:t>
      </w:r>
      <w:r w:rsidR="004808D5">
        <w:rPr>
          <w:rFonts w:cs="Times New Roman"/>
        </w:rPr>
        <w:t xml:space="preserve">, </w:t>
      </w:r>
      <w:r w:rsidRPr="008D2937">
        <w:rPr>
          <w:rFonts w:cs="Times New Roman"/>
        </w:rPr>
        <w:t>realizing Wen</w:t>
      </w:r>
      <w:r w:rsidR="00FB1F0F">
        <w:rPr>
          <w:rFonts w:cs="Times New Roman"/>
        </w:rPr>
        <w:t>’</w:t>
      </w:r>
      <w:r w:rsidRPr="008D2937">
        <w:rPr>
          <w:rFonts w:cs="Times New Roman"/>
        </w:rPr>
        <w:t xml:space="preserve">s assertion that </w:t>
      </w:r>
      <w:r w:rsidR="00FB1F0F">
        <w:rPr>
          <w:rFonts w:cs="Times New Roman"/>
        </w:rPr>
        <w:t>“</w:t>
      </w:r>
      <w:r w:rsidRPr="008D2937">
        <w:rPr>
          <w:rFonts w:cs="Times New Roman"/>
        </w:rPr>
        <w:t>assessment is an organic component of teaching, not its terminus</w:t>
      </w:r>
      <w:r w:rsidR="00FB1F0F">
        <w:rPr>
          <w:rFonts w:cs="Times New Roman"/>
        </w:rPr>
        <w:t>”</w:t>
      </w:r>
      <w:r w:rsidR="000C5D25" w:rsidRPr="008D2937">
        <w:rPr>
          <w:rFonts w:cs="Times New Roman"/>
          <w:bCs/>
          <w:vertAlign w:val="superscript"/>
        </w:rPr>
        <w:t xml:space="preserve"> [</w:t>
      </w:r>
      <w:r w:rsidR="00C41D51" w:rsidRPr="008D2937">
        <w:rPr>
          <w:rFonts w:eastAsiaTheme="minorEastAsia" w:cs="Times New Roman"/>
          <w:bCs/>
          <w:vertAlign w:val="superscript"/>
        </w:rPr>
        <w:t>12</w:t>
      </w:r>
      <w:r w:rsidR="000C5D25" w:rsidRPr="008D2937">
        <w:rPr>
          <w:rFonts w:cs="Times New Roman"/>
          <w:bCs/>
          <w:vertAlign w:val="superscript"/>
        </w:rPr>
        <w:t>]</w:t>
      </w:r>
      <w:r w:rsidR="00752A65">
        <w:rPr>
          <w:rFonts w:cs="Times New Roman"/>
          <w:bCs/>
        </w:rPr>
        <w:t>.</w:t>
      </w:r>
    </w:p>
    <w:p w14:paraId="55C7E1B8" w14:textId="77777777" w:rsidR="00752A65" w:rsidRDefault="00752A65" w:rsidP="00FB1F0F">
      <w:pPr>
        <w:rPr>
          <w:rFonts w:cs="Times New Roman"/>
        </w:rPr>
      </w:pPr>
    </w:p>
    <w:p w14:paraId="29201AD0" w14:textId="0FCA4C16" w:rsidR="00547C0C" w:rsidRPr="008D2937" w:rsidRDefault="00000000" w:rsidP="008D2937">
      <w:pPr>
        <w:rPr>
          <w:rFonts w:cs="Times New Roman"/>
          <w:b/>
          <w:bCs/>
        </w:rPr>
      </w:pPr>
      <w:r w:rsidRPr="008D2937">
        <w:rPr>
          <w:rFonts w:cs="Times New Roman"/>
          <w:b/>
          <w:bCs/>
        </w:rPr>
        <w:t xml:space="preserve">4. Empirical </w:t>
      </w:r>
      <w:r w:rsidR="00752A65" w:rsidRPr="00752A65">
        <w:rPr>
          <w:rFonts w:cs="Times New Roman"/>
          <w:b/>
          <w:bCs/>
        </w:rPr>
        <w:t>validation</w:t>
      </w:r>
      <w:r w:rsidRPr="008D2937">
        <w:rPr>
          <w:rFonts w:cs="Times New Roman"/>
          <w:b/>
          <w:bCs/>
        </w:rPr>
        <w:t xml:space="preserve">: Demonstrated </w:t>
      </w:r>
      <w:r w:rsidR="00752A65" w:rsidRPr="00752A65">
        <w:rPr>
          <w:rFonts w:cs="Times New Roman"/>
          <w:b/>
          <w:bCs/>
        </w:rPr>
        <w:t>pedagogical efficacy of the reform</w:t>
      </w:r>
    </w:p>
    <w:p w14:paraId="4FB1621F" w14:textId="5FE4B8D5" w:rsidR="00107856" w:rsidRPr="00FB1F0F" w:rsidRDefault="00752A65" w:rsidP="008D2937">
      <w:pPr>
        <w:ind w:left="397" w:hanging="397"/>
        <w:rPr>
          <w:rFonts w:cs="Times New Roman"/>
        </w:rPr>
      </w:pPr>
      <w:r>
        <w:rPr>
          <w:rFonts w:cs="Times New Roman"/>
        </w:rPr>
        <w:t xml:space="preserve">(1) </w:t>
      </w:r>
      <w:r w:rsidR="00000000" w:rsidRPr="008D2937">
        <w:rPr>
          <w:rFonts w:cs="Times New Roman"/>
        </w:rPr>
        <w:t>Implemented across eight classes (N = 326) in the 2023-2024 academic year</w:t>
      </w:r>
      <w:r>
        <w:rPr>
          <w:rFonts w:cs="Times New Roman"/>
        </w:rPr>
        <w:t xml:space="preserve">, </w:t>
      </w:r>
      <w:r w:rsidR="00000000" w:rsidRPr="008D2937">
        <w:rPr>
          <w:rFonts w:cs="Times New Roman"/>
        </w:rPr>
        <w:t>including Chinese Language Education and Cross-Border E-Commerce majors</w:t>
      </w:r>
      <w:r>
        <w:rPr>
          <w:rFonts w:cs="Times New Roman"/>
        </w:rPr>
        <w:t xml:space="preserve">, </w:t>
      </w:r>
      <w:r w:rsidR="00000000" w:rsidRPr="008D2937">
        <w:rPr>
          <w:rFonts w:cs="Times New Roman"/>
        </w:rPr>
        <w:t>under the Hunan Provincial Educational Reform Project, the POA-guided formative assessment system yielded statistically significant gains, verified via U-School/Pigai.org backend analytics, student surveys (N = 312), and instructor reflective journals.</w:t>
      </w:r>
    </w:p>
    <w:p w14:paraId="630E20D1" w14:textId="1B211118" w:rsidR="00107856" w:rsidRPr="00752A65" w:rsidRDefault="00752A65" w:rsidP="008D2937">
      <w:pPr>
        <w:ind w:left="397" w:hanging="397"/>
        <w:rPr>
          <w:rFonts w:cs="Times New Roman"/>
        </w:rPr>
      </w:pPr>
      <w:r>
        <w:rPr>
          <w:rFonts w:cs="Times New Roman"/>
        </w:rPr>
        <w:t xml:space="preserve">(2) </w:t>
      </w:r>
      <w:r w:rsidR="00000000" w:rsidRPr="008D2937">
        <w:rPr>
          <w:rFonts w:cs="Times New Roman"/>
        </w:rPr>
        <w:t>Enhanced language production quality. Pigai.org data shows a 37.2% improvement in the reasonableness of cross-cultural conflict resolution statements in volunteer project reports; a 41.5% rise in natural integration of Chinese cultural elements in advertising copy. Oral output saw a 2.8-fold increase in use of critical-connective phrases (however, in contrast, from a cultural perspective), confirming the efficacy of POA</w:t>
      </w:r>
      <w:r w:rsidR="00FB1F0F">
        <w:rPr>
          <w:rFonts w:cs="Times New Roman"/>
        </w:rPr>
        <w:t>’</w:t>
      </w:r>
      <w:r w:rsidR="00000000" w:rsidRPr="008D2937">
        <w:rPr>
          <w:rFonts w:cs="Times New Roman"/>
        </w:rPr>
        <w:t>s Enabling phase</w:t>
      </w:r>
      <w:r>
        <w:rPr>
          <w:rFonts w:cs="Times New Roman"/>
        </w:rPr>
        <w:t xml:space="preserve"> </w:t>
      </w:r>
      <w:r w:rsidR="000C5D25" w:rsidRPr="008D2937">
        <w:rPr>
          <w:rFonts w:cs="Times New Roman"/>
          <w:vertAlign w:val="superscript"/>
        </w:rPr>
        <w:t>[13]</w:t>
      </w:r>
      <w:r>
        <w:rPr>
          <w:rFonts w:cs="Times New Roman"/>
        </w:rPr>
        <w:t>.</w:t>
      </w:r>
    </w:p>
    <w:p w14:paraId="300DDECC" w14:textId="3B01277F" w:rsidR="00107856" w:rsidRPr="00752A65" w:rsidRDefault="00752A65" w:rsidP="008D2937">
      <w:pPr>
        <w:ind w:left="397" w:hanging="397"/>
        <w:rPr>
          <w:rFonts w:cs="Times New Roman"/>
        </w:rPr>
      </w:pPr>
      <w:r>
        <w:rPr>
          <w:rFonts w:cs="Times New Roman"/>
        </w:rPr>
        <w:t xml:space="preserve">(3) </w:t>
      </w:r>
      <w:r w:rsidR="00000000" w:rsidRPr="008D2937">
        <w:rPr>
          <w:rFonts w:cs="Times New Roman"/>
        </w:rPr>
        <w:t xml:space="preserve">Deepened higher-order competencies and value identification. In the </w:t>
      </w:r>
      <w:r w:rsidR="00FB1F0F">
        <w:rPr>
          <w:rFonts w:cs="Times New Roman"/>
        </w:rPr>
        <w:t>“</w:t>
      </w:r>
      <w:r w:rsidR="00000000" w:rsidRPr="008D2937">
        <w:rPr>
          <w:rFonts w:cs="Times New Roman"/>
        </w:rPr>
        <w:t>Gig Economy</w:t>
      </w:r>
      <w:r w:rsidR="00FB1F0F">
        <w:rPr>
          <w:rFonts w:cs="Times New Roman"/>
        </w:rPr>
        <w:t>”</w:t>
      </w:r>
      <w:r w:rsidR="00000000" w:rsidRPr="008D2937">
        <w:rPr>
          <w:rFonts w:cs="Times New Roman"/>
        </w:rPr>
        <w:t xml:space="preserve"> unit, 92.3% of students engaged in dialectical analysis linking China</w:t>
      </w:r>
      <w:r w:rsidR="00FB1F0F">
        <w:rPr>
          <w:rFonts w:cs="Times New Roman"/>
        </w:rPr>
        <w:t>’</w:t>
      </w:r>
      <w:r w:rsidR="00000000" w:rsidRPr="008D2937">
        <w:rPr>
          <w:rFonts w:cs="Times New Roman"/>
        </w:rPr>
        <w:t xml:space="preserve">s flexible employment policies (vs. 58.1% pre-reform), demonstrating concurrent achievement of critical thinking and sound professional ethics. Student reflection journals showed a 3.5-fold increase in frequency of keywords like </w:t>
      </w:r>
      <w:r w:rsidR="00FB1F0F">
        <w:rPr>
          <w:rFonts w:cs="Times New Roman"/>
        </w:rPr>
        <w:t>“</w:t>
      </w:r>
      <w:r w:rsidR="00000000" w:rsidRPr="008D2937">
        <w:rPr>
          <w:rFonts w:cs="Times New Roman"/>
        </w:rPr>
        <w:t>cultural confidence</w:t>
      </w:r>
      <w:r w:rsidR="00FB1F0F">
        <w:rPr>
          <w:rFonts w:cs="Times New Roman"/>
        </w:rPr>
        <w:t>”</w:t>
      </w:r>
      <w:r w:rsidR="00000000" w:rsidRPr="008D2937">
        <w:rPr>
          <w:rFonts w:cs="Times New Roman"/>
        </w:rPr>
        <w:t xml:space="preserve"> and </w:t>
      </w:r>
      <w:r w:rsidR="00FB1F0F">
        <w:rPr>
          <w:rFonts w:cs="Times New Roman"/>
        </w:rPr>
        <w:t>“</w:t>
      </w:r>
      <w:r w:rsidR="00000000" w:rsidRPr="008D2937">
        <w:rPr>
          <w:rFonts w:cs="Times New Roman"/>
        </w:rPr>
        <w:t>telling China</w:t>
      </w:r>
      <w:r w:rsidR="00FB1F0F">
        <w:rPr>
          <w:rFonts w:cs="Times New Roman"/>
        </w:rPr>
        <w:t>’</w:t>
      </w:r>
      <w:r w:rsidR="00000000" w:rsidRPr="008D2937">
        <w:rPr>
          <w:rFonts w:cs="Times New Roman"/>
        </w:rPr>
        <w:t>s stories well</w:t>
      </w:r>
      <w:r w:rsidR="00FB1F0F">
        <w:rPr>
          <w:rFonts w:cs="Times New Roman"/>
        </w:rPr>
        <w:t>”</w:t>
      </w:r>
      <w:r>
        <w:rPr>
          <w:rFonts w:cs="Times New Roman"/>
        </w:rPr>
        <w:t xml:space="preserve"> </w:t>
      </w:r>
      <w:r w:rsidR="00923035" w:rsidRPr="008D2937">
        <w:rPr>
          <w:rFonts w:cs="Times New Roman"/>
          <w:vertAlign w:val="superscript"/>
        </w:rPr>
        <w:t>[14]</w:t>
      </w:r>
      <w:r>
        <w:rPr>
          <w:rFonts w:cs="Times New Roman"/>
        </w:rPr>
        <w:t>.</w:t>
      </w:r>
    </w:p>
    <w:p w14:paraId="1F290F07" w14:textId="2EDDA5F5" w:rsidR="00107856" w:rsidRPr="00752A65" w:rsidRDefault="00752A65" w:rsidP="008D2937">
      <w:pPr>
        <w:ind w:left="397" w:hanging="397"/>
        <w:rPr>
          <w:rFonts w:cs="Times New Roman"/>
        </w:rPr>
      </w:pPr>
      <w:r>
        <w:rPr>
          <w:rFonts w:cs="Times New Roman"/>
        </w:rPr>
        <w:t xml:space="preserve">(4) </w:t>
      </w:r>
      <w:r w:rsidR="00000000" w:rsidRPr="008D2937">
        <w:rPr>
          <w:rFonts w:cs="Times New Roman"/>
        </w:rPr>
        <w:t xml:space="preserve">Sustained evolution of autonomous learning ecology. U-School journal submission rate reached 98.7%, with 85.4% containing concrete strategy-adjustment records (e.g., </w:t>
      </w:r>
      <w:r w:rsidR="00FB1F0F">
        <w:rPr>
          <w:rFonts w:cs="Times New Roman"/>
        </w:rPr>
        <w:t>“</w:t>
      </w:r>
      <w:r w:rsidR="00000000" w:rsidRPr="008D2937">
        <w:rPr>
          <w:rFonts w:cs="Times New Roman"/>
        </w:rPr>
        <w:t>switched to mind-mapping for ad logic</w:t>
      </w:r>
      <w:r w:rsidR="00FB1F0F">
        <w:rPr>
          <w:rFonts w:cs="Times New Roman"/>
        </w:rPr>
        <w:t>”</w:t>
      </w:r>
      <w:r w:rsidR="00000000" w:rsidRPr="008D2937">
        <w:rPr>
          <w:rFonts w:cs="Times New Roman"/>
        </w:rPr>
        <w:t xml:space="preserve">). Agreement with </w:t>
      </w:r>
      <w:r w:rsidR="00FB1F0F">
        <w:rPr>
          <w:rFonts w:cs="Times New Roman"/>
        </w:rPr>
        <w:t>“</w:t>
      </w:r>
      <w:r w:rsidR="00000000" w:rsidRPr="008D2937">
        <w:rPr>
          <w:rFonts w:cs="Times New Roman"/>
        </w:rPr>
        <w:t>Assessment helps me clarify my learning direction</w:t>
      </w:r>
      <w:r w:rsidR="00FB1F0F">
        <w:rPr>
          <w:rFonts w:cs="Times New Roman"/>
        </w:rPr>
        <w:t>”</w:t>
      </w:r>
      <w:r w:rsidR="00000000" w:rsidRPr="008D2937">
        <w:rPr>
          <w:rFonts w:cs="Times New Roman"/>
        </w:rPr>
        <w:t xml:space="preserve"> rose to 96.2% (vs. 63.8% pre-reform)</w:t>
      </w:r>
      <w:r w:rsidR="00923035" w:rsidRPr="008D2937">
        <w:rPr>
          <w:rFonts w:cs="Times New Roman"/>
          <w:vertAlign w:val="superscript"/>
        </w:rPr>
        <w:t xml:space="preserve"> [15]</w:t>
      </w:r>
      <w:r>
        <w:rPr>
          <w:rFonts w:cs="Times New Roman"/>
        </w:rPr>
        <w:t>.</w:t>
      </w:r>
    </w:p>
    <w:p w14:paraId="05324DFF" w14:textId="5ADB7147" w:rsidR="00107856" w:rsidRPr="00FB1F0F" w:rsidRDefault="00000000" w:rsidP="008D2937">
      <w:pPr>
        <w:ind w:firstLine="420"/>
        <w:rPr>
          <w:rFonts w:cs="Times New Roman"/>
        </w:rPr>
      </w:pPr>
      <w:r w:rsidRPr="008D2937">
        <w:rPr>
          <w:rFonts w:cs="Times New Roman"/>
        </w:rPr>
        <w:t xml:space="preserve">These findings confirm: When formative assessment is deeply empowered by POA theory, it ceases to be ornamental </w:t>
      </w:r>
      <w:r w:rsidR="00FB1F0F">
        <w:rPr>
          <w:rFonts w:cs="Times New Roman"/>
        </w:rPr>
        <w:t>“</w:t>
      </w:r>
      <w:r w:rsidRPr="008D2937">
        <w:rPr>
          <w:rFonts w:cs="Times New Roman"/>
        </w:rPr>
        <w:t>window dressing</w:t>
      </w:r>
      <w:r w:rsidR="00FB1F0F">
        <w:rPr>
          <w:rFonts w:cs="Times New Roman"/>
        </w:rPr>
        <w:t>”</w:t>
      </w:r>
      <w:r w:rsidRPr="008D2937">
        <w:rPr>
          <w:rFonts w:cs="Times New Roman"/>
        </w:rPr>
        <w:t xml:space="preserve"> and becomes the core engine propelling students</w:t>
      </w:r>
      <w:r w:rsidR="00FB1F0F">
        <w:rPr>
          <w:rFonts w:cs="Times New Roman"/>
        </w:rPr>
        <w:t>’</w:t>
      </w:r>
      <w:r w:rsidRPr="008D2937">
        <w:rPr>
          <w:rFonts w:cs="Times New Roman"/>
        </w:rPr>
        <w:t xml:space="preserve"> transformation</w:t>
      </w:r>
      <w:r w:rsidR="004808D5">
        <w:rPr>
          <w:rFonts w:cs="Times New Roman"/>
        </w:rPr>
        <w:t xml:space="preserve">, </w:t>
      </w:r>
      <w:r w:rsidRPr="008D2937">
        <w:rPr>
          <w:rFonts w:cs="Times New Roman"/>
        </w:rPr>
        <w:t>from knowledge consumers to meaning creators.</w:t>
      </w:r>
    </w:p>
    <w:p w14:paraId="3CF77B15" w14:textId="77777777" w:rsidR="00752A65" w:rsidRDefault="00752A65" w:rsidP="00FB1F0F">
      <w:pPr>
        <w:rPr>
          <w:rFonts w:cs="Times New Roman"/>
        </w:rPr>
      </w:pPr>
    </w:p>
    <w:p w14:paraId="75E6E9EE" w14:textId="198F1C86" w:rsidR="00107856" w:rsidRPr="008D2937" w:rsidRDefault="00000000" w:rsidP="008D2937">
      <w:pPr>
        <w:rPr>
          <w:rFonts w:cs="Times New Roman"/>
          <w:b/>
          <w:bCs/>
        </w:rPr>
      </w:pPr>
      <w:r w:rsidRPr="008D2937">
        <w:rPr>
          <w:rFonts w:cs="Times New Roman"/>
          <w:b/>
          <w:bCs/>
        </w:rPr>
        <w:t xml:space="preserve">5.  Toward a </w:t>
      </w:r>
      <w:r w:rsidR="00752A65" w:rsidRPr="00752A65">
        <w:rPr>
          <w:rFonts w:cs="Times New Roman"/>
          <w:b/>
          <w:bCs/>
        </w:rPr>
        <w:t>new ecology of “assessment-as-teaching”</w:t>
      </w:r>
    </w:p>
    <w:p w14:paraId="36A93570" w14:textId="1E7A8A9E" w:rsidR="00107856" w:rsidRPr="00752A65" w:rsidRDefault="00000000" w:rsidP="008D2937">
      <w:pPr>
        <w:rPr>
          <w:rFonts w:cs="Times New Roman"/>
        </w:rPr>
      </w:pPr>
      <w:r w:rsidRPr="008D2937">
        <w:rPr>
          <w:rFonts w:cs="Times New Roman"/>
        </w:rPr>
        <w:t>This study, grounded in the lived classroom reality of College English A (I) and College English A (II) at Hunan Women</w:t>
      </w:r>
      <w:r w:rsidR="00FB1F0F" w:rsidRPr="00752A65">
        <w:rPr>
          <w:rFonts w:cs="Times New Roman"/>
        </w:rPr>
        <w:t>’</w:t>
      </w:r>
      <w:r w:rsidRPr="008D2937">
        <w:rPr>
          <w:rFonts w:cs="Times New Roman"/>
        </w:rPr>
        <w:t xml:space="preserve">s University, affirms that POA theory offers an irreplaceable </w:t>
      </w:r>
      <w:r w:rsidR="000C5D25" w:rsidRPr="008D2937">
        <w:rPr>
          <w:rFonts w:cs="Times New Roman"/>
        </w:rPr>
        <w:t>blueprint</w:t>
      </w:r>
      <w:r w:rsidR="004808D5">
        <w:rPr>
          <w:rFonts w:cs="Times New Roman"/>
        </w:rPr>
        <w:t xml:space="preserve">, </w:t>
      </w:r>
      <w:r w:rsidR="000C5D25" w:rsidRPr="008D2937">
        <w:rPr>
          <w:rFonts w:cs="Times New Roman"/>
        </w:rPr>
        <w:t>not only for conceptual reframing but also for granular, scalable implementation</w:t>
      </w:r>
      <w:r w:rsidR="004808D5">
        <w:rPr>
          <w:rFonts w:cs="Times New Roman"/>
        </w:rPr>
        <w:t xml:space="preserve"> </w:t>
      </w:r>
      <w:r w:rsidR="000C5D25" w:rsidRPr="008D2937">
        <w:rPr>
          <w:rFonts w:cs="Times New Roman"/>
        </w:rPr>
        <w:t>of formative assessment reform in university English education. Its fundamental insight is profound: Effective formative assessment is never a spectatorial record of learning; it is a participatory co-construction, guided by POA</w:t>
      </w:r>
      <w:r w:rsidR="00FB1F0F" w:rsidRPr="008D2937">
        <w:rPr>
          <w:rFonts w:cs="Times New Roman"/>
        </w:rPr>
        <w:t>’</w:t>
      </w:r>
      <w:r w:rsidR="000C5D25" w:rsidRPr="008D2937">
        <w:rPr>
          <w:rFonts w:cs="Times New Roman"/>
        </w:rPr>
        <w:t>s architectural logic</w:t>
      </w:r>
      <w:r w:rsidR="004808D5">
        <w:rPr>
          <w:rFonts w:cs="Times New Roman"/>
        </w:rPr>
        <w:t xml:space="preserve">, </w:t>
      </w:r>
      <w:r w:rsidR="000C5D25" w:rsidRPr="008D2937">
        <w:rPr>
          <w:rFonts w:cs="Times New Roman"/>
        </w:rPr>
        <w:t>where teachers leverage assessment as a lever to activate learning, students use it as a mirror to calibrate growth, and digital technology serves as the nervous system connecting pedagogy and practice</w:t>
      </w:r>
      <w:r w:rsidR="000C5D25" w:rsidRPr="008D2937">
        <w:rPr>
          <w:rFonts w:cs="Times New Roman"/>
          <w:vertAlign w:val="superscript"/>
        </w:rPr>
        <w:t xml:space="preserve"> [10]</w:t>
      </w:r>
      <w:r w:rsidR="00752A65" w:rsidRPr="008D2937">
        <w:rPr>
          <w:rFonts w:cs="Times New Roman"/>
        </w:rPr>
        <w:t>.</w:t>
      </w:r>
    </w:p>
    <w:p w14:paraId="1473EBC6" w14:textId="1CA6C5AB" w:rsidR="00107856" w:rsidRPr="004808D5" w:rsidRDefault="00000000" w:rsidP="008D2937">
      <w:pPr>
        <w:ind w:firstLine="420"/>
        <w:rPr>
          <w:rFonts w:cs="Times New Roman"/>
        </w:rPr>
      </w:pPr>
      <w:r w:rsidRPr="008D2937">
        <w:rPr>
          <w:rFonts w:cs="Times New Roman"/>
        </w:rPr>
        <w:t xml:space="preserve">Future directions include three principal avenues. First, intelligent upgrading: Developing </w:t>
      </w:r>
      <w:r w:rsidRPr="008D2937">
        <w:rPr>
          <w:rFonts w:cs="Times New Roman"/>
        </w:rPr>
        <w:lastRenderedPageBreak/>
        <w:t>POA-specific algorithms capable of automatically detecting POA-critical deficits</w:t>
      </w:r>
      <w:r w:rsidR="004808D5">
        <w:rPr>
          <w:rFonts w:cs="Times New Roman"/>
        </w:rPr>
        <w:t xml:space="preserve">, </w:t>
      </w:r>
      <w:r w:rsidRPr="008D2937">
        <w:rPr>
          <w:rFonts w:cs="Times New Roman"/>
        </w:rPr>
        <w:t xml:space="preserve">e.g., </w:t>
      </w:r>
      <w:r w:rsidR="00FB1F0F">
        <w:rPr>
          <w:rFonts w:cs="Times New Roman"/>
        </w:rPr>
        <w:t>“</w:t>
      </w:r>
      <w:r w:rsidRPr="008D2937">
        <w:rPr>
          <w:rFonts w:cs="Times New Roman"/>
        </w:rPr>
        <w:t>absence of cultural stance,</w:t>
      </w:r>
      <w:r w:rsidR="00FB1F0F">
        <w:rPr>
          <w:rFonts w:cs="Times New Roman"/>
        </w:rPr>
        <w:t>”</w:t>
      </w:r>
      <w:r w:rsidRPr="008D2937">
        <w:rPr>
          <w:rFonts w:cs="Times New Roman"/>
        </w:rPr>
        <w:t xml:space="preserve"> </w:t>
      </w:r>
      <w:r w:rsidR="00FB1F0F">
        <w:rPr>
          <w:rFonts w:cs="Times New Roman"/>
        </w:rPr>
        <w:t>“</w:t>
      </w:r>
      <w:r w:rsidRPr="008D2937">
        <w:rPr>
          <w:rFonts w:cs="Times New Roman"/>
        </w:rPr>
        <w:t>fractured logical chains</w:t>
      </w:r>
      <w:r w:rsidR="00FB1F0F">
        <w:rPr>
          <w:rFonts w:cs="Times New Roman"/>
        </w:rPr>
        <w:t>”</w:t>
      </w:r>
      <w:r w:rsidR="004808D5">
        <w:rPr>
          <w:rFonts w:cs="Times New Roman"/>
        </w:rPr>
        <w:t xml:space="preserve">, </w:t>
      </w:r>
      <w:r w:rsidRPr="008D2937">
        <w:rPr>
          <w:rFonts w:cs="Times New Roman"/>
        </w:rPr>
        <w:t>in student writing. Second, ecological extension: Integrating assessment data with the university</w:t>
      </w:r>
      <w:r w:rsidR="00FB1F0F">
        <w:rPr>
          <w:rFonts w:cs="Times New Roman"/>
        </w:rPr>
        <w:t>’</w:t>
      </w:r>
      <w:r w:rsidRPr="008D2937">
        <w:rPr>
          <w:rFonts w:cs="Times New Roman"/>
        </w:rPr>
        <w:t>s Academic Early Warning System, triggering personalized mentoring for students persistently below POA-defined milestone benchmarks. Third, social co-governance: Inviting industry mentors to co-evaluate performance assessments, subjecting university English output to authentic societal demand</w:t>
      </w:r>
      <w:r w:rsidR="004808D5">
        <w:rPr>
          <w:rFonts w:cs="Times New Roman"/>
        </w:rPr>
        <w:t xml:space="preserve">, </w:t>
      </w:r>
      <w:r w:rsidRPr="008D2937">
        <w:rPr>
          <w:rFonts w:cs="Times New Roman"/>
        </w:rPr>
        <w:t>thereby closing the loop between curriculum and career</w:t>
      </w:r>
      <w:r w:rsidR="00A83034" w:rsidRPr="008D2937">
        <w:rPr>
          <w:rFonts w:cs="Times New Roman"/>
          <w:vertAlign w:val="superscript"/>
        </w:rPr>
        <w:t xml:space="preserve"> [12]</w:t>
      </w:r>
      <w:r w:rsidR="004808D5">
        <w:rPr>
          <w:rFonts w:cs="Times New Roman"/>
        </w:rPr>
        <w:t>.</w:t>
      </w:r>
    </w:p>
    <w:p w14:paraId="3E28B57D" w14:textId="1464578F" w:rsidR="00107856" w:rsidRDefault="00000000" w:rsidP="008D2937">
      <w:pPr>
        <w:ind w:firstLine="420"/>
        <w:rPr>
          <w:rFonts w:cs="Times New Roman"/>
        </w:rPr>
      </w:pPr>
      <w:r w:rsidRPr="008D2937">
        <w:rPr>
          <w:rFonts w:cs="Times New Roman"/>
        </w:rPr>
        <w:t>When assessment is no longer perceived as the epilogue of teaching</w:t>
      </w:r>
      <w:r w:rsidR="004808D5">
        <w:rPr>
          <w:rFonts w:cs="Times New Roman"/>
        </w:rPr>
        <w:t xml:space="preserve">, </w:t>
      </w:r>
      <w:r w:rsidRPr="008D2937">
        <w:rPr>
          <w:rFonts w:cs="Times New Roman"/>
        </w:rPr>
        <w:t>but as its overture and pulse</w:t>
      </w:r>
      <w:r w:rsidR="004808D5">
        <w:rPr>
          <w:rFonts w:cs="Times New Roman"/>
        </w:rPr>
        <w:t xml:space="preserve">, </w:t>
      </w:r>
      <w:r w:rsidRPr="008D2937">
        <w:rPr>
          <w:rFonts w:cs="Times New Roman"/>
        </w:rPr>
        <w:t>college English instruction will achieve its historic transition: from teaching English to educating through English. This study thus signifies more than methodological innovation; it represents a philosophical return</w:t>
      </w:r>
      <w:r w:rsidR="004808D5">
        <w:rPr>
          <w:rFonts w:cs="Times New Roman"/>
        </w:rPr>
        <w:t xml:space="preserve"> </w:t>
      </w:r>
      <w:r w:rsidRPr="008D2937">
        <w:rPr>
          <w:rFonts w:cs="Times New Roman"/>
        </w:rPr>
        <w:t>to an educational paradigm whose ultimate telos is the holistic development of the learner.</w:t>
      </w:r>
    </w:p>
    <w:p w14:paraId="058F6B68" w14:textId="77777777" w:rsidR="00FB1F0F" w:rsidRDefault="00FB1F0F" w:rsidP="00FB1F0F">
      <w:pPr>
        <w:rPr>
          <w:rFonts w:cs="Times New Roman"/>
        </w:rPr>
      </w:pPr>
    </w:p>
    <w:p w14:paraId="146CB47C" w14:textId="77777777" w:rsidR="00FB1F0F" w:rsidRDefault="00FB1F0F" w:rsidP="00FB1F0F">
      <w:pPr>
        <w:rPr>
          <w:b/>
          <w:bCs/>
        </w:rPr>
      </w:pPr>
      <w:r>
        <w:rPr>
          <w:b/>
          <w:bCs/>
        </w:rPr>
        <w:t>Disclosure statement</w:t>
      </w:r>
    </w:p>
    <w:p w14:paraId="2954B584" w14:textId="0A73C28B" w:rsidR="00FB1F0F" w:rsidRDefault="00FB1F0F" w:rsidP="00FB1F0F">
      <w:r w:rsidRPr="00E05BC9">
        <w:t>The author</w:t>
      </w:r>
      <w:r>
        <w:t>s</w:t>
      </w:r>
      <w:r w:rsidRPr="00E05BC9">
        <w:t xml:space="preserve"> declare no conflict of interest.</w:t>
      </w:r>
    </w:p>
    <w:p w14:paraId="25CD32FB" w14:textId="77777777" w:rsidR="00FB1F0F" w:rsidRPr="00FB1F0F" w:rsidRDefault="00FB1F0F" w:rsidP="008D2937">
      <w:pPr>
        <w:rPr>
          <w:rFonts w:cs="Times New Roman"/>
        </w:rPr>
      </w:pPr>
    </w:p>
    <w:p w14:paraId="3AC75CD8" w14:textId="77777777" w:rsidR="00107856" w:rsidRDefault="00000000" w:rsidP="00FB1F0F">
      <w:pPr>
        <w:rPr>
          <w:rFonts w:cs="Times New Roman"/>
          <w:b/>
          <w:bCs/>
        </w:rPr>
      </w:pPr>
      <w:r w:rsidRPr="008D2937">
        <w:rPr>
          <w:rFonts w:cs="Times New Roman"/>
          <w:b/>
          <w:bCs/>
        </w:rPr>
        <w:t>References</w:t>
      </w:r>
    </w:p>
    <w:p w14:paraId="56DF04CC" w14:textId="7457E030" w:rsidR="00FB1F0F" w:rsidRDefault="00FB1F0F" w:rsidP="00FB1F0F">
      <w:pPr>
        <w:ind w:left="454" w:hanging="454"/>
      </w:pPr>
      <w:bookmarkStart w:id="1" w:name="_Hlk185327419"/>
      <w:r>
        <w:t>[1]</w:t>
      </w:r>
      <w:r>
        <w:tab/>
      </w:r>
      <w:r>
        <w:t>Ministry of Education of the People</w:t>
      </w:r>
      <w:r>
        <w:t>’</w:t>
      </w:r>
      <w:r>
        <w:t>s Republic of China, 2020, Guidelines for College English Teaching (2020 Edition). Higher Education Press</w:t>
      </w:r>
      <w:r>
        <w:t>, Beijing</w:t>
      </w:r>
      <w:r>
        <w:t>.</w:t>
      </w:r>
    </w:p>
    <w:p w14:paraId="430F7D24" w14:textId="4D9E7A1E" w:rsidR="00FB1F0F" w:rsidRDefault="00FB1F0F" w:rsidP="00FB1F0F">
      <w:pPr>
        <w:ind w:left="454" w:hanging="454"/>
      </w:pPr>
      <w:r>
        <w:t>[2]</w:t>
      </w:r>
      <w:r>
        <w:tab/>
      </w:r>
      <w:r>
        <w:t>Wen QF, 2015, The Production-Oriented Approach: Explorations in Theory Innovation for Foreign Language Education in China [in Chinese]. Foreign Language Teaching and Research Press</w:t>
      </w:r>
      <w:r>
        <w:t>, Shanghai</w:t>
      </w:r>
      <w:r>
        <w:t>.</w:t>
      </w:r>
    </w:p>
    <w:p w14:paraId="7C7FD62E" w14:textId="090B8CB9" w:rsidR="00FB1F0F" w:rsidRDefault="00FB1F0F" w:rsidP="00FB1F0F">
      <w:pPr>
        <w:ind w:left="454" w:hanging="454"/>
      </w:pPr>
      <w:r>
        <w:t>[3]</w:t>
      </w:r>
      <w:r>
        <w:tab/>
      </w:r>
      <w:r>
        <w:t>Sun YZ, 2021, Over to You (I) and Over to You (II). Foreign Language Teaching and Research Press</w:t>
      </w:r>
      <w:r>
        <w:t>, Shanghai</w:t>
      </w:r>
      <w:r>
        <w:t>.</w:t>
      </w:r>
    </w:p>
    <w:p w14:paraId="329E65BC" w14:textId="29485BE3" w:rsidR="00FB1F0F" w:rsidRDefault="00FB1F0F" w:rsidP="00FB1F0F">
      <w:pPr>
        <w:ind w:left="454" w:hanging="454"/>
      </w:pPr>
      <w:r>
        <w:t>[4]</w:t>
      </w:r>
      <w:r>
        <w:tab/>
      </w:r>
      <w:r>
        <w:t>Wen QF, 2018, The Production-Oriented Approach in EFL Teaching in China: Rationale, Conceptual Framework and Pedagogical Principles. Language Teaching, 51(3): 339–353.</w:t>
      </w:r>
    </w:p>
    <w:p w14:paraId="1A136828" w14:textId="33AA6B65" w:rsidR="00FB1F0F" w:rsidRDefault="00FB1F0F" w:rsidP="00FB1F0F">
      <w:pPr>
        <w:ind w:left="454" w:hanging="454"/>
      </w:pPr>
      <w:r>
        <w:t>[5]</w:t>
      </w:r>
      <w:r>
        <w:tab/>
      </w:r>
      <w:r>
        <w:t>Wen QF, Sun SG, 2020, Production-Oriented Approach: Theory and Practice of Foreign Language Teaching Reform in Chinese Universities [in Chinese]. Foreign Language Teaching and Research Press</w:t>
      </w:r>
      <w:r>
        <w:t>, Shanghai</w:t>
      </w:r>
      <w:r>
        <w:t>.</w:t>
      </w:r>
    </w:p>
    <w:p w14:paraId="1E06135C" w14:textId="78DC29C6" w:rsidR="00FB1F0F" w:rsidRDefault="00FB1F0F" w:rsidP="00FB1F0F">
      <w:pPr>
        <w:ind w:left="454" w:hanging="454"/>
      </w:pPr>
      <w:r>
        <w:t>[6]</w:t>
      </w:r>
      <w:r>
        <w:tab/>
      </w:r>
      <w:r>
        <w:t>Qiu L, Sun SG, Wen QF, 2020, Exemplifying Design Criteria for the Enabling Stage of the Production-Oriented Approach. Foreign Language Education in China, 3(2): 19–26.</w:t>
      </w:r>
    </w:p>
    <w:p w14:paraId="1E97B981" w14:textId="7D2C1644" w:rsidR="00FB1F0F" w:rsidRDefault="00FB1F0F" w:rsidP="00FB1F0F">
      <w:pPr>
        <w:ind w:left="454" w:hanging="454"/>
      </w:pPr>
      <w:r>
        <w:t>[7]</w:t>
      </w:r>
      <w:r>
        <w:tab/>
      </w:r>
      <w:r>
        <w:t>Carless D, 2022, Excellence Through Engagement and Empowerment: Feedback Literacy for Assessment for Learning. Assessment and Evaluation in Higher Education, 47(3): 365–377.</w:t>
      </w:r>
    </w:p>
    <w:p w14:paraId="48F229A3" w14:textId="750CC3A5" w:rsidR="00FB1F0F" w:rsidRDefault="00FB1F0F" w:rsidP="00FB1F0F">
      <w:pPr>
        <w:ind w:left="454" w:hanging="454"/>
      </w:pPr>
      <w:r>
        <w:t>[8]</w:t>
      </w:r>
      <w:r>
        <w:tab/>
      </w:r>
      <w:r>
        <w:t>Zhang WZ, Jack R, 2019, Constructing a Formative Assessment System for College English in the Big Data Era [in Chinese]. Foreign Language World, (2): 41–49.</w:t>
      </w:r>
    </w:p>
    <w:p w14:paraId="24BBF012" w14:textId="42810143" w:rsidR="00FB1F0F" w:rsidRDefault="00FB1F0F" w:rsidP="00FB1F0F">
      <w:pPr>
        <w:ind w:left="454" w:hanging="454"/>
      </w:pPr>
      <w:r>
        <w:t>[9]</w:t>
      </w:r>
      <w:r>
        <w:tab/>
      </w:r>
      <w:r>
        <w:t>Black P, Wiliam D, 1998, Inside the Black Box: Raising Standards Through Classroom Assessment. Phi Delta Kappan, 80(2): 139–148.</w:t>
      </w:r>
    </w:p>
    <w:p w14:paraId="64B07946" w14:textId="65DA9C36" w:rsidR="00FB1F0F" w:rsidRDefault="00FB1F0F" w:rsidP="00FB1F0F">
      <w:pPr>
        <w:ind w:left="454" w:hanging="454"/>
      </w:pPr>
      <w:r>
        <w:t>[10]</w:t>
      </w:r>
      <w:r>
        <w:tab/>
      </w:r>
      <w:r>
        <w:t>Hattie J, Timperley H, 2007, The Power of Feedback. Review of Educational Research, 77(1): 81–112.</w:t>
      </w:r>
    </w:p>
    <w:p w14:paraId="09C434B5" w14:textId="47293478" w:rsidR="00FB1F0F" w:rsidRDefault="00FB1F0F" w:rsidP="00FB1F0F">
      <w:pPr>
        <w:ind w:left="454" w:hanging="454"/>
      </w:pPr>
      <w:r>
        <w:t>[11]</w:t>
      </w:r>
      <w:r>
        <w:tab/>
      </w:r>
      <w:r>
        <w:t>Hyland K, 2015, Feedback on Second Language Students</w:t>
      </w:r>
      <w:r>
        <w:t>’</w:t>
      </w:r>
      <w:r>
        <w:t xml:space="preserve"> Writing. Language Teaching, 48(1): 93–110.</w:t>
      </w:r>
    </w:p>
    <w:p w14:paraId="31677A18" w14:textId="39293776" w:rsidR="00FB1F0F" w:rsidRDefault="00FB1F0F" w:rsidP="00FB1F0F">
      <w:pPr>
        <w:ind w:left="454" w:hanging="454"/>
      </w:pPr>
      <w:r>
        <w:t>[12]</w:t>
      </w:r>
      <w:r>
        <w:tab/>
      </w:r>
      <w:r>
        <w:t>Carless D, 2022, Excellence Through Engagement and Empowerment: Feedback Literacy for Assessment for Learning. Assessment and Evaluation in Higher Education, 47(3): 365–377.</w:t>
      </w:r>
    </w:p>
    <w:p w14:paraId="1208A549" w14:textId="216B2E58" w:rsidR="00FB1F0F" w:rsidRDefault="00FB1F0F" w:rsidP="00FB1F0F">
      <w:pPr>
        <w:ind w:left="454" w:hanging="454"/>
      </w:pPr>
      <w:r>
        <w:t>[13]</w:t>
      </w:r>
      <w:r>
        <w:tab/>
      </w:r>
      <w:r>
        <w:t>Black P, Wiliam D, 2009, Developing the Theory of Formative Assessment. Educational Assessment, Evaluation and Accountability, 21(1): 5–31.</w:t>
      </w:r>
    </w:p>
    <w:p w14:paraId="1BF47C89" w14:textId="54811951" w:rsidR="00FB1F0F" w:rsidRDefault="00FB1F0F" w:rsidP="00FB1F0F">
      <w:pPr>
        <w:ind w:left="454" w:hanging="454"/>
      </w:pPr>
      <w:r>
        <w:t>[14]</w:t>
      </w:r>
      <w:r>
        <w:tab/>
      </w:r>
      <w:r>
        <w:t>Carless D, Boud D, 2018, The Development of Student Feedback Literacy: Enabling Uptake of Feedback. Assessment &amp; Evaluation in Higher Education, 43(8): 1315–1325.</w:t>
      </w:r>
    </w:p>
    <w:p w14:paraId="734F2C59" w14:textId="68283790" w:rsidR="00FB1F0F" w:rsidRDefault="00FB1F0F" w:rsidP="00FB1F0F">
      <w:pPr>
        <w:ind w:left="454" w:hanging="454"/>
      </w:pPr>
      <w:r>
        <w:t>[15]</w:t>
      </w:r>
      <w:r>
        <w:tab/>
      </w:r>
      <w:r>
        <w:t>Nicol D, Macfarlane-Dick D, 2006, Formative Assessment and Self-Regulated Learning: A Model and Seven Principles of Good Feedback Practice. Studies in Higher Education, 31(2): 199–218.</w:t>
      </w:r>
    </w:p>
    <w:p w14:paraId="36E02C45" w14:textId="77777777" w:rsidR="00FB1F0F" w:rsidRDefault="00FB1F0F" w:rsidP="00FB1F0F"/>
    <w:p w14:paraId="510F2EDA" w14:textId="1CF7E82B" w:rsidR="00FB1F0F" w:rsidRDefault="00FB1F0F" w:rsidP="00FB1F0F">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w:t>
      </w:r>
      <w:r>
        <w:rPr>
          <w:rFonts w:eastAsia="SimSun"/>
          <w:b/>
          <w:bCs/>
          <w:kern w:val="0"/>
          <w:sz w:val="20"/>
          <w:szCs w:val="22"/>
          <w:lang w:eastAsia="en-US"/>
        </w:rPr>
        <w:t>’</w:t>
      </w:r>
      <w:r>
        <w:rPr>
          <w:rFonts w:eastAsia="SimSun"/>
          <w:b/>
          <w:bCs/>
          <w:kern w:val="0"/>
          <w:sz w:val="20"/>
          <w:szCs w:val="22"/>
          <w:lang w:eastAsia="en-US"/>
        </w:rPr>
        <w:t>s note</w:t>
      </w:r>
    </w:p>
    <w:p w14:paraId="4E854E97" w14:textId="77777777" w:rsidR="00FB1F0F" w:rsidRDefault="00FB1F0F" w:rsidP="00FB1F0F">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1"/>
    <w:p w14:paraId="1C649C17" w14:textId="77777777" w:rsidR="00FB1F0F" w:rsidRDefault="00FB1F0F" w:rsidP="00FB1F0F">
      <w:pPr>
        <w:rPr>
          <w:rFonts w:cs="Times New Roman"/>
          <w:b/>
          <w:bCs/>
        </w:rPr>
      </w:pPr>
    </w:p>
    <w:p w14:paraId="32C4B8B5" w14:textId="77777777" w:rsidR="00FB1F0F" w:rsidRPr="008D2937" w:rsidRDefault="00FB1F0F" w:rsidP="008D2937">
      <w:pPr>
        <w:rPr>
          <w:rFonts w:cs="Times New Roman"/>
          <w:b/>
          <w:bCs/>
        </w:rPr>
      </w:pPr>
    </w:p>
    <w:p w14:paraId="1704F28A" w14:textId="20000E8E" w:rsidR="00107856" w:rsidRPr="00FB1F0F" w:rsidRDefault="00107856" w:rsidP="008D2937">
      <w:pPr>
        <w:rPr>
          <w:rFonts w:cs="Times New Roman"/>
        </w:rPr>
      </w:pPr>
    </w:p>
    <w:sectPr w:rsidR="00107856" w:rsidRPr="00FB1F0F" w:rsidSect="008D2937">
      <w:headerReference w:type="default" r:id="rId7"/>
      <w:pgSz w:w="11906" w:h="16838"/>
      <w:pgMar w:top="1418" w:right="1134" w:bottom="141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7DAD" w14:textId="77777777" w:rsidR="000E0AE5" w:rsidRDefault="000E0AE5">
      <w:r>
        <w:separator/>
      </w:r>
    </w:p>
  </w:endnote>
  <w:endnote w:type="continuationSeparator" w:id="0">
    <w:p w14:paraId="48EF2269" w14:textId="77777777" w:rsidR="000E0AE5" w:rsidRDefault="000E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866E3" w14:textId="77777777" w:rsidR="000E0AE5" w:rsidRDefault="000E0AE5">
      <w:r>
        <w:separator/>
      </w:r>
    </w:p>
  </w:footnote>
  <w:footnote w:type="continuationSeparator" w:id="0">
    <w:p w14:paraId="0A48D856" w14:textId="77777777" w:rsidR="000E0AE5" w:rsidRDefault="000E0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D92A" w14:textId="77777777" w:rsidR="00E252C6" w:rsidRDefault="00000000">
    <w:pPr>
      <w:tabs>
        <w:tab w:val="right" w:pos="8906"/>
      </w:tabs>
    </w:pPr>
    <w:r>
      <w:rPr>
        <w:caps/>
      </w:rPr>
      <w:t>POA AND FORMATIVE ASSESSMENT IN COLLEGE ENGLISH</w:t>
    </w:r>
    <w:r>
      <w:tab/>
    </w:r>
    <w:r>
      <w:fldChar w:fldCharType="begin"/>
    </w:r>
    <w:r>
      <w:instrText xml:space="preserve"> PAGE </w:instrText>
    </w:r>
    <w:r>
      <w:fldChar w:fldCharType="separate"/>
    </w:r>
    <w: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C6"/>
    <w:rsid w:val="00044D47"/>
    <w:rsid w:val="000C5D25"/>
    <w:rsid w:val="000E0AE5"/>
    <w:rsid w:val="00107856"/>
    <w:rsid w:val="00247D5E"/>
    <w:rsid w:val="002F0E69"/>
    <w:rsid w:val="004808D5"/>
    <w:rsid w:val="004B2BFB"/>
    <w:rsid w:val="00547C0C"/>
    <w:rsid w:val="005D2944"/>
    <w:rsid w:val="0068580F"/>
    <w:rsid w:val="006C1CEA"/>
    <w:rsid w:val="00752A65"/>
    <w:rsid w:val="00766FF4"/>
    <w:rsid w:val="007E1E61"/>
    <w:rsid w:val="008042B8"/>
    <w:rsid w:val="00816880"/>
    <w:rsid w:val="00855DBF"/>
    <w:rsid w:val="008D2937"/>
    <w:rsid w:val="00923035"/>
    <w:rsid w:val="009A3AF0"/>
    <w:rsid w:val="00A07D4B"/>
    <w:rsid w:val="00A83034"/>
    <w:rsid w:val="00A90FBC"/>
    <w:rsid w:val="00AE432B"/>
    <w:rsid w:val="00BD15EA"/>
    <w:rsid w:val="00BD43C0"/>
    <w:rsid w:val="00C06990"/>
    <w:rsid w:val="00C41D51"/>
    <w:rsid w:val="00D510E3"/>
    <w:rsid w:val="00E21CAB"/>
    <w:rsid w:val="00E252C6"/>
    <w:rsid w:val="00E63738"/>
    <w:rsid w:val="00EB3B43"/>
    <w:rsid w:val="00FB1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189B42"/>
  <w15:docId w15:val="{9583D1B7-3FBB-4D10-B28B-61D14FC9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F0F"/>
    <w:pPr>
      <w:widowControl w:val="0"/>
      <w:suppressAutoHyphens/>
      <w:adjustRightInd w:val="0"/>
      <w:snapToGrid w:val="0"/>
      <w:spacing w:after="0" w:line="240" w:lineRule="auto"/>
      <w:jc w:val="both"/>
    </w:pPr>
    <w:rPr>
      <w:rFonts w:ascii="Times New Roman" w:eastAsia="Times New Roman" w:hAnsi="Times New Roman"/>
      <w:color w:val="000000"/>
      <w:sz w:val="24"/>
    </w:rPr>
  </w:style>
  <w:style w:type="paragraph" w:styleId="Heading1">
    <w:name w:val="heading 1"/>
    <w:basedOn w:val="Normal"/>
    <w:uiPriority w:val="9"/>
    <w:qFormat/>
    <w:pPr>
      <w:keepNext/>
      <w:keepLines/>
      <w:spacing w:before="480" w:after="240"/>
      <w:jc w:val="center"/>
      <w:outlineLvl w:val="0"/>
    </w:pPr>
    <w:rPr>
      <w:b/>
    </w:rPr>
  </w:style>
  <w:style w:type="paragraph" w:styleId="Heading2">
    <w:name w:val="heading 2"/>
    <w:basedOn w:val="Normal"/>
    <w:uiPriority w:val="9"/>
    <w:unhideWhenUsed/>
    <w:qFormat/>
    <w:pPr>
      <w:keepNext/>
      <w:keepLines/>
      <w:spacing w:before="360" w:after="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B1F0F"/>
    <w:pPr>
      <w:spacing w:after="0" w:line="240" w:lineRule="auto"/>
    </w:pPr>
    <w:rPr>
      <w:rFonts w:ascii="Times New Roman" w:eastAsia="Times New Roman" w:hAnsi="Times New Roman"/>
      <w:color w:val="000000"/>
      <w:sz w:val="24"/>
    </w:rPr>
  </w:style>
  <w:style w:type="paragraph" w:styleId="ListParagraph">
    <w:name w:val="List Paragraph"/>
    <w:basedOn w:val="Normal"/>
    <w:uiPriority w:val="34"/>
    <w:qFormat/>
    <w:rsid w:val="00752A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3227</Words>
  <Characters>18399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 J</dc:creator>
  <cp:lastModifiedBy>Editor J</cp:lastModifiedBy>
  <cp:revision>2</cp:revision>
  <dcterms:created xsi:type="dcterms:W3CDTF">2026-07-27T06:16:00Z</dcterms:created>
  <dcterms:modified xsi:type="dcterms:W3CDTF">2026-07-27T06:16:00Z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e57fcb89-83e1-4684-a8ea-9dbe8fa17ef4</vt:lpwstr>
  </property>
</Properties>
</file>