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690D82" w14:textId="77777777" w:rsidR="006C50C3" w:rsidRPr="00E60993" w:rsidRDefault="00000000" w:rsidP="00E60993">
      <w:pPr>
        <w:jc w:val="left"/>
        <w:rPr>
          <w:b/>
          <w:bCs/>
          <w:sz w:val="44"/>
          <w:szCs w:val="44"/>
        </w:rPr>
      </w:pPr>
      <w:r w:rsidRPr="00E60993">
        <w:rPr>
          <w:b/>
          <w:bCs/>
          <w:sz w:val="44"/>
          <w:szCs w:val="44"/>
        </w:rPr>
        <w:t>Transcriptomic Analysis of Organ-Specific Metastasis Regulation in Breast Cancer</w:t>
      </w:r>
    </w:p>
    <w:p w14:paraId="47381841" w14:textId="72F1D82E" w:rsidR="006C50C3" w:rsidRPr="00E60993" w:rsidRDefault="00000000" w:rsidP="00E60993">
      <w:pPr>
        <w:rPr>
          <w:b/>
          <w:bCs/>
          <w:szCs w:val="24"/>
          <w:vertAlign w:val="superscript"/>
        </w:rPr>
      </w:pPr>
      <w:r w:rsidRPr="00E60993">
        <w:rPr>
          <w:b/>
          <w:bCs/>
          <w:szCs w:val="24"/>
        </w:rPr>
        <w:t>Jiayin</w:t>
      </w:r>
      <w:r w:rsidRPr="00E60993">
        <w:rPr>
          <w:rFonts w:hint="eastAsia"/>
          <w:b/>
          <w:bCs/>
          <w:szCs w:val="24"/>
        </w:rPr>
        <w:t xml:space="preserve"> </w:t>
      </w:r>
      <w:r w:rsidRPr="00E60993">
        <w:rPr>
          <w:b/>
          <w:bCs/>
          <w:szCs w:val="24"/>
        </w:rPr>
        <w:t>Wang</w:t>
      </w:r>
      <w:r w:rsidRPr="00E60993">
        <w:rPr>
          <w:b/>
          <w:bCs/>
          <w:szCs w:val="24"/>
          <w:vertAlign w:val="superscript"/>
        </w:rPr>
        <w:t>1</w:t>
      </w:r>
      <w:r w:rsidRPr="00E60993">
        <w:rPr>
          <w:b/>
          <w:bCs/>
          <w:szCs w:val="24"/>
        </w:rPr>
        <w:t xml:space="preserve">, </w:t>
      </w:r>
      <w:proofErr w:type="spellStart"/>
      <w:r w:rsidRPr="00E60993">
        <w:rPr>
          <w:b/>
          <w:bCs/>
          <w:szCs w:val="24"/>
        </w:rPr>
        <w:t>Qiushuang</w:t>
      </w:r>
      <w:proofErr w:type="spellEnd"/>
      <w:r w:rsidRPr="00E60993">
        <w:rPr>
          <w:rFonts w:hint="eastAsia"/>
          <w:b/>
          <w:bCs/>
          <w:szCs w:val="24"/>
        </w:rPr>
        <w:t xml:space="preserve"> </w:t>
      </w:r>
      <w:r w:rsidRPr="00E60993">
        <w:rPr>
          <w:b/>
          <w:bCs/>
          <w:szCs w:val="24"/>
        </w:rPr>
        <w:t>Ma</w:t>
      </w:r>
      <w:r w:rsidRPr="00E60993">
        <w:rPr>
          <w:b/>
          <w:bCs/>
          <w:szCs w:val="24"/>
          <w:vertAlign w:val="superscript"/>
        </w:rPr>
        <w:t>1</w:t>
      </w:r>
      <w:r w:rsidRPr="00E60993">
        <w:rPr>
          <w:b/>
          <w:bCs/>
          <w:szCs w:val="24"/>
        </w:rPr>
        <w:t xml:space="preserve">, </w:t>
      </w:r>
      <w:proofErr w:type="spellStart"/>
      <w:r w:rsidRPr="00E60993">
        <w:rPr>
          <w:b/>
          <w:bCs/>
          <w:szCs w:val="24"/>
        </w:rPr>
        <w:t>Bingjuan</w:t>
      </w:r>
      <w:proofErr w:type="spellEnd"/>
      <w:r w:rsidRPr="00E60993">
        <w:rPr>
          <w:rFonts w:hint="eastAsia"/>
          <w:b/>
          <w:bCs/>
          <w:szCs w:val="24"/>
        </w:rPr>
        <w:t xml:space="preserve"> </w:t>
      </w:r>
      <w:r w:rsidRPr="00E60993">
        <w:rPr>
          <w:b/>
          <w:bCs/>
          <w:szCs w:val="24"/>
        </w:rPr>
        <w:t>Zhou</w:t>
      </w:r>
      <w:r w:rsidRPr="00E60993">
        <w:rPr>
          <w:b/>
          <w:bCs/>
          <w:szCs w:val="24"/>
          <w:vertAlign w:val="superscript"/>
        </w:rPr>
        <w:t>1</w:t>
      </w:r>
      <w:r w:rsidRPr="00E60993">
        <w:rPr>
          <w:b/>
          <w:bCs/>
          <w:szCs w:val="24"/>
        </w:rPr>
        <w:t xml:space="preserve">, </w:t>
      </w:r>
      <w:proofErr w:type="spellStart"/>
      <w:r w:rsidRPr="00E60993">
        <w:rPr>
          <w:b/>
          <w:bCs/>
          <w:szCs w:val="24"/>
        </w:rPr>
        <w:t>Jirui</w:t>
      </w:r>
      <w:proofErr w:type="spellEnd"/>
      <w:r w:rsidRPr="00E60993">
        <w:rPr>
          <w:rFonts w:hint="eastAsia"/>
          <w:b/>
          <w:bCs/>
          <w:szCs w:val="24"/>
        </w:rPr>
        <w:t xml:space="preserve"> </w:t>
      </w:r>
      <w:r w:rsidRPr="00E60993">
        <w:rPr>
          <w:b/>
          <w:bCs/>
          <w:szCs w:val="24"/>
        </w:rPr>
        <w:t>Sun</w:t>
      </w:r>
      <w:r w:rsidRPr="00E60993">
        <w:rPr>
          <w:b/>
          <w:bCs/>
          <w:szCs w:val="24"/>
          <w:vertAlign w:val="superscript"/>
        </w:rPr>
        <w:t>1</w:t>
      </w:r>
      <w:r w:rsidRPr="00E60993">
        <w:rPr>
          <w:b/>
          <w:bCs/>
          <w:szCs w:val="24"/>
        </w:rPr>
        <w:t>, Zhihong</w:t>
      </w:r>
      <w:r w:rsidRPr="00E60993">
        <w:rPr>
          <w:rFonts w:hint="eastAsia"/>
          <w:b/>
          <w:bCs/>
          <w:szCs w:val="24"/>
        </w:rPr>
        <w:t xml:space="preserve"> </w:t>
      </w:r>
      <w:r w:rsidRPr="00E60993">
        <w:rPr>
          <w:b/>
          <w:bCs/>
          <w:szCs w:val="24"/>
        </w:rPr>
        <w:t>Li</w:t>
      </w:r>
      <w:r w:rsidRPr="00E60993">
        <w:rPr>
          <w:b/>
          <w:bCs/>
          <w:szCs w:val="24"/>
          <w:vertAlign w:val="superscript"/>
        </w:rPr>
        <w:t>2</w:t>
      </w:r>
      <w:r w:rsidRPr="00E60993">
        <w:rPr>
          <w:b/>
          <w:bCs/>
          <w:szCs w:val="24"/>
        </w:rPr>
        <w:t xml:space="preserve">, </w:t>
      </w:r>
      <w:proofErr w:type="spellStart"/>
      <w:r w:rsidRPr="00E60993">
        <w:rPr>
          <w:b/>
          <w:bCs/>
          <w:szCs w:val="24"/>
        </w:rPr>
        <w:t>Haizhi</w:t>
      </w:r>
      <w:proofErr w:type="spellEnd"/>
      <w:r w:rsidRPr="00E60993">
        <w:rPr>
          <w:rFonts w:hint="eastAsia"/>
          <w:b/>
          <w:bCs/>
          <w:szCs w:val="24"/>
        </w:rPr>
        <w:t xml:space="preserve"> </w:t>
      </w:r>
      <w:r w:rsidRPr="00E60993">
        <w:rPr>
          <w:b/>
          <w:bCs/>
          <w:szCs w:val="24"/>
        </w:rPr>
        <w:t>Qiao</w:t>
      </w:r>
      <w:r w:rsidRPr="00E60993">
        <w:rPr>
          <w:b/>
          <w:bCs/>
          <w:szCs w:val="24"/>
          <w:vertAlign w:val="superscript"/>
        </w:rPr>
        <w:t>1</w:t>
      </w:r>
      <w:r w:rsidRPr="00E60993">
        <w:rPr>
          <w:b/>
          <w:bCs/>
          <w:szCs w:val="24"/>
        </w:rPr>
        <w:t xml:space="preserve">, </w:t>
      </w:r>
      <w:proofErr w:type="spellStart"/>
      <w:r w:rsidRPr="00E60993">
        <w:rPr>
          <w:b/>
          <w:bCs/>
          <w:szCs w:val="24"/>
        </w:rPr>
        <w:t>Xueli</w:t>
      </w:r>
      <w:proofErr w:type="spellEnd"/>
      <w:r w:rsidRPr="00E60993">
        <w:rPr>
          <w:rFonts w:hint="eastAsia"/>
          <w:b/>
          <w:bCs/>
          <w:szCs w:val="24"/>
        </w:rPr>
        <w:t xml:space="preserve"> </w:t>
      </w:r>
      <w:r w:rsidRPr="00E60993">
        <w:rPr>
          <w:b/>
          <w:bCs/>
          <w:szCs w:val="24"/>
        </w:rPr>
        <w:t>Wang</w:t>
      </w:r>
      <w:r w:rsidRPr="00E60993">
        <w:rPr>
          <w:b/>
          <w:bCs/>
          <w:szCs w:val="24"/>
          <w:vertAlign w:val="superscript"/>
        </w:rPr>
        <w:t>1</w:t>
      </w:r>
      <w:r w:rsidRPr="00E60993">
        <w:rPr>
          <w:b/>
          <w:bCs/>
          <w:szCs w:val="24"/>
        </w:rPr>
        <w:t xml:space="preserve">, </w:t>
      </w:r>
      <w:proofErr w:type="spellStart"/>
      <w:r w:rsidRPr="00E60993">
        <w:rPr>
          <w:b/>
          <w:bCs/>
          <w:szCs w:val="24"/>
        </w:rPr>
        <w:t>Jinku</w:t>
      </w:r>
      <w:proofErr w:type="spellEnd"/>
      <w:r w:rsidRPr="00E60993">
        <w:rPr>
          <w:rFonts w:hint="eastAsia"/>
          <w:b/>
          <w:bCs/>
          <w:szCs w:val="24"/>
        </w:rPr>
        <w:t xml:space="preserve"> </w:t>
      </w:r>
      <w:r w:rsidRPr="00E60993">
        <w:rPr>
          <w:b/>
          <w:bCs/>
          <w:szCs w:val="24"/>
        </w:rPr>
        <w:t>Zhang</w:t>
      </w:r>
      <w:r w:rsidRPr="00E60993">
        <w:rPr>
          <w:b/>
          <w:bCs/>
          <w:szCs w:val="24"/>
          <w:vertAlign w:val="superscript"/>
        </w:rPr>
        <w:t>1</w:t>
      </w:r>
    </w:p>
    <w:p w14:paraId="4E076242" w14:textId="77777777" w:rsidR="006C50C3" w:rsidRPr="00DC113E" w:rsidRDefault="00000000" w:rsidP="00E60993">
      <w:pPr>
        <w:rPr>
          <w:szCs w:val="24"/>
        </w:rPr>
      </w:pPr>
      <w:r w:rsidRPr="00DC113E">
        <w:rPr>
          <w:szCs w:val="24"/>
          <w:vertAlign w:val="superscript"/>
        </w:rPr>
        <w:t>1</w:t>
      </w:r>
      <w:r w:rsidRPr="00DC113E">
        <w:rPr>
          <w:szCs w:val="24"/>
        </w:rPr>
        <w:t xml:space="preserve">Department of Pathology, Baoding NO.1 Central Hospital, Baoding 071000, Hebei, China </w:t>
      </w:r>
    </w:p>
    <w:p w14:paraId="0C51665B" w14:textId="77777777" w:rsidR="006C50C3" w:rsidRPr="00DC113E" w:rsidRDefault="00000000" w:rsidP="00E60993">
      <w:pPr>
        <w:rPr>
          <w:szCs w:val="24"/>
        </w:rPr>
      </w:pPr>
      <w:r w:rsidRPr="00DC113E">
        <w:rPr>
          <w:szCs w:val="24"/>
          <w:vertAlign w:val="superscript"/>
        </w:rPr>
        <w:t>2</w:t>
      </w:r>
      <w:r w:rsidRPr="00DC113E">
        <w:rPr>
          <w:szCs w:val="24"/>
        </w:rPr>
        <w:t>Key Laboratory of Molecular Pathology and Early Diagnosis of Tumor in Hebei Province</w:t>
      </w:r>
      <w:r w:rsidRPr="00DC113E">
        <w:rPr>
          <w:rFonts w:hint="eastAsia"/>
          <w:szCs w:val="24"/>
        </w:rPr>
        <w:t xml:space="preserve">, </w:t>
      </w:r>
      <w:r w:rsidRPr="00DC113E">
        <w:rPr>
          <w:szCs w:val="24"/>
        </w:rPr>
        <w:t xml:space="preserve">Baoding NO.1 Hospital, Baoding 071000, Hebei, China </w:t>
      </w:r>
    </w:p>
    <w:p w14:paraId="29D06583" w14:textId="77777777" w:rsidR="006C50C3" w:rsidRPr="00DC113E" w:rsidRDefault="006C50C3" w:rsidP="00E60993">
      <w:pPr>
        <w:rPr>
          <w:szCs w:val="24"/>
        </w:rPr>
      </w:pPr>
    </w:p>
    <w:p w14:paraId="31E5239A" w14:textId="77777777" w:rsidR="00DC113E" w:rsidRDefault="00DC113E" w:rsidP="00DC113E">
      <w:pPr>
        <w:widowControl/>
        <w:autoSpaceDE w:val="0"/>
        <w:autoSpaceDN w:val="0"/>
        <w:snapToGrid/>
        <w:rPr>
          <w:kern w:val="0"/>
          <w:sz w:val="20"/>
          <w:lang w:eastAsia="en-US"/>
        </w:rPr>
      </w:pPr>
      <w:bookmarkStart w:id="0" w:name="_Hlk185327433"/>
      <w:r>
        <w:rPr>
          <w:b/>
          <w:bCs/>
          <w:kern w:val="0"/>
          <w:sz w:val="20"/>
          <w:lang w:eastAsia="en-US"/>
        </w:rPr>
        <w:t xml:space="preserve">Copyright: </w:t>
      </w:r>
      <w:r>
        <w:rPr>
          <w:kern w:val="0"/>
          <w:sz w:val="20"/>
          <w:lang w:eastAsia="en-US"/>
        </w:rPr>
        <w:t>© 2026 Author(s). This is an open-access article distributed under the terms of the Creative Commons Attribution License (CC BY 4.0), permitting distribution and reproduction in any medium, provided the original work is cited.</w:t>
      </w:r>
    </w:p>
    <w:bookmarkEnd w:id="0"/>
    <w:p w14:paraId="3AD30BC3" w14:textId="77777777" w:rsidR="006C50C3" w:rsidRPr="00DC113E" w:rsidRDefault="006C50C3" w:rsidP="00E60993">
      <w:pPr>
        <w:rPr>
          <w:szCs w:val="24"/>
        </w:rPr>
      </w:pPr>
    </w:p>
    <w:p w14:paraId="4D770205" w14:textId="42FF5F3C" w:rsidR="006C50C3" w:rsidRPr="00DC113E" w:rsidRDefault="00000000" w:rsidP="00E60993">
      <w:pPr>
        <w:rPr>
          <w:snapToGrid w:val="0"/>
          <w:szCs w:val="24"/>
        </w:rPr>
      </w:pPr>
      <w:r w:rsidRPr="00E60993">
        <w:rPr>
          <w:b/>
          <w:bCs/>
          <w:snapToGrid w:val="0"/>
          <w:szCs w:val="24"/>
        </w:rPr>
        <w:t>Abstract:</w:t>
      </w:r>
      <w:r w:rsidRPr="00DC113E">
        <w:rPr>
          <w:snapToGrid w:val="0"/>
          <w:szCs w:val="24"/>
        </w:rPr>
        <w:t xml:space="preserve"> </w:t>
      </w:r>
      <w:r w:rsidRPr="00DC113E">
        <w:rPr>
          <w:i/>
          <w:iCs/>
          <w:snapToGrid w:val="0"/>
          <w:szCs w:val="24"/>
        </w:rPr>
        <w:t>Objective:</w:t>
      </w:r>
      <w:r w:rsidRPr="00DC113E">
        <w:rPr>
          <w:snapToGrid w:val="0"/>
          <w:szCs w:val="24"/>
        </w:rPr>
        <w:t xml:space="preserve"> This study aimed to investigate the underlying mechanisms of breast cancer metastasis patterns through a transcriptomic analysis of breast cancer with organ-specific metastasis. </w:t>
      </w:r>
      <w:r w:rsidRPr="00DC113E">
        <w:rPr>
          <w:i/>
          <w:iCs/>
          <w:snapToGrid w:val="0"/>
          <w:szCs w:val="24"/>
        </w:rPr>
        <w:t xml:space="preserve">Methods: </w:t>
      </w:r>
      <w:r w:rsidRPr="00DC113E">
        <w:rPr>
          <w:rFonts w:hint="eastAsia"/>
          <w:snapToGrid w:val="0"/>
          <w:szCs w:val="24"/>
        </w:rPr>
        <w:t>(</w:t>
      </w:r>
      <w:r w:rsidRPr="00DC113E">
        <w:rPr>
          <w:snapToGrid w:val="0"/>
          <w:szCs w:val="24"/>
        </w:rPr>
        <w:t>1</w:t>
      </w:r>
      <w:r w:rsidRPr="00DC113E">
        <w:rPr>
          <w:rFonts w:hint="eastAsia"/>
          <w:snapToGrid w:val="0"/>
          <w:szCs w:val="24"/>
        </w:rPr>
        <w:t>)</w:t>
      </w:r>
      <w:r w:rsidRPr="00DC113E">
        <w:rPr>
          <w:snapToGrid w:val="0"/>
          <w:szCs w:val="24"/>
        </w:rPr>
        <w:t xml:space="preserve"> Breast cancer cell lines capable of specific lung and bone metastasis were constructed using the PyMT-1 cell line. </w:t>
      </w:r>
      <w:r w:rsidRPr="00DC113E">
        <w:rPr>
          <w:rFonts w:hint="eastAsia"/>
          <w:snapToGrid w:val="0"/>
          <w:szCs w:val="24"/>
        </w:rPr>
        <w:t>(</w:t>
      </w:r>
      <w:r w:rsidRPr="00DC113E">
        <w:rPr>
          <w:snapToGrid w:val="0"/>
          <w:szCs w:val="24"/>
        </w:rPr>
        <w:t>2</w:t>
      </w:r>
      <w:r w:rsidRPr="00DC113E">
        <w:rPr>
          <w:rFonts w:hint="eastAsia"/>
          <w:snapToGrid w:val="0"/>
          <w:szCs w:val="24"/>
        </w:rPr>
        <w:t>)</w:t>
      </w:r>
      <w:r w:rsidRPr="00DC113E">
        <w:rPr>
          <w:snapToGrid w:val="0"/>
          <w:szCs w:val="24"/>
        </w:rPr>
        <w:t xml:space="preserve"> The IVIS imaging system was employed to screen cell lines with robust specific metastatic capabilities. </w:t>
      </w:r>
      <w:r w:rsidRPr="00DC113E">
        <w:rPr>
          <w:rFonts w:hint="eastAsia"/>
          <w:snapToGrid w:val="0"/>
          <w:szCs w:val="24"/>
        </w:rPr>
        <w:t>(</w:t>
      </w:r>
      <w:r w:rsidRPr="00DC113E">
        <w:rPr>
          <w:snapToGrid w:val="0"/>
          <w:szCs w:val="24"/>
        </w:rPr>
        <w:t>3</w:t>
      </w:r>
      <w:r w:rsidRPr="00DC113E">
        <w:rPr>
          <w:rFonts w:hint="eastAsia"/>
          <w:snapToGrid w:val="0"/>
          <w:szCs w:val="24"/>
        </w:rPr>
        <w:t>)</w:t>
      </w:r>
      <w:r w:rsidRPr="00DC113E">
        <w:rPr>
          <w:snapToGrid w:val="0"/>
          <w:szCs w:val="24"/>
        </w:rPr>
        <w:t xml:space="preserve"> Transcriptome sequencing was conducted on the resultant breast cancer cell lines exhibiting specific metastasis. </w:t>
      </w:r>
      <w:r w:rsidRPr="00DC113E">
        <w:rPr>
          <w:rFonts w:hint="eastAsia"/>
          <w:snapToGrid w:val="0"/>
          <w:szCs w:val="24"/>
        </w:rPr>
        <w:t>(</w:t>
      </w:r>
      <w:r w:rsidRPr="00DC113E">
        <w:rPr>
          <w:snapToGrid w:val="0"/>
          <w:szCs w:val="24"/>
        </w:rPr>
        <w:t>4</w:t>
      </w:r>
      <w:r w:rsidRPr="00DC113E">
        <w:rPr>
          <w:rFonts w:hint="eastAsia"/>
          <w:snapToGrid w:val="0"/>
          <w:szCs w:val="24"/>
        </w:rPr>
        <w:t>)</w:t>
      </w:r>
      <w:r w:rsidRPr="00DC113E">
        <w:rPr>
          <w:snapToGrid w:val="0"/>
          <w:szCs w:val="24"/>
        </w:rPr>
        <w:t xml:space="preserve"> The transcriptome sequencing data were analyzed to identify pathways influencing specific metastasis in breast cancer. </w:t>
      </w:r>
      <w:r w:rsidRPr="00DC113E">
        <w:rPr>
          <w:rFonts w:hint="eastAsia"/>
          <w:snapToGrid w:val="0"/>
          <w:szCs w:val="24"/>
        </w:rPr>
        <w:t>(</w:t>
      </w:r>
      <w:r w:rsidRPr="00DC113E">
        <w:rPr>
          <w:snapToGrid w:val="0"/>
          <w:szCs w:val="24"/>
        </w:rPr>
        <w:t>5</w:t>
      </w:r>
      <w:r w:rsidRPr="00DC113E">
        <w:rPr>
          <w:rFonts w:hint="eastAsia"/>
          <w:snapToGrid w:val="0"/>
          <w:szCs w:val="24"/>
        </w:rPr>
        <w:t>)</w:t>
      </w:r>
      <w:r w:rsidRPr="00DC113E">
        <w:rPr>
          <w:snapToGrid w:val="0"/>
          <w:szCs w:val="24"/>
        </w:rPr>
        <w:t xml:space="preserve"> Validation of pathway-related genes through PCR detection. </w:t>
      </w:r>
      <w:r w:rsidRPr="00DC113E">
        <w:rPr>
          <w:rFonts w:hint="eastAsia"/>
          <w:snapToGrid w:val="0"/>
          <w:szCs w:val="24"/>
        </w:rPr>
        <w:t>(</w:t>
      </w:r>
      <w:r w:rsidRPr="00DC113E">
        <w:rPr>
          <w:snapToGrid w:val="0"/>
          <w:szCs w:val="24"/>
        </w:rPr>
        <w:t>6</w:t>
      </w:r>
      <w:r w:rsidRPr="00DC113E">
        <w:rPr>
          <w:rFonts w:hint="eastAsia"/>
          <w:snapToGrid w:val="0"/>
          <w:szCs w:val="24"/>
        </w:rPr>
        <w:t>)</w:t>
      </w:r>
      <w:r w:rsidRPr="00DC113E">
        <w:rPr>
          <w:snapToGrid w:val="0"/>
          <w:szCs w:val="24"/>
        </w:rPr>
        <w:t xml:space="preserve"> Clinical validation of differentially expressed genes in paraffin </w:t>
      </w:r>
      <w:r w:rsidR="00DC113E">
        <w:rPr>
          <w:snapToGrid w:val="0"/>
          <w:szCs w:val="24"/>
        </w:rPr>
        <w:t>specimens</w:t>
      </w:r>
      <w:r w:rsidRPr="00DC113E">
        <w:rPr>
          <w:snapToGrid w:val="0"/>
          <w:szCs w:val="24"/>
        </w:rPr>
        <w:t xml:space="preserve">. </w:t>
      </w:r>
      <w:r w:rsidRPr="00DC113E">
        <w:rPr>
          <w:i/>
          <w:iCs/>
          <w:snapToGrid w:val="0"/>
          <w:szCs w:val="24"/>
        </w:rPr>
        <w:t xml:space="preserve">Results: </w:t>
      </w:r>
      <w:r w:rsidRPr="00DC113E">
        <w:rPr>
          <w:rFonts w:hint="eastAsia"/>
          <w:snapToGrid w:val="0"/>
          <w:szCs w:val="24"/>
        </w:rPr>
        <w:t>(</w:t>
      </w:r>
      <w:r w:rsidRPr="00DC113E">
        <w:rPr>
          <w:snapToGrid w:val="0"/>
          <w:szCs w:val="24"/>
        </w:rPr>
        <w:t>1</w:t>
      </w:r>
      <w:r w:rsidRPr="00DC113E">
        <w:rPr>
          <w:rFonts w:hint="eastAsia"/>
          <w:snapToGrid w:val="0"/>
          <w:szCs w:val="24"/>
        </w:rPr>
        <w:t>)</w:t>
      </w:r>
      <w:r w:rsidR="00DC113E">
        <w:rPr>
          <w:snapToGrid w:val="0"/>
          <w:szCs w:val="24"/>
        </w:rPr>
        <w:t xml:space="preserve"> </w:t>
      </w:r>
      <w:r w:rsidRPr="00DC113E">
        <w:rPr>
          <w:snapToGrid w:val="0"/>
          <w:szCs w:val="24"/>
        </w:rPr>
        <w:t xml:space="preserve">The IVIS system confirmed the specific metastatic abilities of PyMT-1, Py-L1, Py-L2, Py-B1 and Py-B2 tumors. PyMT-1, Py-L1 and Py-B1 were chosen for further experiments. </w:t>
      </w:r>
      <w:r w:rsidRPr="00DC113E">
        <w:rPr>
          <w:rFonts w:hint="eastAsia"/>
          <w:snapToGrid w:val="0"/>
          <w:szCs w:val="24"/>
        </w:rPr>
        <w:t>(</w:t>
      </w:r>
      <w:r w:rsidRPr="00DC113E">
        <w:rPr>
          <w:snapToGrid w:val="0"/>
          <w:szCs w:val="24"/>
        </w:rPr>
        <w:t>2</w:t>
      </w:r>
      <w:r w:rsidRPr="00DC113E">
        <w:rPr>
          <w:rFonts w:hint="eastAsia"/>
          <w:snapToGrid w:val="0"/>
          <w:szCs w:val="24"/>
        </w:rPr>
        <w:t>)</w:t>
      </w:r>
      <w:r w:rsidRPr="00DC113E">
        <w:rPr>
          <w:snapToGrid w:val="0"/>
          <w:szCs w:val="24"/>
        </w:rPr>
        <w:t xml:space="preserve"> Following transcriptome sequencing, differentially expressed genes were identified and enrichment analysis was conducted. Pairwise comparisons among the three cell lines revealed 917 differentially expressed genes between PyMT-1 and Py-L1 (including 641 upregulated and 276 downregulated genes); 4131 differentially expressed genes between PyMT-1 and Py-B1 (including 2158 upregulated and 1973 downregulated genes). </w:t>
      </w:r>
      <w:r w:rsidRPr="00DC113E">
        <w:rPr>
          <w:i/>
          <w:iCs/>
          <w:snapToGrid w:val="0"/>
          <w:szCs w:val="24"/>
        </w:rPr>
        <w:t xml:space="preserve">Conclusions: </w:t>
      </w:r>
      <w:r w:rsidRPr="00DC113E">
        <w:rPr>
          <w:snapToGrid w:val="0"/>
          <w:szCs w:val="24"/>
        </w:rPr>
        <w:t>This study analyzed the genetic background related to breast cancer-specific lung and bone metastasis at the transcriptome level. Obtained the corresponding differential expression profiles and potential functional pathways involved. Demonstrated the promoting roles of CCN2 and ITGB6 in breast cancer lung metastasis, and the promoting roles of CD44 and THBS1 in breast cancer bone metastasis.</w:t>
      </w:r>
    </w:p>
    <w:p w14:paraId="69954CE9" w14:textId="77777777" w:rsidR="006C50C3" w:rsidRPr="00DC113E" w:rsidRDefault="00000000" w:rsidP="00E60993">
      <w:pPr>
        <w:rPr>
          <w:snapToGrid w:val="0"/>
          <w:szCs w:val="24"/>
        </w:rPr>
      </w:pPr>
      <w:r w:rsidRPr="00E60993">
        <w:rPr>
          <w:rFonts w:eastAsia="FangSong_GB2312"/>
          <w:b/>
          <w:bCs/>
          <w:snapToGrid w:val="0"/>
          <w:szCs w:val="24"/>
        </w:rPr>
        <w:t>Keywords:</w:t>
      </w:r>
      <w:r w:rsidRPr="00DC113E">
        <w:rPr>
          <w:rFonts w:eastAsia="SimHei"/>
          <w:snapToGrid w:val="0"/>
          <w:szCs w:val="24"/>
        </w:rPr>
        <w:t xml:space="preserve"> </w:t>
      </w:r>
      <w:r w:rsidRPr="00DC113E">
        <w:rPr>
          <w:rFonts w:eastAsia="Helvetica"/>
          <w:szCs w:val="24"/>
          <w:shd w:val="clear" w:color="auto" w:fill="FFFFFF"/>
        </w:rPr>
        <w:t>Breast cancer</w:t>
      </w:r>
      <w:r w:rsidRPr="00DC113E">
        <w:rPr>
          <w:szCs w:val="24"/>
        </w:rPr>
        <w:t xml:space="preserve">; </w:t>
      </w:r>
      <w:r w:rsidRPr="00DC113E">
        <w:rPr>
          <w:rFonts w:eastAsia="Helvetica"/>
          <w:szCs w:val="24"/>
          <w:shd w:val="clear" w:color="auto" w:fill="FFFFFF"/>
        </w:rPr>
        <w:t>Specific metastasis</w:t>
      </w:r>
      <w:r w:rsidRPr="00DC113E">
        <w:rPr>
          <w:szCs w:val="24"/>
        </w:rPr>
        <w:t xml:space="preserve">; </w:t>
      </w:r>
      <w:r w:rsidRPr="00DC113E">
        <w:rPr>
          <w:rFonts w:eastAsia="Helvetica"/>
          <w:szCs w:val="24"/>
          <w:shd w:val="clear" w:color="auto" w:fill="FFFFFF"/>
        </w:rPr>
        <w:t>Transcriptome sequencing</w:t>
      </w:r>
    </w:p>
    <w:p w14:paraId="1FB47158" w14:textId="77777777" w:rsidR="006C50C3" w:rsidRDefault="006C50C3" w:rsidP="00DC113E">
      <w:pPr>
        <w:rPr>
          <w:szCs w:val="24"/>
        </w:rPr>
      </w:pPr>
    </w:p>
    <w:p w14:paraId="4BB56EFF" w14:textId="0217BF64" w:rsidR="00DC113E" w:rsidRPr="00E60993" w:rsidRDefault="00DC113E" w:rsidP="00DC113E">
      <w:pPr>
        <w:rPr>
          <w:b/>
          <w:bCs/>
          <w:szCs w:val="24"/>
        </w:rPr>
      </w:pPr>
      <w:r>
        <w:rPr>
          <w:b/>
          <w:bCs/>
          <w:szCs w:val="24"/>
        </w:rPr>
        <w:t>Online publication:</w:t>
      </w:r>
    </w:p>
    <w:p w14:paraId="0BDC8AA5" w14:textId="77777777" w:rsidR="00DC113E" w:rsidRPr="00DC113E" w:rsidRDefault="00DC113E" w:rsidP="00E60993">
      <w:pPr>
        <w:rPr>
          <w:szCs w:val="24"/>
        </w:rPr>
      </w:pPr>
    </w:p>
    <w:p w14:paraId="686D099E" w14:textId="77777777" w:rsidR="006C50C3" w:rsidRPr="00E60993" w:rsidRDefault="00000000" w:rsidP="00E60993">
      <w:pPr>
        <w:rPr>
          <w:b/>
          <w:bCs/>
          <w:szCs w:val="24"/>
        </w:rPr>
      </w:pPr>
      <w:r w:rsidRPr="00E60993">
        <w:rPr>
          <w:rFonts w:hint="eastAsia"/>
          <w:b/>
          <w:bCs/>
          <w:szCs w:val="24"/>
        </w:rPr>
        <w:t xml:space="preserve">1. </w:t>
      </w:r>
      <w:r w:rsidRPr="00E60993">
        <w:rPr>
          <w:b/>
          <w:bCs/>
          <w:szCs w:val="24"/>
        </w:rPr>
        <w:t>Introduction</w:t>
      </w:r>
    </w:p>
    <w:p w14:paraId="3A16EBA2" w14:textId="77777777" w:rsidR="006C50C3" w:rsidRPr="00DC113E" w:rsidRDefault="00000000" w:rsidP="00E60993">
      <w:pPr>
        <w:rPr>
          <w:szCs w:val="24"/>
        </w:rPr>
      </w:pPr>
      <w:r w:rsidRPr="00DC113E">
        <w:rPr>
          <w:szCs w:val="24"/>
        </w:rPr>
        <w:t xml:space="preserve">According to the epidemiological data statistics on various types of cancer released by the International Agency for Research on Cancer (IARC) under the World Health Organization in April 2024, breast cancer (with an incidence rate of 11.6%) is the most common cancer among women and the fourth leading cause of cancer-related deaths. The incidence of breast cancer among Chinese women is increasing year by year </w:t>
      </w:r>
      <w:r w:rsidRPr="00DC113E">
        <w:rPr>
          <w:szCs w:val="24"/>
          <w:vertAlign w:val="superscript"/>
        </w:rPr>
        <w:t>[1]</w:t>
      </w:r>
      <w:r w:rsidRPr="00DC113E">
        <w:rPr>
          <w:szCs w:val="24"/>
        </w:rPr>
        <w:t xml:space="preserve">. According to the latest statistics, the age-standardized incidence rate of breast cancer in China is 39.10 per 100, 000 </w:t>
      </w:r>
      <w:r w:rsidRPr="00DC113E">
        <w:rPr>
          <w:szCs w:val="24"/>
          <w:vertAlign w:val="superscript"/>
        </w:rPr>
        <w:t>[2]</w:t>
      </w:r>
      <w:r w:rsidRPr="00DC113E">
        <w:rPr>
          <w:szCs w:val="24"/>
        </w:rPr>
        <w:t xml:space="preserve">. Compared to the past, with improvements in early diagnosis and treatment of breast cancer, the disease-free survival period and overall survival period of patients have significantly increased. Although the mortality rate of cancer has decreased </w:t>
      </w:r>
      <w:r w:rsidRPr="00DC113E">
        <w:rPr>
          <w:szCs w:val="24"/>
          <w:vertAlign w:val="superscript"/>
        </w:rPr>
        <w:t>[3]</w:t>
      </w:r>
      <w:r w:rsidRPr="00DC113E">
        <w:rPr>
          <w:szCs w:val="24"/>
        </w:rPr>
        <w:t xml:space="preserve">, the incidence of breast cancer is on the rise, with distant metastasis being the primary cause of high mortality in breast cancer patients, accounting for over 90% of cancer deaths due to metastasis of breast cancer. </w:t>
      </w:r>
    </w:p>
    <w:p w14:paraId="1C5A7BA6" w14:textId="77777777" w:rsidR="006C50C3" w:rsidRPr="00DC113E" w:rsidRDefault="00000000" w:rsidP="00E60993">
      <w:pPr>
        <w:ind w:firstLine="420"/>
        <w:rPr>
          <w:szCs w:val="24"/>
        </w:rPr>
      </w:pPr>
      <w:r w:rsidRPr="00DC113E">
        <w:rPr>
          <w:szCs w:val="24"/>
        </w:rPr>
        <w:lastRenderedPageBreak/>
        <w:t xml:space="preserve">Due to the current poor efficacy of metastatic breast cancer treatment and the lack of early prediction methods to determine which organs are prone to metastasis, patients with metastatic breast cancer often have a poor prognosis. Therefore, exploring the mechanisms driving breast cancer-specific metastasis is of great significance for identifying new biomarkers and therapeutic targets. </w:t>
      </w:r>
    </w:p>
    <w:p w14:paraId="564641F5" w14:textId="77777777" w:rsidR="006C50C3" w:rsidRPr="00DC113E" w:rsidRDefault="006C50C3" w:rsidP="00E60993">
      <w:pPr>
        <w:rPr>
          <w:szCs w:val="24"/>
        </w:rPr>
      </w:pPr>
    </w:p>
    <w:p w14:paraId="605D25C0" w14:textId="77777777" w:rsidR="006C50C3" w:rsidRPr="00E60993" w:rsidRDefault="00000000" w:rsidP="00E60993">
      <w:pPr>
        <w:rPr>
          <w:b/>
          <w:bCs/>
          <w:szCs w:val="24"/>
        </w:rPr>
      </w:pPr>
      <w:r w:rsidRPr="00E60993">
        <w:rPr>
          <w:rFonts w:hint="eastAsia"/>
          <w:b/>
          <w:bCs/>
          <w:szCs w:val="24"/>
        </w:rPr>
        <w:t xml:space="preserve">2. </w:t>
      </w:r>
      <w:r w:rsidRPr="00E60993">
        <w:rPr>
          <w:b/>
          <w:bCs/>
          <w:szCs w:val="24"/>
        </w:rPr>
        <w:t xml:space="preserve">Materials and </w:t>
      </w:r>
      <w:r w:rsidRPr="00E60993">
        <w:rPr>
          <w:rFonts w:hint="eastAsia"/>
          <w:b/>
          <w:bCs/>
          <w:szCs w:val="24"/>
        </w:rPr>
        <w:t>m</w:t>
      </w:r>
      <w:r w:rsidRPr="00E60993">
        <w:rPr>
          <w:b/>
          <w:bCs/>
          <w:szCs w:val="24"/>
        </w:rPr>
        <w:t>ethods</w:t>
      </w:r>
    </w:p>
    <w:p w14:paraId="707E171B" w14:textId="77777777" w:rsidR="006C50C3" w:rsidRPr="00E60993" w:rsidRDefault="00000000" w:rsidP="00E60993">
      <w:pPr>
        <w:rPr>
          <w:b/>
          <w:bCs/>
          <w:szCs w:val="24"/>
        </w:rPr>
      </w:pPr>
      <w:r w:rsidRPr="00E60993">
        <w:rPr>
          <w:rFonts w:hint="eastAsia"/>
          <w:b/>
          <w:bCs/>
          <w:szCs w:val="24"/>
        </w:rPr>
        <w:t>2.</w:t>
      </w:r>
      <w:r w:rsidRPr="00E60993">
        <w:rPr>
          <w:b/>
          <w:bCs/>
          <w:szCs w:val="24"/>
        </w:rPr>
        <w:t xml:space="preserve">1. Experimental </w:t>
      </w:r>
      <w:r w:rsidRPr="00E60993">
        <w:rPr>
          <w:rFonts w:hint="eastAsia"/>
          <w:b/>
          <w:bCs/>
          <w:szCs w:val="24"/>
        </w:rPr>
        <w:t>m</w:t>
      </w:r>
      <w:r w:rsidRPr="00E60993">
        <w:rPr>
          <w:b/>
          <w:bCs/>
          <w:szCs w:val="24"/>
        </w:rPr>
        <w:t xml:space="preserve">aterials </w:t>
      </w:r>
    </w:p>
    <w:p w14:paraId="30495747" w14:textId="77777777" w:rsidR="006C50C3" w:rsidRPr="00DC113E" w:rsidRDefault="00000000" w:rsidP="00E60993">
      <w:pPr>
        <w:rPr>
          <w:szCs w:val="24"/>
        </w:rPr>
      </w:pPr>
      <w:r w:rsidRPr="00DC113E">
        <w:rPr>
          <w:szCs w:val="24"/>
        </w:rPr>
        <w:t xml:space="preserve">PPyMT-1, Py-L1, Py-L2, Py-B1, and Py-B2 cells were obtained from the School of Translational Medicine, Zhejiang University. Female C57BL/6 mice aged 8 weeks were purchased from Jiangsu </w:t>
      </w:r>
      <w:proofErr w:type="spellStart"/>
      <w:r w:rsidRPr="00DC113E">
        <w:rPr>
          <w:szCs w:val="24"/>
        </w:rPr>
        <w:t>Jicui</w:t>
      </w:r>
      <w:proofErr w:type="spellEnd"/>
      <w:r w:rsidRPr="00DC113E">
        <w:rPr>
          <w:szCs w:val="24"/>
        </w:rPr>
        <w:t xml:space="preserve"> Kang Biotechnology Co., Ltd., with an experimental animal production license number: SCXK (Su) 2018-0008. The experimental protocol was approved by the Experimental Animal Ethics Committee of the First Affiliated Hospital, Zhejiang University School of Medicine, with ethics approval number: (2024) Experimental Animal Fast Review No. (687). </w:t>
      </w:r>
    </w:p>
    <w:p w14:paraId="08A60B00" w14:textId="370FD4F4" w:rsidR="006C50C3" w:rsidRPr="00DC113E" w:rsidRDefault="00000000" w:rsidP="00E60993">
      <w:pPr>
        <w:ind w:firstLine="420"/>
        <w:rPr>
          <w:szCs w:val="24"/>
        </w:rPr>
      </w:pPr>
      <w:r w:rsidRPr="00DC113E">
        <w:rPr>
          <w:szCs w:val="24"/>
        </w:rPr>
        <w:t xml:space="preserve">With the approval of the ethics committee, clinical and pathological information from 38 patients with invasive ductal carcinoma (IDC) at Baoding First Central Hospital from 2016 to 2023 was collected, with ages ranging from 30 to 68 years and an average age of 51.6 years. Paraffin-embedded tissues included both adjacent and cancerous tissues: 25 cases without distant metastasis, 7 cases with lung metastasis, and 6 cases with bone metastasis. All sections were reviewed and verified by two senior pathologists according to the latest edition of the </w:t>
      </w:r>
      <w:r w:rsidR="00DC113E">
        <w:rPr>
          <w:szCs w:val="24"/>
        </w:rPr>
        <w:t>“</w:t>
      </w:r>
      <w:r w:rsidRPr="00DC113E">
        <w:rPr>
          <w:szCs w:val="24"/>
        </w:rPr>
        <w:t xml:space="preserve">WHO Classification of </w:t>
      </w:r>
      <w:proofErr w:type="spellStart"/>
      <w:r w:rsidRPr="00DC113E">
        <w:rPr>
          <w:szCs w:val="24"/>
        </w:rPr>
        <w:t>Tumours</w:t>
      </w:r>
      <w:proofErr w:type="spellEnd"/>
      <w:r w:rsidRPr="00DC113E">
        <w:rPr>
          <w:szCs w:val="24"/>
        </w:rPr>
        <w:t xml:space="preserve"> of the Breast.</w:t>
      </w:r>
      <w:r w:rsidR="00DC113E">
        <w:rPr>
          <w:szCs w:val="24"/>
        </w:rPr>
        <w:t>”</w:t>
      </w:r>
    </w:p>
    <w:p w14:paraId="6500A80F" w14:textId="77777777" w:rsidR="006C50C3" w:rsidRPr="00DC113E" w:rsidRDefault="006C50C3" w:rsidP="00E60993">
      <w:pPr>
        <w:rPr>
          <w:szCs w:val="24"/>
        </w:rPr>
      </w:pPr>
    </w:p>
    <w:p w14:paraId="653C35F7" w14:textId="50C8EA5A" w:rsidR="006C50C3" w:rsidRPr="00E60993" w:rsidRDefault="00000000" w:rsidP="00E60993">
      <w:pPr>
        <w:rPr>
          <w:b/>
          <w:bCs/>
          <w:szCs w:val="24"/>
        </w:rPr>
      </w:pPr>
      <w:r w:rsidRPr="00E60993">
        <w:rPr>
          <w:rFonts w:hint="eastAsia"/>
          <w:b/>
          <w:bCs/>
          <w:szCs w:val="24"/>
        </w:rPr>
        <w:t>2.</w:t>
      </w:r>
      <w:r w:rsidRPr="00E60993">
        <w:rPr>
          <w:b/>
          <w:bCs/>
          <w:szCs w:val="24"/>
        </w:rPr>
        <w:t xml:space="preserve">2. Acquisition of Py-L1, Py-L2, Py-B1, and Py-B2 </w:t>
      </w:r>
      <w:r w:rsidR="00DC113E" w:rsidRPr="00DC113E">
        <w:rPr>
          <w:b/>
          <w:bCs/>
          <w:szCs w:val="24"/>
        </w:rPr>
        <w:t xml:space="preserve">tumor cells </w:t>
      </w:r>
    </w:p>
    <w:p w14:paraId="51EF41DC" w14:textId="77777777" w:rsidR="006C50C3" w:rsidRPr="00DC113E" w:rsidRDefault="00000000" w:rsidP="00E60993">
      <w:pPr>
        <w:rPr>
          <w:szCs w:val="24"/>
        </w:rPr>
      </w:pPr>
      <w:r w:rsidRPr="00DC113E">
        <w:rPr>
          <w:szCs w:val="24"/>
        </w:rPr>
        <w:t>In vitro cultured and amplified PyMT-1 tumor cells were inoculated into immunodeficient mice (nude mice): cell lines capable of lung metastasis (Py-L1, Py-L2) were screened through tail vein injection, and cell lines capable of bone metastasis (Py-B1, Py-B2) were screened through left ventricular injection. The tumor-specific metastatic ability of Py-L1, Py-L2, Py-B1, and Py-B2 cells was verified using the IVIS system. Groups with better tumor formation were selected for subsequent experiments.</w:t>
      </w:r>
    </w:p>
    <w:p w14:paraId="62BE7BCC" w14:textId="77777777" w:rsidR="006C50C3" w:rsidRPr="00DC113E" w:rsidRDefault="006C50C3" w:rsidP="00E60993">
      <w:pPr>
        <w:rPr>
          <w:szCs w:val="24"/>
        </w:rPr>
      </w:pPr>
    </w:p>
    <w:p w14:paraId="40A02A02" w14:textId="77777777" w:rsidR="006C50C3" w:rsidRPr="00E60993" w:rsidRDefault="00000000" w:rsidP="00E60993">
      <w:pPr>
        <w:rPr>
          <w:b/>
          <w:bCs/>
          <w:szCs w:val="24"/>
        </w:rPr>
      </w:pPr>
      <w:r w:rsidRPr="00E60993">
        <w:rPr>
          <w:rFonts w:hint="eastAsia"/>
          <w:b/>
          <w:bCs/>
          <w:szCs w:val="24"/>
        </w:rPr>
        <w:t>2.</w:t>
      </w:r>
      <w:r w:rsidRPr="00E60993">
        <w:rPr>
          <w:b/>
          <w:bCs/>
          <w:szCs w:val="24"/>
        </w:rPr>
        <w:t xml:space="preserve">3. Transcriptome </w:t>
      </w:r>
      <w:r w:rsidRPr="00E60993">
        <w:rPr>
          <w:rFonts w:hint="eastAsia"/>
          <w:b/>
          <w:bCs/>
          <w:szCs w:val="24"/>
        </w:rPr>
        <w:t>s</w:t>
      </w:r>
      <w:r w:rsidRPr="00E60993">
        <w:rPr>
          <w:b/>
          <w:bCs/>
          <w:szCs w:val="24"/>
        </w:rPr>
        <w:t xml:space="preserve">equencing of Py-L1, Py-L2, Py-B1, and Py-B2 </w:t>
      </w:r>
      <w:r w:rsidRPr="00E60993">
        <w:rPr>
          <w:rFonts w:hint="eastAsia"/>
          <w:b/>
          <w:bCs/>
          <w:szCs w:val="24"/>
        </w:rPr>
        <w:t>t</w:t>
      </w:r>
      <w:r w:rsidRPr="00E60993">
        <w:rPr>
          <w:b/>
          <w:bCs/>
          <w:szCs w:val="24"/>
        </w:rPr>
        <w:t xml:space="preserve">umor </w:t>
      </w:r>
      <w:r w:rsidRPr="00E60993">
        <w:rPr>
          <w:rFonts w:hint="eastAsia"/>
          <w:b/>
          <w:bCs/>
          <w:szCs w:val="24"/>
        </w:rPr>
        <w:t>c</w:t>
      </w:r>
      <w:r w:rsidRPr="00E60993">
        <w:rPr>
          <w:b/>
          <w:bCs/>
          <w:szCs w:val="24"/>
        </w:rPr>
        <w:t xml:space="preserve">ells </w:t>
      </w:r>
    </w:p>
    <w:p w14:paraId="5B7873F4" w14:textId="77777777" w:rsidR="006C50C3" w:rsidRPr="00DC113E" w:rsidRDefault="00000000" w:rsidP="00E60993">
      <w:pPr>
        <w:rPr>
          <w:szCs w:val="24"/>
        </w:rPr>
      </w:pPr>
      <w:r w:rsidRPr="00DC113E">
        <w:rPr>
          <w:szCs w:val="24"/>
        </w:rPr>
        <w:t>Total RNA was extracted from Py-L1, Py-L2, Py-B1, and Py-B2 tumor cells for sequencing and information analysis. The acquired whole transcriptome expression files required processing steps such as raw data filtering, sequencing error rate checking, and GC content distribution checking, with the final data summarized.</w:t>
      </w:r>
    </w:p>
    <w:p w14:paraId="370540B1" w14:textId="77777777" w:rsidR="006C50C3" w:rsidRPr="00DC113E" w:rsidRDefault="006C50C3" w:rsidP="00E60993">
      <w:pPr>
        <w:rPr>
          <w:szCs w:val="24"/>
        </w:rPr>
      </w:pPr>
    </w:p>
    <w:p w14:paraId="5F8F931A" w14:textId="77777777" w:rsidR="006C50C3" w:rsidRPr="00E60993" w:rsidRDefault="00000000" w:rsidP="00E60993">
      <w:pPr>
        <w:rPr>
          <w:b/>
          <w:bCs/>
          <w:szCs w:val="24"/>
        </w:rPr>
      </w:pPr>
      <w:r w:rsidRPr="00E60993">
        <w:rPr>
          <w:rFonts w:hint="eastAsia"/>
          <w:b/>
          <w:bCs/>
          <w:szCs w:val="24"/>
        </w:rPr>
        <w:t>2.</w:t>
      </w:r>
      <w:r w:rsidRPr="00E60993">
        <w:rPr>
          <w:b/>
          <w:bCs/>
          <w:szCs w:val="24"/>
        </w:rPr>
        <w:t xml:space="preserve">4. Transcriptome </w:t>
      </w:r>
      <w:r w:rsidRPr="00E60993">
        <w:rPr>
          <w:rFonts w:hint="eastAsia"/>
          <w:b/>
          <w:bCs/>
          <w:szCs w:val="24"/>
        </w:rPr>
        <w:t>d</w:t>
      </w:r>
      <w:r w:rsidRPr="00E60993">
        <w:rPr>
          <w:b/>
          <w:bCs/>
          <w:szCs w:val="24"/>
        </w:rPr>
        <w:t xml:space="preserve">ata </w:t>
      </w:r>
      <w:r w:rsidRPr="00E60993">
        <w:rPr>
          <w:rFonts w:hint="eastAsia"/>
          <w:b/>
          <w:bCs/>
          <w:szCs w:val="24"/>
        </w:rPr>
        <w:t>a</w:t>
      </w:r>
      <w:r w:rsidRPr="00E60993">
        <w:rPr>
          <w:b/>
          <w:bCs/>
          <w:szCs w:val="24"/>
        </w:rPr>
        <w:t xml:space="preserve">nalysis </w:t>
      </w:r>
    </w:p>
    <w:p w14:paraId="220B2D41" w14:textId="77777777" w:rsidR="006C50C3" w:rsidRPr="00E60993" w:rsidRDefault="00000000" w:rsidP="00E60993">
      <w:pPr>
        <w:rPr>
          <w:b/>
          <w:bCs/>
          <w:szCs w:val="24"/>
        </w:rPr>
      </w:pPr>
      <w:r w:rsidRPr="00E60993">
        <w:rPr>
          <w:rFonts w:hint="eastAsia"/>
          <w:b/>
          <w:bCs/>
          <w:szCs w:val="24"/>
        </w:rPr>
        <w:t>2.</w:t>
      </w:r>
      <w:r w:rsidRPr="00E60993">
        <w:rPr>
          <w:b/>
          <w:bCs/>
          <w:szCs w:val="24"/>
        </w:rPr>
        <w:t xml:space="preserve">4.1. Differential </w:t>
      </w:r>
      <w:r w:rsidRPr="00E60993">
        <w:rPr>
          <w:rFonts w:hint="eastAsia"/>
          <w:b/>
          <w:bCs/>
          <w:szCs w:val="24"/>
        </w:rPr>
        <w:t>g</w:t>
      </w:r>
      <w:r w:rsidRPr="00E60993">
        <w:rPr>
          <w:b/>
          <w:bCs/>
          <w:szCs w:val="24"/>
        </w:rPr>
        <w:t xml:space="preserve">ene </w:t>
      </w:r>
      <w:r w:rsidRPr="00E60993">
        <w:rPr>
          <w:rFonts w:hint="eastAsia"/>
          <w:b/>
          <w:bCs/>
          <w:szCs w:val="24"/>
        </w:rPr>
        <w:t>s</w:t>
      </w:r>
      <w:r w:rsidRPr="00E60993">
        <w:rPr>
          <w:b/>
          <w:bCs/>
          <w:szCs w:val="24"/>
        </w:rPr>
        <w:t xml:space="preserve">creening </w:t>
      </w:r>
    </w:p>
    <w:p w14:paraId="21D3E42B" w14:textId="682305B2" w:rsidR="006C50C3" w:rsidRPr="00DC113E" w:rsidRDefault="00000000" w:rsidP="00E60993">
      <w:pPr>
        <w:rPr>
          <w:szCs w:val="24"/>
        </w:rPr>
      </w:pPr>
      <w:r w:rsidRPr="00DC113E">
        <w:rPr>
          <w:szCs w:val="24"/>
        </w:rPr>
        <w:t xml:space="preserve">First, genes were filtered based on the mean </w:t>
      </w:r>
      <w:r w:rsidR="00DC113E">
        <w:rPr>
          <w:szCs w:val="24"/>
        </w:rPr>
        <w:t>count</w:t>
      </w:r>
      <w:r w:rsidR="00DC113E" w:rsidRPr="00DC113E">
        <w:rPr>
          <w:szCs w:val="24"/>
        </w:rPr>
        <w:t xml:space="preserve"> </w:t>
      </w:r>
      <w:r w:rsidRPr="00DC113E">
        <w:rPr>
          <w:szCs w:val="24"/>
        </w:rPr>
        <w:t xml:space="preserve">values, retaining only those with mean counts &gt; 2 in each group for subsequent analysis. The R package DESeq2 was used to normalize the </w:t>
      </w:r>
      <w:r w:rsidR="00DC113E">
        <w:rPr>
          <w:szCs w:val="24"/>
        </w:rPr>
        <w:t>count</w:t>
      </w:r>
      <w:r w:rsidR="00DC113E" w:rsidRPr="00DC113E">
        <w:rPr>
          <w:szCs w:val="24"/>
        </w:rPr>
        <w:t xml:space="preserve"> </w:t>
      </w:r>
      <w:r w:rsidRPr="00DC113E">
        <w:rPr>
          <w:szCs w:val="24"/>
        </w:rPr>
        <w:t>data across all samples and to calculate the fold changes. Differential expression between the two groups was then statistically tested. Finally, protein-coding genes were selected as differentially expressed based on the fold change and significance test results. In this study, the screening criteria were defined as adjusted </w:t>
      </w:r>
      <w:r w:rsidR="00DC113E">
        <w:rPr>
          <w:i/>
          <w:iCs/>
          <w:szCs w:val="24"/>
        </w:rPr>
        <w:t>P-</w:t>
      </w:r>
      <w:r w:rsidR="00DC113E" w:rsidRPr="00E60993">
        <w:rPr>
          <w:szCs w:val="24"/>
        </w:rPr>
        <w:t>value</w:t>
      </w:r>
      <w:r w:rsidRPr="00DC113E">
        <w:rPr>
          <w:szCs w:val="24"/>
        </w:rPr>
        <w:t xml:space="preserve"> (q-value) &lt; 0.05 and |log</w:t>
      </w:r>
      <w:proofErr w:type="gramStart"/>
      <w:r w:rsidRPr="00DC113E">
        <w:rPr>
          <w:szCs w:val="24"/>
        </w:rPr>
        <w:t>₂(</w:t>
      </w:r>
      <w:proofErr w:type="gramEnd"/>
      <w:r w:rsidRPr="00DC113E">
        <w:rPr>
          <w:szCs w:val="24"/>
        </w:rPr>
        <w:t xml:space="preserve">fold </w:t>
      </w:r>
      <w:proofErr w:type="gramStart"/>
      <w:r w:rsidRPr="00DC113E">
        <w:rPr>
          <w:szCs w:val="24"/>
        </w:rPr>
        <w:t>change)|</w:t>
      </w:r>
      <w:proofErr w:type="gramEnd"/>
      <w:r w:rsidRPr="00DC113E">
        <w:rPr>
          <w:szCs w:val="24"/>
        </w:rPr>
        <w:t xml:space="preserve"> &gt; 0.5. The differentially expressed genes were visualized using volcano plots and heatmaps. </w:t>
      </w:r>
    </w:p>
    <w:p w14:paraId="58E4F905" w14:textId="77777777" w:rsidR="006C50C3" w:rsidRPr="00DC113E" w:rsidRDefault="006C50C3" w:rsidP="00E60993">
      <w:pPr>
        <w:rPr>
          <w:szCs w:val="24"/>
        </w:rPr>
      </w:pPr>
    </w:p>
    <w:p w14:paraId="633225E2" w14:textId="77777777" w:rsidR="006C50C3" w:rsidRPr="00E60993" w:rsidRDefault="00000000" w:rsidP="00E60993">
      <w:pPr>
        <w:rPr>
          <w:b/>
          <w:bCs/>
          <w:szCs w:val="24"/>
        </w:rPr>
      </w:pPr>
      <w:r w:rsidRPr="00E60993">
        <w:rPr>
          <w:rFonts w:hint="eastAsia"/>
          <w:b/>
          <w:bCs/>
          <w:szCs w:val="24"/>
        </w:rPr>
        <w:t>2.</w:t>
      </w:r>
      <w:r w:rsidRPr="00E60993">
        <w:rPr>
          <w:b/>
          <w:bCs/>
          <w:szCs w:val="24"/>
        </w:rPr>
        <w:t xml:space="preserve">4.2. Functional </w:t>
      </w:r>
      <w:r w:rsidRPr="00E60993">
        <w:rPr>
          <w:rFonts w:hint="eastAsia"/>
          <w:b/>
          <w:bCs/>
          <w:szCs w:val="24"/>
        </w:rPr>
        <w:t>a</w:t>
      </w:r>
      <w:r w:rsidRPr="00E60993">
        <w:rPr>
          <w:b/>
          <w:bCs/>
          <w:szCs w:val="24"/>
        </w:rPr>
        <w:t xml:space="preserve">nalysis of </w:t>
      </w:r>
      <w:r w:rsidRPr="00E60993">
        <w:rPr>
          <w:rFonts w:hint="eastAsia"/>
          <w:b/>
          <w:bCs/>
          <w:szCs w:val="24"/>
        </w:rPr>
        <w:t>d</w:t>
      </w:r>
      <w:r w:rsidRPr="00E60993">
        <w:rPr>
          <w:b/>
          <w:bCs/>
          <w:szCs w:val="24"/>
        </w:rPr>
        <w:t xml:space="preserve">ifferential </w:t>
      </w:r>
      <w:r w:rsidRPr="00E60993">
        <w:rPr>
          <w:rFonts w:hint="eastAsia"/>
          <w:b/>
          <w:bCs/>
          <w:szCs w:val="24"/>
        </w:rPr>
        <w:t>g</w:t>
      </w:r>
      <w:r w:rsidRPr="00E60993">
        <w:rPr>
          <w:b/>
          <w:bCs/>
          <w:szCs w:val="24"/>
        </w:rPr>
        <w:t xml:space="preserve">enes </w:t>
      </w:r>
    </w:p>
    <w:p w14:paraId="6D9050E2" w14:textId="229E7387" w:rsidR="006C50C3" w:rsidRPr="00DC113E" w:rsidRDefault="00000000" w:rsidP="00E60993">
      <w:pPr>
        <w:rPr>
          <w:szCs w:val="24"/>
        </w:rPr>
      </w:pPr>
      <w:proofErr w:type="spellStart"/>
      <w:r w:rsidRPr="00DC113E">
        <w:rPr>
          <w:szCs w:val="24"/>
        </w:rPr>
        <w:t>ClusterProfiler</w:t>
      </w:r>
      <w:proofErr w:type="spellEnd"/>
      <w:r w:rsidRPr="00DC113E">
        <w:rPr>
          <w:szCs w:val="24"/>
        </w:rPr>
        <w:t xml:space="preserve"> software was used to perform GO enrichment analysis and functional annotation of differential genes to investigate the biological roles of significantly differentially expressed genes in the study. KEGG pathway analysis was also conducted to identify the most important pathways </w:t>
      </w:r>
      <w:r w:rsidRPr="00DC113E">
        <w:rPr>
          <w:szCs w:val="24"/>
        </w:rPr>
        <w:lastRenderedPageBreak/>
        <w:t>with significant changes in the study samples. The differential gene set consisted of genes that were significantly differentially expressed and annotated to the GO or KEGG databases, while the background gene set consisted of all genes subjected to significant differential analysis. To assess pathway differences among different subsets, Gene Set Enrichment Analysis (GSEA) was also performed.</w:t>
      </w:r>
    </w:p>
    <w:p w14:paraId="547BE3BD" w14:textId="77777777" w:rsidR="006C50C3" w:rsidRPr="00DC113E" w:rsidRDefault="006C50C3" w:rsidP="00E60993">
      <w:pPr>
        <w:rPr>
          <w:szCs w:val="24"/>
        </w:rPr>
      </w:pPr>
    </w:p>
    <w:p w14:paraId="2FDCAA65" w14:textId="77777777" w:rsidR="006C50C3" w:rsidRPr="00E60993" w:rsidRDefault="00000000" w:rsidP="00E60993">
      <w:pPr>
        <w:rPr>
          <w:b/>
          <w:bCs/>
          <w:szCs w:val="24"/>
        </w:rPr>
      </w:pPr>
      <w:r w:rsidRPr="00E60993">
        <w:rPr>
          <w:rFonts w:hint="eastAsia"/>
          <w:b/>
          <w:bCs/>
          <w:szCs w:val="24"/>
        </w:rPr>
        <w:t>2.</w:t>
      </w:r>
      <w:r w:rsidRPr="00E60993">
        <w:rPr>
          <w:b/>
          <w:bCs/>
          <w:szCs w:val="24"/>
        </w:rPr>
        <w:t xml:space="preserve">5. Validation of </w:t>
      </w:r>
      <w:r w:rsidRPr="00E60993">
        <w:rPr>
          <w:rFonts w:hint="eastAsia"/>
          <w:b/>
          <w:bCs/>
          <w:szCs w:val="24"/>
        </w:rPr>
        <w:t>d</w:t>
      </w:r>
      <w:r w:rsidRPr="00E60993">
        <w:rPr>
          <w:b/>
          <w:bCs/>
          <w:szCs w:val="24"/>
        </w:rPr>
        <w:t xml:space="preserve">ifferentially </w:t>
      </w:r>
      <w:r w:rsidRPr="00E60993">
        <w:rPr>
          <w:rFonts w:hint="eastAsia"/>
          <w:b/>
          <w:bCs/>
          <w:szCs w:val="24"/>
        </w:rPr>
        <w:t>e</w:t>
      </w:r>
      <w:r w:rsidRPr="00E60993">
        <w:rPr>
          <w:b/>
          <w:bCs/>
          <w:szCs w:val="24"/>
        </w:rPr>
        <w:t xml:space="preserve">xpressed </w:t>
      </w:r>
      <w:r w:rsidRPr="00E60993">
        <w:rPr>
          <w:rFonts w:hint="eastAsia"/>
          <w:b/>
          <w:bCs/>
          <w:szCs w:val="24"/>
        </w:rPr>
        <w:t>g</w:t>
      </w:r>
      <w:r w:rsidRPr="00E60993">
        <w:rPr>
          <w:b/>
          <w:bCs/>
          <w:szCs w:val="24"/>
        </w:rPr>
        <w:t xml:space="preserve">enes </w:t>
      </w:r>
    </w:p>
    <w:p w14:paraId="3F81AB46" w14:textId="77777777" w:rsidR="006C50C3" w:rsidRPr="00DC113E" w:rsidRDefault="00000000" w:rsidP="00E60993">
      <w:pPr>
        <w:rPr>
          <w:szCs w:val="24"/>
        </w:rPr>
      </w:pPr>
      <w:r w:rsidRPr="00DC113E">
        <w:rPr>
          <w:szCs w:val="24"/>
        </w:rPr>
        <w:t>The qPCR method was used to validate the expression of differential genes in cell wax blocks from 38 patients at Baoding First Central Hospital.</w:t>
      </w:r>
    </w:p>
    <w:p w14:paraId="6C947A50" w14:textId="77777777" w:rsidR="006C50C3" w:rsidRPr="00DC113E" w:rsidRDefault="006C50C3" w:rsidP="00E60993">
      <w:pPr>
        <w:rPr>
          <w:szCs w:val="24"/>
        </w:rPr>
      </w:pPr>
    </w:p>
    <w:p w14:paraId="17253FC2" w14:textId="77777777" w:rsidR="006C50C3" w:rsidRPr="00E60993" w:rsidRDefault="00000000" w:rsidP="00E60993">
      <w:pPr>
        <w:rPr>
          <w:b/>
          <w:bCs/>
          <w:szCs w:val="24"/>
        </w:rPr>
      </w:pPr>
      <w:r w:rsidRPr="00E60993">
        <w:rPr>
          <w:rFonts w:hint="eastAsia"/>
          <w:b/>
          <w:bCs/>
          <w:szCs w:val="24"/>
        </w:rPr>
        <w:t xml:space="preserve">3. </w:t>
      </w:r>
      <w:r w:rsidRPr="00E60993">
        <w:rPr>
          <w:b/>
          <w:bCs/>
          <w:szCs w:val="24"/>
        </w:rPr>
        <w:t>Results</w:t>
      </w:r>
    </w:p>
    <w:p w14:paraId="0B0BB026" w14:textId="77777777" w:rsidR="006C50C3" w:rsidRPr="00E60993" w:rsidRDefault="00000000" w:rsidP="00E60993">
      <w:pPr>
        <w:rPr>
          <w:b/>
          <w:bCs/>
          <w:szCs w:val="24"/>
        </w:rPr>
      </w:pPr>
      <w:r w:rsidRPr="00E60993">
        <w:rPr>
          <w:rFonts w:hint="eastAsia"/>
          <w:b/>
          <w:bCs/>
          <w:szCs w:val="24"/>
        </w:rPr>
        <w:t>3.</w:t>
      </w:r>
      <w:r w:rsidRPr="00E60993">
        <w:rPr>
          <w:b/>
          <w:bCs/>
          <w:szCs w:val="24"/>
        </w:rPr>
        <w:t xml:space="preserve">1. Validation of </w:t>
      </w:r>
      <w:r w:rsidRPr="00E60993">
        <w:rPr>
          <w:rFonts w:hint="eastAsia"/>
          <w:b/>
          <w:bCs/>
          <w:szCs w:val="24"/>
        </w:rPr>
        <w:t>c</w:t>
      </w:r>
      <w:r w:rsidRPr="00E60993">
        <w:rPr>
          <w:b/>
          <w:bCs/>
          <w:szCs w:val="24"/>
        </w:rPr>
        <w:t xml:space="preserve">ell </w:t>
      </w:r>
      <w:r w:rsidRPr="00E60993">
        <w:rPr>
          <w:rFonts w:hint="eastAsia"/>
          <w:b/>
          <w:bCs/>
          <w:szCs w:val="24"/>
        </w:rPr>
        <w:t>m</w:t>
      </w:r>
      <w:r w:rsidRPr="00E60993">
        <w:rPr>
          <w:b/>
          <w:bCs/>
          <w:szCs w:val="24"/>
        </w:rPr>
        <w:t xml:space="preserve">etastatic </w:t>
      </w:r>
      <w:r w:rsidRPr="00E60993">
        <w:rPr>
          <w:rFonts w:hint="eastAsia"/>
          <w:b/>
          <w:bCs/>
          <w:szCs w:val="24"/>
        </w:rPr>
        <w:t>a</w:t>
      </w:r>
      <w:r w:rsidRPr="00E60993">
        <w:rPr>
          <w:b/>
          <w:bCs/>
          <w:szCs w:val="24"/>
        </w:rPr>
        <w:t>bility</w:t>
      </w:r>
    </w:p>
    <w:p w14:paraId="5A715DE5" w14:textId="77777777" w:rsidR="006C50C3" w:rsidRPr="00DC113E" w:rsidRDefault="00000000" w:rsidP="00E60993">
      <w:pPr>
        <w:rPr>
          <w:szCs w:val="24"/>
        </w:rPr>
      </w:pPr>
      <w:r w:rsidRPr="00DC113E">
        <w:rPr>
          <w:szCs w:val="24"/>
        </w:rPr>
        <w:t>PyMT-1, Py-L1, Py-L2, Py-B1, and Py-B2 cell lines were injected into mice via tail vein injection, and the growth of cancer foci in mice was observed at 7, 14, 21, and 28 days. The results showed that the fluorescence signal intensity and range at the tumor formation sites in mice in the Py-L1 and Py-B1 groups were significantly higher than those in the Py-L2 and Py-B2 groups (</w:t>
      </w:r>
      <w:r w:rsidRPr="00E60993">
        <w:rPr>
          <w:b/>
          <w:bCs/>
          <w:szCs w:val="24"/>
        </w:rPr>
        <w:t>Fig</w:t>
      </w:r>
      <w:r w:rsidRPr="00E60993">
        <w:rPr>
          <w:rFonts w:hint="eastAsia"/>
          <w:b/>
          <w:bCs/>
          <w:szCs w:val="24"/>
        </w:rPr>
        <w:t xml:space="preserve">ure </w:t>
      </w:r>
      <w:r w:rsidRPr="00E60993">
        <w:rPr>
          <w:b/>
          <w:bCs/>
          <w:szCs w:val="24"/>
        </w:rPr>
        <w:t>1</w:t>
      </w:r>
      <w:r w:rsidRPr="00DC113E">
        <w:rPr>
          <w:szCs w:val="24"/>
        </w:rPr>
        <w:t>). Therefore, Py-L1 and Py-B1 were used as breast cancer-specific metastatic cell lines for subsequent transcriptomic analysis in subsequent experiments.</w:t>
      </w:r>
    </w:p>
    <w:p w14:paraId="4A2C0DF5" w14:textId="77777777" w:rsidR="006C50C3" w:rsidRPr="00DC113E" w:rsidRDefault="00000000" w:rsidP="00E60993">
      <w:pPr>
        <w:rPr>
          <w:szCs w:val="24"/>
        </w:rPr>
      </w:pPr>
      <w:r w:rsidRPr="00E60993">
        <w:rPr>
          <w:noProof/>
          <w:sz w:val="20"/>
        </w:rPr>
        <mc:AlternateContent>
          <mc:Choice Requires="wps">
            <w:drawing>
              <wp:anchor distT="0" distB="0" distL="114300" distR="114300" simplePos="0" relativeHeight="251605504" behindDoc="0" locked="0" layoutInCell="1" allowOverlap="1" wp14:anchorId="6B367773" wp14:editId="23916E5D">
                <wp:simplePos x="0" y="0"/>
                <wp:positionH relativeFrom="column">
                  <wp:posOffset>2557145</wp:posOffset>
                </wp:positionH>
                <wp:positionV relativeFrom="paragraph">
                  <wp:posOffset>79375</wp:posOffset>
                </wp:positionV>
                <wp:extent cx="967740" cy="520065"/>
                <wp:effectExtent l="0" t="0" r="0" b="0"/>
                <wp:wrapNone/>
                <wp:docPr id="11" name="文本框 426"/>
                <wp:cNvGraphicFramePr/>
                <a:graphic xmlns:a="http://schemas.openxmlformats.org/drawingml/2006/main">
                  <a:graphicData uri="http://schemas.microsoft.com/office/word/2010/wordprocessingShape">
                    <wps:wsp>
                      <wps:cNvSpPr txBox="1"/>
                      <wps:spPr>
                        <a:xfrm>
                          <a:off x="0" y="0"/>
                          <a:ext cx="967740" cy="520065"/>
                        </a:xfrm>
                        <a:prstGeom prst="rect">
                          <a:avLst/>
                        </a:prstGeom>
                        <a:noFill/>
                        <a:ln>
                          <a:noFill/>
                        </a:ln>
                      </wps:spPr>
                      <wps:txbx>
                        <w:txbxContent>
                          <w:p w14:paraId="4EAE7249" w14:textId="77777777" w:rsidR="006C50C3" w:rsidRDefault="00000000">
                            <w:pPr>
                              <w:rPr>
                                <w:sz w:val="52"/>
                                <w:szCs w:val="52"/>
                              </w:rPr>
                            </w:pPr>
                            <w:r>
                              <w:rPr>
                                <w:rFonts w:hint="eastAsia"/>
                                <w:sz w:val="52"/>
                                <w:szCs w:val="52"/>
                              </w:rPr>
                              <w:t>B</w:t>
                            </w:r>
                          </w:p>
                        </w:txbxContent>
                      </wps:txbx>
                      <wps:bodyPr wrap="square" upright="1"/>
                    </wps:wsp>
                  </a:graphicData>
                </a:graphic>
              </wp:anchor>
            </w:drawing>
          </mc:Choice>
          <mc:Fallback>
            <w:pict>
              <v:shapetype w14:anchorId="6B367773" id="_x0000_t202" coordsize="21600,21600" o:spt="202" path="m,l,21600r21600,l21600,xe">
                <v:stroke joinstyle="miter"/>
                <v:path gradientshapeok="t" o:connecttype="rect"/>
              </v:shapetype>
              <v:shape id="文本框 426" o:spid="_x0000_s1026" type="#_x0000_t202" style="position:absolute;left:0;text-align:left;margin-left:201.35pt;margin-top:6.25pt;width:76.2pt;height:40.95pt;z-index:251605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JTVeQEAAOcCAAAOAAAAZHJzL2Uyb0RvYy54bWysUs1uGyEQvkfKOyDuMXbU/HTldaQqSi5R&#10;WynJA2AWvEgLQ2ewd/32HYhjJ+2t6oWFGfjm+9nl3RQGsbNIHmIrF7O5FDYa6HzctPL15eHiVgrK&#10;OnZ6gGhbubck71bnZ8sxNfYSehg6i4JBIjVjamWfc2qUItPboGkGyUZuOsCgMx9xozrUI6OHQV3O&#10;59dqBOwSgrFEXL1/a8pVxXfOmvzDObJZDK1kbrmuWNd1WdVqqZsN6tR7c6Ch/4FF0D7y0CPUvc5a&#10;bNH/BRW8QSBweWYgKHDOG1s1sJrF/A81z71OtmphcygdbaL/B2u+757TTxR5+gYTB1gMGRM1xMWi&#10;Z3IYypeZCu6zhfujbXbKwnDx6/XNzRfuGG5dlVCuCoo6PU5I+dFCEGXTSuRUqll690T57er7lTIr&#10;woMfhprMED8VGLNU1Ilh2eVpPR1or6Hbs5qRA20l/dpqtFJsE/pNz4OruvqY3awMD8mXuD6e64jT&#10;/7n6DQAA//8DAFBLAwQUAAYACAAAACEAQhVRi90AAAAJAQAADwAAAGRycy9kb3ducmV2LnhtbEyP&#10;wU7DMBBE70j8g7VI3KjdKIY2xKkQiCuIApW4ufE2iYjXUew24e9ZTvS4mqeZt+Vm9r044Ri7QAaW&#10;CwUCqQ6uo8bAx/vzzQpETJac7QOhgR+MsKkuL0pbuDDRG562qRFcQrGwBtqUhkLKWLfobVyEAYmz&#10;Qxi9TXyOjXSjnbjc9zJT6lZ62xEvtHbAxxbr7+3RG/h8OXztcvXaPHk9TGFWkvxaGnN9NT/cg0g4&#10;p38Y/vRZHSp22ocjuSh6A7nK7hjlINMgGNBaL0HsDazzHGRVyvMPql8AAAD//wMAUEsBAi0AFAAG&#10;AAgAAAAhALaDOJL+AAAA4QEAABMAAAAAAAAAAAAAAAAAAAAAAFtDb250ZW50X1R5cGVzXS54bWxQ&#10;SwECLQAUAAYACAAAACEAOP0h/9YAAACUAQAACwAAAAAAAAAAAAAAAAAvAQAAX3JlbHMvLnJlbHNQ&#10;SwECLQAUAAYACAAAACEAmoCU1XkBAADnAgAADgAAAAAAAAAAAAAAAAAuAgAAZHJzL2Uyb0RvYy54&#10;bWxQSwECLQAUAAYACAAAACEAQhVRi90AAAAJAQAADwAAAAAAAAAAAAAAAADTAwAAZHJzL2Rvd25y&#10;ZXYueG1sUEsFBgAAAAAEAAQA8wAAAN0EAAAAAA==&#10;" filled="f" stroked="f">
                <v:textbox>
                  <w:txbxContent>
                    <w:p w14:paraId="4EAE7249" w14:textId="77777777" w:rsidR="006C50C3" w:rsidRDefault="00000000">
                      <w:pPr>
                        <w:rPr>
                          <w:sz w:val="52"/>
                          <w:szCs w:val="52"/>
                        </w:rPr>
                      </w:pPr>
                      <w:r>
                        <w:rPr>
                          <w:rFonts w:hint="eastAsia"/>
                          <w:sz w:val="52"/>
                          <w:szCs w:val="52"/>
                        </w:rPr>
                        <w:t>B</w:t>
                      </w:r>
                    </w:p>
                  </w:txbxContent>
                </v:textbox>
              </v:shape>
            </w:pict>
          </mc:Fallback>
        </mc:AlternateContent>
      </w:r>
      <w:r w:rsidRPr="00E60993">
        <w:rPr>
          <w:noProof/>
          <w:sz w:val="20"/>
        </w:rPr>
        <mc:AlternateContent>
          <mc:Choice Requires="wps">
            <w:drawing>
              <wp:anchor distT="0" distB="0" distL="114300" distR="114300" simplePos="0" relativeHeight="251597312" behindDoc="0" locked="0" layoutInCell="1" allowOverlap="1" wp14:anchorId="1D43BBBB" wp14:editId="4A85B585">
                <wp:simplePos x="0" y="0"/>
                <wp:positionH relativeFrom="column">
                  <wp:posOffset>-257810</wp:posOffset>
                </wp:positionH>
                <wp:positionV relativeFrom="paragraph">
                  <wp:posOffset>60960</wp:posOffset>
                </wp:positionV>
                <wp:extent cx="953135" cy="718185"/>
                <wp:effectExtent l="0" t="0" r="0" b="0"/>
                <wp:wrapNone/>
                <wp:docPr id="10" name="文本框 425"/>
                <wp:cNvGraphicFramePr/>
                <a:graphic xmlns:a="http://schemas.openxmlformats.org/drawingml/2006/main">
                  <a:graphicData uri="http://schemas.microsoft.com/office/word/2010/wordprocessingShape">
                    <wps:wsp>
                      <wps:cNvSpPr txBox="1"/>
                      <wps:spPr>
                        <a:xfrm>
                          <a:off x="0" y="0"/>
                          <a:ext cx="953135" cy="718185"/>
                        </a:xfrm>
                        <a:prstGeom prst="rect">
                          <a:avLst/>
                        </a:prstGeom>
                        <a:noFill/>
                        <a:ln>
                          <a:noFill/>
                        </a:ln>
                      </wps:spPr>
                      <wps:txbx>
                        <w:txbxContent>
                          <w:p w14:paraId="1A6678E4" w14:textId="77777777" w:rsidR="006C50C3" w:rsidRDefault="00000000">
                            <w:pPr>
                              <w:rPr>
                                <w:sz w:val="52"/>
                                <w:szCs w:val="52"/>
                              </w:rPr>
                            </w:pPr>
                            <w:r>
                              <w:rPr>
                                <w:rFonts w:hint="eastAsia"/>
                                <w:sz w:val="52"/>
                                <w:szCs w:val="52"/>
                              </w:rPr>
                              <w:t>A</w:t>
                            </w:r>
                          </w:p>
                        </w:txbxContent>
                      </wps:txbx>
                      <wps:bodyPr vert="horz" wrap="square" anchor="t" anchorCtr="0" upright="1"/>
                    </wps:wsp>
                  </a:graphicData>
                </a:graphic>
              </wp:anchor>
            </w:drawing>
          </mc:Choice>
          <mc:Fallback>
            <w:pict>
              <v:shape w14:anchorId="1D43BBBB" id="文本框 425" o:spid="_x0000_s1027" type="#_x0000_t202" style="position:absolute;left:0;text-align:left;margin-left:-20.3pt;margin-top:4.8pt;width:75.05pt;height:56.55pt;z-index:251597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8ykgEAABMDAAAOAAAAZHJzL2Uyb0RvYy54bWysUstOIzEQvK/EP1i+E2dA2Q2jTJAAwQXt&#10;rgR8gOOxM5bGbtN2MpP9+m07kPC4IS5+dNvVVdW9uBxdz7YaowXf8Goy5Ux7Ba3164Y/Pd6ezjmL&#10;SfpW9uB1w3c68svlyY/FEGp9Bh30rUZGID7WQ2h4l1KohYiq007GCQTtKWkAnUx0xbVoUQ6E7npx&#10;Np3+FANgGxCUjpGiN/skXxZ8Y7RKf4yJOrG+4cQtlRXLusqrWC5kvUYZOqteaMgvsHDSeip6gLqR&#10;SbIN2k9QziqECCZNFDgBxliliwZSU00/qHnoZNBFC5kTw8Gm+H2w6vf2IfxFlsYrGKmB2ZAhxDpS&#10;MOsZDbq8E1NGebJwd7BNj4kpCl7MzqvzGWeKUr+qeTWfZRRx/BwwpjsNjuVDw5G6UsyS2/uY9k9f&#10;n+RaHm5t35fO9P5dgDBzRBwZ5lMaVyOz7Rv2K2h3JIrmksp1gP84G6jHDY/PG4maM+kVhRueXo/X&#10;aT8Um4B23dGv4kQpRM4XNS9Tklv79l7oHGd5+R8AAP//AwBQSwMEFAAGAAgAAAAhAMpu7zPdAAAA&#10;CQEAAA8AAABkcnMvZG93bnJldi54bWxMj0FvwjAMhe+T+A+RkXaDZBUw2jVFiGnXTWMb0m6hMW21&#10;xqmaQLt/P3MaJ9t6T8/fyzeja8UF+9B40vAwVyCQSm8bqjR8frzM1iBCNGRN6wk1/GKATTG5y01m&#10;/UDveNnHSnAIhcxoqGPsMilDWaMzYe47JNZOvncm8tlX0vZm4HDXykSplXSmIf5Qmw53NZY/+7PT&#10;8PV6+j4s1Fv17Jbd4EclyaVS6/vpuH0CEXGM/2a44jM6FMx09GeyQbQaZgu1YquGlMdVV+kSxJGX&#10;JHkEWeTytkHxBwAA//8DAFBLAQItABQABgAIAAAAIQC2gziS/gAAAOEBAAATAAAAAAAAAAAAAAAA&#10;AAAAAABbQ29udGVudF9UeXBlc10ueG1sUEsBAi0AFAAGAAgAAAAhADj9If/WAAAAlAEAAAsAAAAA&#10;AAAAAAAAAAAALwEAAF9yZWxzLy5yZWxzUEsBAi0AFAAGAAgAAAAhAH+G/zKSAQAAEwMAAA4AAAAA&#10;AAAAAAAAAAAALgIAAGRycy9lMm9Eb2MueG1sUEsBAi0AFAAGAAgAAAAhAMpu7zPdAAAACQEAAA8A&#10;AAAAAAAAAAAAAAAA7AMAAGRycy9kb3ducmV2LnhtbFBLBQYAAAAABAAEAPMAAAD2BAAAAAA=&#10;" filled="f" stroked="f">
                <v:textbox>
                  <w:txbxContent>
                    <w:p w14:paraId="1A6678E4" w14:textId="77777777" w:rsidR="006C50C3" w:rsidRDefault="00000000">
                      <w:pPr>
                        <w:rPr>
                          <w:sz w:val="52"/>
                          <w:szCs w:val="52"/>
                        </w:rPr>
                      </w:pPr>
                      <w:r>
                        <w:rPr>
                          <w:rFonts w:hint="eastAsia"/>
                          <w:sz w:val="52"/>
                          <w:szCs w:val="52"/>
                        </w:rPr>
                        <w:t>A</w:t>
                      </w:r>
                    </w:p>
                  </w:txbxContent>
                </v:textbox>
              </v:shape>
            </w:pict>
          </mc:Fallback>
        </mc:AlternateContent>
      </w:r>
    </w:p>
    <w:p w14:paraId="17203BD6" w14:textId="77777777" w:rsidR="006C50C3" w:rsidRPr="00E60993" w:rsidRDefault="00000000" w:rsidP="00E60993">
      <w:pPr>
        <w:jc w:val="center"/>
        <w:rPr>
          <w:sz w:val="20"/>
        </w:rPr>
      </w:pPr>
      <w:r w:rsidRPr="00E60993">
        <w:rPr>
          <w:noProof/>
          <w:sz w:val="20"/>
        </w:rPr>
        <w:drawing>
          <wp:inline distT="0" distB="0" distL="114300" distR="114300" wp14:anchorId="06919F30" wp14:editId="1B94AF2F">
            <wp:extent cx="5113020" cy="2781300"/>
            <wp:effectExtent l="0" t="0" r="7620" b="7620"/>
            <wp:docPr id="1" name="图片 1" descr="1744944082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744944082766"/>
                    <pic:cNvPicPr>
                      <a:picLocks noChangeAspect="1"/>
                    </pic:cNvPicPr>
                  </pic:nvPicPr>
                  <pic:blipFill>
                    <a:blip r:embed="rId7"/>
                    <a:stretch>
                      <a:fillRect/>
                    </a:stretch>
                  </pic:blipFill>
                  <pic:spPr>
                    <a:xfrm>
                      <a:off x="0" y="0"/>
                      <a:ext cx="5113020" cy="2781300"/>
                    </a:xfrm>
                    <a:prstGeom prst="rect">
                      <a:avLst/>
                    </a:prstGeom>
                  </pic:spPr>
                </pic:pic>
              </a:graphicData>
            </a:graphic>
          </wp:inline>
        </w:drawing>
      </w:r>
    </w:p>
    <w:p w14:paraId="176BA5EB" w14:textId="53DF3144" w:rsidR="006C50C3" w:rsidRPr="00E60993" w:rsidRDefault="00000000" w:rsidP="00E60993">
      <w:pPr>
        <w:jc w:val="center"/>
        <w:rPr>
          <w:snapToGrid w:val="0"/>
          <w:color w:val="000000"/>
          <w:sz w:val="20"/>
        </w:rPr>
      </w:pPr>
      <w:r w:rsidRPr="00E60993">
        <w:rPr>
          <w:b/>
          <w:bCs/>
          <w:snapToGrid w:val="0"/>
          <w:color w:val="000000"/>
          <w:kern w:val="0"/>
          <w:sz w:val="20"/>
        </w:rPr>
        <w:t>Fig</w:t>
      </w:r>
      <w:r w:rsidRPr="00E60993">
        <w:rPr>
          <w:rFonts w:hint="eastAsia"/>
          <w:b/>
          <w:bCs/>
          <w:snapToGrid w:val="0"/>
          <w:color w:val="000000"/>
          <w:kern w:val="0"/>
          <w:sz w:val="20"/>
        </w:rPr>
        <w:t xml:space="preserve">ure </w:t>
      </w:r>
      <w:r w:rsidRPr="00E60993">
        <w:rPr>
          <w:b/>
          <w:bCs/>
          <w:snapToGrid w:val="0"/>
          <w:color w:val="000000"/>
          <w:kern w:val="0"/>
          <w:sz w:val="20"/>
        </w:rPr>
        <w:t>1.</w:t>
      </w:r>
      <w:r w:rsidRPr="00E60993">
        <w:rPr>
          <w:snapToGrid w:val="0"/>
          <w:color w:val="000000"/>
          <w:kern w:val="0"/>
          <w:sz w:val="20"/>
        </w:rPr>
        <w:t xml:space="preserve"> Verification of the metastatic ability of Py-L1 and Py-B1 cells</w:t>
      </w:r>
      <w:r w:rsidR="00DC113E" w:rsidRPr="00E60993">
        <w:rPr>
          <w:snapToGrid w:val="0"/>
          <w:color w:val="000000"/>
          <w:sz w:val="20"/>
        </w:rPr>
        <w:t>.</w:t>
      </w:r>
      <w:r w:rsidRPr="00E60993">
        <w:rPr>
          <w:snapToGrid w:val="0"/>
          <w:color w:val="000000"/>
          <w:sz w:val="20"/>
        </w:rPr>
        <w:t xml:space="preserve">*indicates </w:t>
      </w:r>
      <w:r w:rsidRPr="00E60993">
        <w:rPr>
          <w:i/>
          <w:iCs/>
          <w:snapToGrid w:val="0"/>
          <w:color w:val="000000"/>
          <w:sz w:val="20"/>
        </w:rPr>
        <w:t>P</w:t>
      </w:r>
      <w:r w:rsidRPr="00E60993">
        <w:rPr>
          <w:snapToGrid w:val="0"/>
          <w:color w:val="000000"/>
          <w:sz w:val="20"/>
        </w:rPr>
        <w:t xml:space="preserve"> &lt; 0.05, ** indicates </w:t>
      </w:r>
      <w:r w:rsidRPr="00E60993">
        <w:rPr>
          <w:i/>
          <w:iCs/>
          <w:snapToGrid w:val="0"/>
          <w:color w:val="000000"/>
          <w:sz w:val="20"/>
        </w:rPr>
        <w:t>P</w:t>
      </w:r>
      <w:r w:rsidRPr="00E60993">
        <w:rPr>
          <w:snapToGrid w:val="0"/>
          <w:color w:val="000000"/>
          <w:sz w:val="20"/>
        </w:rPr>
        <w:t xml:space="preserve"> &lt; 0.01.</w:t>
      </w:r>
    </w:p>
    <w:p w14:paraId="17C8D6E8" w14:textId="77777777" w:rsidR="006C50C3" w:rsidRPr="00DC113E" w:rsidRDefault="006C50C3" w:rsidP="00E60993">
      <w:pPr>
        <w:rPr>
          <w:snapToGrid w:val="0"/>
          <w:color w:val="000000"/>
          <w:szCs w:val="24"/>
        </w:rPr>
      </w:pPr>
    </w:p>
    <w:p w14:paraId="0EE92E0B" w14:textId="77777777" w:rsidR="006C50C3" w:rsidRPr="00E60993" w:rsidRDefault="00000000" w:rsidP="00E60993">
      <w:pPr>
        <w:rPr>
          <w:b/>
          <w:bCs/>
          <w:snapToGrid w:val="0"/>
          <w:color w:val="000000"/>
          <w:szCs w:val="24"/>
        </w:rPr>
      </w:pPr>
      <w:r w:rsidRPr="00E60993">
        <w:rPr>
          <w:rFonts w:hint="eastAsia"/>
          <w:b/>
          <w:bCs/>
          <w:snapToGrid w:val="0"/>
          <w:color w:val="000000"/>
          <w:szCs w:val="24"/>
        </w:rPr>
        <w:t>3.</w:t>
      </w:r>
      <w:r w:rsidRPr="00E60993">
        <w:rPr>
          <w:b/>
          <w:bCs/>
          <w:snapToGrid w:val="0"/>
          <w:color w:val="000000"/>
          <w:szCs w:val="24"/>
        </w:rPr>
        <w:t xml:space="preserve">2. Transcriptome </w:t>
      </w:r>
      <w:r w:rsidRPr="00E60993">
        <w:rPr>
          <w:rFonts w:hint="eastAsia"/>
          <w:b/>
          <w:bCs/>
          <w:snapToGrid w:val="0"/>
          <w:color w:val="000000"/>
          <w:szCs w:val="24"/>
        </w:rPr>
        <w:t>a</w:t>
      </w:r>
      <w:r w:rsidRPr="00E60993">
        <w:rPr>
          <w:b/>
          <w:bCs/>
          <w:snapToGrid w:val="0"/>
          <w:color w:val="000000"/>
          <w:szCs w:val="24"/>
        </w:rPr>
        <w:t xml:space="preserve">nalysis </w:t>
      </w:r>
      <w:r w:rsidRPr="00E60993">
        <w:rPr>
          <w:rFonts w:hint="eastAsia"/>
          <w:b/>
          <w:bCs/>
          <w:snapToGrid w:val="0"/>
          <w:color w:val="000000"/>
          <w:szCs w:val="24"/>
        </w:rPr>
        <w:t>r</w:t>
      </w:r>
      <w:r w:rsidRPr="00E60993">
        <w:rPr>
          <w:b/>
          <w:bCs/>
          <w:snapToGrid w:val="0"/>
          <w:color w:val="000000"/>
          <w:szCs w:val="24"/>
        </w:rPr>
        <w:t xml:space="preserve">esults of PyMT-1, Py-L1, and Py-B1 </w:t>
      </w:r>
    </w:p>
    <w:p w14:paraId="22981279" w14:textId="77777777" w:rsidR="006C50C3" w:rsidRPr="00E60993" w:rsidRDefault="00000000" w:rsidP="00E60993">
      <w:pPr>
        <w:rPr>
          <w:b/>
          <w:bCs/>
          <w:snapToGrid w:val="0"/>
          <w:color w:val="000000"/>
          <w:szCs w:val="24"/>
        </w:rPr>
      </w:pPr>
      <w:r w:rsidRPr="00E60993">
        <w:rPr>
          <w:rFonts w:hint="eastAsia"/>
          <w:b/>
          <w:bCs/>
          <w:snapToGrid w:val="0"/>
          <w:color w:val="000000"/>
          <w:szCs w:val="24"/>
        </w:rPr>
        <w:t>3.</w:t>
      </w:r>
      <w:r w:rsidRPr="00E60993">
        <w:rPr>
          <w:b/>
          <w:bCs/>
          <w:snapToGrid w:val="0"/>
          <w:color w:val="000000"/>
          <w:szCs w:val="24"/>
        </w:rPr>
        <w:t xml:space="preserve">2.1. Transcriptome </w:t>
      </w:r>
      <w:r w:rsidRPr="00E60993">
        <w:rPr>
          <w:rFonts w:hint="eastAsia"/>
          <w:b/>
          <w:bCs/>
          <w:snapToGrid w:val="0"/>
          <w:color w:val="000000"/>
          <w:szCs w:val="24"/>
        </w:rPr>
        <w:t>d</w:t>
      </w:r>
      <w:r w:rsidRPr="00E60993">
        <w:rPr>
          <w:b/>
          <w:bCs/>
          <w:snapToGrid w:val="0"/>
          <w:color w:val="000000"/>
          <w:szCs w:val="24"/>
        </w:rPr>
        <w:t xml:space="preserve">ata </w:t>
      </w:r>
      <w:r w:rsidRPr="00E60993">
        <w:rPr>
          <w:rFonts w:hint="eastAsia"/>
          <w:b/>
          <w:bCs/>
          <w:snapToGrid w:val="0"/>
          <w:color w:val="000000"/>
          <w:szCs w:val="24"/>
        </w:rPr>
        <w:t>a</w:t>
      </w:r>
      <w:r w:rsidRPr="00E60993">
        <w:rPr>
          <w:b/>
          <w:bCs/>
          <w:snapToGrid w:val="0"/>
          <w:color w:val="000000"/>
          <w:szCs w:val="24"/>
        </w:rPr>
        <w:t xml:space="preserve">nalysis </w:t>
      </w:r>
      <w:r w:rsidRPr="00E60993">
        <w:rPr>
          <w:rFonts w:hint="eastAsia"/>
          <w:b/>
          <w:bCs/>
          <w:snapToGrid w:val="0"/>
          <w:color w:val="000000"/>
          <w:szCs w:val="24"/>
        </w:rPr>
        <w:t>r</w:t>
      </w:r>
      <w:r w:rsidRPr="00E60993">
        <w:rPr>
          <w:b/>
          <w:bCs/>
          <w:snapToGrid w:val="0"/>
          <w:color w:val="000000"/>
          <w:szCs w:val="24"/>
        </w:rPr>
        <w:t xml:space="preserve">esults and </w:t>
      </w:r>
      <w:r w:rsidRPr="00E60993">
        <w:rPr>
          <w:rFonts w:hint="eastAsia"/>
          <w:b/>
          <w:bCs/>
          <w:snapToGrid w:val="0"/>
          <w:color w:val="000000"/>
          <w:szCs w:val="24"/>
        </w:rPr>
        <w:t>v</w:t>
      </w:r>
      <w:r w:rsidRPr="00E60993">
        <w:rPr>
          <w:b/>
          <w:bCs/>
          <w:snapToGrid w:val="0"/>
          <w:color w:val="000000"/>
          <w:szCs w:val="24"/>
        </w:rPr>
        <w:t xml:space="preserve">alidation of PyMT-1 and Py-L1 </w:t>
      </w:r>
    </w:p>
    <w:p w14:paraId="3F096175" w14:textId="77777777" w:rsidR="006C50C3" w:rsidRPr="00E60993" w:rsidRDefault="00000000" w:rsidP="00E60993">
      <w:pPr>
        <w:rPr>
          <w:b/>
          <w:bCs/>
          <w:snapToGrid w:val="0"/>
          <w:color w:val="000000"/>
          <w:szCs w:val="24"/>
        </w:rPr>
      </w:pPr>
      <w:r w:rsidRPr="00E60993">
        <w:rPr>
          <w:rFonts w:hint="eastAsia"/>
          <w:b/>
          <w:bCs/>
          <w:snapToGrid w:val="0"/>
          <w:color w:val="000000"/>
          <w:szCs w:val="24"/>
        </w:rPr>
        <w:t>3.</w:t>
      </w:r>
      <w:r w:rsidRPr="00E60993">
        <w:rPr>
          <w:b/>
          <w:bCs/>
          <w:snapToGrid w:val="0"/>
          <w:color w:val="000000"/>
          <w:szCs w:val="24"/>
        </w:rPr>
        <w:t xml:space="preserve">2.1.1. Analysis of </w:t>
      </w:r>
      <w:r w:rsidRPr="00E60993">
        <w:rPr>
          <w:rFonts w:hint="eastAsia"/>
          <w:b/>
          <w:bCs/>
          <w:snapToGrid w:val="0"/>
          <w:color w:val="000000"/>
          <w:szCs w:val="24"/>
        </w:rPr>
        <w:t>d</w:t>
      </w:r>
      <w:r w:rsidRPr="00E60993">
        <w:rPr>
          <w:b/>
          <w:bCs/>
          <w:snapToGrid w:val="0"/>
          <w:color w:val="000000"/>
          <w:szCs w:val="24"/>
        </w:rPr>
        <w:t xml:space="preserve">ifferentially </w:t>
      </w:r>
      <w:r w:rsidRPr="00E60993">
        <w:rPr>
          <w:rFonts w:hint="eastAsia"/>
          <w:b/>
          <w:bCs/>
          <w:snapToGrid w:val="0"/>
          <w:color w:val="000000"/>
          <w:szCs w:val="24"/>
        </w:rPr>
        <w:t>e</w:t>
      </w:r>
      <w:r w:rsidRPr="00E60993">
        <w:rPr>
          <w:b/>
          <w:bCs/>
          <w:snapToGrid w:val="0"/>
          <w:color w:val="000000"/>
          <w:szCs w:val="24"/>
        </w:rPr>
        <w:t xml:space="preserve">xpressed </w:t>
      </w:r>
      <w:r w:rsidRPr="00E60993">
        <w:rPr>
          <w:rFonts w:hint="eastAsia"/>
          <w:b/>
          <w:bCs/>
          <w:snapToGrid w:val="0"/>
          <w:color w:val="000000"/>
          <w:szCs w:val="24"/>
        </w:rPr>
        <w:t>g</w:t>
      </w:r>
      <w:r w:rsidRPr="00E60993">
        <w:rPr>
          <w:b/>
          <w:bCs/>
          <w:snapToGrid w:val="0"/>
          <w:color w:val="000000"/>
          <w:szCs w:val="24"/>
        </w:rPr>
        <w:t xml:space="preserve">enes </w:t>
      </w:r>
    </w:p>
    <w:p w14:paraId="65EC9381" w14:textId="77777777" w:rsidR="006C50C3" w:rsidRPr="00DC113E" w:rsidRDefault="00000000" w:rsidP="00E60993">
      <w:pPr>
        <w:rPr>
          <w:snapToGrid w:val="0"/>
          <w:color w:val="000000"/>
          <w:szCs w:val="24"/>
        </w:rPr>
      </w:pPr>
      <w:r w:rsidRPr="00DC113E">
        <w:rPr>
          <w:snapToGrid w:val="0"/>
          <w:color w:val="000000"/>
          <w:szCs w:val="24"/>
        </w:rPr>
        <w:t>In this study, the DESeq2 R package (v3.6.1) was used to analyze differentially expressed genes from the quality-controlled transcriptome data. A total of 917 differentially expressed genes were identified, including 641 upregulated genes and 276 downregulated genes. The visual volcanic plot is presented below (</w:t>
      </w:r>
      <w:r w:rsidRPr="00E60993">
        <w:rPr>
          <w:b/>
          <w:bCs/>
          <w:snapToGrid w:val="0"/>
          <w:color w:val="000000"/>
          <w:szCs w:val="24"/>
        </w:rPr>
        <w:t>Fig</w:t>
      </w:r>
      <w:r w:rsidRPr="00E60993">
        <w:rPr>
          <w:rFonts w:hint="eastAsia"/>
          <w:b/>
          <w:bCs/>
          <w:snapToGrid w:val="0"/>
          <w:color w:val="000000"/>
          <w:szCs w:val="24"/>
        </w:rPr>
        <w:t xml:space="preserve">ure </w:t>
      </w:r>
      <w:r w:rsidRPr="00E60993">
        <w:rPr>
          <w:b/>
          <w:bCs/>
          <w:snapToGrid w:val="0"/>
          <w:color w:val="000000"/>
          <w:szCs w:val="24"/>
        </w:rPr>
        <w:t>2</w:t>
      </w:r>
      <w:r w:rsidRPr="00DC113E">
        <w:rPr>
          <w:snapToGrid w:val="0"/>
          <w:color w:val="000000"/>
          <w:szCs w:val="24"/>
        </w:rPr>
        <w:t>).</w:t>
      </w:r>
    </w:p>
    <w:p w14:paraId="3FE39913" w14:textId="77777777" w:rsidR="006C50C3" w:rsidRPr="00DC113E" w:rsidRDefault="006C50C3" w:rsidP="00E60993">
      <w:pPr>
        <w:rPr>
          <w:snapToGrid w:val="0"/>
          <w:color w:val="000000"/>
          <w:szCs w:val="24"/>
        </w:rPr>
      </w:pPr>
    </w:p>
    <w:p w14:paraId="1974463F" w14:textId="77777777" w:rsidR="006C50C3" w:rsidRPr="00E60993" w:rsidRDefault="00000000" w:rsidP="00E60993">
      <w:pPr>
        <w:jc w:val="center"/>
        <w:rPr>
          <w:snapToGrid w:val="0"/>
          <w:color w:val="000000"/>
          <w:kern w:val="0"/>
          <w:sz w:val="20"/>
        </w:rPr>
      </w:pPr>
      <w:r w:rsidRPr="00E60993">
        <w:rPr>
          <w:noProof/>
          <w:snapToGrid w:val="0"/>
          <w:color w:val="000000"/>
          <w:kern w:val="0"/>
          <w:sz w:val="20"/>
        </w:rPr>
        <w:lastRenderedPageBreak/>
        <w:drawing>
          <wp:inline distT="0" distB="0" distL="114300" distR="114300" wp14:anchorId="32116123" wp14:editId="5FC844FE">
            <wp:extent cx="3631565" cy="3431540"/>
            <wp:effectExtent l="0" t="0" r="10795" b="12700"/>
            <wp:docPr id="13" name="图片 19" descr="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9" descr="3.2.1"/>
                    <pic:cNvPicPr>
                      <a:picLocks noChangeAspect="1"/>
                    </pic:cNvPicPr>
                  </pic:nvPicPr>
                  <pic:blipFill>
                    <a:blip r:embed="rId8"/>
                    <a:stretch>
                      <a:fillRect/>
                    </a:stretch>
                  </pic:blipFill>
                  <pic:spPr>
                    <a:xfrm>
                      <a:off x="0" y="0"/>
                      <a:ext cx="3631565" cy="3431540"/>
                    </a:xfrm>
                    <a:prstGeom prst="rect">
                      <a:avLst/>
                    </a:prstGeom>
                    <a:noFill/>
                    <a:ln>
                      <a:noFill/>
                    </a:ln>
                  </pic:spPr>
                </pic:pic>
              </a:graphicData>
            </a:graphic>
          </wp:inline>
        </w:drawing>
      </w:r>
    </w:p>
    <w:p w14:paraId="1CB79849" w14:textId="0B96ADA6" w:rsidR="006C50C3" w:rsidRPr="00E60993" w:rsidRDefault="00000000" w:rsidP="00E60993">
      <w:pPr>
        <w:jc w:val="center"/>
        <w:rPr>
          <w:snapToGrid w:val="0"/>
          <w:color w:val="000000"/>
          <w:kern w:val="0"/>
          <w:sz w:val="20"/>
        </w:rPr>
      </w:pPr>
      <w:r w:rsidRPr="00E60993">
        <w:rPr>
          <w:b/>
          <w:bCs/>
          <w:snapToGrid w:val="0"/>
          <w:color w:val="000000"/>
          <w:kern w:val="0"/>
          <w:sz w:val="20"/>
        </w:rPr>
        <w:t>Fig</w:t>
      </w:r>
      <w:r w:rsidRPr="00E60993">
        <w:rPr>
          <w:rFonts w:hint="eastAsia"/>
          <w:b/>
          <w:bCs/>
          <w:snapToGrid w:val="0"/>
          <w:color w:val="000000"/>
          <w:kern w:val="0"/>
          <w:sz w:val="20"/>
        </w:rPr>
        <w:t xml:space="preserve">ure </w:t>
      </w:r>
      <w:r w:rsidRPr="00E60993">
        <w:rPr>
          <w:b/>
          <w:bCs/>
          <w:snapToGrid w:val="0"/>
          <w:color w:val="000000"/>
          <w:kern w:val="0"/>
          <w:sz w:val="20"/>
        </w:rPr>
        <w:t>2.</w:t>
      </w:r>
      <w:r w:rsidRPr="00E60993">
        <w:rPr>
          <w:snapToGrid w:val="0"/>
          <w:color w:val="000000"/>
          <w:kern w:val="0"/>
          <w:sz w:val="20"/>
        </w:rPr>
        <w:t xml:space="preserve"> Volcano plot of differentially expressed genes between PyMT-1 and Py-L1</w:t>
      </w:r>
      <w:r w:rsidR="00DC113E" w:rsidRPr="00E60993">
        <w:rPr>
          <w:snapToGrid w:val="0"/>
          <w:color w:val="000000"/>
          <w:kern w:val="0"/>
          <w:sz w:val="20"/>
        </w:rPr>
        <w:t>.</w:t>
      </w:r>
    </w:p>
    <w:p w14:paraId="534F7F6F" w14:textId="77777777" w:rsidR="006C50C3" w:rsidRPr="00DC113E" w:rsidRDefault="006C50C3" w:rsidP="00E60993">
      <w:pPr>
        <w:rPr>
          <w:szCs w:val="24"/>
        </w:rPr>
      </w:pPr>
    </w:p>
    <w:p w14:paraId="2BD8ADDA" w14:textId="77777777" w:rsidR="006C50C3" w:rsidRPr="00E60993" w:rsidRDefault="00000000" w:rsidP="00E60993">
      <w:pPr>
        <w:rPr>
          <w:b/>
          <w:bCs/>
          <w:szCs w:val="24"/>
        </w:rPr>
      </w:pPr>
      <w:r w:rsidRPr="00E60993">
        <w:rPr>
          <w:rFonts w:hint="eastAsia"/>
          <w:b/>
          <w:bCs/>
          <w:szCs w:val="24"/>
        </w:rPr>
        <w:t>3.</w:t>
      </w:r>
      <w:r w:rsidRPr="00E60993">
        <w:rPr>
          <w:b/>
          <w:bCs/>
          <w:szCs w:val="24"/>
        </w:rPr>
        <w:t xml:space="preserve">2.1.2. Enrichment </w:t>
      </w:r>
      <w:r w:rsidRPr="00E60993">
        <w:rPr>
          <w:rFonts w:hint="eastAsia"/>
          <w:b/>
          <w:bCs/>
          <w:szCs w:val="24"/>
        </w:rPr>
        <w:t>a</w:t>
      </w:r>
      <w:r w:rsidRPr="00E60993">
        <w:rPr>
          <w:b/>
          <w:bCs/>
          <w:szCs w:val="24"/>
        </w:rPr>
        <w:t xml:space="preserve">nalysis of </w:t>
      </w:r>
      <w:r w:rsidRPr="00E60993">
        <w:rPr>
          <w:rFonts w:hint="eastAsia"/>
          <w:b/>
          <w:bCs/>
          <w:szCs w:val="24"/>
        </w:rPr>
        <w:t>d</w:t>
      </w:r>
      <w:r w:rsidRPr="00E60993">
        <w:rPr>
          <w:b/>
          <w:bCs/>
          <w:szCs w:val="24"/>
        </w:rPr>
        <w:t xml:space="preserve">ifferentially </w:t>
      </w:r>
      <w:r w:rsidRPr="00E60993">
        <w:rPr>
          <w:rFonts w:hint="eastAsia"/>
          <w:b/>
          <w:bCs/>
          <w:szCs w:val="24"/>
        </w:rPr>
        <w:t>e</w:t>
      </w:r>
      <w:r w:rsidRPr="00E60993">
        <w:rPr>
          <w:b/>
          <w:bCs/>
          <w:szCs w:val="24"/>
        </w:rPr>
        <w:t xml:space="preserve">xpressed </w:t>
      </w:r>
      <w:r w:rsidRPr="00E60993">
        <w:rPr>
          <w:rFonts w:hint="eastAsia"/>
          <w:b/>
          <w:bCs/>
          <w:szCs w:val="24"/>
        </w:rPr>
        <w:t>p</w:t>
      </w:r>
      <w:r w:rsidRPr="00E60993">
        <w:rPr>
          <w:b/>
          <w:bCs/>
          <w:szCs w:val="24"/>
        </w:rPr>
        <w:t>rotein-</w:t>
      </w:r>
      <w:r w:rsidRPr="00E60993">
        <w:rPr>
          <w:rFonts w:hint="eastAsia"/>
          <w:b/>
          <w:bCs/>
          <w:szCs w:val="24"/>
        </w:rPr>
        <w:t>c</w:t>
      </w:r>
      <w:r w:rsidRPr="00E60993">
        <w:rPr>
          <w:b/>
          <w:bCs/>
          <w:szCs w:val="24"/>
        </w:rPr>
        <w:t xml:space="preserve">oding RNAs </w:t>
      </w:r>
    </w:p>
    <w:p w14:paraId="32924695" w14:textId="77777777" w:rsidR="006C50C3" w:rsidRPr="00DC113E" w:rsidRDefault="00000000" w:rsidP="00E60993">
      <w:pPr>
        <w:rPr>
          <w:szCs w:val="24"/>
        </w:rPr>
      </w:pPr>
      <w:r w:rsidRPr="00DC113E">
        <w:rPr>
          <w:szCs w:val="24"/>
        </w:rPr>
        <w:t xml:space="preserve">As mentioned earlier, a total of 917 differentially expressed protein-coding RNAs were identified between the PyMT-1 and Py-L1 groups. GO, KEGG enrichment analyses, and GSEA were performed on the differential gene sets. </w:t>
      </w:r>
    </w:p>
    <w:p w14:paraId="30AA996C" w14:textId="77777777" w:rsidR="006C50C3" w:rsidRPr="00DC113E" w:rsidRDefault="006C50C3" w:rsidP="00E60993">
      <w:pPr>
        <w:rPr>
          <w:szCs w:val="24"/>
        </w:rPr>
      </w:pPr>
    </w:p>
    <w:p w14:paraId="1BCC8F2A" w14:textId="77777777" w:rsidR="006C50C3" w:rsidRPr="00E60993" w:rsidRDefault="00000000" w:rsidP="00E60993">
      <w:pPr>
        <w:rPr>
          <w:b/>
          <w:bCs/>
          <w:szCs w:val="24"/>
        </w:rPr>
      </w:pPr>
      <w:r w:rsidRPr="00E60993">
        <w:rPr>
          <w:rFonts w:hint="eastAsia"/>
          <w:b/>
          <w:bCs/>
          <w:szCs w:val="24"/>
        </w:rPr>
        <w:t>3.</w:t>
      </w:r>
      <w:r w:rsidRPr="00E60993">
        <w:rPr>
          <w:b/>
          <w:bCs/>
          <w:szCs w:val="24"/>
        </w:rPr>
        <w:t>2.1.2.</w:t>
      </w:r>
      <w:r w:rsidRPr="00E60993">
        <w:rPr>
          <w:rFonts w:hint="eastAsia"/>
          <w:b/>
          <w:bCs/>
          <w:szCs w:val="24"/>
        </w:rPr>
        <w:t>1.</w:t>
      </w:r>
      <w:r w:rsidRPr="00E60993">
        <w:rPr>
          <w:b/>
          <w:bCs/>
          <w:szCs w:val="24"/>
        </w:rPr>
        <w:t xml:space="preserve"> Results of GO </w:t>
      </w:r>
      <w:r w:rsidRPr="00E60993">
        <w:rPr>
          <w:rFonts w:hint="eastAsia"/>
          <w:b/>
          <w:bCs/>
          <w:szCs w:val="24"/>
        </w:rPr>
        <w:t>f</w:t>
      </w:r>
      <w:r w:rsidRPr="00E60993">
        <w:rPr>
          <w:b/>
          <w:bCs/>
          <w:szCs w:val="24"/>
        </w:rPr>
        <w:t xml:space="preserve">unctional </w:t>
      </w:r>
      <w:r w:rsidRPr="00E60993">
        <w:rPr>
          <w:rFonts w:hint="eastAsia"/>
          <w:b/>
          <w:bCs/>
          <w:szCs w:val="24"/>
        </w:rPr>
        <w:t>e</w:t>
      </w:r>
      <w:r w:rsidRPr="00E60993">
        <w:rPr>
          <w:b/>
          <w:bCs/>
          <w:szCs w:val="24"/>
        </w:rPr>
        <w:t xml:space="preserve">nrichment </w:t>
      </w:r>
      <w:r w:rsidRPr="00E60993">
        <w:rPr>
          <w:rFonts w:hint="eastAsia"/>
          <w:b/>
          <w:bCs/>
          <w:szCs w:val="24"/>
        </w:rPr>
        <w:t>a</w:t>
      </w:r>
      <w:r w:rsidRPr="00E60993">
        <w:rPr>
          <w:b/>
          <w:bCs/>
          <w:szCs w:val="24"/>
        </w:rPr>
        <w:t xml:space="preserve">nalysis </w:t>
      </w:r>
    </w:p>
    <w:p w14:paraId="119D0A50" w14:textId="77777777" w:rsidR="006C50C3" w:rsidRPr="00DC113E" w:rsidRDefault="00000000" w:rsidP="00E60993">
      <w:pPr>
        <w:rPr>
          <w:snapToGrid w:val="0"/>
          <w:color w:val="000000"/>
          <w:kern w:val="0"/>
          <w:szCs w:val="24"/>
        </w:rPr>
      </w:pPr>
      <w:r w:rsidRPr="00DC113E">
        <w:rPr>
          <w:snapToGrid w:val="0"/>
          <w:color w:val="000000"/>
          <w:kern w:val="0"/>
          <w:szCs w:val="24"/>
        </w:rPr>
        <w:t>After screening for differentially expressed genes, GO functional enrichment analysis was performed and described from three aspects: biological process (BP), cellular component (CC), and molecular function (MF). A threshold of </w:t>
      </w:r>
      <w:r w:rsidRPr="00DC113E">
        <w:rPr>
          <w:i/>
          <w:iCs/>
          <w:snapToGrid w:val="0"/>
          <w:color w:val="000000"/>
          <w:kern w:val="0"/>
          <w:szCs w:val="24"/>
        </w:rPr>
        <w:t>P</w:t>
      </w:r>
      <w:r w:rsidRPr="00DC113E">
        <w:rPr>
          <w:snapToGrid w:val="0"/>
          <w:color w:val="000000"/>
          <w:kern w:val="0"/>
          <w:szCs w:val="24"/>
        </w:rPr>
        <w:t xml:space="preserve"> &lt; 0.05 was used to identify significantly enriched GO terms. The enrichment results were visualized as bubble plots, as shown in </w:t>
      </w:r>
      <w:r w:rsidRPr="00E60993">
        <w:rPr>
          <w:b/>
          <w:bCs/>
          <w:snapToGrid w:val="0"/>
          <w:color w:val="000000"/>
          <w:kern w:val="0"/>
          <w:szCs w:val="24"/>
        </w:rPr>
        <w:t>Fig</w:t>
      </w:r>
      <w:r w:rsidRPr="00E60993">
        <w:rPr>
          <w:rFonts w:hint="eastAsia"/>
          <w:b/>
          <w:bCs/>
          <w:snapToGrid w:val="0"/>
          <w:color w:val="000000"/>
          <w:kern w:val="0"/>
          <w:szCs w:val="24"/>
        </w:rPr>
        <w:t>ure</w:t>
      </w:r>
      <w:r w:rsidRPr="00E60993">
        <w:rPr>
          <w:b/>
          <w:bCs/>
          <w:snapToGrid w:val="0"/>
          <w:color w:val="000000"/>
          <w:kern w:val="0"/>
          <w:szCs w:val="24"/>
        </w:rPr>
        <w:t xml:space="preserve"> 3</w:t>
      </w:r>
      <w:r w:rsidRPr="00DC113E">
        <w:rPr>
          <w:snapToGrid w:val="0"/>
          <w:color w:val="000000"/>
          <w:kern w:val="0"/>
          <w:szCs w:val="24"/>
        </w:rPr>
        <w:t>.</w:t>
      </w:r>
    </w:p>
    <w:p w14:paraId="50A1608D" w14:textId="77777777" w:rsidR="006C50C3" w:rsidRDefault="00000000" w:rsidP="00DC113E">
      <w:pPr>
        <w:ind w:firstLine="420"/>
        <w:rPr>
          <w:snapToGrid w:val="0"/>
          <w:color w:val="000000"/>
          <w:kern w:val="0"/>
          <w:szCs w:val="24"/>
        </w:rPr>
      </w:pPr>
      <w:r w:rsidRPr="00DC113E">
        <w:rPr>
          <w:snapToGrid w:val="0"/>
          <w:color w:val="000000"/>
          <w:kern w:val="0"/>
          <w:szCs w:val="24"/>
        </w:rPr>
        <w:t>Compared with PyMT-1 cells, the upregulated (</w:t>
      </w:r>
      <w:r w:rsidRPr="00E60993">
        <w:rPr>
          <w:b/>
          <w:bCs/>
          <w:snapToGrid w:val="0"/>
          <w:color w:val="000000"/>
          <w:kern w:val="0"/>
          <w:szCs w:val="24"/>
        </w:rPr>
        <w:t>Fig</w:t>
      </w:r>
      <w:r w:rsidRPr="00E60993">
        <w:rPr>
          <w:rFonts w:hint="eastAsia"/>
          <w:b/>
          <w:bCs/>
          <w:snapToGrid w:val="0"/>
          <w:color w:val="000000"/>
          <w:kern w:val="0"/>
          <w:szCs w:val="24"/>
        </w:rPr>
        <w:t>ure</w:t>
      </w:r>
      <w:r w:rsidRPr="00E60993">
        <w:rPr>
          <w:b/>
          <w:bCs/>
          <w:snapToGrid w:val="0"/>
          <w:color w:val="000000"/>
          <w:kern w:val="0"/>
          <w:szCs w:val="24"/>
        </w:rPr>
        <w:t xml:space="preserve"> </w:t>
      </w:r>
      <w:r w:rsidRPr="00E60993">
        <w:rPr>
          <w:rFonts w:hint="eastAsia"/>
          <w:b/>
          <w:bCs/>
          <w:snapToGrid w:val="0"/>
          <w:color w:val="000000"/>
          <w:kern w:val="0"/>
          <w:szCs w:val="24"/>
        </w:rPr>
        <w:t>3</w:t>
      </w:r>
      <w:r w:rsidRPr="00E60993">
        <w:rPr>
          <w:b/>
          <w:bCs/>
          <w:snapToGrid w:val="0"/>
          <w:color w:val="000000"/>
          <w:kern w:val="0"/>
          <w:szCs w:val="24"/>
        </w:rPr>
        <w:t>A</w:t>
      </w:r>
      <w:r w:rsidRPr="00DC113E">
        <w:rPr>
          <w:snapToGrid w:val="0"/>
          <w:color w:val="000000"/>
          <w:kern w:val="0"/>
          <w:szCs w:val="24"/>
        </w:rPr>
        <w:t>) and downregulated (Fig</w:t>
      </w:r>
      <w:r w:rsidRPr="00DC113E">
        <w:rPr>
          <w:rFonts w:hint="eastAsia"/>
          <w:snapToGrid w:val="0"/>
          <w:color w:val="000000"/>
          <w:kern w:val="0"/>
          <w:szCs w:val="24"/>
        </w:rPr>
        <w:t>ure</w:t>
      </w:r>
      <w:r w:rsidRPr="00DC113E">
        <w:rPr>
          <w:snapToGrid w:val="0"/>
          <w:color w:val="000000"/>
          <w:kern w:val="0"/>
          <w:szCs w:val="24"/>
        </w:rPr>
        <w:t xml:space="preserve"> </w:t>
      </w:r>
      <w:r w:rsidRPr="00DC113E">
        <w:rPr>
          <w:rFonts w:hint="eastAsia"/>
          <w:snapToGrid w:val="0"/>
          <w:color w:val="000000"/>
          <w:kern w:val="0"/>
          <w:szCs w:val="24"/>
        </w:rPr>
        <w:t>3</w:t>
      </w:r>
      <w:r w:rsidRPr="00DC113E">
        <w:rPr>
          <w:snapToGrid w:val="0"/>
          <w:color w:val="000000"/>
          <w:kern w:val="0"/>
          <w:szCs w:val="24"/>
        </w:rPr>
        <w:t xml:space="preserve">B) GO pathways in Py-L1 cells are presented. The x-axis represents </w:t>
      </w:r>
      <w:proofErr w:type="spellStart"/>
      <w:r w:rsidRPr="00DC113E">
        <w:rPr>
          <w:snapToGrid w:val="0"/>
          <w:color w:val="000000"/>
          <w:kern w:val="0"/>
          <w:szCs w:val="24"/>
        </w:rPr>
        <w:t>GeneRatio</w:t>
      </w:r>
      <w:proofErr w:type="spellEnd"/>
      <w:r w:rsidRPr="00DC113E">
        <w:rPr>
          <w:snapToGrid w:val="0"/>
          <w:color w:val="000000"/>
          <w:kern w:val="0"/>
          <w:szCs w:val="24"/>
        </w:rPr>
        <w:t>, defined as the number of genes enriched in a specific pathway divided by the total number of genes in the input gene set. The y-axis represents the specific biological pathways. The size of each bubble indicates the gene count (i.e., the number of genes enriched in the GO term), with larger bubbles representing more genes. The color of each bubble represents the significance of the pathway, expressed as the negative logarithm of the </w:t>
      </w:r>
      <w:r w:rsidRPr="00DC113E">
        <w:rPr>
          <w:i/>
          <w:iCs/>
          <w:snapToGrid w:val="0"/>
          <w:color w:val="000000"/>
          <w:kern w:val="0"/>
          <w:szCs w:val="24"/>
        </w:rPr>
        <w:t>P</w:t>
      </w:r>
      <w:r w:rsidRPr="00DC113E">
        <w:rPr>
          <w:snapToGrid w:val="0"/>
          <w:color w:val="000000"/>
          <w:kern w:val="0"/>
          <w:szCs w:val="24"/>
        </w:rPr>
        <w:t> value (−log₁</w:t>
      </w:r>
      <w:proofErr w:type="gramStart"/>
      <w:r w:rsidRPr="00DC113E">
        <w:rPr>
          <w:snapToGrid w:val="0"/>
          <w:color w:val="000000"/>
          <w:kern w:val="0"/>
          <w:szCs w:val="24"/>
        </w:rPr>
        <w:t>₀(</w:t>
      </w:r>
      <w:proofErr w:type="gramEnd"/>
      <w:r w:rsidRPr="00DC113E">
        <w:rPr>
          <w:i/>
          <w:iCs/>
          <w:snapToGrid w:val="0"/>
          <w:color w:val="000000"/>
          <w:kern w:val="0"/>
          <w:szCs w:val="24"/>
        </w:rPr>
        <w:t>P</w:t>
      </w:r>
      <w:r w:rsidRPr="00DC113E">
        <w:rPr>
          <w:snapToGrid w:val="0"/>
          <w:color w:val="000000"/>
          <w:kern w:val="0"/>
          <w:szCs w:val="24"/>
        </w:rPr>
        <w:t> value)), with redder bubbles indicating more significant </w:t>
      </w:r>
      <w:r w:rsidRPr="00E60993">
        <w:rPr>
          <w:i/>
          <w:iCs/>
          <w:snapToGrid w:val="0"/>
          <w:color w:val="000000"/>
          <w:kern w:val="0"/>
          <w:szCs w:val="24"/>
        </w:rPr>
        <w:t>P </w:t>
      </w:r>
      <w:r w:rsidRPr="00DC113E">
        <w:rPr>
          <w:snapToGrid w:val="0"/>
          <w:color w:val="000000"/>
          <w:kern w:val="0"/>
          <w:szCs w:val="24"/>
        </w:rPr>
        <w:t>values.</w:t>
      </w:r>
    </w:p>
    <w:p w14:paraId="1E87CA74" w14:textId="77777777" w:rsidR="00DC113E" w:rsidRPr="00DC113E" w:rsidRDefault="00DC113E" w:rsidP="00E60993">
      <w:pPr>
        <w:rPr>
          <w:snapToGrid w:val="0"/>
          <w:color w:val="000000"/>
          <w:kern w:val="0"/>
          <w:szCs w:val="24"/>
        </w:rPr>
      </w:pPr>
    </w:p>
    <w:p w14:paraId="5A01D19F" w14:textId="77777777" w:rsidR="006C50C3" w:rsidRPr="00E60993" w:rsidRDefault="00000000" w:rsidP="00E60993">
      <w:pPr>
        <w:jc w:val="center"/>
        <w:rPr>
          <w:snapToGrid w:val="0"/>
          <w:color w:val="000000"/>
          <w:kern w:val="0"/>
          <w:sz w:val="20"/>
        </w:rPr>
      </w:pPr>
      <w:r w:rsidRPr="00E60993">
        <w:rPr>
          <w:noProof/>
          <w:sz w:val="20"/>
        </w:rPr>
        <w:lastRenderedPageBreak/>
        <mc:AlternateContent>
          <mc:Choice Requires="wps">
            <w:drawing>
              <wp:anchor distT="0" distB="0" distL="114300" distR="114300" simplePos="0" relativeHeight="251613696" behindDoc="0" locked="0" layoutInCell="1" allowOverlap="1" wp14:anchorId="210BB6D7" wp14:editId="59722587">
                <wp:simplePos x="0" y="0"/>
                <wp:positionH relativeFrom="column">
                  <wp:posOffset>502285</wp:posOffset>
                </wp:positionH>
                <wp:positionV relativeFrom="paragraph">
                  <wp:posOffset>3175</wp:posOffset>
                </wp:positionV>
                <wp:extent cx="692785" cy="492760"/>
                <wp:effectExtent l="0" t="0" r="0" b="0"/>
                <wp:wrapNone/>
                <wp:docPr id="6" name="文本框 425"/>
                <wp:cNvGraphicFramePr/>
                <a:graphic xmlns:a="http://schemas.openxmlformats.org/drawingml/2006/main">
                  <a:graphicData uri="http://schemas.microsoft.com/office/word/2010/wordprocessingShape">
                    <wps:wsp>
                      <wps:cNvSpPr txBox="1"/>
                      <wps:spPr>
                        <a:xfrm>
                          <a:off x="0" y="0"/>
                          <a:ext cx="692785" cy="492760"/>
                        </a:xfrm>
                        <a:prstGeom prst="rect">
                          <a:avLst/>
                        </a:prstGeom>
                        <a:noFill/>
                        <a:ln>
                          <a:noFill/>
                        </a:ln>
                      </wps:spPr>
                      <wps:txbx>
                        <w:txbxContent>
                          <w:p w14:paraId="58282B21" w14:textId="77777777" w:rsidR="006C50C3" w:rsidRDefault="00000000">
                            <w:pPr>
                              <w:rPr>
                                <w:sz w:val="52"/>
                                <w:szCs w:val="52"/>
                              </w:rPr>
                            </w:pPr>
                            <w:r>
                              <w:rPr>
                                <w:rFonts w:hint="eastAsia"/>
                                <w:sz w:val="52"/>
                                <w:szCs w:val="52"/>
                              </w:rPr>
                              <w:t>A</w:t>
                            </w:r>
                          </w:p>
                        </w:txbxContent>
                      </wps:txbx>
                      <wps:bodyPr vert="horz" wrap="square" anchor="t" anchorCtr="0" upright="1"/>
                    </wps:wsp>
                  </a:graphicData>
                </a:graphic>
              </wp:anchor>
            </w:drawing>
          </mc:Choice>
          <mc:Fallback>
            <w:pict>
              <v:shape w14:anchorId="210BB6D7" id="_x0000_s1028" type="#_x0000_t202" style="position:absolute;left:0;text-align:left;margin-left:39.55pt;margin-top:.25pt;width:54.55pt;height:38.8pt;z-index:251613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qdakwEAABMDAAAOAAAAZHJzL2Uyb0RvYy54bWysUsFOIzEMva/EP0S505SK7cKoKRIguKx2&#10;VwI+IM0knUiTODhpZ7pfv06g7QI3xMVx7OT5+dmLq9H3bGswOQiSn02mnJmgoXVhLfnT493pBWcp&#10;q9CqHoKRfGcSv1qefFsMsTEz6KBvDTICCakZouRdzrERIunOeJUmEE2gpAX0KtMV16JFNRC678Vs&#10;Op2LAbCNCNqkRNHblyRfVnxrjc6/rU0ms15y4parxWpXxYrlQjVrVLFz+pWG+gQLr1ygogeoW5UV&#10;26D7AOWdRkhg80SDF2Ct06b2QN2cTd9189CpaGovJE6KB5nS18HqX9uH+AdZHq9hpAEWQYaYmkTB&#10;0s9o0ZeTmDLKk4S7g2xmzExTcH45+3HxnTNNqXPy51VWcfwcMeV7A54VR3KkqVSx1PZnylSQnu6f&#10;lFoB7lzf18n04U2AHpaIODIsXh5XI3Ot5LM9+xW0O2qK9pLKdYB/ORtoxpKn541Cw5kKmsKS5717&#10;k1+WYhPRrTv6VZWohUj5SvF1S8po/79XOsddXv4DAAD//wMAUEsDBBQABgAIAAAAIQAyAe0e2QAA&#10;AAYBAAAPAAAAZHJzL2Rvd25yZXYueG1sTI7LTsMwEEX3SPyDNUjs6DgVhTTEqRCILYjykNi58TSJ&#10;iMdR7Dbh75muYHkfuveUm9n36khj7AIbyBYaFHEdXMeNgfe3p6scVEyWne0Dk4EfirCpzs9KW7gw&#10;8Ssdt6lRMsKxsAbalIYCMdYteRsXYSCWbB9Gb5PIsUE32knGfY9LrW/Q247lobUDPbRUf28P3sDH&#10;8/7r81q/NI9+NUxh1sh+jcZcXsz3d6ASzemvDCd8QYdKmHbhwC6q3sDtOpOmgRWoU5rnS1A7sfMM&#10;sCrxP371CwAA//8DAFBLAQItABQABgAIAAAAIQC2gziS/gAAAOEBAAATAAAAAAAAAAAAAAAAAAAA&#10;AABbQ29udGVudF9UeXBlc10ueG1sUEsBAi0AFAAGAAgAAAAhADj9If/WAAAAlAEAAAsAAAAAAAAA&#10;AAAAAAAALwEAAF9yZWxzLy5yZWxzUEsBAi0AFAAGAAgAAAAhAHaap1qTAQAAEwMAAA4AAAAAAAAA&#10;AAAAAAAALgIAAGRycy9lMm9Eb2MueG1sUEsBAi0AFAAGAAgAAAAhADIB7R7ZAAAABgEAAA8AAAAA&#10;AAAAAAAAAAAA7QMAAGRycy9kb3ducmV2LnhtbFBLBQYAAAAABAAEAPMAAADzBAAAAAA=&#10;" filled="f" stroked="f">
                <v:textbox>
                  <w:txbxContent>
                    <w:p w14:paraId="58282B21" w14:textId="77777777" w:rsidR="006C50C3" w:rsidRDefault="00000000">
                      <w:pPr>
                        <w:rPr>
                          <w:sz w:val="52"/>
                          <w:szCs w:val="52"/>
                        </w:rPr>
                      </w:pPr>
                      <w:r>
                        <w:rPr>
                          <w:rFonts w:hint="eastAsia"/>
                          <w:sz w:val="52"/>
                          <w:szCs w:val="52"/>
                        </w:rPr>
                        <w:t>A</w:t>
                      </w:r>
                    </w:p>
                  </w:txbxContent>
                </v:textbox>
              </v:shape>
            </w:pict>
          </mc:Fallback>
        </mc:AlternateContent>
      </w:r>
      <w:r w:rsidRPr="00E60993">
        <w:rPr>
          <w:noProof/>
          <w:snapToGrid w:val="0"/>
          <w:color w:val="000000"/>
          <w:kern w:val="0"/>
          <w:sz w:val="20"/>
        </w:rPr>
        <w:drawing>
          <wp:inline distT="0" distB="0" distL="114300" distR="114300" wp14:anchorId="0B169A91" wp14:editId="7D345D13">
            <wp:extent cx="3952875" cy="2070100"/>
            <wp:effectExtent l="0" t="0" r="9525" b="2540"/>
            <wp:docPr id="14" name="图片 59" descr="L1 GO 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59" descr="L1 GO 上"/>
                    <pic:cNvPicPr>
                      <a:picLocks noChangeAspect="1"/>
                    </pic:cNvPicPr>
                  </pic:nvPicPr>
                  <pic:blipFill>
                    <a:blip r:embed="rId9"/>
                    <a:stretch>
                      <a:fillRect/>
                    </a:stretch>
                  </pic:blipFill>
                  <pic:spPr>
                    <a:xfrm>
                      <a:off x="0" y="0"/>
                      <a:ext cx="3952875" cy="2070100"/>
                    </a:xfrm>
                    <a:prstGeom prst="rect">
                      <a:avLst/>
                    </a:prstGeom>
                    <a:noFill/>
                    <a:ln>
                      <a:noFill/>
                    </a:ln>
                  </pic:spPr>
                </pic:pic>
              </a:graphicData>
            </a:graphic>
          </wp:inline>
        </w:drawing>
      </w:r>
    </w:p>
    <w:p w14:paraId="12D396C8" w14:textId="7C42B864" w:rsidR="006C50C3" w:rsidRPr="00E60993" w:rsidRDefault="00000000" w:rsidP="00E60993">
      <w:pPr>
        <w:rPr>
          <w:snapToGrid w:val="0"/>
          <w:color w:val="000000"/>
          <w:kern w:val="0"/>
          <w:sz w:val="20"/>
        </w:rPr>
      </w:pPr>
      <w:r w:rsidRPr="00E60993">
        <w:rPr>
          <w:noProof/>
          <w:sz w:val="20"/>
        </w:rPr>
        <mc:AlternateContent>
          <mc:Choice Requires="wps">
            <w:drawing>
              <wp:anchor distT="0" distB="0" distL="114300" distR="114300" simplePos="0" relativeHeight="251622912" behindDoc="0" locked="0" layoutInCell="1" allowOverlap="1" wp14:anchorId="5CE3AF24" wp14:editId="25C2E10E">
                <wp:simplePos x="0" y="0"/>
                <wp:positionH relativeFrom="column">
                  <wp:posOffset>521335</wp:posOffset>
                </wp:positionH>
                <wp:positionV relativeFrom="paragraph">
                  <wp:posOffset>170815</wp:posOffset>
                </wp:positionV>
                <wp:extent cx="692785" cy="492760"/>
                <wp:effectExtent l="0" t="0" r="0" b="0"/>
                <wp:wrapNone/>
                <wp:docPr id="7" name="文本框 426"/>
                <wp:cNvGraphicFramePr/>
                <a:graphic xmlns:a="http://schemas.openxmlformats.org/drawingml/2006/main">
                  <a:graphicData uri="http://schemas.microsoft.com/office/word/2010/wordprocessingShape">
                    <wps:wsp>
                      <wps:cNvSpPr txBox="1"/>
                      <wps:spPr>
                        <a:xfrm>
                          <a:off x="0" y="0"/>
                          <a:ext cx="692785" cy="492760"/>
                        </a:xfrm>
                        <a:prstGeom prst="rect">
                          <a:avLst/>
                        </a:prstGeom>
                        <a:noFill/>
                        <a:ln>
                          <a:noFill/>
                        </a:ln>
                      </wps:spPr>
                      <wps:txbx>
                        <w:txbxContent>
                          <w:p w14:paraId="0A5B89B0" w14:textId="77777777" w:rsidR="006C50C3" w:rsidRDefault="00000000">
                            <w:pPr>
                              <w:rPr>
                                <w:sz w:val="52"/>
                                <w:szCs w:val="52"/>
                              </w:rPr>
                            </w:pPr>
                            <w:r>
                              <w:rPr>
                                <w:rFonts w:hint="eastAsia"/>
                                <w:sz w:val="52"/>
                                <w:szCs w:val="52"/>
                              </w:rPr>
                              <w:t>B</w:t>
                            </w:r>
                          </w:p>
                        </w:txbxContent>
                      </wps:txbx>
                      <wps:bodyPr wrap="square" upright="1"/>
                    </wps:wsp>
                  </a:graphicData>
                </a:graphic>
              </wp:anchor>
            </w:drawing>
          </mc:Choice>
          <mc:Fallback>
            <w:pict>
              <v:shape w14:anchorId="5CE3AF24" id="_x0000_s1029" type="#_x0000_t202" style="position:absolute;left:0;text-align:left;margin-left:41.05pt;margin-top:13.45pt;width:54.55pt;height:38.8pt;z-index:251622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r4hgQEAAO4CAAAOAAAAZHJzL2Uyb0RvYy54bWysUsFu2zAMvRfYPwi6L0qzLW2NOAWGor0M&#10;24C2H6DIUizAEjVSiZ2/L6W1Sdvdhl5oiaTf43vU6noKg9hbJA+xleezuRQ2Guh83Lby8eH286UU&#10;lHXs9ADRtvJgSV6vP52txtTYBfQwdBYFg0RqxtTKPufUKEWmt0HTDJKNXHSAQWe+4lZ1qEdGD4Na&#10;zOdLNQJ2CcFYIs7e/C3KdcV3zpr8yzmyWQyt5NlyjVjjpkS1Xulmizr13jyPof9jiqB9ZNIj1I3O&#10;WuzQ/wMVvEEgcHlmIChwzhtbNbCa8/k7Nfe9TrZqYXMoHW2ij4M1P/f36TeKPH2HiRdYDBkTNcTJ&#10;omdyGMqXJxVcZwsPR9vslIXh5PJqcXH5TQrDpa98XlZb1ennhJTvLARRDq1E3ko1S+9/UGZCbn1p&#10;KVwRbv0w1M0M8U2CG0tGnSYspzxtJuG7Vn55mX4D3YFFjbzXVtKfnUYrxS6h3/bMX0VWDDa1sj8/&#10;gLK11/fKdHqm6ycAAAD//wMAUEsDBBQABgAIAAAAIQBOY4Hj3gAAAAkBAAAPAAAAZHJzL2Rvd25y&#10;ZXYueG1sTI/BTsMwEETvSPyDtUi90XWitmpCnKoq4lpEC0jc3HibRMTrKHab8Pe4J7jNakYzb4vN&#10;ZDtxpcG3jhUkcwmCuHKm5VrB+/HlcQ3CB81Gd45JwQ952JT3d4XOjRv5ja6HUItYwj7XCpoQ+hzR&#10;Vw1Z7eeuJ47e2Q1Wh3gONZpBj7HcdphKuUKrW44Lje5p11D1fbhYBR/789fnQr7Wz3bZj26SyDZD&#10;pWYP0/YJRKAp/IXhhh/RoYxMJ3dh40WnYJ0mMakgXWUgbn6WpCBOUcjFErAs8P8H5S8AAAD//wMA&#10;UEsBAi0AFAAGAAgAAAAhALaDOJL+AAAA4QEAABMAAAAAAAAAAAAAAAAAAAAAAFtDb250ZW50X1R5&#10;cGVzXS54bWxQSwECLQAUAAYACAAAACEAOP0h/9YAAACUAQAACwAAAAAAAAAAAAAAAAAvAQAAX3Jl&#10;bHMvLnJlbHNQSwECLQAUAAYACAAAACEAyS6+IYEBAADuAgAADgAAAAAAAAAAAAAAAAAuAgAAZHJz&#10;L2Uyb0RvYy54bWxQSwECLQAUAAYACAAAACEATmOB494AAAAJAQAADwAAAAAAAAAAAAAAAADbAwAA&#10;ZHJzL2Rvd25yZXYueG1sUEsFBgAAAAAEAAQA8wAAAOYEAAAAAA==&#10;" filled="f" stroked="f">
                <v:textbox>
                  <w:txbxContent>
                    <w:p w14:paraId="0A5B89B0" w14:textId="77777777" w:rsidR="006C50C3" w:rsidRDefault="00000000">
                      <w:pPr>
                        <w:rPr>
                          <w:sz w:val="52"/>
                          <w:szCs w:val="52"/>
                        </w:rPr>
                      </w:pPr>
                      <w:r>
                        <w:rPr>
                          <w:rFonts w:hint="eastAsia"/>
                          <w:sz w:val="52"/>
                          <w:szCs w:val="52"/>
                        </w:rPr>
                        <w:t>B</w:t>
                      </w:r>
                    </w:p>
                  </w:txbxContent>
                </v:textbox>
              </v:shape>
            </w:pict>
          </mc:Fallback>
        </mc:AlternateContent>
      </w:r>
    </w:p>
    <w:p w14:paraId="5A4C3E36" w14:textId="0CB3CADE" w:rsidR="006C50C3" w:rsidRPr="00E60993" w:rsidRDefault="00000000" w:rsidP="00E60993">
      <w:pPr>
        <w:jc w:val="center"/>
        <w:rPr>
          <w:snapToGrid w:val="0"/>
          <w:color w:val="000000"/>
          <w:kern w:val="0"/>
          <w:sz w:val="20"/>
        </w:rPr>
      </w:pPr>
      <w:r w:rsidRPr="00E60993">
        <w:rPr>
          <w:noProof/>
          <w:snapToGrid w:val="0"/>
          <w:color w:val="000000"/>
          <w:kern w:val="0"/>
          <w:sz w:val="20"/>
        </w:rPr>
        <w:drawing>
          <wp:inline distT="0" distB="0" distL="114300" distR="114300" wp14:anchorId="40409BEB" wp14:editId="09AA6B4E">
            <wp:extent cx="3656330" cy="1919605"/>
            <wp:effectExtent l="0" t="0" r="1270" b="635"/>
            <wp:docPr id="15" name="图片 62" descr="L1 GO 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62" descr="L1 GO 下"/>
                    <pic:cNvPicPr>
                      <a:picLocks noChangeAspect="1"/>
                    </pic:cNvPicPr>
                  </pic:nvPicPr>
                  <pic:blipFill>
                    <a:blip r:embed="rId10"/>
                    <a:stretch>
                      <a:fillRect/>
                    </a:stretch>
                  </pic:blipFill>
                  <pic:spPr>
                    <a:xfrm>
                      <a:off x="0" y="0"/>
                      <a:ext cx="3656330" cy="1919605"/>
                    </a:xfrm>
                    <a:prstGeom prst="rect">
                      <a:avLst/>
                    </a:prstGeom>
                    <a:noFill/>
                    <a:ln>
                      <a:noFill/>
                    </a:ln>
                  </pic:spPr>
                </pic:pic>
              </a:graphicData>
            </a:graphic>
          </wp:inline>
        </w:drawing>
      </w:r>
    </w:p>
    <w:p w14:paraId="39FB895D" w14:textId="77777777" w:rsidR="006C50C3" w:rsidRPr="00E60993" w:rsidRDefault="006C50C3" w:rsidP="00E60993">
      <w:pPr>
        <w:jc w:val="center"/>
        <w:rPr>
          <w:snapToGrid w:val="0"/>
          <w:color w:val="000000"/>
          <w:kern w:val="0"/>
          <w:sz w:val="20"/>
        </w:rPr>
      </w:pPr>
    </w:p>
    <w:p w14:paraId="01D19645" w14:textId="3EAE489B" w:rsidR="006C50C3" w:rsidRPr="00E60993" w:rsidRDefault="00000000" w:rsidP="00E60993">
      <w:pPr>
        <w:jc w:val="center"/>
        <w:rPr>
          <w:snapToGrid w:val="0"/>
          <w:color w:val="000000"/>
          <w:kern w:val="0"/>
          <w:sz w:val="20"/>
        </w:rPr>
      </w:pPr>
      <w:r w:rsidRPr="00E60993">
        <w:rPr>
          <w:b/>
          <w:bCs/>
          <w:snapToGrid w:val="0"/>
          <w:color w:val="000000"/>
          <w:kern w:val="0"/>
          <w:sz w:val="20"/>
        </w:rPr>
        <w:t>Fig</w:t>
      </w:r>
      <w:r w:rsidRPr="00E60993">
        <w:rPr>
          <w:rFonts w:hint="eastAsia"/>
          <w:b/>
          <w:bCs/>
          <w:snapToGrid w:val="0"/>
          <w:color w:val="000000"/>
          <w:kern w:val="0"/>
          <w:sz w:val="20"/>
        </w:rPr>
        <w:t xml:space="preserve">ure </w:t>
      </w:r>
      <w:r w:rsidRPr="00E60993">
        <w:rPr>
          <w:b/>
          <w:bCs/>
          <w:snapToGrid w:val="0"/>
          <w:color w:val="000000"/>
          <w:kern w:val="0"/>
          <w:sz w:val="20"/>
        </w:rPr>
        <w:t>3.</w:t>
      </w:r>
      <w:r w:rsidRPr="00E60993">
        <w:rPr>
          <w:snapToGrid w:val="0"/>
          <w:color w:val="000000"/>
          <w:kern w:val="0"/>
          <w:sz w:val="20"/>
        </w:rPr>
        <w:t xml:space="preserve"> GO pathway analysis of differential genes in PyMT-1 and Py-L1 cells</w:t>
      </w:r>
      <w:r w:rsidR="00DC113E" w:rsidRPr="00E60993">
        <w:rPr>
          <w:snapToGrid w:val="0"/>
          <w:color w:val="000000"/>
          <w:kern w:val="0"/>
          <w:sz w:val="20"/>
        </w:rPr>
        <w:t>.</w:t>
      </w:r>
    </w:p>
    <w:p w14:paraId="607E949B" w14:textId="77777777" w:rsidR="006C50C3" w:rsidRPr="00DC113E" w:rsidRDefault="006C50C3" w:rsidP="00E60993">
      <w:pPr>
        <w:rPr>
          <w:snapToGrid w:val="0"/>
          <w:color w:val="000000"/>
          <w:kern w:val="0"/>
          <w:szCs w:val="24"/>
        </w:rPr>
      </w:pPr>
    </w:p>
    <w:p w14:paraId="7317D959" w14:textId="77777777" w:rsidR="006C50C3" w:rsidRPr="00E60993" w:rsidRDefault="00000000" w:rsidP="00E60993">
      <w:pPr>
        <w:rPr>
          <w:b/>
          <w:bCs/>
          <w:snapToGrid w:val="0"/>
          <w:color w:val="000000"/>
          <w:kern w:val="0"/>
          <w:szCs w:val="24"/>
        </w:rPr>
      </w:pPr>
      <w:r w:rsidRPr="00E60993">
        <w:rPr>
          <w:rFonts w:hint="eastAsia"/>
          <w:b/>
          <w:bCs/>
          <w:szCs w:val="24"/>
        </w:rPr>
        <w:t>3.</w:t>
      </w:r>
      <w:r w:rsidRPr="00E60993">
        <w:rPr>
          <w:b/>
          <w:bCs/>
          <w:szCs w:val="24"/>
        </w:rPr>
        <w:t>2.1.2.</w:t>
      </w:r>
      <w:r w:rsidRPr="00E60993">
        <w:rPr>
          <w:rFonts w:hint="eastAsia"/>
          <w:b/>
          <w:bCs/>
          <w:szCs w:val="24"/>
        </w:rPr>
        <w:t xml:space="preserve">2. </w:t>
      </w:r>
      <w:r w:rsidRPr="00E60993">
        <w:rPr>
          <w:b/>
          <w:bCs/>
          <w:snapToGrid w:val="0"/>
          <w:color w:val="000000"/>
          <w:kern w:val="0"/>
          <w:szCs w:val="24"/>
        </w:rPr>
        <w:t xml:space="preserve">Results of KEGG </w:t>
      </w:r>
      <w:r w:rsidRPr="00E60993">
        <w:rPr>
          <w:rFonts w:hint="eastAsia"/>
          <w:b/>
          <w:bCs/>
          <w:snapToGrid w:val="0"/>
          <w:color w:val="000000"/>
          <w:kern w:val="0"/>
          <w:szCs w:val="24"/>
        </w:rPr>
        <w:t>p</w:t>
      </w:r>
      <w:r w:rsidRPr="00E60993">
        <w:rPr>
          <w:b/>
          <w:bCs/>
          <w:snapToGrid w:val="0"/>
          <w:color w:val="000000"/>
          <w:kern w:val="0"/>
          <w:szCs w:val="24"/>
        </w:rPr>
        <w:t xml:space="preserve">athway </w:t>
      </w:r>
      <w:r w:rsidRPr="00E60993">
        <w:rPr>
          <w:rFonts w:hint="eastAsia"/>
          <w:b/>
          <w:bCs/>
          <w:snapToGrid w:val="0"/>
          <w:color w:val="000000"/>
          <w:kern w:val="0"/>
          <w:szCs w:val="24"/>
        </w:rPr>
        <w:t>e</w:t>
      </w:r>
      <w:r w:rsidRPr="00E60993">
        <w:rPr>
          <w:b/>
          <w:bCs/>
          <w:snapToGrid w:val="0"/>
          <w:color w:val="000000"/>
          <w:kern w:val="0"/>
          <w:szCs w:val="24"/>
        </w:rPr>
        <w:t xml:space="preserve">nrichment </w:t>
      </w:r>
      <w:r w:rsidRPr="00E60993">
        <w:rPr>
          <w:rFonts w:hint="eastAsia"/>
          <w:b/>
          <w:bCs/>
          <w:snapToGrid w:val="0"/>
          <w:color w:val="000000"/>
          <w:kern w:val="0"/>
          <w:szCs w:val="24"/>
        </w:rPr>
        <w:t>a</w:t>
      </w:r>
      <w:r w:rsidRPr="00E60993">
        <w:rPr>
          <w:b/>
          <w:bCs/>
          <w:snapToGrid w:val="0"/>
          <w:color w:val="000000"/>
          <w:kern w:val="0"/>
          <w:szCs w:val="24"/>
        </w:rPr>
        <w:t xml:space="preserve">nalysis </w:t>
      </w:r>
    </w:p>
    <w:p w14:paraId="74FA1068" w14:textId="77777777" w:rsidR="006C50C3" w:rsidRPr="00DC113E" w:rsidRDefault="00000000" w:rsidP="00E60993">
      <w:pPr>
        <w:rPr>
          <w:snapToGrid w:val="0"/>
          <w:color w:val="000000"/>
          <w:kern w:val="0"/>
          <w:szCs w:val="24"/>
        </w:rPr>
      </w:pPr>
      <w:r w:rsidRPr="00DC113E">
        <w:rPr>
          <w:snapToGrid w:val="0"/>
          <w:color w:val="000000"/>
          <w:kern w:val="0"/>
          <w:szCs w:val="24"/>
        </w:rPr>
        <w:t xml:space="preserve">KEGG is a comprehensive database that integrates genomic, chemical, and systemic functional information. KEGG </w:t>
      </w:r>
      <w:r w:rsidRPr="00DC113E">
        <w:rPr>
          <w:snapToGrid w:val="0"/>
          <w:color w:val="000000"/>
          <w:kern w:val="0"/>
          <w:szCs w:val="24"/>
          <w:vertAlign w:val="superscript"/>
        </w:rPr>
        <w:t>[4]</w:t>
      </w:r>
      <w:r w:rsidRPr="00DC113E">
        <w:rPr>
          <w:snapToGrid w:val="0"/>
          <w:color w:val="000000"/>
          <w:kern w:val="0"/>
          <w:szCs w:val="24"/>
        </w:rPr>
        <w:t xml:space="preserve"> pathway enrichment analysis can identify significantly affected metabolic and signal transduction pathways. A significance enrichment threshold of </w:t>
      </w:r>
      <w:r w:rsidRPr="00DC113E">
        <w:rPr>
          <w:i/>
          <w:iCs/>
          <w:snapToGrid w:val="0"/>
          <w:color w:val="000000"/>
          <w:kern w:val="0"/>
          <w:szCs w:val="24"/>
        </w:rPr>
        <w:t>P</w:t>
      </w:r>
      <w:r w:rsidRPr="00DC113E">
        <w:rPr>
          <w:snapToGrid w:val="0"/>
          <w:color w:val="000000"/>
          <w:kern w:val="0"/>
          <w:szCs w:val="24"/>
        </w:rPr>
        <w:t xml:space="preserve"> &lt; 0.05 was used for KEGG pathway enrichment, and the top 10 significantly enriched pathways were selected. The visualization of the enrichment results in a bubble plot is shown below (</w:t>
      </w:r>
      <w:r w:rsidRPr="00E60993">
        <w:rPr>
          <w:b/>
          <w:bCs/>
          <w:snapToGrid w:val="0"/>
          <w:color w:val="000000"/>
          <w:kern w:val="0"/>
          <w:szCs w:val="24"/>
        </w:rPr>
        <w:t>Fig</w:t>
      </w:r>
      <w:r w:rsidRPr="00E60993">
        <w:rPr>
          <w:rFonts w:hint="eastAsia"/>
          <w:b/>
          <w:bCs/>
          <w:snapToGrid w:val="0"/>
          <w:color w:val="000000"/>
          <w:kern w:val="0"/>
          <w:szCs w:val="24"/>
        </w:rPr>
        <w:t xml:space="preserve">ure </w:t>
      </w:r>
      <w:r w:rsidRPr="00E60993">
        <w:rPr>
          <w:b/>
          <w:bCs/>
          <w:snapToGrid w:val="0"/>
          <w:color w:val="000000"/>
          <w:kern w:val="0"/>
          <w:szCs w:val="24"/>
        </w:rPr>
        <w:t>4</w:t>
      </w:r>
      <w:r w:rsidRPr="00DC113E">
        <w:rPr>
          <w:snapToGrid w:val="0"/>
          <w:color w:val="000000"/>
          <w:kern w:val="0"/>
          <w:szCs w:val="24"/>
        </w:rPr>
        <w:t xml:space="preserve">). </w:t>
      </w:r>
    </w:p>
    <w:p w14:paraId="38546755" w14:textId="77777777" w:rsidR="006C50C3" w:rsidRPr="00DC113E" w:rsidRDefault="00000000" w:rsidP="00E60993">
      <w:pPr>
        <w:ind w:firstLine="420"/>
        <w:rPr>
          <w:snapToGrid w:val="0"/>
          <w:color w:val="000000"/>
          <w:kern w:val="0"/>
          <w:szCs w:val="24"/>
        </w:rPr>
      </w:pPr>
      <w:r w:rsidRPr="00DC113E">
        <w:rPr>
          <w:snapToGrid w:val="0"/>
          <w:color w:val="000000"/>
          <w:kern w:val="0"/>
          <w:szCs w:val="24"/>
        </w:rPr>
        <w:t>Compared to PyMT-1, the KEGG pathways that are upregulated (</w:t>
      </w:r>
      <w:r w:rsidRPr="00E60993">
        <w:rPr>
          <w:b/>
          <w:bCs/>
          <w:snapToGrid w:val="0"/>
          <w:color w:val="000000"/>
          <w:kern w:val="0"/>
          <w:szCs w:val="24"/>
        </w:rPr>
        <w:t xml:space="preserve">Figure </w:t>
      </w:r>
      <w:r w:rsidRPr="00E60993">
        <w:rPr>
          <w:rFonts w:hint="eastAsia"/>
          <w:b/>
          <w:bCs/>
          <w:snapToGrid w:val="0"/>
          <w:color w:val="000000"/>
          <w:kern w:val="0"/>
          <w:szCs w:val="24"/>
        </w:rPr>
        <w:t>4</w:t>
      </w:r>
      <w:r w:rsidRPr="00E60993">
        <w:rPr>
          <w:b/>
          <w:bCs/>
          <w:snapToGrid w:val="0"/>
          <w:color w:val="000000"/>
          <w:kern w:val="0"/>
          <w:szCs w:val="24"/>
        </w:rPr>
        <w:t>A</w:t>
      </w:r>
      <w:r w:rsidRPr="00DC113E">
        <w:rPr>
          <w:snapToGrid w:val="0"/>
          <w:color w:val="000000"/>
          <w:kern w:val="0"/>
          <w:szCs w:val="24"/>
        </w:rPr>
        <w:t>) and downregulated (</w:t>
      </w:r>
      <w:r w:rsidRPr="00E60993">
        <w:rPr>
          <w:b/>
          <w:bCs/>
          <w:snapToGrid w:val="0"/>
          <w:color w:val="000000"/>
          <w:kern w:val="0"/>
          <w:szCs w:val="24"/>
        </w:rPr>
        <w:t xml:space="preserve">Figure </w:t>
      </w:r>
      <w:r w:rsidRPr="00E60993">
        <w:rPr>
          <w:rFonts w:hint="eastAsia"/>
          <w:b/>
          <w:bCs/>
          <w:snapToGrid w:val="0"/>
          <w:color w:val="000000"/>
          <w:kern w:val="0"/>
          <w:szCs w:val="24"/>
        </w:rPr>
        <w:t>4</w:t>
      </w:r>
      <w:r w:rsidRPr="00E60993">
        <w:rPr>
          <w:b/>
          <w:bCs/>
          <w:snapToGrid w:val="0"/>
          <w:color w:val="000000"/>
          <w:kern w:val="0"/>
          <w:szCs w:val="24"/>
        </w:rPr>
        <w:t>B</w:t>
      </w:r>
      <w:r w:rsidRPr="00DC113E">
        <w:rPr>
          <w:snapToGrid w:val="0"/>
          <w:color w:val="000000"/>
          <w:kern w:val="0"/>
          <w:szCs w:val="24"/>
        </w:rPr>
        <w:t>) in Py-L1 cells are depicted; the x-axis represents the ratio of the number of differentially expressed genes annotated to the KEGG pathway to the total number of differentially expressed genes, while the y-axis represents the KEGG pathways. The size of the bubbles indicates the number of genes enriched in the KEGG pathway.</w:t>
      </w:r>
    </w:p>
    <w:p w14:paraId="190D03F8" w14:textId="77777777" w:rsidR="006C50C3" w:rsidRPr="00DC113E" w:rsidRDefault="006C50C3" w:rsidP="00E60993">
      <w:pPr>
        <w:rPr>
          <w:snapToGrid w:val="0"/>
          <w:color w:val="000000"/>
          <w:kern w:val="0"/>
          <w:szCs w:val="24"/>
        </w:rPr>
      </w:pPr>
    </w:p>
    <w:p w14:paraId="235DFDA3" w14:textId="77777777" w:rsidR="006C50C3" w:rsidRPr="00E60993" w:rsidRDefault="00000000" w:rsidP="00E60993">
      <w:pPr>
        <w:jc w:val="center"/>
        <w:rPr>
          <w:snapToGrid w:val="0"/>
          <w:color w:val="000000"/>
          <w:kern w:val="0"/>
          <w:sz w:val="20"/>
        </w:rPr>
      </w:pPr>
      <w:r w:rsidRPr="00E60993">
        <w:rPr>
          <w:noProof/>
          <w:sz w:val="20"/>
        </w:rPr>
        <mc:AlternateContent>
          <mc:Choice Requires="wps">
            <w:drawing>
              <wp:anchor distT="0" distB="0" distL="114300" distR="114300" simplePos="0" relativeHeight="251631104" behindDoc="0" locked="0" layoutInCell="1" allowOverlap="1" wp14:anchorId="69E33626" wp14:editId="4CA12D17">
                <wp:simplePos x="0" y="0"/>
                <wp:positionH relativeFrom="column">
                  <wp:posOffset>227965</wp:posOffset>
                </wp:positionH>
                <wp:positionV relativeFrom="paragraph">
                  <wp:posOffset>4445</wp:posOffset>
                </wp:positionV>
                <wp:extent cx="1073785" cy="619125"/>
                <wp:effectExtent l="0" t="0" r="0" b="0"/>
                <wp:wrapNone/>
                <wp:docPr id="8" name="文本框 427"/>
                <wp:cNvGraphicFramePr/>
                <a:graphic xmlns:a="http://schemas.openxmlformats.org/drawingml/2006/main">
                  <a:graphicData uri="http://schemas.microsoft.com/office/word/2010/wordprocessingShape">
                    <wps:wsp>
                      <wps:cNvSpPr txBox="1"/>
                      <wps:spPr>
                        <a:xfrm>
                          <a:off x="0" y="0"/>
                          <a:ext cx="1073785" cy="619125"/>
                        </a:xfrm>
                        <a:prstGeom prst="rect">
                          <a:avLst/>
                        </a:prstGeom>
                        <a:noFill/>
                        <a:ln>
                          <a:noFill/>
                        </a:ln>
                      </wps:spPr>
                      <wps:txbx>
                        <w:txbxContent>
                          <w:p w14:paraId="352C4943" w14:textId="77777777" w:rsidR="006C50C3" w:rsidRDefault="00000000">
                            <w:pPr>
                              <w:rPr>
                                <w:sz w:val="52"/>
                                <w:szCs w:val="52"/>
                              </w:rPr>
                            </w:pPr>
                            <w:r>
                              <w:rPr>
                                <w:rFonts w:hint="eastAsia"/>
                                <w:sz w:val="52"/>
                                <w:szCs w:val="52"/>
                              </w:rPr>
                              <w:t>A</w:t>
                            </w:r>
                          </w:p>
                        </w:txbxContent>
                      </wps:txbx>
                      <wps:bodyPr wrap="square" upright="1"/>
                    </wps:wsp>
                  </a:graphicData>
                </a:graphic>
              </wp:anchor>
            </w:drawing>
          </mc:Choice>
          <mc:Fallback>
            <w:pict>
              <v:shape w14:anchorId="69E33626" id="文本框 427" o:spid="_x0000_s1030" type="#_x0000_t202" style="position:absolute;left:0;text-align:left;margin-left:17.95pt;margin-top:.35pt;width:84.55pt;height:48.75pt;z-index:251631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jfIggEAAO8CAAAOAAAAZHJzL2Uyb0RvYy54bWysUk1vGyEQvUfqf0Dca9Zu89GV15GqKLlU&#10;baS0PwCz4EVaGDqDvet/34Ekdpveql4GmIE3771hfTuHURwskofYyeWikcJGA72Pu07++H7//kYK&#10;yjr2eoRoO3m0JG837y7WU2rtCgYYe4uCQSK1U+rkkHNqlSIz2KBpAclGLjrAoDMfcad61BOjh1Gt&#10;muZKTYB9QjCWiLN3z0W5qfjOWZO/OUc2i7GTzC3XiDVuS1SbtW53qNPgzQsN/Q8sgvaRm56g7nTW&#10;Yo/+L6jgDQKBywsDQYFz3tiqgdUsmzdqngadbNXC5lA62UT/D9Z8PTylRxR5/gwzD7AYMiVqiZNF&#10;z+wwlJWZCq6zhceTbXbOwpRHzfWH65tLKQzXrpaflqvLAqPOrxNSfrAQRNl0Enks1S19+EL5+err&#10;ldIswr0fxzqaMf6RYMySUWeKZZfn7Sx838mPr/S30B9Z1cSD7ST93Gu0UuwT+t3A/avKisGuVqIv&#10;P6CM7fdz7XT+p5tfAAAA//8DAFBLAwQUAAYACAAAACEAcKZFkdsAAAAGAQAADwAAAGRycy9kb3du&#10;cmV2LnhtbEyPwU7DMBBE70j8g7VI3KhNILQJ2VQIxBXUQpG4uck2iYjXUew24e9ZTnAczWjmTbGe&#10;Xa9ONIbOM8L1woAirnzdcYPw/vZ8tQIVouXa9p4J4ZsCrMvzs8LmtZ94Q6dtbJSUcMgtQhvjkGsd&#10;qpacDQs/EIt38KOzUeTY6Hq0k5S7XifG3GlnO5aF1g702FL1tT06hN3L4fPj1rw2Ty4dJj8bzS7T&#10;iJcX88M9qEhz/AvDL76gQylMe3/kOqge4SbNJImwBCVuYlJ5tkfIVgnostD/8csfAAAA//8DAFBL&#10;AQItABQABgAIAAAAIQC2gziS/gAAAOEBAAATAAAAAAAAAAAAAAAAAAAAAABbQ29udGVudF9UeXBl&#10;c10ueG1sUEsBAi0AFAAGAAgAAAAhADj9If/WAAAAlAEAAAsAAAAAAAAAAAAAAAAALwEAAF9yZWxz&#10;Ly5yZWxzUEsBAi0AFAAGAAgAAAAhAImON8iCAQAA7wIAAA4AAAAAAAAAAAAAAAAALgIAAGRycy9l&#10;Mm9Eb2MueG1sUEsBAi0AFAAGAAgAAAAhAHCmRZHbAAAABgEAAA8AAAAAAAAAAAAAAAAA3AMAAGRy&#10;cy9kb3ducmV2LnhtbFBLBQYAAAAABAAEAPMAAADkBAAAAAA=&#10;" filled="f" stroked="f">
                <v:textbox>
                  <w:txbxContent>
                    <w:p w14:paraId="352C4943" w14:textId="77777777" w:rsidR="006C50C3" w:rsidRDefault="00000000">
                      <w:pPr>
                        <w:rPr>
                          <w:sz w:val="52"/>
                          <w:szCs w:val="52"/>
                        </w:rPr>
                      </w:pPr>
                      <w:r>
                        <w:rPr>
                          <w:rFonts w:hint="eastAsia"/>
                          <w:sz w:val="52"/>
                          <w:szCs w:val="52"/>
                        </w:rPr>
                        <w:t>A</w:t>
                      </w:r>
                    </w:p>
                  </w:txbxContent>
                </v:textbox>
              </v:shape>
            </w:pict>
          </mc:Fallback>
        </mc:AlternateContent>
      </w:r>
      <w:r w:rsidRPr="00E60993">
        <w:rPr>
          <w:noProof/>
          <w:snapToGrid w:val="0"/>
          <w:color w:val="000000"/>
          <w:kern w:val="0"/>
          <w:sz w:val="20"/>
        </w:rPr>
        <w:drawing>
          <wp:inline distT="0" distB="0" distL="114300" distR="114300" wp14:anchorId="5E4BAAAA" wp14:editId="17DF1766">
            <wp:extent cx="3874770" cy="2056130"/>
            <wp:effectExtent l="0" t="0" r="11430" b="1270"/>
            <wp:docPr id="16" name="图片 38" descr="L1 KEGG 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38" descr="L1 KEGG 上"/>
                    <pic:cNvPicPr>
                      <a:picLocks noChangeAspect="1"/>
                    </pic:cNvPicPr>
                  </pic:nvPicPr>
                  <pic:blipFill>
                    <a:blip r:embed="rId11"/>
                    <a:stretch>
                      <a:fillRect/>
                    </a:stretch>
                  </pic:blipFill>
                  <pic:spPr>
                    <a:xfrm>
                      <a:off x="0" y="0"/>
                      <a:ext cx="3874770" cy="2056130"/>
                    </a:xfrm>
                    <a:prstGeom prst="rect">
                      <a:avLst/>
                    </a:prstGeom>
                    <a:noFill/>
                    <a:ln>
                      <a:noFill/>
                    </a:ln>
                  </pic:spPr>
                </pic:pic>
              </a:graphicData>
            </a:graphic>
          </wp:inline>
        </w:drawing>
      </w:r>
    </w:p>
    <w:p w14:paraId="67D8270F" w14:textId="77777777" w:rsidR="006C50C3" w:rsidRPr="00E60993" w:rsidRDefault="00000000" w:rsidP="00E60993">
      <w:pPr>
        <w:jc w:val="center"/>
        <w:rPr>
          <w:snapToGrid w:val="0"/>
          <w:color w:val="000000"/>
          <w:kern w:val="0"/>
          <w:sz w:val="20"/>
        </w:rPr>
      </w:pPr>
      <w:r w:rsidRPr="00E60993">
        <w:rPr>
          <w:noProof/>
          <w:sz w:val="20"/>
        </w:rPr>
        <w:lastRenderedPageBreak/>
        <mc:AlternateContent>
          <mc:Choice Requires="wps">
            <w:drawing>
              <wp:inline distT="0" distB="0" distL="114300" distR="114300" wp14:anchorId="64915D26" wp14:editId="37AF6461">
                <wp:extent cx="487680" cy="2419985"/>
                <wp:effectExtent l="0" t="0" r="0" b="0"/>
                <wp:docPr id="9" name="文本框 428"/>
                <wp:cNvGraphicFramePr/>
                <a:graphic xmlns:a="http://schemas.openxmlformats.org/drawingml/2006/main">
                  <a:graphicData uri="http://schemas.microsoft.com/office/word/2010/wordprocessingShape">
                    <wps:wsp>
                      <wps:cNvSpPr txBox="1"/>
                      <wps:spPr>
                        <a:xfrm>
                          <a:off x="0" y="0"/>
                          <a:ext cx="487680" cy="2419985"/>
                        </a:xfrm>
                        <a:prstGeom prst="rect">
                          <a:avLst/>
                        </a:prstGeom>
                        <a:noFill/>
                        <a:ln>
                          <a:noFill/>
                        </a:ln>
                      </wps:spPr>
                      <wps:txbx>
                        <w:txbxContent>
                          <w:p w14:paraId="40CFDC6B" w14:textId="77777777" w:rsidR="006C50C3" w:rsidRDefault="00000000">
                            <w:pPr>
                              <w:rPr>
                                <w:sz w:val="52"/>
                                <w:szCs w:val="52"/>
                              </w:rPr>
                            </w:pPr>
                            <w:r>
                              <w:rPr>
                                <w:rFonts w:hint="eastAsia"/>
                                <w:sz w:val="52"/>
                                <w:szCs w:val="52"/>
                              </w:rPr>
                              <w:t>B</w:t>
                            </w:r>
                          </w:p>
                        </w:txbxContent>
                      </wps:txbx>
                      <wps:bodyPr wrap="square" upright="1"/>
                    </wps:wsp>
                  </a:graphicData>
                </a:graphic>
              </wp:inline>
            </w:drawing>
          </mc:Choice>
          <mc:Fallback>
            <w:pict>
              <v:shape w14:anchorId="64915D26" id="文本框 428" o:spid="_x0000_s1031" type="#_x0000_t202" style="width:38.4pt;height:19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MYOggEAAO8CAAAOAAAAZHJzL2Uyb0RvYy54bWysUstu2zAQvBfoPxC817SNPBzBcoAgSC9B&#10;WyDtB9AUaREQucwubcl/3yWT2H3cglwocpaanZnl+nYKgzhYJA+xlYvZXAobDXQ+7lr56+fDl5UU&#10;lHXs9ADRtvJoSd5uPn9aj6mxS+hh6CwKJonUjKmVfc6pUYpMb4OmGSQbuegAg858xJ3qUI/MHga1&#10;nM+v1AjYJQRjiRi9fynKTeV3zpr83TmyWQytZG25rljXbVnVZq2bHerUe/MqQ79DRdA+ctMT1b3O&#10;WuzR/0cVvEEgcHlmIChwzhtbPbCbxfwfN0+9TrZ64XAonWKij6M13w5P6QeKPN3BxAMsgYyJGmKw&#10;+JkchvJlpYLrHOHxFJudsjAMXqyur1ZcMVxaXixublaXhUad/05I+auFIMqmlchjqWnpwyPll6tv&#10;V0qzCA9+GOpohvgXwJwFUWeJZZen7SR818ratyBb6I7sauTBtpKe9xqtFPuEftdz/+qycnCqVejr&#10;Cyhj+/NcO53f6eY3AAAA//8DAFBLAwQUAAYACAAAACEAsADWaNoAAAAEAQAADwAAAGRycy9kb3du&#10;cmV2LnhtbEyPzU7DMBCE70i8g7VI3KgdftoS4lQIxBXUQpG4beNtEhGvo9htwtuzcIHLSKtZzXxT&#10;rCbfqSMNsQ1sIZsZUMRVcC3XFt5eny6WoGJCdtgFJgtfFGFVnp4UmLsw8pqOm1QrCeGYo4UmpT7X&#10;OlYNeYyz0BOLtw+DxyTnUGs34CjhvtOXxsy1x5alocGeHhqqPjcHb2H7vP94vzYv9aO/6ccwGc3+&#10;Vlt7fjbd34FKNKW/Z/jBF3QohWkXDuyi6izIkPSr4i3msmJn4WqZZaDLQv+HL78BAAD//wMAUEsB&#10;Ai0AFAAGAAgAAAAhALaDOJL+AAAA4QEAABMAAAAAAAAAAAAAAAAAAAAAAFtDb250ZW50X1R5cGVz&#10;XS54bWxQSwECLQAUAAYACAAAACEAOP0h/9YAAACUAQAACwAAAAAAAAAAAAAAAAAvAQAAX3JlbHMv&#10;LnJlbHNQSwECLQAUAAYACAAAACEAYQDGDoIBAADvAgAADgAAAAAAAAAAAAAAAAAuAgAAZHJzL2Uy&#10;b0RvYy54bWxQSwECLQAUAAYACAAAACEAsADWaNoAAAAEAQAADwAAAAAAAAAAAAAAAADcAwAAZHJz&#10;L2Rvd25yZXYueG1sUEsFBgAAAAAEAAQA8wAAAOMEAAAAAA==&#10;" filled="f" stroked="f">
                <v:textbox>
                  <w:txbxContent>
                    <w:p w14:paraId="40CFDC6B" w14:textId="77777777" w:rsidR="006C50C3" w:rsidRDefault="00000000">
                      <w:pPr>
                        <w:rPr>
                          <w:sz w:val="52"/>
                          <w:szCs w:val="52"/>
                        </w:rPr>
                      </w:pPr>
                      <w:r>
                        <w:rPr>
                          <w:rFonts w:hint="eastAsia"/>
                          <w:sz w:val="52"/>
                          <w:szCs w:val="52"/>
                        </w:rPr>
                        <w:t>B</w:t>
                      </w:r>
                    </w:p>
                  </w:txbxContent>
                </v:textbox>
                <w10:anchorlock/>
              </v:shape>
            </w:pict>
          </mc:Fallback>
        </mc:AlternateContent>
      </w:r>
      <w:r w:rsidRPr="00E60993">
        <w:rPr>
          <w:noProof/>
          <w:snapToGrid w:val="0"/>
          <w:color w:val="000000"/>
          <w:kern w:val="0"/>
          <w:sz w:val="20"/>
        </w:rPr>
        <w:drawing>
          <wp:inline distT="0" distB="0" distL="114300" distR="114300" wp14:anchorId="5EAAB474" wp14:editId="55D9B076">
            <wp:extent cx="4552950" cy="2415540"/>
            <wp:effectExtent l="0" t="0" r="3810" b="7620"/>
            <wp:docPr id="17" name="图片 37" descr="L1 KEGG 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37" descr="L1 KEGG 下"/>
                    <pic:cNvPicPr>
                      <a:picLocks noChangeAspect="1"/>
                    </pic:cNvPicPr>
                  </pic:nvPicPr>
                  <pic:blipFill>
                    <a:blip r:embed="rId12"/>
                    <a:stretch>
                      <a:fillRect/>
                    </a:stretch>
                  </pic:blipFill>
                  <pic:spPr>
                    <a:xfrm>
                      <a:off x="0" y="0"/>
                      <a:ext cx="4552950" cy="2415540"/>
                    </a:xfrm>
                    <a:prstGeom prst="rect">
                      <a:avLst/>
                    </a:prstGeom>
                    <a:noFill/>
                    <a:ln>
                      <a:noFill/>
                    </a:ln>
                  </pic:spPr>
                </pic:pic>
              </a:graphicData>
            </a:graphic>
          </wp:inline>
        </w:drawing>
      </w:r>
    </w:p>
    <w:p w14:paraId="6A5F6A46" w14:textId="2DE2A704" w:rsidR="006C50C3" w:rsidRPr="00E60993" w:rsidRDefault="00000000" w:rsidP="00E60993">
      <w:pPr>
        <w:jc w:val="center"/>
        <w:rPr>
          <w:snapToGrid w:val="0"/>
          <w:color w:val="000000"/>
          <w:kern w:val="0"/>
          <w:sz w:val="20"/>
        </w:rPr>
      </w:pPr>
      <w:r w:rsidRPr="00E60993">
        <w:rPr>
          <w:b/>
          <w:bCs/>
          <w:snapToGrid w:val="0"/>
          <w:color w:val="000000"/>
          <w:kern w:val="0"/>
          <w:sz w:val="20"/>
        </w:rPr>
        <w:t>Fig</w:t>
      </w:r>
      <w:r w:rsidRPr="00E60993">
        <w:rPr>
          <w:rFonts w:hint="eastAsia"/>
          <w:b/>
          <w:bCs/>
          <w:snapToGrid w:val="0"/>
          <w:color w:val="000000"/>
          <w:kern w:val="0"/>
          <w:sz w:val="20"/>
        </w:rPr>
        <w:t xml:space="preserve">ure </w:t>
      </w:r>
      <w:r w:rsidRPr="00E60993">
        <w:rPr>
          <w:b/>
          <w:bCs/>
          <w:snapToGrid w:val="0"/>
          <w:color w:val="000000"/>
          <w:kern w:val="0"/>
          <w:sz w:val="20"/>
        </w:rPr>
        <w:t>4.</w:t>
      </w:r>
      <w:r w:rsidRPr="00E60993">
        <w:rPr>
          <w:snapToGrid w:val="0"/>
          <w:color w:val="000000"/>
          <w:kern w:val="0"/>
          <w:sz w:val="20"/>
        </w:rPr>
        <w:t xml:space="preserve"> KEGG pathway analysis of differential genes in PyMT-1 and Py-L1 cells</w:t>
      </w:r>
      <w:r w:rsidR="00DC113E" w:rsidRPr="00E60993">
        <w:rPr>
          <w:snapToGrid w:val="0"/>
          <w:color w:val="000000"/>
          <w:kern w:val="0"/>
          <w:sz w:val="20"/>
        </w:rPr>
        <w:t>.</w:t>
      </w:r>
    </w:p>
    <w:p w14:paraId="697CFAFC" w14:textId="77777777" w:rsidR="006C50C3" w:rsidRPr="00DC113E" w:rsidRDefault="006C50C3" w:rsidP="00E60993">
      <w:pPr>
        <w:rPr>
          <w:snapToGrid w:val="0"/>
          <w:color w:val="000000"/>
          <w:kern w:val="0"/>
          <w:szCs w:val="24"/>
        </w:rPr>
      </w:pPr>
    </w:p>
    <w:p w14:paraId="7AB5838A" w14:textId="77777777" w:rsidR="006C50C3" w:rsidRPr="00DC113E" w:rsidRDefault="00000000" w:rsidP="00E60993">
      <w:pPr>
        <w:ind w:firstLine="420"/>
        <w:rPr>
          <w:snapToGrid w:val="0"/>
          <w:color w:val="000000"/>
          <w:kern w:val="0"/>
          <w:szCs w:val="24"/>
        </w:rPr>
      </w:pPr>
      <w:r w:rsidRPr="00DC113E">
        <w:rPr>
          <w:snapToGrid w:val="0"/>
          <w:color w:val="000000"/>
          <w:kern w:val="0"/>
          <w:szCs w:val="24"/>
        </w:rPr>
        <w:t>Based on the aforementioned pathway analysis, it can be observed that the differential genes between PyMT-1 and Py-L1 are primarily associated with cellular activities such as extracellular structural organization, extracellular matrix, as well as signaling pathways including PI3K-Akt, focal adhesion, and ECM-receptor interactions.</w:t>
      </w:r>
    </w:p>
    <w:p w14:paraId="208437DA" w14:textId="77777777" w:rsidR="006C50C3" w:rsidRPr="00DC113E" w:rsidRDefault="00000000" w:rsidP="00E60993">
      <w:pPr>
        <w:ind w:firstLine="420"/>
        <w:rPr>
          <w:snapToGrid w:val="0"/>
          <w:color w:val="000000"/>
          <w:kern w:val="0"/>
          <w:szCs w:val="24"/>
        </w:rPr>
      </w:pPr>
      <w:r w:rsidRPr="00DC113E">
        <w:rPr>
          <w:snapToGrid w:val="0"/>
          <w:color w:val="000000"/>
          <w:kern w:val="0"/>
          <w:szCs w:val="24"/>
        </w:rPr>
        <w:t>GO functional enrichment analysis of the differential genes revealed that among the genes upregulated in Py-L1, the most representative functional genes are primarily involved in biological processes such as extracellular matrix organization (ECM), skeletal system development, connective tissue development, positive regulation of cell migration, and angiogenesis. Conversely, the downregulated genes are mainly associated with processes such as antimicrobial humoral response, antimicrobial peptide-mediated humoral immune response, humoral immune response, sodium-potassium-calcium ion transport, and mucosal immune response.</w:t>
      </w:r>
    </w:p>
    <w:p w14:paraId="0B5F5D45" w14:textId="77777777" w:rsidR="006C50C3" w:rsidRPr="00DC113E" w:rsidRDefault="00000000" w:rsidP="00E60993">
      <w:pPr>
        <w:ind w:firstLine="420"/>
        <w:rPr>
          <w:snapToGrid w:val="0"/>
          <w:color w:val="000000"/>
          <w:kern w:val="0"/>
          <w:szCs w:val="24"/>
        </w:rPr>
      </w:pPr>
      <w:r w:rsidRPr="00DC113E">
        <w:rPr>
          <w:snapToGrid w:val="0"/>
          <w:color w:val="000000"/>
          <w:kern w:val="0"/>
          <w:szCs w:val="24"/>
        </w:rPr>
        <w:t>In KEGG pathway enrichment analysis, the upregulated differential genes were primarily associated with pathways such as focal adhesion (an important connection point between cells and the extracellular matrix, involved in signal transduction and processes like cell migration and growth), ECM-receptor interaction (the interaction between the extracellular matrix and cell surface receptors is crucial for cell adhesion, migration, and signal transduction), protein digestion and absorption, PI3K-Akt signaling pathway, human papillomavirus infection, cancer-associated proteoglycans, and calcium signaling pathway. The downregulated differential genes were mainly associated with pathways such as cytokine-cytokine receptor interaction, Staphylococcus aureus infection, herpesvirus infection, and chemokine signaling pathway.</w:t>
      </w:r>
    </w:p>
    <w:p w14:paraId="6489E6F2" w14:textId="77777777" w:rsidR="006C50C3" w:rsidRPr="00DC113E" w:rsidRDefault="006C50C3" w:rsidP="00E60993">
      <w:pPr>
        <w:rPr>
          <w:snapToGrid w:val="0"/>
          <w:color w:val="000000"/>
          <w:kern w:val="0"/>
          <w:szCs w:val="24"/>
        </w:rPr>
      </w:pPr>
    </w:p>
    <w:p w14:paraId="196DCBAD" w14:textId="77777777" w:rsidR="006C50C3" w:rsidRPr="00E60993" w:rsidRDefault="00000000" w:rsidP="00E60993">
      <w:pPr>
        <w:rPr>
          <w:b/>
          <w:bCs/>
          <w:snapToGrid w:val="0"/>
          <w:color w:val="000000"/>
          <w:kern w:val="0"/>
          <w:szCs w:val="24"/>
        </w:rPr>
      </w:pPr>
      <w:r w:rsidRPr="00E60993">
        <w:rPr>
          <w:rFonts w:hint="eastAsia"/>
          <w:b/>
          <w:bCs/>
          <w:szCs w:val="24"/>
        </w:rPr>
        <w:t>3.</w:t>
      </w:r>
      <w:r w:rsidRPr="00E60993">
        <w:rPr>
          <w:b/>
          <w:bCs/>
          <w:szCs w:val="24"/>
        </w:rPr>
        <w:t>2.1.2.</w:t>
      </w:r>
      <w:r w:rsidRPr="00E60993">
        <w:rPr>
          <w:rFonts w:hint="eastAsia"/>
          <w:b/>
          <w:bCs/>
          <w:szCs w:val="24"/>
        </w:rPr>
        <w:t>3.</w:t>
      </w:r>
      <w:r w:rsidRPr="00E60993">
        <w:rPr>
          <w:b/>
          <w:bCs/>
          <w:snapToGrid w:val="0"/>
          <w:color w:val="000000"/>
          <w:kern w:val="0"/>
          <w:szCs w:val="24"/>
        </w:rPr>
        <w:t xml:space="preserve"> Pathways </w:t>
      </w:r>
      <w:r w:rsidRPr="00E60993">
        <w:rPr>
          <w:rFonts w:hint="eastAsia"/>
          <w:b/>
          <w:bCs/>
          <w:snapToGrid w:val="0"/>
          <w:color w:val="000000"/>
          <w:kern w:val="0"/>
          <w:szCs w:val="24"/>
        </w:rPr>
        <w:t>u</w:t>
      </w:r>
      <w:r w:rsidRPr="00E60993">
        <w:rPr>
          <w:b/>
          <w:bCs/>
          <w:snapToGrid w:val="0"/>
          <w:color w:val="000000"/>
          <w:kern w:val="0"/>
          <w:szCs w:val="24"/>
        </w:rPr>
        <w:t xml:space="preserve">pregulated in Py-L1 </w:t>
      </w:r>
      <w:r w:rsidRPr="00E60993">
        <w:rPr>
          <w:rFonts w:hint="eastAsia"/>
          <w:b/>
          <w:bCs/>
          <w:snapToGrid w:val="0"/>
          <w:color w:val="000000"/>
          <w:kern w:val="0"/>
          <w:szCs w:val="24"/>
        </w:rPr>
        <w:t>c</w:t>
      </w:r>
      <w:r w:rsidRPr="00E60993">
        <w:rPr>
          <w:b/>
          <w:bCs/>
          <w:snapToGrid w:val="0"/>
          <w:color w:val="000000"/>
          <w:kern w:val="0"/>
          <w:szCs w:val="24"/>
        </w:rPr>
        <w:t xml:space="preserve">ells as </w:t>
      </w:r>
      <w:r w:rsidRPr="00E60993">
        <w:rPr>
          <w:rFonts w:hint="eastAsia"/>
          <w:b/>
          <w:bCs/>
          <w:snapToGrid w:val="0"/>
          <w:color w:val="000000"/>
          <w:kern w:val="0"/>
          <w:szCs w:val="24"/>
        </w:rPr>
        <w:t>r</w:t>
      </w:r>
      <w:r w:rsidRPr="00E60993">
        <w:rPr>
          <w:b/>
          <w:bCs/>
          <w:snapToGrid w:val="0"/>
          <w:color w:val="000000"/>
          <w:kern w:val="0"/>
          <w:szCs w:val="24"/>
        </w:rPr>
        <w:t xml:space="preserve">evealed by GSEA </w:t>
      </w:r>
      <w:r w:rsidRPr="00E60993">
        <w:rPr>
          <w:rFonts w:hint="eastAsia"/>
          <w:b/>
          <w:bCs/>
          <w:snapToGrid w:val="0"/>
          <w:color w:val="000000"/>
          <w:kern w:val="0"/>
          <w:szCs w:val="24"/>
        </w:rPr>
        <w:t>a</w:t>
      </w:r>
      <w:r w:rsidRPr="00E60993">
        <w:rPr>
          <w:b/>
          <w:bCs/>
          <w:snapToGrid w:val="0"/>
          <w:color w:val="000000"/>
          <w:kern w:val="0"/>
          <w:szCs w:val="24"/>
        </w:rPr>
        <w:t xml:space="preserve">nalysis </w:t>
      </w:r>
    </w:p>
    <w:p w14:paraId="242B65B2" w14:textId="77777777" w:rsidR="006C50C3" w:rsidRPr="00DC113E" w:rsidRDefault="00000000" w:rsidP="00E60993">
      <w:pPr>
        <w:rPr>
          <w:snapToGrid w:val="0"/>
          <w:color w:val="000000"/>
          <w:kern w:val="0"/>
          <w:szCs w:val="24"/>
        </w:rPr>
      </w:pPr>
      <w:r w:rsidRPr="00DC113E">
        <w:rPr>
          <w:snapToGrid w:val="0"/>
          <w:color w:val="000000"/>
          <w:kern w:val="0"/>
          <w:szCs w:val="24"/>
        </w:rPr>
        <w:t>GSEA analysis results indicated that the differentially expressed genes were primarily enriched in pathways related to extracellular tissue structure and connective tissue development (</w:t>
      </w:r>
      <w:r w:rsidRPr="00E60993">
        <w:rPr>
          <w:b/>
          <w:bCs/>
          <w:snapToGrid w:val="0"/>
          <w:color w:val="000000"/>
          <w:kern w:val="0"/>
          <w:szCs w:val="24"/>
        </w:rPr>
        <w:t>Fig</w:t>
      </w:r>
      <w:r w:rsidRPr="00E60993">
        <w:rPr>
          <w:rFonts w:hint="eastAsia"/>
          <w:b/>
          <w:bCs/>
          <w:snapToGrid w:val="0"/>
          <w:color w:val="000000"/>
          <w:kern w:val="0"/>
          <w:szCs w:val="24"/>
        </w:rPr>
        <w:t xml:space="preserve">ure </w:t>
      </w:r>
      <w:r w:rsidRPr="00E60993">
        <w:rPr>
          <w:b/>
          <w:bCs/>
          <w:snapToGrid w:val="0"/>
          <w:color w:val="000000"/>
          <w:kern w:val="0"/>
          <w:szCs w:val="24"/>
        </w:rPr>
        <w:t>5</w:t>
      </w:r>
      <w:r w:rsidRPr="00DC113E">
        <w:rPr>
          <w:snapToGrid w:val="0"/>
          <w:color w:val="000000"/>
          <w:kern w:val="0"/>
          <w:szCs w:val="24"/>
        </w:rPr>
        <w:t>).</w:t>
      </w:r>
    </w:p>
    <w:p w14:paraId="2FE919D5" w14:textId="77777777" w:rsidR="006C50C3" w:rsidRPr="00DC113E" w:rsidRDefault="00000000" w:rsidP="00E60993">
      <w:pPr>
        <w:ind w:firstLine="420"/>
        <w:rPr>
          <w:snapToGrid w:val="0"/>
          <w:color w:val="000000"/>
          <w:kern w:val="0"/>
          <w:szCs w:val="24"/>
        </w:rPr>
      </w:pPr>
      <w:r w:rsidRPr="00DC113E">
        <w:rPr>
          <w:snapToGrid w:val="0"/>
          <w:color w:val="000000"/>
          <w:kern w:val="0"/>
          <w:szCs w:val="24"/>
        </w:rPr>
        <w:t>When analyzing the enrichment degree of gene sets, the peak of the ES (Enrichment Score) can be observed. The peak of the green curve reflects the maximum enrichment degree of the gene set. A positive peak indicates a positive enrichment of gene sets related to extracellular tissue structure and connective tissue development in Py-L1 cells, with the core genes of the relevant pathways being those preceding the peak.</w:t>
      </w:r>
    </w:p>
    <w:p w14:paraId="1C90D4C0" w14:textId="77777777" w:rsidR="006C50C3" w:rsidRPr="00DC113E" w:rsidRDefault="006C50C3" w:rsidP="00E60993">
      <w:pPr>
        <w:rPr>
          <w:snapToGrid w:val="0"/>
          <w:color w:val="000000"/>
          <w:kern w:val="0"/>
          <w:szCs w:val="24"/>
        </w:rPr>
      </w:pPr>
    </w:p>
    <w:p w14:paraId="7B3E9174" w14:textId="77777777" w:rsidR="006C50C3" w:rsidRPr="00E60993" w:rsidRDefault="00000000" w:rsidP="00E60993">
      <w:pPr>
        <w:jc w:val="center"/>
        <w:rPr>
          <w:snapToGrid w:val="0"/>
          <w:color w:val="000000"/>
          <w:kern w:val="0"/>
          <w:sz w:val="20"/>
        </w:rPr>
      </w:pPr>
      <w:r w:rsidRPr="00E60993">
        <w:rPr>
          <w:noProof/>
          <w:snapToGrid w:val="0"/>
          <w:color w:val="000000"/>
          <w:kern w:val="0"/>
          <w:sz w:val="20"/>
        </w:rPr>
        <w:lastRenderedPageBreak/>
        <w:drawing>
          <wp:inline distT="0" distB="0" distL="114300" distR="114300" wp14:anchorId="1B539568" wp14:editId="709777E4">
            <wp:extent cx="5677535" cy="1701165"/>
            <wp:effectExtent l="0" t="0" r="6985" b="5715"/>
            <wp:docPr id="18" name="图片 41" descr="GSEA分析在L1中上调通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41" descr="GSEA分析在L1中上调通路"/>
                    <pic:cNvPicPr>
                      <a:picLocks noChangeAspect="1"/>
                    </pic:cNvPicPr>
                  </pic:nvPicPr>
                  <pic:blipFill>
                    <a:blip r:embed="rId13"/>
                    <a:stretch>
                      <a:fillRect/>
                    </a:stretch>
                  </pic:blipFill>
                  <pic:spPr>
                    <a:xfrm>
                      <a:off x="0" y="0"/>
                      <a:ext cx="5677535" cy="1701165"/>
                    </a:xfrm>
                    <a:prstGeom prst="rect">
                      <a:avLst/>
                    </a:prstGeom>
                    <a:noFill/>
                    <a:ln>
                      <a:noFill/>
                    </a:ln>
                  </pic:spPr>
                </pic:pic>
              </a:graphicData>
            </a:graphic>
          </wp:inline>
        </w:drawing>
      </w:r>
    </w:p>
    <w:p w14:paraId="2A5F08D3" w14:textId="32950EEE" w:rsidR="006C50C3" w:rsidRPr="00E60993" w:rsidRDefault="00000000" w:rsidP="00E60993">
      <w:pPr>
        <w:jc w:val="center"/>
        <w:rPr>
          <w:snapToGrid w:val="0"/>
          <w:color w:val="000000"/>
          <w:kern w:val="0"/>
          <w:sz w:val="20"/>
        </w:rPr>
      </w:pPr>
      <w:r w:rsidRPr="00E60993">
        <w:rPr>
          <w:b/>
          <w:bCs/>
          <w:snapToGrid w:val="0"/>
          <w:color w:val="000000"/>
          <w:kern w:val="0"/>
          <w:sz w:val="20"/>
        </w:rPr>
        <w:t>Fig</w:t>
      </w:r>
      <w:r w:rsidRPr="00E60993">
        <w:rPr>
          <w:rFonts w:hint="eastAsia"/>
          <w:b/>
          <w:bCs/>
          <w:snapToGrid w:val="0"/>
          <w:color w:val="000000"/>
          <w:kern w:val="0"/>
          <w:sz w:val="20"/>
        </w:rPr>
        <w:t xml:space="preserve">ure </w:t>
      </w:r>
      <w:r w:rsidRPr="00E60993">
        <w:rPr>
          <w:b/>
          <w:bCs/>
          <w:snapToGrid w:val="0"/>
          <w:color w:val="000000"/>
          <w:kern w:val="0"/>
          <w:sz w:val="20"/>
        </w:rPr>
        <w:t>5.</w:t>
      </w:r>
      <w:r w:rsidRPr="00E60993">
        <w:rPr>
          <w:snapToGrid w:val="0"/>
          <w:color w:val="000000"/>
          <w:kern w:val="0"/>
          <w:sz w:val="20"/>
        </w:rPr>
        <w:t xml:space="preserve"> Up-regulated pathways in Py-L1 cells compared to PyMT-1</w:t>
      </w:r>
      <w:r w:rsidR="00DC113E" w:rsidRPr="00E60993">
        <w:rPr>
          <w:snapToGrid w:val="0"/>
          <w:color w:val="000000"/>
          <w:kern w:val="0"/>
          <w:sz w:val="20"/>
        </w:rPr>
        <w:t>.</w:t>
      </w:r>
    </w:p>
    <w:p w14:paraId="1AE25FE5" w14:textId="77777777" w:rsidR="006C50C3" w:rsidRPr="00DC113E" w:rsidRDefault="006C50C3" w:rsidP="00E60993">
      <w:pPr>
        <w:rPr>
          <w:color w:val="FF0000"/>
          <w:szCs w:val="24"/>
        </w:rPr>
      </w:pPr>
    </w:p>
    <w:p w14:paraId="7985947A" w14:textId="77777777" w:rsidR="006C50C3" w:rsidRPr="00E60993" w:rsidRDefault="00000000" w:rsidP="00E60993">
      <w:pPr>
        <w:rPr>
          <w:b/>
          <w:bCs/>
          <w:snapToGrid w:val="0"/>
          <w:szCs w:val="24"/>
        </w:rPr>
      </w:pPr>
      <w:r w:rsidRPr="00E60993">
        <w:rPr>
          <w:rFonts w:hint="eastAsia"/>
          <w:b/>
          <w:bCs/>
          <w:snapToGrid w:val="0"/>
          <w:szCs w:val="24"/>
        </w:rPr>
        <w:t>3.</w:t>
      </w:r>
      <w:r w:rsidRPr="00E60993">
        <w:rPr>
          <w:b/>
          <w:bCs/>
          <w:snapToGrid w:val="0"/>
          <w:szCs w:val="24"/>
        </w:rPr>
        <w:t xml:space="preserve">2.1.3. Real-time </w:t>
      </w:r>
      <w:r w:rsidRPr="00E60993">
        <w:rPr>
          <w:rFonts w:hint="eastAsia"/>
          <w:b/>
          <w:bCs/>
          <w:snapToGrid w:val="0"/>
          <w:szCs w:val="24"/>
        </w:rPr>
        <w:t>f</w:t>
      </w:r>
      <w:r w:rsidRPr="00E60993">
        <w:rPr>
          <w:b/>
          <w:bCs/>
          <w:snapToGrid w:val="0"/>
          <w:szCs w:val="24"/>
        </w:rPr>
        <w:t xml:space="preserve">luorescent </w:t>
      </w:r>
      <w:r w:rsidRPr="00E60993">
        <w:rPr>
          <w:rFonts w:hint="eastAsia"/>
          <w:b/>
          <w:bCs/>
          <w:snapToGrid w:val="0"/>
          <w:szCs w:val="24"/>
        </w:rPr>
        <w:t>q</w:t>
      </w:r>
      <w:r w:rsidRPr="00E60993">
        <w:rPr>
          <w:b/>
          <w:bCs/>
          <w:snapToGrid w:val="0"/>
          <w:szCs w:val="24"/>
        </w:rPr>
        <w:t xml:space="preserve">uantitative PCR </w:t>
      </w:r>
      <w:r w:rsidRPr="00E60993">
        <w:rPr>
          <w:rFonts w:hint="eastAsia"/>
          <w:b/>
          <w:bCs/>
          <w:snapToGrid w:val="0"/>
          <w:szCs w:val="24"/>
        </w:rPr>
        <w:t>d</w:t>
      </w:r>
      <w:r w:rsidRPr="00E60993">
        <w:rPr>
          <w:b/>
          <w:bCs/>
          <w:snapToGrid w:val="0"/>
          <w:szCs w:val="24"/>
        </w:rPr>
        <w:t xml:space="preserve">etection of </w:t>
      </w:r>
      <w:r w:rsidRPr="00E60993">
        <w:rPr>
          <w:rFonts w:hint="eastAsia"/>
          <w:b/>
          <w:bCs/>
          <w:snapToGrid w:val="0"/>
          <w:szCs w:val="24"/>
        </w:rPr>
        <w:t>d</w:t>
      </w:r>
      <w:r w:rsidRPr="00E60993">
        <w:rPr>
          <w:b/>
          <w:bCs/>
          <w:snapToGrid w:val="0"/>
          <w:szCs w:val="24"/>
        </w:rPr>
        <w:t xml:space="preserve">ifferential </w:t>
      </w:r>
      <w:r w:rsidRPr="00E60993">
        <w:rPr>
          <w:rFonts w:hint="eastAsia"/>
          <w:b/>
          <w:bCs/>
          <w:snapToGrid w:val="0"/>
          <w:szCs w:val="24"/>
        </w:rPr>
        <w:t>g</w:t>
      </w:r>
      <w:r w:rsidRPr="00E60993">
        <w:rPr>
          <w:b/>
          <w:bCs/>
          <w:snapToGrid w:val="0"/>
          <w:szCs w:val="24"/>
        </w:rPr>
        <w:t xml:space="preserve">ene </w:t>
      </w:r>
      <w:r w:rsidRPr="00E60993">
        <w:rPr>
          <w:rFonts w:hint="eastAsia"/>
          <w:b/>
          <w:bCs/>
          <w:snapToGrid w:val="0"/>
          <w:szCs w:val="24"/>
        </w:rPr>
        <w:t>e</w:t>
      </w:r>
      <w:r w:rsidRPr="00E60993">
        <w:rPr>
          <w:b/>
          <w:bCs/>
          <w:snapToGrid w:val="0"/>
          <w:szCs w:val="24"/>
        </w:rPr>
        <w:t xml:space="preserve">xpression </w:t>
      </w:r>
      <w:r w:rsidRPr="00E60993">
        <w:rPr>
          <w:rFonts w:hint="eastAsia"/>
          <w:b/>
          <w:bCs/>
          <w:snapToGrid w:val="0"/>
          <w:szCs w:val="24"/>
        </w:rPr>
        <w:t>l</w:t>
      </w:r>
      <w:r w:rsidRPr="00E60993">
        <w:rPr>
          <w:b/>
          <w:bCs/>
          <w:snapToGrid w:val="0"/>
          <w:szCs w:val="24"/>
        </w:rPr>
        <w:t>evels in PyMT-1 and Py-L1</w:t>
      </w:r>
    </w:p>
    <w:p w14:paraId="149E06AE" w14:textId="77777777" w:rsidR="006C50C3" w:rsidRPr="00DC113E" w:rsidRDefault="00000000" w:rsidP="00E60993">
      <w:pPr>
        <w:rPr>
          <w:snapToGrid w:val="0"/>
          <w:szCs w:val="24"/>
        </w:rPr>
      </w:pPr>
      <w:r w:rsidRPr="00DC113E">
        <w:rPr>
          <w:snapToGrid w:val="0"/>
          <w:szCs w:val="24"/>
        </w:rPr>
        <w:t>To further validate the transcriptional levels of genes related to the ECM-receptor interaction and cytokine-cytokine receptor interaction pathways in breast cancer-specific lung metastasis, qPCR experimental techniques were employed to detect differences in the transcriptional levels of genes associated with these two pathways in PyMT-1 and Py-L1. The results are as follows (</w:t>
      </w:r>
      <w:r w:rsidRPr="00E60993">
        <w:rPr>
          <w:b/>
          <w:bCs/>
          <w:snapToGrid w:val="0"/>
          <w:szCs w:val="24"/>
        </w:rPr>
        <w:t>Fig</w:t>
      </w:r>
      <w:r w:rsidRPr="00E60993">
        <w:rPr>
          <w:rFonts w:hint="eastAsia"/>
          <w:b/>
          <w:bCs/>
          <w:snapToGrid w:val="0"/>
          <w:szCs w:val="24"/>
        </w:rPr>
        <w:t xml:space="preserve">ure </w:t>
      </w:r>
      <w:r w:rsidRPr="00E60993">
        <w:rPr>
          <w:b/>
          <w:bCs/>
          <w:snapToGrid w:val="0"/>
          <w:szCs w:val="24"/>
        </w:rPr>
        <w:t>6</w:t>
      </w:r>
      <w:r w:rsidRPr="00DC113E">
        <w:rPr>
          <w:snapToGrid w:val="0"/>
          <w:szCs w:val="24"/>
        </w:rPr>
        <w:t xml:space="preserve">). In </w:t>
      </w:r>
      <w:r w:rsidRPr="00E60993">
        <w:rPr>
          <w:b/>
          <w:bCs/>
          <w:snapToGrid w:val="0"/>
          <w:szCs w:val="24"/>
        </w:rPr>
        <w:t xml:space="preserve">Figure </w:t>
      </w:r>
      <w:r w:rsidRPr="00E60993">
        <w:rPr>
          <w:rFonts w:hint="eastAsia"/>
          <w:b/>
          <w:bCs/>
          <w:snapToGrid w:val="0"/>
          <w:szCs w:val="24"/>
        </w:rPr>
        <w:t>6</w:t>
      </w:r>
      <w:r w:rsidRPr="00E60993">
        <w:rPr>
          <w:b/>
          <w:bCs/>
          <w:snapToGrid w:val="0"/>
          <w:szCs w:val="24"/>
        </w:rPr>
        <w:t>A</w:t>
      </w:r>
      <w:r w:rsidRPr="00DC113E">
        <w:rPr>
          <w:snapToGrid w:val="0"/>
          <w:szCs w:val="24"/>
        </w:rPr>
        <w:t xml:space="preserve">, compared to PyMT-1, the expression levels of genes related to the ECM-receptor interaction pathway, namely Cellular Communication Network Factor 2 (CCN2), COL1A1, and ITGB6, were all elevated in the Py-L1 cell line. In Figure </w:t>
      </w:r>
      <w:r w:rsidRPr="00DC113E">
        <w:rPr>
          <w:rFonts w:hint="eastAsia"/>
          <w:snapToGrid w:val="0"/>
          <w:szCs w:val="24"/>
        </w:rPr>
        <w:t>6</w:t>
      </w:r>
      <w:r w:rsidRPr="00DC113E">
        <w:rPr>
          <w:snapToGrid w:val="0"/>
          <w:szCs w:val="24"/>
        </w:rPr>
        <w:t>B, compared to PyMT-1, the expression levels of genes related to cytokine-cytokine receptor interaction, namely CXCL5, TNF, and CXCR4, were all decreased in the Py-L1 cell line.</w:t>
      </w:r>
    </w:p>
    <w:p w14:paraId="0D730C84" w14:textId="77777777" w:rsidR="006C50C3" w:rsidRPr="00DC113E" w:rsidRDefault="006C50C3" w:rsidP="00E60993">
      <w:pPr>
        <w:rPr>
          <w:snapToGrid w:val="0"/>
          <w:szCs w:val="24"/>
        </w:rPr>
      </w:pPr>
    </w:p>
    <w:p w14:paraId="11B3EC7D" w14:textId="77777777" w:rsidR="006C50C3" w:rsidRPr="00DC113E" w:rsidRDefault="006C50C3" w:rsidP="00E60993">
      <w:pPr>
        <w:rPr>
          <w:snapToGrid w:val="0"/>
          <w:szCs w:val="24"/>
        </w:rPr>
      </w:pPr>
    </w:p>
    <w:p w14:paraId="3E84244B" w14:textId="77777777" w:rsidR="006C50C3" w:rsidRPr="00E60993" w:rsidRDefault="00000000" w:rsidP="00E60993">
      <w:pPr>
        <w:jc w:val="center"/>
        <w:rPr>
          <w:snapToGrid w:val="0"/>
          <w:color w:val="000000"/>
          <w:kern w:val="0"/>
          <w:sz w:val="20"/>
        </w:rPr>
      </w:pPr>
      <w:r w:rsidRPr="00E60993">
        <w:rPr>
          <w:noProof/>
          <w:sz w:val="20"/>
        </w:rPr>
        <mc:AlternateContent>
          <mc:Choice Requires="wps">
            <w:drawing>
              <wp:anchor distT="0" distB="0" distL="114300" distR="114300" simplePos="0" relativeHeight="251678208" behindDoc="0" locked="0" layoutInCell="1" allowOverlap="1" wp14:anchorId="7DDF601C" wp14:editId="7D76FCCB">
                <wp:simplePos x="0" y="0"/>
                <wp:positionH relativeFrom="column">
                  <wp:posOffset>2905760</wp:posOffset>
                </wp:positionH>
                <wp:positionV relativeFrom="paragraph">
                  <wp:posOffset>-137160</wp:posOffset>
                </wp:positionV>
                <wp:extent cx="366395" cy="556260"/>
                <wp:effectExtent l="0" t="0" r="14605" b="7620"/>
                <wp:wrapNone/>
                <wp:docPr id="40" name="文本框 40"/>
                <wp:cNvGraphicFramePr/>
                <a:graphic xmlns:a="http://schemas.openxmlformats.org/drawingml/2006/main">
                  <a:graphicData uri="http://schemas.microsoft.com/office/word/2010/wordprocessingShape">
                    <wps:wsp>
                      <wps:cNvSpPr txBox="1"/>
                      <wps:spPr>
                        <a:xfrm>
                          <a:off x="0" y="0"/>
                          <a:ext cx="366395" cy="55626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9F7779E" w14:textId="77777777" w:rsidR="006C50C3" w:rsidRDefault="00000000">
                            <w:pPr>
                              <w:rPr>
                                <w:sz w:val="36"/>
                                <w:szCs w:val="36"/>
                              </w:rPr>
                            </w:pPr>
                            <w:r>
                              <w:rPr>
                                <w:rFonts w:hint="eastAsia"/>
                                <w:sz w:val="36"/>
                                <w:szCs w:val="36"/>
                              </w:rPr>
                              <w:t>B</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DDF601C" id="文本框 40" o:spid="_x0000_s1032" type="#_x0000_t202" style="position:absolute;left:0;text-align:left;margin-left:228.8pt;margin-top:-10.8pt;width:28.85pt;height:43.8pt;z-index:251678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lI5XQIAACMFAAAOAAAAZHJzL2Uyb0RvYy54bWysVEuPEzEMviPxH6Lc6fQ5sFWnq9JVEVLF&#10;riiIc5pJOhGZOCRpZ8qvx8n0BexlEZfEie3P8Wc7s/u21uQgnFdgCjro9SkRhkOpzK6gX7+s3ryj&#10;xAdmSqbBiIIehaf389evZo2diiFUoEvhCIIYP21sQasQ7DTLPK9EzXwPrDColOBqFvDodlnpWIPo&#10;tc6G/X6eNeBK64AL7/H2oVPSecKXUvDwKKUXgeiC4ttCWl1at3HN5jM23TlmK8VPz2D/8IqaKYNB&#10;L1APLDCyd+ovqFpxBx5k6HGoM5BScZFywGwG/T+y2VTMipQLkuPthSb//2D5p8PGPjkS2vfQYgEj&#10;IY31U4+XMZ9Wujru+FKCeqTweKFNtIFwvBzl+ehuQglH1WSSD/NEa3Z1ts6HDwJqEoWCOqxKIosd&#10;1j5gQDQ9m8RYHrQqV0rrdIidIJbakQPDGuqQnogev1lpQ5qC5qNJPwEbiO4dsjYY4JpSksJRiwiu&#10;zWchiSpTZs9EY5wLc4mYrKOVRPCXOJ7so6tIPfkS54tHigwmXJxrZcClfNO4XEkqv59Jkp39mYEu&#10;70hBaLctJo6cnSu+hfKIjeCgmxFv+UphudbMhyfmcCiw9jjo4REXqQHphpNESQXu53P30R57FbWU&#10;NDhkBfU/9swJSvRHg118NxiP41Smw3jydogHd6vZ3mrMvl4C9sAAvxTLkxjtgz6L0kH9Df+DRYyK&#10;KmY4xi5oOIvL0I0+/idcLBbJCOfQsrA2G8sjdGTZwGIfQKrUm5GtjpsTiziJqWVPv0Yc9dtzsrr+&#10;bfNfAAAA//8DAFBLAwQUAAYACAAAACEAZ/QNKuIAAAAKAQAADwAAAGRycy9kb3ducmV2LnhtbEyP&#10;TU+EMBCG7yb+h2ZMvJjdwiKsQYaNMX4k3lz8iLcurUCkU0K7gP/e8aS3mcyTd5632C22F5MZfecI&#10;IV5HIAzVTnfUILxU96srED4o0qp3ZBC+jYddeXpSqFy7mZ7NtA+N4BDyuUJoQxhyKX3dGqv82g2G&#10;+PbpRqsCr2Mj9ahmDre93ERRJq3qiD+0ajC3ram/9keL8HHRvD/55eF1TtJkuHucqu2brhDPz5ab&#10;axDBLOEPhl99VoeSnQ7uSNqLHuEy3WaMIqw2MQ9MpHGagDggZFkEsizk/wrlDwAAAP//AwBQSwEC&#10;LQAUAAYACAAAACEAtoM4kv4AAADhAQAAEwAAAAAAAAAAAAAAAAAAAAAAW0NvbnRlbnRfVHlwZXNd&#10;LnhtbFBLAQItABQABgAIAAAAIQA4/SH/1gAAAJQBAAALAAAAAAAAAAAAAAAAAC8BAABfcmVscy8u&#10;cmVsc1BLAQItABQABgAIAAAAIQCJ2lI5XQIAACMFAAAOAAAAAAAAAAAAAAAAAC4CAABkcnMvZTJv&#10;RG9jLnhtbFBLAQItABQABgAIAAAAIQBn9A0q4gAAAAoBAAAPAAAAAAAAAAAAAAAAALcEAABkcnMv&#10;ZG93bnJldi54bWxQSwUGAAAAAAQABADzAAAAxgUAAAAA&#10;" fillcolor="white [3201]" stroked="f" strokeweight=".5pt">
                <v:textbox>
                  <w:txbxContent>
                    <w:p w14:paraId="39F7779E" w14:textId="77777777" w:rsidR="006C50C3" w:rsidRDefault="00000000">
                      <w:pPr>
                        <w:rPr>
                          <w:sz w:val="36"/>
                          <w:szCs w:val="36"/>
                        </w:rPr>
                      </w:pPr>
                      <w:r>
                        <w:rPr>
                          <w:rFonts w:hint="eastAsia"/>
                          <w:sz w:val="36"/>
                          <w:szCs w:val="36"/>
                        </w:rPr>
                        <w:t>B</w:t>
                      </w:r>
                    </w:p>
                  </w:txbxContent>
                </v:textbox>
              </v:shape>
            </w:pict>
          </mc:Fallback>
        </mc:AlternateContent>
      </w:r>
      <w:r w:rsidRPr="00E60993">
        <w:rPr>
          <w:noProof/>
          <w:sz w:val="20"/>
        </w:rPr>
        <mc:AlternateContent>
          <mc:Choice Requires="wps">
            <w:drawing>
              <wp:anchor distT="0" distB="0" distL="114300" distR="114300" simplePos="0" relativeHeight="251670016" behindDoc="0" locked="0" layoutInCell="1" allowOverlap="1" wp14:anchorId="58CCE3DE" wp14:editId="474E99AF">
                <wp:simplePos x="0" y="0"/>
                <wp:positionH relativeFrom="column">
                  <wp:posOffset>-13335</wp:posOffset>
                </wp:positionH>
                <wp:positionV relativeFrom="paragraph">
                  <wp:posOffset>-95885</wp:posOffset>
                </wp:positionV>
                <wp:extent cx="366395" cy="556260"/>
                <wp:effectExtent l="0" t="0" r="14605" b="7620"/>
                <wp:wrapNone/>
                <wp:docPr id="24" name="文本框 24"/>
                <wp:cNvGraphicFramePr/>
                <a:graphic xmlns:a="http://schemas.openxmlformats.org/drawingml/2006/main">
                  <a:graphicData uri="http://schemas.microsoft.com/office/word/2010/wordprocessingShape">
                    <wps:wsp>
                      <wps:cNvSpPr txBox="1"/>
                      <wps:spPr>
                        <a:xfrm>
                          <a:off x="0" y="0"/>
                          <a:ext cx="366395" cy="55626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36CB135" w14:textId="77777777" w:rsidR="006C50C3" w:rsidRDefault="00000000">
                            <w:pPr>
                              <w:rPr>
                                <w:sz w:val="36"/>
                                <w:szCs w:val="36"/>
                              </w:rPr>
                            </w:pPr>
                            <w:r>
                              <w:rPr>
                                <w:rFonts w:hint="eastAsia"/>
                                <w:sz w:val="36"/>
                                <w:szCs w:val="36"/>
                              </w:rPr>
                              <w:t>A</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8CCE3DE" id="文本框 24" o:spid="_x0000_s1033" type="#_x0000_t202" style="position:absolute;left:0;text-align:left;margin-left:-1.05pt;margin-top:-7.55pt;width:28.85pt;height:43.8pt;z-index:251670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pQAXwIAACMFAAAOAAAAZHJzL2Uyb0RvYy54bWysVE2PGyEMvVfqf0Dcm8nnbDfKZJVmlarS&#10;qrtqWvVMGEhQGUyBZCb99WuYTJK2e9mqFzDYfsbPNrO7ptLkIJxXYAo66PUpEYZDqcy2oN++rt69&#10;p8QHZkqmwYiCHoWnd/O3b2a1nYoh7ECXwhEEMX5a24LuQrDTLPN8Jyrme2CFQaUEV7GAR7fNSsdq&#10;RK90Nuz386wGV1oHXHiPt/etks4TvpSCh0cpvQhEFxTfFtLq0rqJazafsenWMbtT/PQM9g+vqJgy&#10;GPQMdc8CI3un/oKqFHfgQYYehyoDKRUXKQfMZtD/I5v1jlmRckFyvD3T5P8fLP98WNsnR0LzARos&#10;YCSktn7q8TLm00hXxR1fSlCPFB7PtIkmEI6Xozwf3U4o4aiaTPJhnmjNLs7W+fBRQEWiUFCHVUlk&#10;scODDxgQTTuTGMuDVuVKaZ0OsRPEUjtyYFhDHdIT0eM3K21IXdB8NOknYAPRvUXWBgNcUkpSOGoR&#10;wbX5IiRRZcrshWiMc2HOEZN1tJII/hrHk310FaknX+N89kiRwYSzc6UMuJRvGpcLSeWPjiTZ2ncM&#10;tHlHCkKzaTDxgt50Fd9AecRGcNDOiLd8pbBcD8yHJ+ZwKLD2OOjhERepAemGk0TJDtyvl+6jPfYq&#10;aimpccgK6n/umROU6E8Gu/h2MB7HqUyH8eRmiAd3rdlca8y+WgL2wAC/FMuTGO2D7kTpoPqO/8Ei&#10;RkUVMxxjFzR04jK0o4//CReLRTLCObQsPJi15RE6smxgsQ8gVerNyFbLzYlFnMTUsqdfI4769TlZ&#10;Xf62+TMAAAD//wMAUEsDBBQABgAIAAAAIQAPi/CI4AAAAAgBAAAPAAAAZHJzL2Rvd25yZXYueG1s&#10;TI9NT8MwDIbvSPyHyEhc0Ja2U7epNJ0Q4kPithWGuGWNaSsap2qytvx7zAlOtuVHrx/nu9l2YsTB&#10;t44UxMsIBFLlTEu1gtfycbEF4YMmoztHqOAbPeyKy4tcZ8ZNtMfxEGrBIeQzraAJoc+k9FWDVvul&#10;65F49+kGqwOPQy3NoCcOt51MomgtrW6JLzS6x/sGq6/D2Sr4uKnfX/z89Dat0lX/8DyWm6Mplbq+&#10;mu9uQQScwx8Mv/qsDgU7ndyZjBedgkUSM8k1TrlhIE3XIE4KNkkKssjl/weKHwAAAP//AwBQSwEC&#10;LQAUAAYACAAAACEAtoM4kv4AAADhAQAAEwAAAAAAAAAAAAAAAAAAAAAAW0NvbnRlbnRfVHlwZXNd&#10;LnhtbFBLAQItABQABgAIAAAAIQA4/SH/1gAAAJQBAAALAAAAAAAAAAAAAAAAAC8BAABfcmVscy8u&#10;cmVsc1BLAQItABQABgAIAAAAIQDYcpQAXwIAACMFAAAOAAAAAAAAAAAAAAAAAC4CAABkcnMvZTJv&#10;RG9jLnhtbFBLAQItABQABgAIAAAAIQAPi/CI4AAAAAgBAAAPAAAAAAAAAAAAAAAAALkEAABkcnMv&#10;ZG93bnJldi54bWxQSwUGAAAAAAQABADzAAAAxgUAAAAA&#10;" fillcolor="white [3201]" stroked="f" strokeweight=".5pt">
                <v:textbox>
                  <w:txbxContent>
                    <w:p w14:paraId="636CB135" w14:textId="77777777" w:rsidR="006C50C3" w:rsidRDefault="00000000">
                      <w:pPr>
                        <w:rPr>
                          <w:sz w:val="36"/>
                          <w:szCs w:val="36"/>
                        </w:rPr>
                      </w:pPr>
                      <w:r>
                        <w:rPr>
                          <w:rFonts w:hint="eastAsia"/>
                          <w:sz w:val="36"/>
                          <w:szCs w:val="36"/>
                        </w:rPr>
                        <w:t>A</w:t>
                      </w:r>
                    </w:p>
                  </w:txbxContent>
                </v:textbox>
              </v:shape>
            </w:pict>
          </mc:Fallback>
        </mc:AlternateContent>
      </w:r>
      <w:r w:rsidRPr="00E60993">
        <w:rPr>
          <w:noProof/>
          <w:snapToGrid w:val="0"/>
          <w:color w:val="000000"/>
          <w:kern w:val="0"/>
          <w:sz w:val="20"/>
        </w:rPr>
        <w:drawing>
          <wp:inline distT="0" distB="0" distL="114300" distR="114300" wp14:anchorId="2D6AA6D7" wp14:editId="6F8F5EE5">
            <wp:extent cx="5610225" cy="1821180"/>
            <wp:effectExtent l="0" t="0" r="13335" b="7620"/>
            <wp:docPr id="42" name="图片 42" descr="1738655169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1738655169538"/>
                    <pic:cNvPicPr>
                      <a:picLocks noChangeAspect="1"/>
                    </pic:cNvPicPr>
                  </pic:nvPicPr>
                  <pic:blipFill>
                    <a:blip r:embed="rId14"/>
                    <a:stretch>
                      <a:fillRect/>
                    </a:stretch>
                  </pic:blipFill>
                  <pic:spPr>
                    <a:xfrm>
                      <a:off x="0" y="0"/>
                      <a:ext cx="5610225" cy="1821180"/>
                    </a:xfrm>
                    <a:prstGeom prst="rect">
                      <a:avLst/>
                    </a:prstGeom>
                    <a:ln>
                      <a:noFill/>
                    </a:ln>
                  </pic:spPr>
                </pic:pic>
              </a:graphicData>
            </a:graphic>
          </wp:inline>
        </w:drawing>
      </w:r>
    </w:p>
    <w:p w14:paraId="056C69BB" w14:textId="32497271" w:rsidR="006C50C3" w:rsidRPr="00E60993" w:rsidRDefault="00000000" w:rsidP="00E60993">
      <w:pPr>
        <w:jc w:val="center"/>
        <w:rPr>
          <w:snapToGrid w:val="0"/>
          <w:color w:val="000000"/>
          <w:kern w:val="0"/>
          <w:sz w:val="20"/>
        </w:rPr>
      </w:pPr>
      <w:r w:rsidRPr="00E60993">
        <w:rPr>
          <w:b/>
          <w:bCs/>
          <w:snapToGrid w:val="0"/>
          <w:kern w:val="0"/>
          <w:sz w:val="20"/>
        </w:rPr>
        <w:t>Fig</w:t>
      </w:r>
      <w:r w:rsidRPr="00E60993">
        <w:rPr>
          <w:rFonts w:hint="eastAsia"/>
          <w:b/>
          <w:bCs/>
          <w:snapToGrid w:val="0"/>
          <w:kern w:val="0"/>
          <w:sz w:val="20"/>
        </w:rPr>
        <w:t xml:space="preserve">ure </w:t>
      </w:r>
      <w:r w:rsidRPr="00E60993">
        <w:rPr>
          <w:b/>
          <w:bCs/>
          <w:snapToGrid w:val="0"/>
          <w:kern w:val="0"/>
          <w:sz w:val="20"/>
        </w:rPr>
        <w:t>6.</w:t>
      </w:r>
      <w:r w:rsidRPr="00E60993">
        <w:rPr>
          <w:snapToGrid w:val="0"/>
          <w:kern w:val="0"/>
          <w:sz w:val="20"/>
        </w:rPr>
        <w:t xml:space="preserve"> PCR validation results of up-regulated and down-regulated pathways in Py-L1 cell lines compared with PyMT-1</w:t>
      </w:r>
      <w:r w:rsidR="00E60993" w:rsidRPr="00E60993">
        <w:rPr>
          <w:snapToGrid w:val="0"/>
          <w:kern w:val="0"/>
          <w:sz w:val="20"/>
        </w:rPr>
        <w:t>.</w:t>
      </w:r>
      <w:r w:rsidRPr="00E60993">
        <w:rPr>
          <w:snapToGrid w:val="0"/>
          <w:color w:val="000000"/>
          <w:kern w:val="0"/>
          <w:sz w:val="20"/>
        </w:rPr>
        <w:t xml:space="preserve">*indicates </w:t>
      </w:r>
      <w:r w:rsidRPr="00E60993">
        <w:rPr>
          <w:i/>
          <w:iCs/>
          <w:snapToGrid w:val="0"/>
          <w:color w:val="000000"/>
          <w:kern w:val="0"/>
          <w:sz w:val="20"/>
        </w:rPr>
        <w:t>P</w:t>
      </w:r>
      <w:r w:rsidRPr="00E60993">
        <w:rPr>
          <w:snapToGrid w:val="0"/>
          <w:color w:val="000000"/>
          <w:kern w:val="0"/>
          <w:sz w:val="20"/>
        </w:rPr>
        <w:t xml:space="preserve"> &lt; 0.05, ** indicates </w:t>
      </w:r>
      <w:r w:rsidRPr="00E60993">
        <w:rPr>
          <w:i/>
          <w:iCs/>
          <w:snapToGrid w:val="0"/>
          <w:color w:val="000000"/>
          <w:kern w:val="0"/>
          <w:sz w:val="20"/>
        </w:rPr>
        <w:t>P</w:t>
      </w:r>
      <w:r w:rsidRPr="00E60993">
        <w:rPr>
          <w:snapToGrid w:val="0"/>
          <w:color w:val="000000"/>
          <w:kern w:val="0"/>
          <w:sz w:val="20"/>
        </w:rPr>
        <w:t xml:space="preserve"> &lt; 0.01.</w:t>
      </w:r>
    </w:p>
    <w:p w14:paraId="2B20D844" w14:textId="77777777" w:rsidR="006C50C3" w:rsidRPr="00DC113E" w:rsidRDefault="006C50C3" w:rsidP="00E60993">
      <w:pPr>
        <w:rPr>
          <w:snapToGrid w:val="0"/>
          <w:color w:val="000000"/>
          <w:kern w:val="0"/>
          <w:szCs w:val="24"/>
        </w:rPr>
      </w:pPr>
    </w:p>
    <w:p w14:paraId="26157E6C" w14:textId="77777777" w:rsidR="006C50C3" w:rsidRPr="00E60993" w:rsidRDefault="00000000" w:rsidP="00E60993">
      <w:pPr>
        <w:rPr>
          <w:b/>
          <w:bCs/>
          <w:snapToGrid w:val="0"/>
          <w:color w:val="000000"/>
          <w:kern w:val="0"/>
          <w:szCs w:val="24"/>
        </w:rPr>
      </w:pPr>
      <w:r w:rsidRPr="00E60993">
        <w:rPr>
          <w:rFonts w:hint="eastAsia"/>
          <w:b/>
          <w:bCs/>
          <w:snapToGrid w:val="0"/>
          <w:color w:val="000000"/>
          <w:kern w:val="0"/>
          <w:szCs w:val="24"/>
        </w:rPr>
        <w:t>3.</w:t>
      </w:r>
      <w:r w:rsidRPr="00E60993">
        <w:rPr>
          <w:b/>
          <w:bCs/>
          <w:snapToGrid w:val="0"/>
          <w:color w:val="000000"/>
          <w:kern w:val="0"/>
          <w:szCs w:val="24"/>
        </w:rPr>
        <w:t xml:space="preserve">2.1.4. Clinical </w:t>
      </w:r>
      <w:r w:rsidRPr="00E60993">
        <w:rPr>
          <w:rFonts w:hint="eastAsia"/>
          <w:b/>
          <w:bCs/>
          <w:snapToGrid w:val="0"/>
          <w:color w:val="000000"/>
          <w:kern w:val="0"/>
          <w:szCs w:val="24"/>
        </w:rPr>
        <w:t>v</w:t>
      </w:r>
      <w:r w:rsidRPr="00E60993">
        <w:rPr>
          <w:b/>
          <w:bCs/>
          <w:snapToGrid w:val="0"/>
          <w:color w:val="000000"/>
          <w:kern w:val="0"/>
          <w:szCs w:val="24"/>
        </w:rPr>
        <w:t xml:space="preserve">alidation of </w:t>
      </w:r>
      <w:r w:rsidRPr="00E60993">
        <w:rPr>
          <w:rFonts w:hint="eastAsia"/>
          <w:b/>
          <w:bCs/>
          <w:snapToGrid w:val="0"/>
          <w:color w:val="000000"/>
          <w:kern w:val="0"/>
          <w:szCs w:val="24"/>
        </w:rPr>
        <w:t>d</w:t>
      </w:r>
      <w:r w:rsidRPr="00E60993">
        <w:rPr>
          <w:b/>
          <w:bCs/>
          <w:snapToGrid w:val="0"/>
          <w:color w:val="000000"/>
          <w:kern w:val="0"/>
          <w:szCs w:val="24"/>
        </w:rPr>
        <w:t xml:space="preserve">ifferentially </w:t>
      </w:r>
      <w:r w:rsidRPr="00E60993">
        <w:rPr>
          <w:rFonts w:hint="eastAsia"/>
          <w:b/>
          <w:bCs/>
          <w:snapToGrid w:val="0"/>
          <w:color w:val="000000"/>
          <w:kern w:val="0"/>
          <w:szCs w:val="24"/>
        </w:rPr>
        <w:t>e</w:t>
      </w:r>
      <w:r w:rsidRPr="00E60993">
        <w:rPr>
          <w:b/>
          <w:bCs/>
          <w:snapToGrid w:val="0"/>
          <w:color w:val="000000"/>
          <w:kern w:val="0"/>
          <w:szCs w:val="24"/>
        </w:rPr>
        <w:t xml:space="preserve">xpressed </w:t>
      </w:r>
      <w:r w:rsidRPr="00E60993">
        <w:rPr>
          <w:rFonts w:hint="eastAsia"/>
          <w:b/>
          <w:bCs/>
          <w:snapToGrid w:val="0"/>
          <w:color w:val="000000"/>
          <w:kern w:val="0"/>
          <w:szCs w:val="24"/>
        </w:rPr>
        <w:t>g</w:t>
      </w:r>
      <w:r w:rsidRPr="00E60993">
        <w:rPr>
          <w:b/>
          <w:bCs/>
          <w:snapToGrid w:val="0"/>
          <w:color w:val="000000"/>
          <w:kern w:val="0"/>
          <w:szCs w:val="24"/>
        </w:rPr>
        <w:t xml:space="preserve">enes </w:t>
      </w:r>
    </w:p>
    <w:p w14:paraId="219FC748" w14:textId="77777777" w:rsidR="006C50C3" w:rsidRPr="00DC113E" w:rsidRDefault="00000000" w:rsidP="00E60993">
      <w:pPr>
        <w:rPr>
          <w:snapToGrid w:val="0"/>
          <w:color w:val="000000"/>
          <w:kern w:val="0"/>
          <w:szCs w:val="24"/>
        </w:rPr>
      </w:pPr>
      <w:r w:rsidRPr="00DC113E">
        <w:rPr>
          <w:snapToGrid w:val="0"/>
          <w:color w:val="000000"/>
          <w:kern w:val="0"/>
          <w:szCs w:val="24"/>
        </w:rPr>
        <w:t>Among the 38 cases of IDC tissues, the significantly highly expressed genes CCN2 and ITGB6 identified in Py-L1 cells were validated. The results are as follows (Fig</w:t>
      </w:r>
      <w:r w:rsidRPr="00DC113E">
        <w:rPr>
          <w:rFonts w:hint="eastAsia"/>
          <w:snapToGrid w:val="0"/>
          <w:color w:val="000000"/>
          <w:kern w:val="0"/>
          <w:szCs w:val="24"/>
        </w:rPr>
        <w:t xml:space="preserve">ure </w:t>
      </w:r>
      <w:r w:rsidRPr="00DC113E">
        <w:rPr>
          <w:snapToGrid w:val="0"/>
          <w:color w:val="000000"/>
          <w:kern w:val="0"/>
          <w:szCs w:val="24"/>
        </w:rPr>
        <w:t>7): Compared to breast cancer tissues without metastasis, the expression levels of the lung-specific metastatic genes CCN2 and ITGB6 were significantly elevated in breast cancer tissues with lung metastasis (</w:t>
      </w:r>
      <w:r w:rsidRPr="00DC113E">
        <w:rPr>
          <w:i/>
          <w:iCs/>
          <w:snapToGrid w:val="0"/>
          <w:color w:val="000000"/>
          <w:kern w:val="0"/>
          <w:szCs w:val="24"/>
        </w:rPr>
        <w:t>P</w:t>
      </w:r>
      <w:r w:rsidRPr="00DC113E">
        <w:rPr>
          <w:snapToGrid w:val="0"/>
          <w:color w:val="000000"/>
          <w:kern w:val="0"/>
          <w:szCs w:val="24"/>
        </w:rPr>
        <w:t xml:space="preserve"> &lt; 0.05), while there was no significant change in their expression levels in breast cancer tissues with bone metastasis.</w:t>
      </w:r>
    </w:p>
    <w:p w14:paraId="09ACEB07" w14:textId="77777777" w:rsidR="006C50C3" w:rsidRPr="00DC113E" w:rsidRDefault="006C50C3" w:rsidP="00E60993">
      <w:pPr>
        <w:rPr>
          <w:snapToGrid w:val="0"/>
          <w:color w:val="000000"/>
          <w:kern w:val="0"/>
          <w:szCs w:val="24"/>
        </w:rPr>
      </w:pPr>
    </w:p>
    <w:p w14:paraId="49C1252A" w14:textId="77777777" w:rsidR="006C50C3" w:rsidRPr="00E60993" w:rsidRDefault="00000000" w:rsidP="00E60993">
      <w:pPr>
        <w:jc w:val="center"/>
        <w:rPr>
          <w:snapToGrid w:val="0"/>
          <w:color w:val="000000"/>
          <w:kern w:val="0"/>
          <w:sz w:val="20"/>
        </w:rPr>
      </w:pPr>
      <w:r w:rsidRPr="00E60993">
        <w:rPr>
          <w:noProof/>
          <w:sz w:val="20"/>
        </w:rPr>
        <w:lastRenderedPageBreak/>
        <mc:AlternateContent>
          <mc:Choice Requires="wps">
            <w:drawing>
              <wp:anchor distT="0" distB="0" distL="114300" distR="114300" simplePos="0" relativeHeight="251694592" behindDoc="0" locked="0" layoutInCell="1" allowOverlap="1" wp14:anchorId="6A385A65" wp14:editId="0EF0C16A">
                <wp:simplePos x="0" y="0"/>
                <wp:positionH relativeFrom="column">
                  <wp:posOffset>3586480</wp:posOffset>
                </wp:positionH>
                <wp:positionV relativeFrom="paragraph">
                  <wp:posOffset>-212725</wp:posOffset>
                </wp:positionV>
                <wp:extent cx="366395" cy="556260"/>
                <wp:effectExtent l="0" t="0" r="14605" b="7620"/>
                <wp:wrapNone/>
                <wp:docPr id="12" name="文本框 12"/>
                <wp:cNvGraphicFramePr/>
                <a:graphic xmlns:a="http://schemas.openxmlformats.org/drawingml/2006/main">
                  <a:graphicData uri="http://schemas.microsoft.com/office/word/2010/wordprocessingShape">
                    <wps:wsp>
                      <wps:cNvSpPr txBox="1"/>
                      <wps:spPr>
                        <a:xfrm>
                          <a:off x="0" y="0"/>
                          <a:ext cx="366395" cy="55626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81167E0" w14:textId="77777777" w:rsidR="006C50C3" w:rsidRDefault="00000000">
                            <w:pPr>
                              <w:rPr>
                                <w:sz w:val="36"/>
                                <w:szCs w:val="36"/>
                              </w:rPr>
                            </w:pPr>
                            <w:r>
                              <w:rPr>
                                <w:rFonts w:hint="eastAsia"/>
                                <w:sz w:val="36"/>
                                <w:szCs w:val="36"/>
                              </w:rPr>
                              <w:t>B</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A385A65" id="文本框 12" o:spid="_x0000_s1034" type="#_x0000_t202" style="position:absolute;left:0;text-align:left;margin-left:282.4pt;margin-top:-16.75pt;width:28.85pt;height:43.8pt;z-index:251694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4G4XwIAACMFAAAOAAAAZHJzL2Uyb0RvYy54bWysVE2PGyEMvVfqf0Dcm8nndDfKZJVmlarS&#10;qrtqWvVMGEhQGUyBZCb99WuYTJK2e9mqFzDYfsbPNrO7ptLkIJxXYAo66PUpEYZDqcy2oN++rt7d&#10;UOIDMyXTYERBj8LTu/nbN7PaTsUQdqBL4QiCGD+tbUF3Idhplnm+ExXzPbDCoFKCq1jAo9tmpWM1&#10;olc6G/b7eVaDK60DLrzH2/tWSecJX0rBw6OUXgSiC4pvC2l1ad3ENZvP2HTrmN0pfnoG+4dXVEwZ&#10;DHqGumeBkb1Tf0FVijvwIEOPQ5WBlIqLlANmM+j/kc16x6xIuSA53p5p8v8Pln8+rO2TI6H5AA0W&#10;MBJSWz/1eBnzaaSr4o4vJahHCo9n2kQTCMfLUZ6PbieUcFRNJvkwT7RmF2frfPgooCJRKKjDqiSy&#10;2OHBBwyIpp1JjOVBq3KltE6H2AliqR05MKyhDumJ6PGblTakLmg+mvQTsIHo3iJrgwEuKSUpHLWI&#10;4Np8EZKoMmX2QjTGuTDniMk6WkkEf43jyT66itSTr3E+e6TIYMLZuVIGXMo3jcuFpPJHR5Js7TsG&#10;2rwjBaHZNJh4QW+6im+gPGIjOGhnxFu+UliuB+bDE3M4FFh7HPTwiIvUgHTDSaJkB+7XS/fRHnsV&#10;tZTUOGQF9T/3zAlK9CeDXXw7GI/jVKbDePJ+iAd3rdlca8y+WgL2wAC/FMuTGO2D7kTpoPqO/8Ei&#10;RkUVMxxjFzR04jK0o4//CReLRTLCObQsPJi15RE6smxgsQ8gVerNyFbLzYlFnMTUsqdfI4769TlZ&#10;Xf62+TMAAAD//wMAUEsDBBQABgAIAAAAIQCYPy9D4QAAAAoBAAAPAAAAZHJzL2Rvd25yZXYueG1s&#10;TI9LT4RAEITvJv6HSZt4MbvDwoIGGTbG+Ei8ufiIt1mmBSLTQ5hZwH9ve9JbdapS9XWxW2wvJhx9&#10;50jBZh2BQKqd6ahR8FLdr65A+KDJ6N4RKvhGD7vy9KTQuXEzPeO0D43gEvK5VtCGMORS+rpFq/3a&#10;DUjsfbrR6sDn2Egz6pnLbS/jKMqk1R3xQqsHvG2x/tofrYKPi+b9yS8Pr3OSJsPd41RdvplKqfOz&#10;5eYaRMAl/IXhF5/RoWSmgzuS8aJXkGZbRg8KVkmSguBEFscsDmxtNyDLQv5/ofwBAAD//wMAUEsB&#10;Ai0AFAAGAAgAAAAhALaDOJL+AAAA4QEAABMAAAAAAAAAAAAAAAAAAAAAAFtDb250ZW50X1R5cGVz&#10;XS54bWxQSwECLQAUAAYACAAAACEAOP0h/9YAAACUAQAACwAAAAAAAAAAAAAAAAAvAQAAX3JlbHMv&#10;LnJlbHNQSwECLQAUAAYACAAAACEApm+BuF8CAAAjBQAADgAAAAAAAAAAAAAAAAAuAgAAZHJzL2Uy&#10;b0RvYy54bWxQSwECLQAUAAYACAAAACEAmD8vQ+EAAAAKAQAADwAAAAAAAAAAAAAAAAC5BAAAZHJz&#10;L2Rvd25yZXYueG1sUEsFBgAAAAAEAAQA8wAAAMcFAAAAAA==&#10;" fillcolor="white [3201]" stroked="f" strokeweight=".5pt">
                <v:textbox>
                  <w:txbxContent>
                    <w:p w14:paraId="681167E0" w14:textId="77777777" w:rsidR="006C50C3" w:rsidRDefault="00000000">
                      <w:pPr>
                        <w:rPr>
                          <w:sz w:val="36"/>
                          <w:szCs w:val="36"/>
                        </w:rPr>
                      </w:pPr>
                      <w:r>
                        <w:rPr>
                          <w:rFonts w:hint="eastAsia"/>
                          <w:sz w:val="36"/>
                          <w:szCs w:val="36"/>
                        </w:rPr>
                        <w:t>B</w:t>
                      </w:r>
                    </w:p>
                  </w:txbxContent>
                </v:textbox>
              </v:shape>
            </w:pict>
          </mc:Fallback>
        </mc:AlternateContent>
      </w:r>
      <w:r w:rsidRPr="00E60993">
        <w:rPr>
          <w:noProof/>
          <w:sz w:val="20"/>
        </w:rPr>
        <mc:AlternateContent>
          <mc:Choice Requires="wps">
            <w:drawing>
              <wp:anchor distT="0" distB="0" distL="114300" distR="114300" simplePos="0" relativeHeight="251686400" behindDoc="0" locked="0" layoutInCell="1" allowOverlap="1" wp14:anchorId="4538C87D" wp14:editId="2E703A1B">
                <wp:simplePos x="0" y="0"/>
                <wp:positionH relativeFrom="column">
                  <wp:posOffset>817245</wp:posOffset>
                </wp:positionH>
                <wp:positionV relativeFrom="paragraph">
                  <wp:posOffset>-234950</wp:posOffset>
                </wp:positionV>
                <wp:extent cx="366395" cy="556260"/>
                <wp:effectExtent l="0" t="0" r="14605" b="7620"/>
                <wp:wrapNone/>
                <wp:docPr id="5" name="文本框 5"/>
                <wp:cNvGraphicFramePr/>
                <a:graphic xmlns:a="http://schemas.openxmlformats.org/drawingml/2006/main">
                  <a:graphicData uri="http://schemas.microsoft.com/office/word/2010/wordprocessingShape">
                    <wps:wsp>
                      <wps:cNvSpPr txBox="1"/>
                      <wps:spPr>
                        <a:xfrm>
                          <a:off x="0" y="0"/>
                          <a:ext cx="366395" cy="55626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C17ADA3" w14:textId="77777777" w:rsidR="006C50C3" w:rsidRDefault="00000000">
                            <w:pPr>
                              <w:rPr>
                                <w:sz w:val="36"/>
                                <w:szCs w:val="36"/>
                              </w:rPr>
                            </w:pPr>
                            <w:r>
                              <w:rPr>
                                <w:rFonts w:hint="eastAsia"/>
                                <w:sz w:val="36"/>
                                <w:szCs w:val="36"/>
                              </w:rPr>
                              <w:t>A</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538C87D" id="文本框 5" o:spid="_x0000_s1035" type="#_x0000_t202" style="position:absolute;left:0;text-align:left;margin-left:64.35pt;margin-top:-18.5pt;width:28.85pt;height:43.8pt;z-index:251686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0eBXQIAACMFAAAOAAAAZHJzL2Uyb0RvYy54bWysVEuPEzEMviPxH6Lc6fQ50KrTVemqCGnF&#10;riiIc5pJOhGZOCRpZ8qvx8n0BexlEZfEie3P8Wc787u21uQgnFdgCjro9SkRhkOpzK6gX7+s37yj&#10;xAdmSqbBiIIehad3i9ev5o2diSFUoEvhCIIYP2tsQasQ7CzLPK9EzXwPrDColOBqFvDodlnpWIPo&#10;tc6G/X6eNeBK64AL7/H2vlPSRcKXUvDwKKUXgeiC4ttCWl1at3HNFnM22zlmK8VPz2D/8IqaKYNB&#10;L1D3LDCyd+ovqFpxBx5k6HGoM5BScZFywGwG/T+y2VTMipQLkuPthSb//2D5p8PGPjkS2vfQYgEj&#10;IY31M4+XMZ9Wujru+FKCeqTweKFNtIFwvBzl+Wg6oYSjajLJh3miNbs6W+fDBwE1iUJBHVYlkcUO&#10;Dz5gQDQ9m8RYHrQq10rrdIidIFbakQPDGuqQnogev1lpQ5qC5qNJPwEbiO4dsjYY4JpSksJRiwiu&#10;zWchiSpTZs9EY5wLc4mYrKOVRPCXOJ7so6tIPfkS54tHigwmXJxrZcClfNO4XEkqv59Jkp39mYEu&#10;70hBaLctJl7Q6bniWyiP2AgOuhnxlq8VluuB+fDEHA4F1h4HPTziIjUg3XCSKKnA/XzuPtpjr6KW&#10;kgaHrKD+x545QYn+aLCLp4PxOE5lOownb4d4cLea7a3G7OsVYA8M8EuxPInRPuizKB3U3/A/WMao&#10;qGKGY+yChrO4Ct3o43/CxXKZjHAOLQsPZmN5hI4sG1juA0iVejOy1XFzYhEnMbXs6deIo357TlbX&#10;v23xCwAA//8DAFBLAwQUAAYACAAAACEAoxBoFeEAAAAKAQAADwAAAGRycy9kb3ducmV2LnhtbEyP&#10;y07DMBBF90j8gzVIbFDr0NAmCnEqhHhI3dHwEDs3HpKIeBzFbhL+nukKlldzdOfcfDvbTow4+NaR&#10;gutlBAKpcqalWsFr+bhIQfigyejOESr4QQ/b4vws15lxE73guA+14BLymVbQhNBnUvqqQav90vVI&#10;fPtyg9WB41BLM+iJy20nV1G0kVa3xB8a3eN9g9X3/mgVfF7VHzs/P71N8TruH57HMnk3pVKXF/Pd&#10;LYiAc/iD4aTP6lCw08EdyXjRcV6lCaMKFnHCo05EurkBcVCwjjYgi1z+n1D8AgAA//8DAFBLAQIt&#10;ABQABgAIAAAAIQC2gziS/gAAAOEBAAATAAAAAAAAAAAAAAAAAAAAAABbQ29udGVudF9UeXBlc10u&#10;eG1sUEsBAi0AFAAGAAgAAAAhADj9If/WAAAAlAEAAAsAAAAAAAAAAAAAAAAALwEAAF9yZWxzLy5y&#10;ZWxzUEsBAi0AFAAGAAgAAAAhAPfHR4FdAgAAIwUAAA4AAAAAAAAAAAAAAAAALgIAAGRycy9lMm9E&#10;b2MueG1sUEsBAi0AFAAGAAgAAAAhAKMQaBXhAAAACgEAAA8AAAAAAAAAAAAAAAAAtwQAAGRycy9k&#10;b3ducmV2LnhtbFBLBQYAAAAABAAEAPMAAADFBQAAAAA=&#10;" fillcolor="white [3201]" stroked="f" strokeweight=".5pt">
                <v:textbox>
                  <w:txbxContent>
                    <w:p w14:paraId="4C17ADA3" w14:textId="77777777" w:rsidR="006C50C3" w:rsidRDefault="00000000">
                      <w:pPr>
                        <w:rPr>
                          <w:sz w:val="36"/>
                          <w:szCs w:val="36"/>
                        </w:rPr>
                      </w:pPr>
                      <w:r>
                        <w:rPr>
                          <w:rFonts w:hint="eastAsia"/>
                          <w:sz w:val="36"/>
                          <w:szCs w:val="36"/>
                        </w:rPr>
                        <w:t>A</w:t>
                      </w:r>
                    </w:p>
                  </w:txbxContent>
                </v:textbox>
              </v:shape>
            </w:pict>
          </mc:Fallback>
        </mc:AlternateContent>
      </w:r>
      <w:r w:rsidRPr="00E60993">
        <w:rPr>
          <w:noProof/>
          <w:snapToGrid w:val="0"/>
          <w:color w:val="000000"/>
          <w:kern w:val="0"/>
          <w:sz w:val="20"/>
        </w:rPr>
        <w:drawing>
          <wp:inline distT="0" distB="0" distL="114300" distR="114300" wp14:anchorId="2271D75B" wp14:editId="045F84B8">
            <wp:extent cx="5867400" cy="1961515"/>
            <wp:effectExtent l="0" t="0" r="0" b="4445"/>
            <wp:docPr id="2" name="图片 2" descr="1744945351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744945351133"/>
                    <pic:cNvPicPr>
                      <a:picLocks noChangeAspect="1"/>
                    </pic:cNvPicPr>
                  </pic:nvPicPr>
                  <pic:blipFill>
                    <a:blip r:embed="rId15"/>
                    <a:stretch>
                      <a:fillRect/>
                    </a:stretch>
                  </pic:blipFill>
                  <pic:spPr>
                    <a:xfrm>
                      <a:off x="0" y="0"/>
                      <a:ext cx="5867400" cy="1961515"/>
                    </a:xfrm>
                    <a:prstGeom prst="rect">
                      <a:avLst/>
                    </a:prstGeom>
                  </pic:spPr>
                </pic:pic>
              </a:graphicData>
            </a:graphic>
          </wp:inline>
        </w:drawing>
      </w:r>
    </w:p>
    <w:p w14:paraId="62A583D5" w14:textId="2054CB3B" w:rsidR="006C50C3" w:rsidRPr="00E60993" w:rsidRDefault="00000000" w:rsidP="00E60993">
      <w:pPr>
        <w:jc w:val="center"/>
        <w:rPr>
          <w:snapToGrid w:val="0"/>
          <w:color w:val="000000"/>
          <w:kern w:val="0"/>
          <w:sz w:val="20"/>
        </w:rPr>
      </w:pPr>
      <w:r w:rsidRPr="00E60993">
        <w:rPr>
          <w:b/>
          <w:bCs/>
          <w:snapToGrid w:val="0"/>
          <w:kern w:val="0"/>
          <w:sz w:val="20"/>
        </w:rPr>
        <w:t>Fig</w:t>
      </w:r>
      <w:r w:rsidRPr="00E60993">
        <w:rPr>
          <w:rFonts w:hint="eastAsia"/>
          <w:b/>
          <w:bCs/>
          <w:snapToGrid w:val="0"/>
          <w:kern w:val="0"/>
          <w:sz w:val="20"/>
        </w:rPr>
        <w:t xml:space="preserve">ure </w:t>
      </w:r>
      <w:r w:rsidRPr="00E60993">
        <w:rPr>
          <w:b/>
          <w:bCs/>
          <w:snapToGrid w:val="0"/>
          <w:kern w:val="0"/>
          <w:sz w:val="20"/>
        </w:rPr>
        <w:t>7.</w:t>
      </w:r>
      <w:r w:rsidRPr="00E60993">
        <w:rPr>
          <w:snapToGrid w:val="0"/>
          <w:kern w:val="0"/>
          <w:sz w:val="20"/>
        </w:rPr>
        <w:t xml:space="preserve"> </w:t>
      </w:r>
      <w:r w:rsidRPr="00E60993">
        <w:rPr>
          <w:snapToGrid w:val="0"/>
          <w:color w:val="000000"/>
          <w:kern w:val="0"/>
          <w:sz w:val="20"/>
        </w:rPr>
        <w:t xml:space="preserve">The expression levels of CCN2 and ITGB6 are elevated in breast cancer with lung metastasis.*indicates </w:t>
      </w:r>
      <w:r w:rsidRPr="00E60993">
        <w:rPr>
          <w:i/>
          <w:iCs/>
          <w:snapToGrid w:val="0"/>
          <w:color w:val="000000"/>
          <w:kern w:val="0"/>
          <w:sz w:val="20"/>
        </w:rPr>
        <w:t>P</w:t>
      </w:r>
      <w:r w:rsidRPr="00E60993">
        <w:rPr>
          <w:snapToGrid w:val="0"/>
          <w:color w:val="000000"/>
          <w:kern w:val="0"/>
          <w:sz w:val="20"/>
        </w:rPr>
        <w:t xml:space="preserve"> &lt; 0.05, and ns indicates no statistical difference.</w:t>
      </w:r>
    </w:p>
    <w:p w14:paraId="02BF6F54" w14:textId="77777777" w:rsidR="006C50C3" w:rsidRPr="00DC113E" w:rsidRDefault="006C50C3" w:rsidP="00E60993">
      <w:pPr>
        <w:rPr>
          <w:snapToGrid w:val="0"/>
          <w:color w:val="000000"/>
          <w:kern w:val="0"/>
          <w:szCs w:val="24"/>
        </w:rPr>
      </w:pPr>
    </w:p>
    <w:p w14:paraId="051EA10B" w14:textId="77777777" w:rsidR="006C50C3" w:rsidRPr="00E60993" w:rsidRDefault="00000000" w:rsidP="00E60993">
      <w:pPr>
        <w:rPr>
          <w:b/>
          <w:bCs/>
          <w:snapToGrid w:val="0"/>
          <w:color w:val="000000"/>
          <w:kern w:val="0"/>
          <w:szCs w:val="24"/>
        </w:rPr>
      </w:pPr>
      <w:r w:rsidRPr="00E60993">
        <w:rPr>
          <w:rFonts w:hint="eastAsia"/>
          <w:b/>
          <w:bCs/>
          <w:snapToGrid w:val="0"/>
          <w:color w:val="000000"/>
          <w:kern w:val="0"/>
          <w:szCs w:val="24"/>
        </w:rPr>
        <w:t>3</w:t>
      </w:r>
      <w:r w:rsidRPr="00E60993">
        <w:rPr>
          <w:b/>
          <w:bCs/>
          <w:snapToGrid w:val="0"/>
          <w:color w:val="000000"/>
          <w:kern w:val="0"/>
          <w:szCs w:val="24"/>
        </w:rPr>
        <w:t>.2.</w:t>
      </w:r>
      <w:r w:rsidRPr="00E60993">
        <w:rPr>
          <w:rFonts w:hint="eastAsia"/>
          <w:b/>
          <w:bCs/>
          <w:snapToGrid w:val="0"/>
          <w:color w:val="000000"/>
          <w:kern w:val="0"/>
          <w:szCs w:val="24"/>
        </w:rPr>
        <w:t>2.</w:t>
      </w:r>
      <w:r w:rsidRPr="00E60993">
        <w:rPr>
          <w:b/>
          <w:bCs/>
          <w:snapToGrid w:val="0"/>
          <w:color w:val="000000"/>
          <w:kern w:val="0"/>
          <w:szCs w:val="24"/>
        </w:rPr>
        <w:t xml:space="preserve"> Results and </w:t>
      </w:r>
      <w:r w:rsidRPr="00E60993">
        <w:rPr>
          <w:rFonts w:hint="eastAsia"/>
          <w:b/>
          <w:bCs/>
          <w:snapToGrid w:val="0"/>
          <w:color w:val="000000"/>
          <w:kern w:val="0"/>
          <w:szCs w:val="24"/>
        </w:rPr>
        <w:t>v</w:t>
      </w:r>
      <w:r w:rsidRPr="00E60993">
        <w:rPr>
          <w:b/>
          <w:bCs/>
          <w:snapToGrid w:val="0"/>
          <w:color w:val="000000"/>
          <w:kern w:val="0"/>
          <w:szCs w:val="24"/>
        </w:rPr>
        <w:t xml:space="preserve">alidation of </w:t>
      </w:r>
      <w:r w:rsidRPr="00E60993">
        <w:rPr>
          <w:rFonts w:hint="eastAsia"/>
          <w:b/>
          <w:bCs/>
          <w:snapToGrid w:val="0"/>
          <w:color w:val="000000"/>
          <w:kern w:val="0"/>
          <w:szCs w:val="24"/>
        </w:rPr>
        <w:t>t</w:t>
      </w:r>
      <w:r w:rsidRPr="00E60993">
        <w:rPr>
          <w:b/>
          <w:bCs/>
          <w:snapToGrid w:val="0"/>
          <w:color w:val="000000"/>
          <w:kern w:val="0"/>
          <w:szCs w:val="24"/>
        </w:rPr>
        <w:t xml:space="preserve">ranscriptome </w:t>
      </w:r>
      <w:r w:rsidRPr="00E60993">
        <w:rPr>
          <w:rFonts w:hint="eastAsia"/>
          <w:b/>
          <w:bCs/>
          <w:snapToGrid w:val="0"/>
          <w:color w:val="000000"/>
          <w:kern w:val="0"/>
          <w:szCs w:val="24"/>
        </w:rPr>
        <w:t>d</w:t>
      </w:r>
      <w:r w:rsidRPr="00E60993">
        <w:rPr>
          <w:b/>
          <w:bCs/>
          <w:snapToGrid w:val="0"/>
          <w:color w:val="000000"/>
          <w:kern w:val="0"/>
          <w:szCs w:val="24"/>
        </w:rPr>
        <w:t xml:space="preserve">ata </w:t>
      </w:r>
      <w:r w:rsidRPr="00E60993">
        <w:rPr>
          <w:rFonts w:hint="eastAsia"/>
          <w:b/>
          <w:bCs/>
          <w:snapToGrid w:val="0"/>
          <w:color w:val="000000"/>
          <w:kern w:val="0"/>
          <w:szCs w:val="24"/>
        </w:rPr>
        <w:t>a</w:t>
      </w:r>
      <w:r w:rsidRPr="00E60993">
        <w:rPr>
          <w:b/>
          <w:bCs/>
          <w:snapToGrid w:val="0"/>
          <w:color w:val="000000"/>
          <w:kern w:val="0"/>
          <w:szCs w:val="24"/>
        </w:rPr>
        <w:t xml:space="preserve">nalysis for PyMT-1 and Py-B1 </w:t>
      </w:r>
    </w:p>
    <w:p w14:paraId="0314C6F8" w14:textId="77777777" w:rsidR="006C50C3" w:rsidRPr="00E60993" w:rsidRDefault="00000000" w:rsidP="00E60993">
      <w:pPr>
        <w:rPr>
          <w:b/>
          <w:bCs/>
          <w:snapToGrid w:val="0"/>
          <w:color w:val="000000"/>
          <w:kern w:val="0"/>
          <w:szCs w:val="24"/>
        </w:rPr>
      </w:pPr>
      <w:r w:rsidRPr="00E60993">
        <w:rPr>
          <w:rFonts w:hint="eastAsia"/>
          <w:b/>
          <w:bCs/>
          <w:snapToGrid w:val="0"/>
          <w:color w:val="000000"/>
          <w:kern w:val="0"/>
          <w:szCs w:val="24"/>
        </w:rPr>
        <w:t>3</w:t>
      </w:r>
      <w:r w:rsidRPr="00E60993">
        <w:rPr>
          <w:b/>
          <w:bCs/>
          <w:snapToGrid w:val="0"/>
          <w:color w:val="000000"/>
          <w:kern w:val="0"/>
          <w:szCs w:val="24"/>
        </w:rPr>
        <w:t>.2.</w:t>
      </w:r>
      <w:r w:rsidRPr="00E60993">
        <w:rPr>
          <w:rFonts w:hint="eastAsia"/>
          <w:b/>
          <w:bCs/>
          <w:snapToGrid w:val="0"/>
          <w:color w:val="000000"/>
          <w:kern w:val="0"/>
          <w:szCs w:val="24"/>
        </w:rPr>
        <w:t>2.</w:t>
      </w:r>
      <w:r w:rsidRPr="00E60993">
        <w:rPr>
          <w:b/>
          <w:bCs/>
          <w:snapToGrid w:val="0"/>
          <w:color w:val="000000"/>
          <w:kern w:val="0"/>
          <w:szCs w:val="24"/>
        </w:rPr>
        <w:t xml:space="preserve">1. Analysis of </w:t>
      </w:r>
      <w:r w:rsidRPr="00E60993">
        <w:rPr>
          <w:rFonts w:hint="eastAsia"/>
          <w:b/>
          <w:bCs/>
          <w:snapToGrid w:val="0"/>
          <w:color w:val="000000"/>
          <w:kern w:val="0"/>
          <w:szCs w:val="24"/>
        </w:rPr>
        <w:t>d</w:t>
      </w:r>
      <w:r w:rsidRPr="00E60993">
        <w:rPr>
          <w:b/>
          <w:bCs/>
          <w:snapToGrid w:val="0"/>
          <w:color w:val="000000"/>
          <w:kern w:val="0"/>
          <w:szCs w:val="24"/>
        </w:rPr>
        <w:t xml:space="preserve">ifferentially </w:t>
      </w:r>
      <w:r w:rsidRPr="00E60993">
        <w:rPr>
          <w:rFonts w:hint="eastAsia"/>
          <w:b/>
          <w:bCs/>
          <w:snapToGrid w:val="0"/>
          <w:color w:val="000000"/>
          <w:kern w:val="0"/>
          <w:szCs w:val="24"/>
        </w:rPr>
        <w:t>e</w:t>
      </w:r>
      <w:r w:rsidRPr="00E60993">
        <w:rPr>
          <w:b/>
          <w:bCs/>
          <w:snapToGrid w:val="0"/>
          <w:color w:val="000000"/>
          <w:kern w:val="0"/>
          <w:szCs w:val="24"/>
        </w:rPr>
        <w:t xml:space="preserve">xpressed </w:t>
      </w:r>
      <w:r w:rsidRPr="00E60993">
        <w:rPr>
          <w:rFonts w:hint="eastAsia"/>
          <w:b/>
          <w:bCs/>
          <w:snapToGrid w:val="0"/>
          <w:color w:val="000000"/>
          <w:kern w:val="0"/>
          <w:szCs w:val="24"/>
        </w:rPr>
        <w:t>g</w:t>
      </w:r>
      <w:r w:rsidRPr="00E60993">
        <w:rPr>
          <w:b/>
          <w:bCs/>
          <w:snapToGrid w:val="0"/>
          <w:color w:val="000000"/>
          <w:kern w:val="0"/>
          <w:szCs w:val="24"/>
        </w:rPr>
        <w:t xml:space="preserve">enes </w:t>
      </w:r>
    </w:p>
    <w:p w14:paraId="4F21C364" w14:textId="77777777" w:rsidR="006C50C3" w:rsidRPr="00DC113E" w:rsidRDefault="00000000" w:rsidP="00E60993">
      <w:pPr>
        <w:rPr>
          <w:snapToGrid w:val="0"/>
          <w:color w:val="000000"/>
          <w:kern w:val="0"/>
          <w:szCs w:val="24"/>
        </w:rPr>
      </w:pPr>
      <w:r w:rsidRPr="00DC113E">
        <w:rPr>
          <w:snapToGrid w:val="0"/>
          <w:color w:val="000000"/>
          <w:kern w:val="0"/>
          <w:szCs w:val="24"/>
        </w:rPr>
        <w:t>A total of 4, 131 differentially expressed genes were identified, including 2, 158 upregulated genes and 1, 973 downregulated genes. The visualized volcano plot is shown below (</w:t>
      </w:r>
      <w:r w:rsidRPr="00E60993">
        <w:rPr>
          <w:b/>
          <w:bCs/>
          <w:snapToGrid w:val="0"/>
          <w:color w:val="000000"/>
          <w:kern w:val="0"/>
          <w:szCs w:val="24"/>
        </w:rPr>
        <w:t>Fig</w:t>
      </w:r>
      <w:r w:rsidRPr="00E60993">
        <w:rPr>
          <w:rFonts w:hint="eastAsia"/>
          <w:b/>
          <w:bCs/>
          <w:snapToGrid w:val="0"/>
          <w:color w:val="000000"/>
          <w:kern w:val="0"/>
          <w:szCs w:val="24"/>
        </w:rPr>
        <w:t xml:space="preserve">ure </w:t>
      </w:r>
      <w:r w:rsidRPr="00E60993">
        <w:rPr>
          <w:b/>
          <w:bCs/>
          <w:snapToGrid w:val="0"/>
          <w:color w:val="000000"/>
          <w:kern w:val="0"/>
          <w:szCs w:val="24"/>
        </w:rPr>
        <w:t>8</w:t>
      </w:r>
      <w:r w:rsidRPr="00DC113E">
        <w:rPr>
          <w:snapToGrid w:val="0"/>
          <w:color w:val="000000"/>
          <w:kern w:val="0"/>
          <w:szCs w:val="24"/>
        </w:rPr>
        <w:t>).</w:t>
      </w:r>
    </w:p>
    <w:p w14:paraId="5D51C3D3" w14:textId="77777777" w:rsidR="006C50C3" w:rsidRPr="00DC113E" w:rsidRDefault="006C50C3" w:rsidP="00E60993">
      <w:pPr>
        <w:rPr>
          <w:snapToGrid w:val="0"/>
          <w:color w:val="000000"/>
          <w:kern w:val="0"/>
          <w:szCs w:val="24"/>
        </w:rPr>
      </w:pPr>
    </w:p>
    <w:p w14:paraId="35C1699B" w14:textId="77777777" w:rsidR="006C50C3" w:rsidRPr="00E60993" w:rsidRDefault="00000000" w:rsidP="00E60993">
      <w:pPr>
        <w:jc w:val="center"/>
        <w:rPr>
          <w:snapToGrid w:val="0"/>
          <w:color w:val="000000"/>
          <w:kern w:val="0"/>
          <w:sz w:val="20"/>
        </w:rPr>
      </w:pPr>
      <w:r w:rsidRPr="00E60993">
        <w:rPr>
          <w:noProof/>
          <w:snapToGrid w:val="0"/>
          <w:color w:val="000000"/>
          <w:kern w:val="0"/>
          <w:sz w:val="20"/>
        </w:rPr>
        <w:drawing>
          <wp:inline distT="0" distB="0" distL="114300" distR="114300" wp14:anchorId="5F734555" wp14:editId="6437BA73">
            <wp:extent cx="3765550" cy="3552825"/>
            <wp:effectExtent l="0" t="0" r="13970" b="13335"/>
            <wp:docPr id="19" name="图片 48" descr="火山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48" descr="火山图"/>
                    <pic:cNvPicPr>
                      <a:picLocks noChangeAspect="1"/>
                    </pic:cNvPicPr>
                  </pic:nvPicPr>
                  <pic:blipFill>
                    <a:blip r:embed="rId16"/>
                    <a:stretch>
                      <a:fillRect/>
                    </a:stretch>
                  </pic:blipFill>
                  <pic:spPr>
                    <a:xfrm>
                      <a:off x="0" y="0"/>
                      <a:ext cx="3765550" cy="3552825"/>
                    </a:xfrm>
                    <a:prstGeom prst="rect">
                      <a:avLst/>
                    </a:prstGeom>
                    <a:noFill/>
                    <a:ln>
                      <a:noFill/>
                    </a:ln>
                  </pic:spPr>
                </pic:pic>
              </a:graphicData>
            </a:graphic>
          </wp:inline>
        </w:drawing>
      </w:r>
    </w:p>
    <w:p w14:paraId="57FD3A6C" w14:textId="7E5B8C1B" w:rsidR="006C50C3" w:rsidRPr="00E60993" w:rsidRDefault="00000000" w:rsidP="00E60993">
      <w:pPr>
        <w:jc w:val="center"/>
        <w:rPr>
          <w:snapToGrid w:val="0"/>
          <w:color w:val="000000"/>
          <w:kern w:val="0"/>
          <w:sz w:val="20"/>
        </w:rPr>
      </w:pPr>
      <w:r w:rsidRPr="00E60993">
        <w:rPr>
          <w:b/>
          <w:bCs/>
          <w:snapToGrid w:val="0"/>
          <w:color w:val="000000"/>
          <w:kern w:val="0"/>
          <w:sz w:val="20"/>
        </w:rPr>
        <w:t>Fig</w:t>
      </w:r>
      <w:r w:rsidRPr="00E60993">
        <w:rPr>
          <w:rFonts w:hint="eastAsia"/>
          <w:b/>
          <w:bCs/>
          <w:snapToGrid w:val="0"/>
          <w:color w:val="000000"/>
          <w:kern w:val="0"/>
          <w:sz w:val="20"/>
        </w:rPr>
        <w:t xml:space="preserve">ure </w:t>
      </w:r>
      <w:r w:rsidRPr="00E60993">
        <w:rPr>
          <w:b/>
          <w:bCs/>
          <w:snapToGrid w:val="0"/>
          <w:color w:val="000000"/>
          <w:kern w:val="0"/>
          <w:sz w:val="20"/>
        </w:rPr>
        <w:t>8.</w:t>
      </w:r>
      <w:r w:rsidRPr="00E60993">
        <w:rPr>
          <w:snapToGrid w:val="0"/>
          <w:color w:val="000000"/>
          <w:kern w:val="0"/>
          <w:sz w:val="20"/>
        </w:rPr>
        <w:t xml:space="preserve"> Volcano plot of differentially expressed genes between PyMT-1 and Py-B1</w:t>
      </w:r>
      <w:r w:rsidR="00E60993" w:rsidRPr="00E60993">
        <w:rPr>
          <w:snapToGrid w:val="0"/>
          <w:color w:val="000000"/>
          <w:kern w:val="0"/>
          <w:sz w:val="20"/>
        </w:rPr>
        <w:t>.</w:t>
      </w:r>
    </w:p>
    <w:p w14:paraId="12DE81DB" w14:textId="77777777" w:rsidR="006C50C3" w:rsidRPr="00DC113E" w:rsidRDefault="006C50C3" w:rsidP="00E60993">
      <w:pPr>
        <w:rPr>
          <w:snapToGrid w:val="0"/>
          <w:color w:val="000000"/>
          <w:kern w:val="0"/>
          <w:szCs w:val="24"/>
        </w:rPr>
      </w:pPr>
    </w:p>
    <w:p w14:paraId="7D285CC9" w14:textId="77777777" w:rsidR="006C50C3" w:rsidRPr="00E60993" w:rsidRDefault="00000000" w:rsidP="00E60993">
      <w:pPr>
        <w:rPr>
          <w:b/>
          <w:bCs/>
          <w:snapToGrid w:val="0"/>
          <w:color w:val="000000"/>
          <w:kern w:val="0"/>
          <w:szCs w:val="24"/>
        </w:rPr>
      </w:pPr>
      <w:r w:rsidRPr="00E60993">
        <w:rPr>
          <w:rFonts w:hint="eastAsia"/>
          <w:b/>
          <w:bCs/>
          <w:snapToGrid w:val="0"/>
          <w:color w:val="000000"/>
          <w:kern w:val="0"/>
          <w:szCs w:val="24"/>
        </w:rPr>
        <w:t>3</w:t>
      </w:r>
      <w:r w:rsidRPr="00E60993">
        <w:rPr>
          <w:b/>
          <w:bCs/>
          <w:snapToGrid w:val="0"/>
          <w:color w:val="000000"/>
          <w:kern w:val="0"/>
          <w:szCs w:val="24"/>
        </w:rPr>
        <w:t>.</w:t>
      </w:r>
      <w:r w:rsidRPr="00E60993">
        <w:rPr>
          <w:rFonts w:hint="eastAsia"/>
          <w:b/>
          <w:bCs/>
          <w:snapToGrid w:val="0"/>
          <w:color w:val="000000"/>
          <w:kern w:val="0"/>
          <w:szCs w:val="24"/>
        </w:rPr>
        <w:t>2.</w:t>
      </w:r>
      <w:r w:rsidRPr="00E60993">
        <w:rPr>
          <w:b/>
          <w:bCs/>
          <w:snapToGrid w:val="0"/>
          <w:color w:val="000000"/>
          <w:kern w:val="0"/>
          <w:szCs w:val="24"/>
        </w:rPr>
        <w:t xml:space="preserve">2.2. Enrichment </w:t>
      </w:r>
      <w:r w:rsidRPr="00E60993">
        <w:rPr>
          <w:rFonts w:hint="eastAsia"/>
          <w:b/>
          <w:bCs/>
          <w:snapToGrid w:val="0"/>
          <w:color w:val="000000"/>
          <w:kern w:val="0"/>
          <w:szCs w:val="24"/>
        </w:rPr>
        <w:t>a</w:t>
      </w:r>
      <w:r w:rsidRPr="00E60993">
        <w:rPr>
          <w:b/>
          <w:bCs/>
          <w:snapToGrid w:val="0"/>
          <w:color w:val="000000"/>
          <w:kern w:val="0"/>
          <w:szCs w:val="24"/>
        </w:rPr>
        <w:t xml:space="preserve">nalysis of </w:t>
      </w:r>
      <w:r w:rsidRPr="00E60993">
        <w:rPr>
          <w:rFonts w:hint="eastAsia"/>
          <w:b/>
          <w:bCs/>
          <w:snapToGrid w:val="0"/>
          <w:color w:val="000000"/>
          <w:kern w:val="0"/>
          <w:szCs w:val="24"/>
        </w:rPr>
        <w:t>d</w:t>
      </w:r>
      <w:r w:rsidRPr="00E60993">
        <w:rPr>
          <w:b/>
          <w:bCs/>
          <w:snapToGrid w:val="0"/>
          <w:color w:val="000000"/>
          <w:kern w:val="0"/>
          <w:szCs w:val="24"/>
        </w:rPr>
        <w:t xml:space="preserve">ifferentially </w:t>
      </w:r>
      <w:r w:rsidRPr="00E60993">
        <w:rPr>
          <w:rFonts w:hint="eastAsia"/>
          <w:b/>
          <w:bCs/>
          <w:snapToGrid w:val="0"/>
          <w:color w:val="000000"/>
          <w:kern w:val="0"/>
          <w:szCs w:val="24"/>
        </w:rPr>
        <w:t>e</w:t>
      </w:r>
      <w:r w:rsidRPr="00E60993">
        <w:rPr>
          <w:b/>
          <w:bCs/>
          <w:snapToGrid w:val="0"/>
          <w:color w:val="000000"/>
          <w:kern w:val="0"/>
          <w:szCs w:val="24"/>
        </w:rPr>
        <w:t xml:space="preserve">xpressed </w:t>
      </w:r>
      <w:r w:rsidRPr="00E60993">
        <w:rPr>
          <w:rFonts w:hint="eastAsia"/>
          <w:b/>
          <w:bCs/>
          <w:snapToGrid w:val="0"/>
          <w:color w:val="000000"/>
          <w:kern w:val="0"/>
          <w:szCs w:val="24"/>
        </w:rPr>
        <w:t>p</w:t>
      </w:r>
      <w:r w:rsidRPr="00E60993">
        <w:rPr>
          <w:b/>
          <w:bCs/>
          <w:snapToGrid w:val="0"/>
          <w:color w:val="000000"/>
          <w:kern w:val="0"/>
          <w:szCs w:val="24"/>
        </w:rPr>
        <w:t>rotein-</w:t>
      </w:r>
      <w:r w:rsidRPr="00E60993">
        <w:rPr>
          <w:rFonts w:hint="eastAsia"/>
          <w:b/>
          <w:bCs/>
          <w:snapToGrid w:val="0"/>
          <w:color w:val="000000"/>
          <w:kern w:val="0"/>
          <w:szCs w:val="24"/>
        </w:rPr>
        <w:t>c</w:t>
      </w:r>
      <w:r w:rsidRPr="00E60993">
        <w:rPr>
          <w:b/>
          <w:bCs/>
          <w:snapToGrid w:val="0"/>
          <w:color w:val="000000"/>
          <w:kern w:val="0"/>
          <w:szCs w:val="24"/>
        </w:rPr>
        <w:t xml:space="preserve">oding RNAs </w:t>
      </w:r>
    </w:p>
    <w:p w14:paraId="107C8DFF" w14:textId="77777777" w:rsidR="006C50C3" w:rsidRPr="00DC113E" w:rsidRDefault="00000000" w:rsidP="00E60993">
      <w:pPr>
        <w:rPr>
          <w:snapToGrid w:val="0"/>
          <w:color w:val="000000"/>
          <w:kern w:val="0"/>
          <w:szCs w:val="24"/>
        </w:rPr>
      </w:pPr>
      <w:r w:rsidRPr="00DC113E">
        <w:rPr>
          <w:snapToGrid w:val="0"/>
          <w:color w:val="000000"/>
          <w:kern w:val="0"/>
          <w:szCs w:val="24"/>
        </w:rPr>
        <w:t xml:space="preserve">As previously mentioned, a total of 4, 131 differentially expressed protein-coding RNAs were identified between the PyMT-1 and Py-B1 groups. GO, KEGG pathway enrichment analysis, and GSEA analysis were performed on the set of differentially expressed genes. </w:t>
      </w:r>
    </w:p>
    <w:p w14:paraId="15603699" w14:textId="77777777" w:rsidR="006C50C3" w:rsidRPr="00DC113E" w:rsidRDefault="006C50C3" w:rsidP="00E60993">
      <w:pPr>
        <w:rPr>
          <w:snapToGrid w:val="0"/>
          <w:color w:val="000000"/>
          <w:kern w:val="0"/>
          <w:szCs w:val="24"/>
        </w:rPr>
      </w:pPr>
    </w:p>
    <w:p w14:paraId="271B3F96" w14:textId="77777777" w:rsidR="006C50C3" w:rsidRPr="00E60993" w:rsidRDefault="00000000" w:rsidP="00E60993">
      <w:pPr>
        <w:rPr>
          <w:b/>
          <w:bCs/>
          <w:snapToGrid w:val="0"/>
          <w:color w:val="000000"/>
          <w:kern w:val="0"/>
          <w:szCs w:val="24"/>
        </w:rPr>
      </w:pPr>
      <w:r w:rsidRPr="00E60993">
        <w:rPr>
          <w:rFonts w:hint="eastAsia"/>
          <w:b/>
          <w:bCs/>
          <w:snapToGrid w:val="0"/>
          <w:color w:val="000000"/>
          <w:kern w:val="0"/>
          <w:szCs w:val="24"/>
        </w:rPr>
        <w:t>3</w:t>
      </w:r>
      <w:r w:rsidRPr="00E60993">
        <w:rPr>
          <w:b/>
          <w:bCs/>
          <w:snapToGrid w:val="0"/>
          <w:color w:val="000000"/>
          <w:kern w:val="0"/>
          <w:szCs w:val="24"/>
        </w:rPr>
        <w:t>.</w:t>
      </w:r>
      <w:r w:rsidRPr="00E60993">
        <w:rPr>
          <w:rFonts w:hint="eastAsia"/>
          <w:b/>
          <w:bCs/>
          <w:snapToGrid w:val="0"/>
          <w:color w:val="000000"/>
          <w:kern w:val="0"/>
          <w:szCs w:val="24"/>
        </w:rPr>
        <w:t>2.</w:t>
      </w:r>
      <w:r w:rsidRPr="00E60993">
        <w:rPr>
          <w:b/>
          <w:bCs/>
          <w:snapToGrid w:val="0"/>
          <w:color w:val="000000"/>
          <w:kern w:val="0"/>
          <w:szCs w:val="24"/>
        </w:rPr>
        <w:t xml:space="preserve">2.2.1. Results of GO </w:t>
      </w:r>
      <w:r w:rsidRPr="00E60993">
        <w:rPr>
          <w:rFonts w:hint="eastAsia"/>
          <w:b/>
          <w:bCs/>
          <w:snapToGrid w:val="0"/>
          <w:color w:val="000000"/>
          <w:kern w:val="0"/>
          <w:szCs w:val="24"/>
        </w:rPr>
        <w:t>f</w:t>
      </w:r>
      <w:r w:rsidRPr="00E60993">
        <w:rPr>
          <w:b/>
          <w:bCs/>
          <w:snapToGrid w:val="0"/>
          <w:color w:val="000000"/>
          <w:kern w:val="0"/>
          <w:szCs w:val="24"/>
        </w:rPr>
        <w:t xml:space="preserve">unctional </w:t>
      </w:r>
      <w:r w:rsidRPr="00E60993">
        <w:rPr>
          <w:rFonts w:hint="eastAsia"/>
          <w:b/>
          <w:bCs/>
          <w:snapToGrid w:val="0"/>
          <w:color w:val="000000"/>
          <w:kern w:val="0"/>
          <w:szCs w:val="24"/>
        </w:rPr>
        <w:t>e</w:t>
      </w:r>
      <w:r w:rsidRPr="00E60993">
        <w:rPr>
          <w:b/>
          <w:bCs/>
          <w:snapToGrid w:val="0"/>
          <w:color w:val="000000"/>
          <w:kern w:val="0"/>
          <w:szCs w:val="24"/>
        </w:rPr>
        <w:t xml:space="preserve">nrichment </w:t>
      </w:r>
      <w:r w:rsidRPr="00E60993">
        <w:rPr>
          <w:rFonts w:hint="eastAsia"/>
          <w:b/>
          <w:bCs/>
          <w:snapToGrid w:val="0"/>
          <w:color w:val="000000"/>
          <w:kern w:val="0"/>
          <w:szCs w:val="24"/>
        </w:rPr>
        <w:t>a</w:t>
      </w:r>
      <w:r w:rsidRPr="00E60993">
        <w:rPr>
          <w:b/>
          <w:bCs/>
          <w:snapToGrid w:val="0"/>
          <w:color w:val="000000"/>
          <w:kern w:val="0"/>
          <w:szCs w:val="24"/>
        </w:rPr>
        <w:t xml:space="preserve">nalysis </w:t>
      </w:r>
    </w:p>
    <w:p w14:paraId="5B631337" w14:textId="77777777" w:rsidR="006C50C3" w:rsidRPr="00DC113E" w:rsidRDefault="00000000" w:rsidP="00E60993">
      <w:pPr>
        <w:rPr>
          <w:snapToGrid w:val="0"/>
          <w:color w:val="000000"/>
          <w:kern w:val="0"/>
          <w:szCs w:val="24"/>
        </w:rPr>
      </w:pPr>
      <w:r w:rsidRPr="00DC113E">
        <w:rPr>
          <w:snapToGrid w:val="0"/>
          <w:color w:val="000000"/>
          <w:kern w:val="0"/>
          <w:szCs w:val="24"/>
        </w:rPr>
        <w:t>After screening the differentially expressed genes, the visualized bubble plot of the GO functional enrichment analysis results is shown below (</w:t>
      </w:r>
      <w:r w:rsidRPr="00E60993">
        <w:rPr>
          <w:b/>
          <w:bCs/>
          <w:snapToGrid w:val="0"/>
          <w:color w:val="000000"/>
          <w:kern w:val="0"/>
          <w:szCs w:val="24"/>
        </w:rPr>
        <w:t>Fig</w:t>
      </w:r>
      <w:r w:rsidRPr="00E60993">
        <w:rPr>
          <w:rFonts w:hint="eastAsia"/>
          <w:b/>
          <w:bCs/>
          <w:snapToGrid w:val="0"/>
          <w:color w:val="000000"/>
          <w:kern w:val="0"/>
          <w:szCs w:val="24"/>
        </w:rPr>
        <w:t xml:space="preserve">ure </w:t>
      </w:r>
      <w:r w:rsidRPr="00E60993">
        <w:rPr>
          <w:b/>
          <w:bCs/>
          <w:snapToGrid w:val="0"/>
          <w:color w:val="000000"/>
          <w:kern w:val="0"/>
          <w:szCs w:val="24"/>
        </w:rPr>
        <w:t>9</w:t>
      </w:r>
      <w:r w:rsidRPr="00DC113E">
        <w:rPr>
          <w:snapToGrid w:val="0"/>
          <w:color w:val="000000"/>
          <w:kern w:val="0"/>
          <w:szCs w:val="24"/>
        </w:rPr>
        <w:t>).</w:t>
      </w:r>
    </w:p>
    <w:p w14:paraId="02E507E4" w14:textId="77777777" w:rsidR="006C50C3" w:rsidRPr="00DC113E" w:rsidRDefault="006C50C3" w:rsidP="00E60993">
      <w:pPr>
        <w:rPr>
          <w:snapToGrid w:val="0"/>
          <w:color w:val="000000"/>
          <w:kern w:val="0"/>
          <w:szCs w:val="24"/>
        </w:rPr>
      </w:pPr>
    </w:p>
    <w:p w14:paraId="276C6050" w14:textId="77777777" w:rsidR="006C50C3" w:rsidRPr="00DC113E" w:rsidRDefault="006C50C3" w:rsidP="00E60993">
      <w:pPr>
        <w:rPr>
          <w:snapToGrid w:val="0"/>
          <w:color w:val="000000"/>
          <w:kern w:val="0"/>
          <w:szCs w:val="24"/>
        </w:rPr>
      </w:pPr>
    </w:p>
    <w:p w14:paraId="03B7B689" w14:textId="77777777" w:rsidR="006C50C3" w:rsidRPr="00E60993" w:rsidRDefault="00000000" w:rsidP="00E60993">
      <w:pPr>
        <w:jc w:val="center"/>
        <w:rPr>
          <w:snapToGrid w:val="0"/>
          <w:color w:val="000000"/>
          <w:kern w:val="0"/>
          <w:sz w:val="20"/>
        </w:rPr>
      </w:pPr>
      <w:r w:rsidRPr="00DC113E">
        <w:rPr>
          <w:noProof/>
          <w:szCs w:val="24"/>
        </w:rPr>
        <mc:AlternateContent>
          <mc:Choice Requires="wps">
            <w:drawing>
              <wp:anchor distT="0" distB="0" distL="114300" distR="114300" simplePos="0" relativeHeight="251647488" behindDoc="0" locked="0" layoutInCell="1" allowOverlap="1" wp14:anchorId="48F8AF2F" wp14:editId="07657D03">
                <wp:simplePos x="0" y="0"/>
                <wp:positionH relativeFrom="column">
                  <wp:posOffset>648335</wp:posOffset>
                </wp:positionH>
                <wp:positionV relativeFrom="paragraph">
                  <wp:posOffset>8890</wp:posOffset>
                </wp:positionV>
                <wp:extent cx="692785" cy="492760"/>
                <wp:effectExtent l="0" t="0" r="0" b="0"/>
                <wp:wrapNone/>
                <wp:docPr id="25" name="文本框 427"/>
                <wp:cNvGraphicFramePr/>
                <a:graphic xmlns:a="http://schemas.openxmlformats.org/drawingml/2006/main">
                  <a:graphicData uri="http://schemas.microsoft.com/office/word/2010/wordprocessingShape">
                    <wps:wsp>
                      <wps:cNvSpPr txBox="1"/>
                      <wps:spPr>
                        <a:xfrm>
                          <a:off x="0" y="0"/>
                          <a:ext cx="692785" cy="492760"/>
                        </a:xfrm>
                        <a:prstGeom prst="rect">
                          <a:avLst/>
                        </a:prstGeom>
                        <a:noFill/>
                        <a:ln>
                          <a:noFill/>
                        </a:ln>
                      </wps:spPr>
                      <wps:txbx>
                        <w:txbxContent>
                          <w:p w14:paraId="4B6556EA" w14:textId="77777777" w:rsidR="006C50C3" w:rsidRDefault="00000000">
                            <w:pPr>
                              <w:rPr>
                                <w:sz w:val="52"/>
                                <w:szCs w:val="52"/>
                              </w:rPr>
                            </w:pPr>
                            <w:r>
                              <w:rPr>
                                <w:rFonts w:hint="eastAsia"/>
                                <w:sz w:val="52"/>
                                <w:szCs w:val="52"/>
                              </w:rPr>
                              <w:t>A</w:t>
                            </w:r>
                          </w:p>
                        </w:txbxContent>
                      </wps:txbx>
                      <wps:bodyPr wrap="square" upright="1"/>
                    </wps:wsp>
                  </a:graphicData>
                </a:graphic>
              </wp:anchor>
            </w:drawing>
          </mc:Choice>
          <mc:Fallback>
            <w:pict>
              <v:shape w14:anchorId="48F8AF2F" id="_x0000_s1036" type="#_x0000_t202" style="position:absolute;left:0;text-align:left;margin-left:51.05pt;margin-top:.7pt;width:54.55pt;height:38.8pt;z-index:251647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c1gQEAAO8CAAAOAAAAZHJzL2Uyb0RvYy54bWysUsFOGzEQvSPxD5bvxCEqga6yQaoQXFCL&#10;BHyA47WzltYed8bJbv6+YwMJbW9VL7P2zOyb9954dTuFQewtkofYysvZXAobDXQ+blv5+nJ/cSMF&#10;ZR07PUC0rTxYkrfr87PVmBq7gB6GzqJgkEjNmFrZ55wapcj0NmiaQbKRiw4w6MxX3KoO9cjoYVCL&#10;+XypRsAuIRhLxNm7t6JcV3znrMk/nCObxdBK5pZrxBo3Jar1Sjdb1Kn35p2G/gcWQfvIQ49Qdzpr&#10;sUP/F1TwBoHA5ZmBoMA5b2zVwGou53+oee51slULm0PpaBP9P1jzff+cnlDk6RtMvMBiyJioIU4W&#10;PZPDUL7MVHCdLTwcbbNTFoaTy6+L65srKQyXvvB5WW1Vp58TUn6wEEQ5tBJ5K9UsvX+kzAO59aOl&#10;zIpw74ehbmaIvyW4sWTUiWE55WkzCd8x+zq4pDbQHVjVyIttJf3cabRS7BL6bc8EqsoKwq7W8e8v&#10;oKzt872OOr3T9S8AAAD//wMAUEsDBBQABgAIAAAAIQBiHczE3AAAAAgBAAAPAAAAZHJzL2Rvd25y&#10;ZXYueG1sTI/NTsMwEITvSLyDtUjc6DpR+WmIUyEQVxAFKvXmxtskIl5HsduEt2c5wW1HM5r9plzP&#10;vlcnGmMX2EC20KCI6+A6bgx8vD9f3YGKybKzfWAy8E0R1tX5WWkLFyZ+o9MmNUpKOBbWQJvSUCDG&#10;uiVv4yIMxOIdwuhtEjk26EY7SbnvMdf6Br3tWD60dqDHluqvzdEb+Hw57LZL/do8+ethCrNG9is0&#10;5vJifrgHlWhOf2H4xRd0qIRpH47soupF6zyTqBxLUOLnWZaD2hu4XWnAqsT/A6ofAAAA//8DAFBL&#10;AQItABQABgAIAAAAIQC2gziS/gAAAOEBAAATAAAAAAAAAAAAAAAAAAAAAABbQ29udGVudF9UeXBl&#10;c10ueG1sUEsBAi0AFAAGAAgAAAAhADj9If/WAAAAlAEAAAsAAAAAAAAAAAAAAAAALwEAAF9yZWxz&#10;Ly5yZWxzUEsBAi0AFAAGAAgAAAAhANv/xzWBAQAA7wIAAA4AAAAAAAAAAAAAAAAALgIAAGRycy9l&#10;Mm9Eb2MueG1sUEsBAi0AFAAGAAgAAAAhAGIdzMTcAAAACAEAAA8AAAAAAAAAAAAAAAAA2wMAAGRy&#10;cy9kb3ducmV2LnhtbFBLBQYAAAAABAAEAPMAAADkBAAAAAA=&#10;" filled="f" stroked="f">
                <v:textbox>
                  <w:txbxContent>
                    <w:p w14:paraId="4B6556EA" w14:textId="77777777" w:rsidR="006C50C3" w:rsidRDefault="00000000">
                      <w:pPr>
                        <w:rPr>
                          <w:sz w:val="52"/>
                          <w:szCs w:val="52"/>
                        </w:rPr>
                      </w:pPr>
                      <w:r>
                        <w:rPr>
                          <w:rFonts w:hint="eastAsia"/>
                          <w:sz w:val="52"/>
                          <w:szCs w:val="52"/>
                        </w:rPr>
                        <w:t>A</w:t>
                      </w:r>
                    </w:p>
                  </w:txbxContent>
                </v:textbox>
              </v:shape>
            </w:pict>
          </mc:Fallback>
        </mc:AlternateContent>
      </w:r>
      <w:r w:rsidRPr="00E60993">
        <w:rPr>
          <w:noProof/>
          <w:snapToGrid w:val="0"/>
          <w:color w:val="000000"/>
          <w:kern w:val="0"/>
          <w:sz w:val="20"/>
        </w:rPr>
        <w:drawing>
          <wp:inline distT="0" distB="0" distL="114300" distR="114300" wp14:anchorId="5B7994E2" wp14:editId="6251962A">
            <wp:extent cx="4339590" cy="2215515"/>
            <wp:effectExtent l="0" t="0" r="3810" b="9525"/>
            <wp:docPr id="20" name="图片 50" descr="上 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50" descr="上 GO"/>
                    <pic:cNvPicPr>
                      <a:picLocks noChangeAspect="1"/>
                    </pic:cNvPicPr>
                  </pic:nvPicPr>
                  <pic:blipFill>
                    <a:blip r:embed="rId17"/>
                    <a:stretch>
                      <a:fillRect/>
                    </a:stretch>
                  </pic:blipFill>
                  <pic:spPr>
                    <a:xfrm>
                      <a:off x="0" y="0"/>
                      <a:ext cx="4339590" cy="2215515"/>
                    </a:xfrm>
                    <a:prstGeom prst="rect">
                      <a:avLst/>
                    </a:prstGeom>
                    <a:noFill/>
                    <a:ln>
                      <a:noFill/>
                    </a:ln>
                  </pic:spPr>
                </pic:pic>
              </a:graphicData>
            </a:graphic>
          </wp:inline>
        </w:drawing>
      </w:r>
    </w:p>
    <w:p w14:paraId="39E2453D" w14:textId="77777777" w:rsidR="006C50C3" w:rsidRPr="00E60993" w:rsidRDefault="00000000" w:rsidP="00E60993">
      <w:pPr>
        <w:jc w:val="center"/>
        <w:rPr>
          <w:snapToGrid w:val="0"/>
          <w:color w:val="000000"/>
          <w:kern w:val="0"/>
          <w:sz w:val="20"/>
        </w:rPr>
      </w:pPr>
      <w:r w:rsidRPr="00E60993">
        <w:rPr>
          <w:noProof/>
          <w:sz w:val="20"/>
        </w:rPr>
        <mc:AlternateContent>
          <mc:Choice Requires="wps">
            <w:drawing>
              <wp:anchor distT="0" distB="0" distL="114300" distR="114300" simplePos="0" relativeHeight="251640320" behindDoc="0" locked="0" layoutInCell="1" allowOverlap="1" wp14:anchorId="6EFAB0F5" wp14:editId="22638FD5">
                <wp:simplePos x="0" y="0"/>
                <wp:positionH relativeFrom="column">
                  <wp:posOffset>668655</wp:posOffset>
                </wp:positionH>
                <wp:positionV relativeFrom="paragraph">
                  <wp:posOffset>-127635</wp:posOffset>
                </wp:positionV>
                <wp:extent cx="692785" cy="492760"/>
                <wp:effectExtent l="0" t="0" r="0" b="0"/>
                <wp:wrapNone/>
                <wp:docPr id="26" name="文本框 427"/>
                <wp:cNvGraphicFramePr/>
                <a:graphic xmlns:a="http://schemas.openxmlformats.org/drawingml/2006/main">
                  <a:graphicData uri="http://schemas.microsoft.com/office/word/2010/wordprocessingShape">
                    <wps:wsp>
                      <wps:cNvSpPr txBox="1"/>
                      <wps:spPr>
                        <a:xfrm>
                          <a:off x="0" y="0"/>
                          <a:ext cx="692785" cy="492760"/>
                        </a:xfrm>
                        <a:prstGeom prst="rect">
                          <a:avLst/>
                        </a:prstGeom>
                        <a:noFill/>
                        <a:ln>
                          <a:noFill/>
                        </a:ln>
                      </wps:spPr>
                      <wps:txbx>
                        <w:txbxContent>
                          <w:p w14:paraId="45DE58D0" w14:textId="77777777" w:rsidR="006C50C3" w:rsidRDefault="00000000">
                            <w:pPr>
                              <w:rPr>
                                <w:sz w:val="52"/>
                                <w:szCs w:val="52"/>
                              </w:rPr>
                            </w:pPr>
                            <w:r>
                              <w:rPr>
                                <w:rFonts w:hint="eastAsia"/>
                                <w:sz w:val="52"/>
                                <w:szCs w:val="52"/>
                              </w:rPr>
                              <w:t>B</w:t>
                            </w:r>
                          </w:p>
                        </w:txbxContent>
                      </wps:txbx>
                      <wps:bodyPr wrap="square" upright="1"/>
                    </wps:wsp>
                  </a:graphicData>
                </a:graphic>
              </wp:anchor>
            </w:drawing>
          </mc:Choice>
          <mc:Fallback>
            <w:pict>
              <v:shape w14:anchorId="6EFAB0F5" id="_x0000_s1037" type="#_x0000_t202" style="position:absolute;left:0;text-align:left;margin-left:52.65pt;margin-top:-10.05pt;width:54.55pt;height:38.8pt;z-index:251640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sHqfwEAAO8CAAAOAAAAZHJzL2Uyb0RvYy54bWysUsFOGzEQvVfiHyzfiUNUUlhlg1QhuFRQ&#10;ifIBjtfOWlp73Bknu/l7xi5NCtxQL7P2zOyb9954dTOFQewtkofYyovZXAobDXQ+blv5/Ovu/EoK&#10;yjp2eoBoW3mwJG/WZ19WY2rsAnoYOouCQSI1Y2pln3NqlCLT26BpBslGLjrAoDNfcas61COjh0Et&#10;5vOlGgG7hGAsEWdv/xTluuI7Z01+dI5sFkMrmVuuEWvclKjWK91sUafem1ca+hMsgvaRhx6hbnXW&#10;Yof+A1TwBoHA5ZmBoMA5b2zVwGou5u/UPPU62aqFzaF0tIn+H6x52D+lnyjy9B0mXmAxZEzUECeL&#10;nslhKF9mKrjOFh6OttkpC8PJ5fXi29WlFIZLX/m8rLaq088JKd9bCKIcWom8lWqW3v+gzAO59W9L&#10;mRXhzg9D3cwQ3yS4sWTUiWE55WkzCd8x+yP9DXQHVjXyYltJv3carRS7hH7bM4HaVkHY1Tr+9QWU&#10;tf17r6NO73T9AgAA//8DAFBLAwQUAAYACAAAACEA0nKrfN4AAAAKAQAADwAAAGRycy9kb3ducmV2&#10;LnhtbEyPy07DMBBF90j9B2sqsWvthARoGqdCILYgykNi58bTJCIeR7HbhL9nWMHyao7uPVPuZteL&#10;M46h86QhWSsQSLW3HTUa3l4fV7cgQjRkTe8JNXxjgF21uChNYf1EL3jex0ZwCYXCaGhjHAopQ92i&#10;M2HtByS+Hf3oTOQ4NtKOZuJy18tUqWvpTEe80JoB71usv/Ynp+H96fj5kann5sHlw+RnJcltpNaX&#10;y/luCyLiHP9g+NVndajY6eBPZIPoOav8ilENq1QlIJhIkywDcdCQ3+Qgq1L+f6H6AQAA//8DAFBL&#10;AQItABQABgAIAAAAIQC2gziS/gAAAOEBAAATAAAAAAAAAAAAAAAAAAAAAABbQ29udGVudF9UeXBl&#10;c10ueG1sUEsBAi0AFAAGAAgAAAAhADj9If/WAAAAlAEAAAsAAAAAAAAAAAAAAAAALwEAAF9yZWxz&#10;Ly5yZWxzUEsBAi0AFAAGAAgAAAAhABlywep/AQAA7wIAAA4AAAAAAAAAAAAAAAAALgIAAGRycy9l&#10;Mm9Eb2MueG1sUEsBAi0AFAAGAAgAAAAhANJyq3zeAAAACgEAAA8AAAAAAAAAAAAAAAAA2QMAAGRy&#10;cy9kb3ducmV2LnhtbFBLBQYAAAAABAAEAPMAAADkBAAAAAA=&#10;" filled="f" stroked="f">
                <v:textbox>
                  <w:txbxContent>
                    <w:p w14:paraId="45DE58D0" w14:textId="77777777" w:rsidR="006C50C3" w:rsidRDefault="00000000">
                      <w:pPr>
                        <w:rPr>
                          <w:sz w:val="52"/>
                          <w:szCs w:val="52"/>
                        </w:rPr>
                      </w:pPr>
                      <w:r>
                        <w:rPr>
                          <w:rFonts w:hint="eastAsia"/>
                          <w:sz w:val="52"/>
                          <w:szCs w:val="52"/>
                        </w:rPr>
                        <w:t>B</w:t>
                      </w:r>
                    </w:p>
                  </w:txbxContent>
                </v:textbox>
              </v:shape>
            </w:pict>
          </mc:Fallback>
        </mc:AlternateContent>
      </w:r>
      <w:r w:rsidRPr="00E60993">
        <w:rPr>
          <w:noProof/>
          <w:snapToGrid w:val="0"/>
          <w:color w:val="000000"/>
          <w:kern w:val="0"/>
          <w:sz w:val="20"/>
        </w:rPr>
        <w:drawing>
          <wp:inline distT="0" distB="0" distL="114300" distR="114300" wp14:anchorId="60919659" wp14:editId="4C41C878">
            <wp:extent cx="4050030" cy="2072005"/>
            <wp:effectExtent l="0" t="0" r="3810" b="635"/>
            <wp:docPr id="21" name="图片 53" descr="下 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53" descr="下 GO"/>
                    <pic:cNvPicPr>
                      <a:picLocks noChangeAspect="1"/>
                    </pic:cNvPicPr>
                  </pic:nvPicPr>
                  <pic:blipFill>
                    <a:blip r:embed="rId18"/>
                    <a:stretch>
                      <a:fillRect/>
                    </a:stretch>
                  </pic:blipFill>
                  <pic:spPr>
                    <a:xfrm>
                      <a:off x="0" y="0"/>
                      <a:ext cx="4050030" cy="2072005"/>
                    </a:xfrm>
                    <a:prstGeom prst="rect">
                      <a:avLst/>
                    </a:prstGeom>
                    <a:noFill/>
                    <a:ln>
                      <a:noFill/>
                    </a:ln>
                  </pic:spPr>
                </pic:pic>
              </a:graphicData>
            </a:graphic>
          </wp:inline>
        </w:drawing>
      </w:r>
    </w:p>
    <w:p w14:paraId="38871A17" w14:textId="17B32C2A" w:rsidR="006C50C3" w:rsidRPr="00E60993" w:rsidRDefault="00000000" w:rsidP="00E60993">
      <w:pPr>
        <w:jc w:val="center"/>
        <w:rPr>
          <w:snapToGrid w:val="0"/>
          <w:color w:val="000000"/>
          <w:kern w:val="0"/>
          <w:sz w:val="20"/>
        </w:rPr>
      </w:pPr>
      <w:r w:rsidRPr="00E60993">
        <w:rPr>
          <w:b/>
          <w:bCs/>
          <w:snapToGrid w:val="0"/>
          <w:color w:val="000000"/>
          <w:kern w:val="0"/>
          <w:sz w:val="20"/>
        </w:rPr>
        <w:t>Fig</w:t>
      </w:r>
      <w:r w:rsidRPr="00E60993">
        <w:rPr>
          <w:rFonts w:hint="eastAsia"/>
          <w:b/>
          <w:bCs/>
          <w:snapToGrid w:val="0"/>
          <w:color w:val="000000"/>
          <w:kern w:val="0"/>
          <w:sz w:val="20"/>
        </w:rPr>
        <w:t xml:space="preserve">ure </w:t>
      </w:r>
      <w:r w:rsidRPr="00E60993">
        <w:rPr>
          <w:b/>
          <w:bCs/>
          <w:snapToGrid w:val="0"/>
          <w:color w:val="000000"/>
          <w:kern w:val="0"/>
          <w:sz w:val="20"/>
        </w:rPr>
        <w:t>9.</w:t>
      </w:r>
      <w:r w:rsidRPr="00E60993">
        <w:rPr>
          <w:snapToGrid w:val="0"/>
          <w:color w:val="000000"/>
          <w:kern w:val="0"/>
          <w:sz w:val="20"/>
        </w:rPr>
        <w:t xml:space="preserve"> GO pathway analysis of differential genes in PyMT-1 and Py-B1 cells</w:t>
      </w:r>
      <w:r w:rsidR="00E60993" w:rsidRPr="00E60993">
        <w:rPr>
          <w:snapToGrid w:val="0"/>
          <w:color w:val="000000"/>
          <w:kern w:val="0"/>
          <w:sz w:val="20"/>
        </w:rPr>
        <w:t>.</w:t>
      </w:r>
    </w:p>
    <w:p w14:paraId="39A6E49C" w14:textId="77777777" w:rsidR="006C50C3" w:rsidRPr="00DC113E" w:rsidRDefault="006C50C3" w:rsidP="00E60993">
      <w:pPr>
        <w:rPr>
          <w:snapToGrid w:val="0"/>
          <w:color w:val="000000"/>
          <w:kern w:val="0"/>
          <w:szCs w:val="24"/>
        </w:rPr>
      </w:pPr>
    </w:p>
    <w:p w14:paraId="529D104F" w14:textId="11CB9FAE" w:rsidR="006C50C3" w:rsidRPr="00E60993" w:rsidRDefault="00000000" w:rsidP="00E60993">
      <w:pPr>
        <w:rPr>
          <w:b/>
          <w:bCs/>
          <w:snapToGrid w:val="0"/>
          <w:color w:val="000000"/>
          <w:kern w:val="0"/>
          <w:szCs w:val="24"/>
        </w:rPr>
      </w:pPr>
      <w:r w:rsidRPr="00E60993">
        <w:rPr>
          <w:rFonts w:hint="eastAsia"/>
          <w:b/>
          <w:bCs/>
          <w:snapToGrid w:val="0"/>
          <w:color w:val="000000"/>
          <w:kern w:val="0"/>
          <w:szCs w:val="24"/>
        </w:rPr>
        <w:t>3</w:t>
      </w:r>
      <w:r w:rsidRPr="00E60993">
        <w:rPr>
          <w:b/>
          <w:bCs/>
          <w:snapToGrid w:val="0"/>
          <w:color w:val="000000"/>
          <w:kern w:val="0"/>
          <w:szCs w:val="24"/>
        </w:rPr>
        <w:t>.2.2.2.</w:t>
      </w:r>
      <w:r w:rsidRPr="00E60993">
        <w:rPr>
          <w:rFonts w:hint="eastAsia"/>
          <w:b/>
          <w:bCs/>
          <w:snapToGrid w:val="0"/>
          <w:color w:val="000000"/>
          <w:kern w:val="0"/>
          <w:szCs w:val="24"/>
        </w:rPr>
        <w:t>2.</w:t>
      </w:r>
      <w:r w:rsidRPr="00E60993">
        <w:rPr>
          <w:b/>
          <w:bCs/>
          <w:snapToGrid w:val="0"/>
          <w:color w:val="000000"/>
          <w:kern w:val="0"/>
          <w:szCs w:val="24"/>
        </w:rPr>
        <w:t xml:space="preserve"> Results of KEGG </w:t>
      </w:r>
      <w:r w:rsidRPr="00E60993">
        <w:rPr>
          <w:rFonts w:hint="eastAsia"/>
          <w:b/>
          <w:bCs/>
          <w:snapToGrid w:val="0"/>
          <w:color w:val="000000"/>
          <w:kern w:val="0"/>
          <w:szCs w:val="24"/>
        </w:rPr>
        <w:t>p</w:t>
      </w:r>
      <w:r w:rsidRPr="00E60993">
        <w:rPr>
          <w:b/>
          <w:bCs/>
          <w:snapToGrid w:val="0"/>
          <w:color w:val="000000"/>
          <w:kern w:val="0"/>
          <w:szCs w:val="24"/>
        </w:rPr>
        <w:t xml:space="preserve">athway </w:t>
      </w:r>
      <w:r w:rsidRPr="00E60993">
        <w:rPr>
          <w:rFonts w:hint="eastAsia"/>
          <w:b/>
          <w:bCs/>
          <w:snapToGrid w:val="0"/>
          <w:color w:val="000000"/>
          <w:kern w:val="0"/>
          <w:szCs w:val="24"/>
        </w:rPr>
        <w:t>e</w:t>
      </w:r>
      <w:r w:rsidRPr="00E60993">
        <w:rPr>
          <w:b/>
          <w:bCs/>
          <w:snapToGrid w:val="0"/>
          <w:color w:val="000000"/>
          <w:kern w:val="0"/>
          <w:szCs w:val="24"/>
        </w:rPr>
        <w:t xml:space="preserve">nrichment </w:t>
      </w:r>
      <w:r w:rsidRPr="00E60993">
        <w:rPr>
          <w:rFonts w:hint="eastAsia"/>
          <w:b/>
          <w:bCs/>
          <w:snapToGrid w:val="0"/>
          <w:color w:val="000000"/>
          <w:kern w:val="0"/>
          <w:szCs w:val="24"/>
        </w:rPr>
        <w:t>a</w:t>
      </w:r>
      <w:r w:rsidRPr="00E60993">
        <w:rPr>
          <w:b/>
          <w:bCs/>
          <w:snapToGrid w:val="0"/>
          <w:color w:val="000000"/>
          <w:kern w:val="0"/>
          <w:szCs w:val="24"/>
        </w:rPr>
        <w:t>nalysis</w:t>
      </w:r>
    </w:p>
    <w:p w14:paraId="6032961B" w14:textId="70055CF0" w:rsidR="006C50C3" w:rsidRPr="00DC113E" w:rsidRDefault="00E60993" w:rsidP="00E60993">
      <w:pPr>
        <w:jc w:val="center"/>
        <w:rPr>
          <w:snapToGrid w:val="0"/>
          <w:color w:val="000000"/>
          <w:kern w:val="0"/>
          <w:szCs w:val="24"/>
        </w:rPr>
      </w:pPr>
      <w:r w:rsidRPr="00DC113E">
        <w:rPr>
          <w:noProof/>
          <w:szCs w:val="24"/>
        </w:rPr>
        <mc:AlternateContent>
          <mc:Choice Requires="wps">
            <w:drawing>
              <wp:anchor distT="0" distB="0" distL="114300" distR="114300" simplePos="0" relativeHeight="251654656" behindDoc="0" locked="0" layoutInCell="1" allowOverlap="1" wp14:anchorId="12B49244" wp14:editId="6743F3BE">
                <wp:simplePos x="0" y="0"/>
                <wp:positionH relativeFrom="column">
                  <wp:posOffset>589915</wp:posOffset>
                </wp:positionH>
                <wp:positionV relativeFrom="paragraph">
                  <wp:posOffset>83820</wp:posOffset>
                </wp:positionV>
                <wp:extent cx="692785" cy="492760"/>
                <wp:effectExtent l="0" t="0" r="0" b="0"/>
                <wp:wrapNone/>
                <wp:docPr id="27" name="文本框 427"/>
                <wp:cNvGraphicFramePr/>
                <a:graphic xmlns:a="http://schemas.openxmlformats.org/drawingml/2006/main">
                  <a:graphicData uri="http://schemas.microsoft.com/office/word/2010/wordprocessingShape">
                    <wps:wsp>
                      <wps:cNvSpPr txBox="1"/>
                      <wps:spPr>
                        <a:xfrm>
                          <a:off x="0" y="0"/>
                          <a:ext cx="692785" cy="492760"/>
                        </a:xfrm>
                        <a:prstGeom prst="rect">
                          <a:avLst/>
                        </a:prstGeom>
                        <a:noFill/>
                        <a:ln>
                          <a:noFill/>
                        </a:ln>
                      </wps:spPr>
                      <wps:txbx>
                        <w:txbxContent>
                          <w:p w14:paraId="2EE458C3" w14:textId="77777777" w:rsidR="006C50C3" w:rsidRDefault="00000000">
                            <w:pPr>
                              <w:rPr>
                                <w:sz w:val="52"/>
                                <w:szCs w:val="52"/>
                              </w:rPr>
                            </w:pPr>
                            <w:r>
                              <w:rPr>
                                <w:rFonts w:hint="eastAsia"/>
                                <w:sz w:val="52"/>
                                <w:szCs w:val="52"/>
                              </w:rPr>
                              <w:t>A</w:t>
                            </w:r>
                          </w:p>
                        </w:txbxContent>
                      </wps:txbx>
                      <wps:bodyPr wrap="square" upright="1"/>
                    </wps:wsp>
                  </a:graphicData>
                </a:graphic>
              </wp:anchor>
            </w:drawing>
          </mc:Choice>
          <mc:Fallback>
            <w:pict>
              <v:shape w14:anchorId="12B49244" id="_x0000_s1038" type="#_x0000_t202" style="position:absolute;left:0;text-align:left;margin-left:46.45pt;margin-top:6.6pt;width:54.55pt;height:38.8pt;z-index:251654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rtQgAEAAO8CAAAOAAAAZHJzL2Uyb0RvYy54bWysUsFOGzEQvSPxD5bvxCGiga6yQaoQXKqC&#10;BHyA47WzltYed8bJbv6+YwNJS29VL7P2zOyb9954dTuFQewtkofYysvZXAobDXQ+blv5+nJ/cSMF&#10;ZR07PUC0rTxYkrfr87PVmBq7gB6GzqJgkEjNmFrZ55wapcj0NmiaQbKRiw4w6MxX3KoO9cjoYVCL&#10;+XypRsAuIRhLxNm7t6JcV3znrMmPzpHNYmglc8s1Yo2bEtV6pZst6tR7805D/wOLoH3koUeoO521&#10;2KH/Cyp4g0Dg8sxAUOCcN7ZqYDWX809qnnudbNXC5lA62kT/D9b82D+nJxR5+gYTL7AYMiZqiJNF&#10;z+QwlC8zFVxnCw9H2+yUheHk8uvi+uaLFIZLV3xeVlvV6eeElB8sBFEOrUTeSjVL779T5oHc+tFS&#10;ZkW498NQNzPEPxLcWDLqxLCc8rSZhO+Y/eKD/ga6A6saebGtpJ87jVaKXUK/7ZlAVVlB2NU6/v0F&#10;lLX9fq+jTu90/QsAAP//AwBQSwMEFAAGAAgAAAAhAEcMUj/cAAAACAEAAA8AAABkcnMvZG93bnJl&#10;di54bWxMj81OwzAQhO9IvIO1lbhRu+ZHTYhTIRBXKgpU6s2Nt0lEvI5itwlv3+VEjzvfaHamWE2+&#10;EyccYhvIwGKuQCBVwbVUG/j6fLtdgojJkrNdIDTwixFW5fVVYXMXRvrA0ybVgkMo5tZAk1KfSxmr&#10;Br2N89AjMTuEwdvE51BLN9iRw30ntVKP0tuW+ENje3xpsPrZHL2B7/fDbnuv1vWrf+jHMClJPpPG&#10;3Mym5ycQCaf0b4a/+lwdSu60D0dyUXQGMp2xk/U7DYK5Vpq37RmoJciykJcDyjMAAAD//wMAUEsB&#10;Ai0AFAAGAAgAAAAhALaDOJL+AAAA4QEAABMAAAAAAAAAAAAAAAAAAAAAAFtDb250ZW50X1R5cGVz&#10;XS54bWxQSwECLQAUAAYACAAAACEAOP0h/9YAAACUAQAACwAAAAAAAAAAAAAAAAAvAQAAX3JlbHMv&#10;LnJlbHNQSwECLQAUAAYACAAAACEAHuK7UIABAADvAgAADgAAAAAAAAAAAAAAAAAuAgAAZHJzL2Uy&#10;b0RvYy54bWxQSwECLQAUAAYACAAAACEARwxSP9wAAAAIAQAADwAAAAAAAAAAAAAAAADaAwAAZHJz&#10;L2Rvd25yZXYueG1sUEsFBgAAAAAEAAQA8wAAAOMEAAAAAA==&#10;" filled="f" stroked="f">
                <v:textbox>
                  <w:txbxContent>
                    <w:p w14:paraId="2EE458C3" w14:textId="77777777" w:rsidR="006C50C3" w:rsidRDefault="00000000">
                      <w:pPr>
                        <w:rPr>
                          <w:sz w:val="52"/>
                          <w:szCs w:val="52"/>
                        </w:rPr>
                      </w:pPr>
                      <w:r>
                        <w:rPr>
                          <w:rFonts w:hint="eastAsia"/>
                          <w:sz w:val="52"/>
                          <w:szCs w:val="52"/>
                        </w:rPr>
                        <w:t>A</w:t>
                      </w:r>
                    </w:p>
                  </w:txbxContent>
                </v:textbox>
              </v:shape>
            </w:pict>
          </mc:Fallback>
        </mc:AlternateContent>
      </w:r>
      <w:r w:rsidR="00000000" w:rsidRPr="00DC113E">
        <w:rPr>
          <w:noProof/>
          <w:snapToGrid w:val="0"/>
          <w:color w:val="000000"/>
          <w:kern w:val="0"/>
          <w:szCs w:val="24"/>
        </w:rPr>
        <w:drawing>
          <wp:inline distT="0" distB="0" distL="114300" distR="114300" wp14:anchorId="476DF9A1" wp14:editId="610E7F23">
            <wp:extent cx="4534535" cy="2364740"/>
            <wp:effectExtent l="0" t="0" r="6985" b="12700"/>
            <wp:docPr id="22" name="图片 55" descr="上 KEG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55" descr="上 KEGG"/>
                    <pic:cNvPicPr>
                      <a:picLocks noChangeAspect="1"/>
                    </pic:cNvPicPr>
                  </pic:nvPicPr>
                  <pic:blipFill>
                    <a:blip r:embed="rId19"/>
                    <a:stretch>
                      <a:fillRect/>
                    </a:stretch>
                  </pic:blipFill>
                  <pic:spPr>
                    <a:xfrm>
                      <a:off x="0" y="0"/>
                      <a:ext cx="4534535" cy="2364740"/>
                    </a:xfrm>
                    <a:prstGeom prst="rect">
                      <a:avLst/>
                    </a:prstGeom>
                    <a:noFill/>
                    <a:ln>
                      <a:noFill/>
                    </a:ln>
                  </pic:spPr>
                </pic:pic>
              </a:graphicData>
            </a:graphic>
          </wp:inline>
        </w:drawing>
      </w:r>
    </w:p>
    <w:p w14:paraId="0FB5611A" w14:textId="77777777" w:rsidR="006C50C3" w:rsidRPr="00DC113E" w:rsidRDefault="006C50C3" w:rsidP="00E60993">
      <w:pPr>
        <w:rPr>
          <w:snapToGrid w:val="0"/>
          <w:color w:val="000000"/>
          <w:kern w:val="0"/>
          <w:szCs w:val="24"/>
        </w:rPr>
      </w:pPr>
    </w:p>
    <w:p w14:paraId="3C5AED60" w14:textId="77777777" w:rsidR="006C50C3" w:rsidRPr="00DC113E" w:rsidRDefault="00000000" w:rsidP="00E60993">
      <w:pPr>
        <w:jc w:val="center"/>
        <w:rPr>
          <w:snapToGrid w:val="0"/>
          <w:color w:val="000000"/>
          <w:kern w:val="0"/>
          <w:szCs w:val="24"/>
        </w:rPr>
      </w:pPr>
      <w:r w:rsidRPr="00DC113E">
        <w:rPr>
          <w:noProof/>
          <w:szCs w:val="24"/>
        </w:rPr>
        <w:lastRenderedPageBreak/>
        <mc:AlternateContent>
          <mc:Choice Requires="wps">
            <w:drawing>
              <wp:anchor distT="0" distB="0" distL="114300" distR="114300" simplePos="0" relativeHeight="251661824" behindDoc="0" locked="0" layoutInCell="1" allowOverlap="1" wp14:anchorId="04303FE7" wp14:editId="4A1040C2">
                <wp:simplePos x="0" y="0"/>
                <wp:positionH relativeFrom="column">
                  <wp:posOffset>946785</wp:posOffset>
                </wp:positionH>
                <wp:positionV relativeFrom="paragraph">
                  <wp:posOffset>-69215</wp:posOffset>
                </wp:positionV>
                <wp:extent cx="692785" cy="492760"/>
                <wp:effectExtent l="0" t="0" r="0" b="0"/>
                <wp:wrapNone/>
                <wp:docPr id="28" name="文本框 427"/>
                <wp:cNvGraphicFramePr/>
                <a:graphic xmlns:a="http://schemas.openxmlformats.org/drawingml/2006/main">
                  <a:graphicData uri="http://schemas.microsoft.com/office/word/2010/wordprocessingShape">
                    <wps:wsp>
                      <wps:cNvSpPr txBox="1"/>
                      <wps:spPr>
                        <a:xfrm>
                          <a:off x="0" y="0"/>
                          <a:ext cx="692785" cy="492760"/>
                        </a:xfrm>
                        <a:prstGeom prst="rect">
                          <a:avLst/>
                        </a:prstGeom>
                        <a:noFill/>
                        <a:ln>
                          <a:noFill/>
                        </a:ln>
                      </wps:spPr>
                      <wps:txbx>
                        <w:txbxContent>
                          <w:p w14:paraId="4406A1C8" w14:textId="77777777" w:rsidR="006C50C3" w:rsidRDefault="00000000">
                            <w:pPr>
                              <w:rPr>
                                <w:sz w:val="52"/>
                                <w:szCs w:val="52"/>
                              </w:rPr>
                            </w:pPr>
                            <w:r>
                              <w:rPr>
                                <w:rFonts w:hint="eastAsia"/>
                                <w:sz w:val="52"/>
                                <w:szCs w:val="52"/>
                              </w:rPr>
                              <w:t>B</w:t>
                            </w:r>
                          </w:p>
                        </w:txbxContent>
                      </wps:txbx>
                      <wps:bodyPr wrap="square" upright="1"/>
                    </wps:wsp>
                  </a:graphicData>
                </a:graphic>
              </wp:anchor>
            </w:drawing>
          </mc:Choice>
          <mc:Fallback>
            <w:pict>
              <v:shape w14:anchorId="04303FE7" id="_x0000_s1039" type="#_x0000_t202" style="position:absolute;left:0;text-align:left;margin-left:74.55pt;margin-top:-5.45pt;width:54.55pt;height:38.8pt;z-index:251661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72PgQEAAO8CAAAOAAAAZHJzL2Uyb0RvYy54bWysUsFu2zAMvRfYPwi6L0qzLW2NOAWGor0M&#10;24C2H6DIUizAEjVSiZ2/L6W1Sdvdhl5oiaQf33vU6noKg9hbJA+xleezuRQ2Guh83Lby8eH286UU&#10;lHXs9ADRtvJgSV6vP52txtTYBfQwdBYFg0RqxtTKPufUKEWmt0HTDJKNXHSAQWe+4lZ1qEdGD4Na&#10;zOdLNQJ2CcFYIs7e/C3KdcV3zpr8yzmyWQytZG65RqxxU6Jar3SzRZ16b55p6P9gEbSPPPQIdaOz&#10;Fjv0/0AFbxAIXJ4ZCAqc88ZWDazmfP5OzX2vk61a2BxKR5vo42DNz/19+o0iT99h4gUWQ8ZEDXGy&#10;6JkchvJlpoLrbOHhaJudsjCcXF4tLi6/SWG49JXPy2qrOv2ckPKdhSDKoZXIW6lm6f0PyjyQW19a&#10;yqwIt34Y6maG+CbBjSWjTgzLKU+bSfiO2X95ob+B7sCqRl5sK+nPTqOVYpfQb3smUFVWEHa1jn9+&#10;AWVtr+911Omdrp8AAAD//wMAUEsDBBQABgAIAAAAIQBemlBF3gAAAAoBAAAPAAAAZHJzL2Rvd25y&#10;ZXYueG1sTI/BTsMwEETvSPyDtUjcWjtRG5oQp0IgriAKrcTNjbdJRLyOYrcJf89yguNon2beltvZ&#10;9eKCY+g8aUiWCgRS7W1HjYaP9+fFBkSIhqzpPaGGbwywra6vSlNYP9EbXnaxEVxCoTAa2hiHQspQ&#10;t+hMWPoBiW8nPzoTOY6NtKOZuNz1MlUqk850xAutGfCxxfprd3Ya9i+nz8NKvTZPbj1MflaSXC61&#10;vr2ZH+5BRJzjHwy/+qwOFTsd/ZlsED3nVZ4wqmGRqBwEE+l6k4I4asiyO5BVKf+/UP0AAAD//wMA&#10;UEsBAi0AFAAGAAgAAAAhALaDOJL+AAAA4QEAABMAAAAAAAAAAAAAAAAAAAAAAFtDb250ZW50X1R5&#10;cGVzXS54bWxQSwECLQAUAAYACAAAACEAOP0h/9YAAACUAQAACwAAAAAAAAAAAAAAAAAvAQAAX3Jl&#10;bHMvLnJlbHNQSwECLQAUAAYACAAAACEA3G+9j4EBAADvAgAADgAAAAAAAAAAAAAAAAAuAgAAZHJz&#10;L2Uyb0RvYy54bWxQSwECLQAUAAYACAAAACEAXppQRd4AAAAKAQAADwAAAAAAAAAAAAAAAADbAwAA&#10;ZHJzL2Rvd25yZXYueG1sUEsFBgAAAAAEAAQA8wAAAOYEAAAAAA==&#10;" filled="f" stroked="f">
                <v:textbox>
                  <w:txbxContent>
                    <w:p w14:paraId="4406A1C8" w14:textId="77777777" w:rsidR="006C50C3" w:rsidRDefault="00000000">
                      <w:pPr>
                        <w:rPr>
                          <w:sz w:val="52"/>
                          <w:szCs w:val="52"/>
                        </w:rPr>
                      </w:pPr>
                      <w:r>
                        <w:rPr>
                          <w:rFonts w:hint="eastAsia"/>
                          <w:sz w:val="52"/>
                          <w:szCs w:val="52"/>
                        </w:rPr>
                        <w:t>B</w:t>
                      </w:r>
                    </w:p>
                  </w:txbxContent>
                </v:textbox>
              </v:shape>
            </w:pict>
          </mc:Fallback>
        </mc:AlternateContent>
      </w:r>
      <w:r w:rsidRPr="00DC113E">
        <w:rPr>
          <w:noProof/>
          <w:snapToGrid w:val="0"/>
          <w:color w:val="000000"/>
          <w:kern w:val="0"/>
          <w:szCs w:val="24"/>
        </w:rPr>
        <w:drawing>
          <wp:inline distT="0" distB="0" distL="114300" distR="114300" wp14:anchorId="6C912306" wp14:editId="16F98123">
            <wp:extent cx="5163820" cy="2704465"/>
            <wp:effectExtent l="0" t="0" r="2540" b="8255"/>
            <wp:docPr id="23" name="图片 54" descr="下 KEG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54" descr="下 KEGG"/>
                    <pic:cNvPicPr>
                      <a:picLocks noChangeAspect="1"/>
                    </pic:cNvPicPr>
                  </pic:nvPicPr>
                  <pic:blipFill>
                    <a:blip r:embed="rId20"/>
                    <a:stretch>
                      <a:fillRect/>
                    </a:stretch>
                  </pic:blipFill>
                  <pic:spPr>
                    <a:xfrm>
                      <a:off x="0" y="0"/>
                      <a:ext cx="5163820" cy="2704465"/>
                    </a:xfrm>
                    <a:prstGeom prst="rect">
                      <a:avLst/>
                    </a:prstGeom>
                    <a:noFill/>
                    <a:ln>
                      <a:noFill/>
                    </a:ln>
                  </pic:spPr>
                </pic:pic>
              </a:graphicData>
            </a:graphic>
          </wp:inline>
        </w:drawing>
      </w:r>
    </w:p>
    <w:p w14:paraId="075147EE" w14:textId="18CB6078" w:rsidR="006C50C3" w:rsidRPr="00E60993" w:rsidRDefault="00000000" w:rsidP="00E60993">
      <w:pPr>
        <w:jc w:val="center"/>
        <w:rPr>
          <w:snapToGrid w:val="0"/>
          <w:color w:val="000000"/>
          <w:kern w:val="0"/>
          <w:sz w:val="20"/>
        </w:rPr>
      </w:pPr>
      <w:r w:rsidRPr="00E60993">
        <w:rPr>
          <w:b/>
          <w:bCs/>
          <w:snapToGrid w:val="0"/>
          <w:color w:val="000000"/>
          <w:kern w:val="0"/>
          <w:sz w:val="20"/>
        </w:rPr>
        <w:t>Fig</w:t>
      </w:r>
      <w:r w:rsidR="00E60993" w:rsidRPr="00E60993">
        <w:rPr>
          <w:b/>
          <w:bCs/>
          <w:snapToGrid w:val="0"/>
          <w:color w:val="000000"/>
          <w:kern w:val="0"/>
          <w:sz w:val="20"/>
        </w:rPr>
        <w:t xml:space="preserve">ure </w:t>
      </w:r>
      <w:r w:rsidRPr="00E60993">
        <w:rPr>
          <w:b/>
          <w:bCs/>
          <w:snapToGrid w:val="0"/>
          <w:color w:val="000000"/>
          <w:kern w:val="0"/>
          <w:sz w:val="20"/>
        </w:rPr>
        <w:t xml:space="preserve">10. </w:t>
      </w:r>
      <w:r w:rsidRPr="00E60993">
        <w:rPr>
          <w:snapToGrid w:val="0"/>
          <w:color w:val="000000"/>
          <w:kern w:val="0"/>
          <w:sz w:val="20"/>
        </w:rPr>
        <w:t>KEGG pathway analysis of differential genes in PyMT-1 and Py-B1 cells</w:t>
      </w:r>
      <w:r w:rsidR="00E60993" w:rsidRPr="00E60993">
        <w:rPr>
          <w:snapToGrid w:val="0"/>
          <w:color w:val="000000"/>
          <w:kern w:val="0"/>
          <w:sz w:val="20"/>
        </w:rPr>
        <w:t>.</w:t>
      </w:r>
    </w:p>
    <w:p w14:paraId="544136F3" w14:textId="77777777" w:rsidR="006C50C3" w:rsidRPr="00DC113E" w:rsidRDefault="006C50C3" w:rsidP="00E60993">
      <w:pPr>
        <w:rPr>
          <w:snapToGrid w:val="0"/>
          <w:color w:val="000000"/>
          <w:kern w:val="0"/>
          <w:szCs w:val="24"/>
        </w:rPr>
      </w:pPr>
    </w:p>
    <w:p w14:paraId="64E5D8AC" w14:textId="77777777" w:rsidR="006C50C3" w:rsidRPr="00DC113E" w:rsidRDefault="00000000" w:rsidP="00E60993">
      <w:pPr>
        <w:ind w:firstLine="420"/>
        <w:rPr>
          <w:snapToGrid w:val="0"/>
          <w:color w:val="000000"/>
          <w:kern w:val="0"/>
          <w:szCs w:val="24"/>
        </w:rPr>
      </w:pPr>
      <w:r w:rsidRPr="00DC113E">
        <w:rPr>
          <w:snapToGrid w:val="0"/>
          <w:color w:val="000000"/>
          <w:kern w:val="0"/>
          <w:szCs w:val="24"/>
        </w:rPr>
        <w:t>Through the aforementioned pathway analysis, it can be observed that the differentially expressed genes between PyMT-1 and Py-B1 are primarily associated with cellular activities such as angiogenesis, chemotaxis, positive regulation of cell adhesion, epithelial cell proliferation, and positive regulation of epithelial cell migration, as well as pathways including proteoglycans in cancer, focal adhesion, ECM-receptor interaction, cytokine-cytokine receptor interaction, and the PI3K-Akt signaling pathway.</w:t>
      </w:r>
    </w:p>
    <w:p w14:paraId="60B63ADD" w14:textId="77777777" w:rsidR="006C50C3" w:rsidRPr="00DC113E" w:rsidRDefault="00000000" w:rsidP="00E60993">
      <w:pPr>
        <w:ind w:firstLine="420"/>
        <w:rPr>
          <w:snapToGrid w:val="0"/>
          <w:color w:val="000000"/>
          <w:kern w:val="0"/>
          <w:szCs w:val="24"/>
        </w:rPr>
      </w:pPr>
      <w:r w:rsidRPr="00DC113E">
        <w:rPr>
          <w:snapToGrid w:val="0"/>
          <w:color w:val="000000"/>
          <w:kern w:val="0"/>
          <w:szCs w:val="24"/>
        </w:rPr>
        <w:t>GO functional enrichment analysis of the differentially expressed genes revealed that among the genes upregulated in Py-B1, the most representative functional genes are primarily involved in biological processes such as angiogenesis, chemotaxis, positive regulation of cell adhesion, epithelial cell proliferation, and positive regulation of epithelial cell migration. Conversely, the downregulated genes are mainly associated with processes such as epithelial morphogenesis, gland morphogenesis, negative regulation of cell adhesion, ossification, and axon guidance.</w:t>
      </w:r>
    </w:p>
    <w:p w14:paraId="49FD1E34" w14:textId="77777777" w:rsidR="006C50C3" w:rsidRPr="00DC113E" w:rsidRDefault="00000000" w:rsidP="00E60993">
      <w:pPr>
        <w:ind w:firstLine="420"/>
        <w:rPr>
          <w:snapToGrid w:val="0"/>
          <w:color w:val="000000"/>
          <w:kern w:val="0"/>
          <w:szCs w:val="24"/>
        </w:rPr>
      </w:pPr>
      <w:r w:rsidRPr="00DC113E">
        <w:rPr>
          <w:snapToGrid w:val="0"/>
          <w:color w:val="000000"/>
          <w:kern w:val="0"/>
          <w:szCs w:val="24"/>
        </w:rPr>
        <w:t>In KEGG pathway enrichment analysis, the upregulated differentially expressed genes are primarily related to pathways such as proteoglycans in cancer, focal adhesion, ECM-receptor interaction, cytokine-cytokine receptor interaction, PI3K-Akt signaling pathway, efferocytosis, axon guidance, and cell adhesion molecules. The downregulated differentially expressed genes are mainly associated with pathways such as synaptic guidance, ECM-receptor interaction, cytokine-cytokine receptor interaction, cell adhesion molecules, and microRNAs in cancer.</w:t>
      </w:r>
    </w:p>
    <w:p w14:paraId="0E7C9CA4" w14:textId="77777777" w:rsidR="006C50C3" w:rsidRPr="00DC113E" w:rsidRDefault="006C50C3" w:rsidP="00E60993">
      <w:pPr>
        <w:rPr>
          <w:snapToGrid w:val="0"/>
          <w:color w:val="000000"/>
          <w:kern w:val="0"/>
          <w:szCs w:val="24"/>
        </w:rPr>
      </w:pPr>
    </w:p>
    <w:p w14:paraId="5D91FAB2" w14:textId="77777777" w:rsidR="006C50C3" w:rsidRPr="00E60993" w:rsidRDefault="00000000" w:rsidP="00E60993">
      <w:pPr>
        <w:rPr>
          <w:b/>
          <w:bCs/>
          <w:snapToGrid w:val="0"/>
          <w:color w:val="000000"/>
          <w:kern w:val="0"/>
          <w:szCs w:val="24"/>
        </w:rPr>
      </w:pPr>
      <w:r w:rsidRPr="00E60993">
        <w:rPr>
          <w:b/>
          <w:bCs/>
          <w:snapToGrid w:val="0"/>
          <w:color w:val="000000"/>
          <w:kern w:val="0"/>
          <w:szCs w:val="24"/>
        </w:rPr>
        <w:t xml:space="preserve">3.2.2.2.3. Pathways </w:t>
      </w:r>
      <w:r w:rsidRPr="00E60993">
        <w:rPr>
          <w:rFonts w:hint="eastAsia"/>
          <w:b/>
          <w:bCs/>
          <w:snapToGrid w:val="0"/>
          <w:color w:val="000000"/>
          <w:kern w:val="0"/>
          <w:szCs w:val="24"/>
        </w:rPr>
        <w:t>u</w:t>
      </w:r>
      <w:r w:rsidRPr="00E60993">
        <w:rPr>
          <w:b/>
          <w:bCs/>
          <w:snapToGrid w:val="0"/>
          <w:color w:val="000000"/>
          <w:kern w:val="0"/>
          <w:szCs w:val="24"/>
        </w:rPr>
        <w:t xml:space="preserve">pregulated in Py-B1 </w:t>
      </w:r>
      <w:r w:rsidRPr="00E60993">
        <w:rPr>
          <w:rFonts w:hint="eastAsia"/>
          <w:b/>
          <w:bCs/>
          <w:snapToGrid w:val="0"/>
          <w:color w:val="000000"/>
          <w:kern w:val="0"/>
          <w:szCs w:val="24"/>
        </w:rPr>
        <w:t>c</w:t>
      </w:r>
      <w:r w:rsidRPr="00E60993">
        <w:rPr>
          <w:b/>
          <w:bCs/>
          <w:snapToGrid w:val="0"/>
          <w:color w:val="000000"/>
          <w:kern w:val="0"/>
          <w:szCs w:val="24"/>
        </w:rPr>
        <w:t xml:space="preserve">ells as </w:t>
      </w:r>
      <w:r w:rsidRPr="00E60993">
        <w:rPr>
          <w:rFonts w:hint="eastAsia"/>
          <w:b/>
          <w:bCs/>
          <w:snapToGrid w:val="0"/>
          <w:color w:val="000000"/>
          <w:kern w:val="0"/>
          <w:szCs w:val="24"/>
        </w:rPr>
        <w:t>r</w:t>
      </w:r>
      <w:r w:rsidRPr="00E60993">
        <w:rPr>
          <w:b/>
          <w:bCs/>
          <w:snapToGrid w:val="0"/>
          <w:color w:val="000000"/>
          <w:kern w:val="0"/>
          <w:szCs w:val="24"/>
        </w:rPr>
        <w:t xml:space="preserve">evealed by GSEA </w:t>
      </w:r>
      <w:r w:rsidRPr="00E60993">
        <w:rPr>
          <w:rFonts w:hint="eastAsia"/>
          <w:b/>
          <w:bCs/>
          <w:snapToGrid w:val="0"/>
          <w:color w:val="000000"/>
          <w:kern w:val="0"/>
          <w:szCs w:val="24"/>
        </w:rPr>
        <w:t>a</w:t>
      </w:r>
      <w:r w:rsidRPr="00E60993">
        <w:rPr>
          <w:b/>
          <w:bCs/>
          <w:snapToGrid w:val="0"/>
          <w:color w:val="000000"/>
          <w:kern w:val="0"/>
          <w:szCs w:val="24"/>
        </w:rPr>
        <w:t xml:space="preserve">nalysis </w:t>
      </w:r>
    </w:p>
    <w:p w14:paraId="444B6491" w14:textId="77777777" w:rsidR="006C50C3" w:rsidRPr="00DC113E" w:rsidRDefault="00000000" w:rsidP="00E60993">
      <w:pPr>
        <w:rPr>
          <w:snapToGrid w:val="0"/>
          <w:color w:val="000000"/>
          <w:kern w:val="0"/>
          <w:szCs w:val="24"/>
        </w:rPr>
      </w:pPr>
      <w:r w:rsidRPr="00DC113E">
        <w:rPr>
          <w:snapToGrid w:val="0"/>
          <w:color w:val="000000"/>
          <w:kern w:val="0"/>
          <w:szCs w:val="24"/>
        </w:rPr>
        <w:t>GSEA analysis results indicate that the differentially expressed genes are primarily enriched in pathways related to embryonic skeletal system development and fibroblast growth response (</w:t>
      </w:r>
      <w:r w:rsidRPr="00E60993">
        <w:rPr>
          <w:b/>
          <w:bCs/>
          <w:snapToGrid w:val="0"/>
          <w:color w:val="000000"/>
          <w:kern w:val="0"/>
          <w:szCs w:val="24"/>
        </w:rPr>
        <w:t>Fig</w:t>
      </w:r>
      <w:r w:rsidRPr="00E60993">
        <w:rPr>
          <w:rFonts w:hint="eastAsia"/>
          <w:b/>
          <w:bCs/>
          <w:snapToGrid w:val="0"/>
          <w:color w:val="000000"/>
          <w:kern w:val="0"/>
          <w:szCs w:val="24"/>
        </w:rPr>
        <w:t xml:space="preserve">ure </w:t>
      </w:r>
      <w:r w:rsidRPr="00E60993">
        <w:rPr>
          <w:b/>
          <w:bCs/>
          <w:snapToGrid w:val="0"/>
          <w:color w:val="000000"/>
          <w:kern w:val="0"/>
          <w:szCs w:val="24"/>
        </w:rPr>
        <w:t>11</w:t>
      </w:r>
      <w:r w:rsidRPr="00DC113E">
        <w:rPr>
          <w:snapToGrid w:val="0"/>
          <w:color w:val="000000"/>
          <w:kern w:val="0"/>
          <w:szCs w:val="24"/>
        </w:rPr>
        <w:t>).</w:t>
      </w:r>
    </w:p>
    <w:p w14:paraId="1B5DE9B7" w14:textId="77777777" w:rsidR="006C50C3" w:rsidRPr="00DC113E" w:rsidRDefault="006C50C3" w:rsidP="00E60993">
      <w:pPr>
        <w:rPr>
          <w:snapToGrid w:val="0"/>
          <w:color w:val="000000"/>
          <w:kern w:val="0"/>
          <w:szCs w:val="24"/>
        </w:rPr>
      </w:pPr>
    </w:p>
    <w:p w14:paraId="1A1C2EC5" w14:textId="77777777" w:rsidR="006C50C3" w:rsidRPr="00E60993" w:rsidRDefault="00000000" w:rsidP="00E60993">
      <w:pPr>
        <w:jc w:val="center"/>
        <w:rPr>
          <w:snapToGrid w:val="0"/>
          <w:color w:val="000000"/>
          <w:kern w:val="0"/>
          <w:sz w:val="20"/>
        </w:rPr>
      </w:pPr>
      <w:r w:rsidRPr="00E60993">
        <w:rPr>
          <w:noProof/>
          <w:snapToGrid w:val="0"/>
          <w:color w:val="000000"/>
          <w:kern w:val="0"/>
          <w:sz w:val="20"/>
        </w:rPr>
        <w:lastRenderedPageBreak/>
        <w:drawing>
          <wp:inline distT="0" distB="0" distL="114300" distR="114300" wp14:anchorId="7CDBDB2D" wp14:editId="197447C8">
            <wp:extent cx="5608320" cy="1693545"/>
            <wp:effectExtent l="0" t="0" r="0" b="13335"/>
            <wp:docPr id="32" name="图片 32" descr="GSEA 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GSEA B1"/>
                    <pic:cNvPicPr>
                      <a:picLocks noChangeAspect="1"/>
                    </pic:cNvPicPr>
                  </pic:nvPicPr>
                  <pic:blipFill>
                    <a:blip r:embed="rId21"/>
                    <a:stretch>
                      <a:fillRect/>
                    </a:stretch>
                  </pic:blipFill>
                  <pic:spPr>
                    <a:xfrm>
                      <a:off x="0" y="0"/>
                      <a:ext cx="5608320" cy="1693545"/>
                    </a:xfrm>
                    <a:prstGeom prst="rect">
                      <a:avLst/>
                    </a:prstGeom>
                  </pic:spPr>
                </pic:pic>
              </a:graphicData>
            </a:graphic>
          </wp:inline>
        </w:drawing>
      </w:r>
    </w:p>
    <w:p w14:paraId="463AE97F" w14:textId="5EA430D6" w:rsidR="006C50C3" w:rsidRPr="00E60993" w:rsidRDefault="00000000" w:rsidP="00E60993">
      <w:pPr>
        <w:jc w:val="center"/>
        <w:rPr>
          <w:snapToGrid w:val="0"/>
          <w:color w:val="000000"/>
          <w:kern w:val="0"/>
          <w:sz w:val="20"/>
        </w:rPr>
      </w:pPr>
      <w:r w:rsidRPr="00E60993">
        <w:rPr>
          <w:b/>
          <w:bCs/>
          <w:snapToGrid w:val="0"/>
          <w:color w:val="000000"/>
          <w:kern w:val="0"/>
          <w:sz w:val="20"/>
        </w:rPr>
        <w:t>Fig</w:t>
      </w:r>
      <w:r w:rsidRPr="00E60993">
        <w:rPr>
          <w:rFonts w:hint="eastAsia"/>
          <w:b/>
          <w:bCs/>
          <w:snapToGrid w:val="0"/>
          <w:color w:val="000000"/>
          <w:kern w:val="0"/>
          <w:sz w:val="20"/>
        </w:rPr>
        <w:t xml:space="preserve">ure </w:t>
      </w:r>
      <w:r w:rsidRPr="00E60993">
        <w:rPr>
          <w:b/>
          <w:bCs/>
          <w:snapToGrid w:val="0"/>
          <w:color w:val="000000"/>
          <w:kern w:val="0"/>
          <w:sz w:val="20"/>
        </w:rPr>
        <w:t>11.</w:t>
      </w:r>
      <w:r w:rsidRPr="00E60993">
        <w:rPr>
          <w:snapToGrid w:val="0"/>
          <w:color w:val="000000"/>
          <w:kern w:val="0"/>
          <w:sz w:val="20"/>
        </w:rPr>
        <w:t xml:space="preserve"> Up-regulated pathways in Py-B1 cells compared to PyMT-1</w:t>
      </w:r>
      <w:r w:rsidR="00E60993" w:rsidRPr="00E60993">
        <w:rPr>
          <w:snapToGrid w:val="0"/>
          <w:color w:val="000000"/>
          <w:kern w:val="0"/>
          <w:sz w:val="20"/>
        </w:rPr>
        <w:t>.</w:t>
      </w:r>
    </w:p>
    <w:p w14:paraId="5D1C943D" w14:textId="77777777" w:rsidR="006C50C3" w:rsidRPr="00DC113E" w:rsidRDefault="006C50C3" w:rsidP="00E60993">
      <w:pPr>
        <w:rPr>
          <w:snapToGrid w:val="0"/>
          <w:color w:val="000000"/>
          <w:kern w:val="0"/>
          <w:szCs w:val="24"/>
        </w:rPr>
      </w:pPr>
    </w:p>
    <w:p w14:paraId="56164FCF" w14:textId="77777777" w:rsidR="006C50C3" w:rsidRPr="00E60993" w:rsidRDefault="00000000" w:rsidP="00DC113E">
      <w:pPr>
        <w:rPr>
          <w:b/>
          <w:bCs/>
          <w:snapToGrid w:val="0"/>
          <w:color w:val="000000"/>
          <w:szCs w:val="24"/>
        </w:rPr>
      </w:pPr>
      <w:r w:rsidRPr="00E60993">
        <w:rPr>
          <w:rFonts w:hint="eastAsia"/>
          <w:b/>
          <w:bCs/>
          <w:snapToGrid w:val="0"/>
          <w:color w:val="000000"/>
          <w:szCs w:val="24"/>
        </w:rPr>
        <w:t>3.</w:t>
      </w:r>
      <w:r w:rsidRPr="00E60993">
        <w:rPr>
          <w:b/>
          <w:bCs/>
          <w:snapToGrid w:val="0"/>
          <w:color w:val="000000"/>
          <w:szCs w:val="24"/>
        </w:rPr>
        <w:t>2.2.3. Real-</w:t>
      </w:r>
      <w:r w:rsidRPr="00E60993">
        <w:rPr>
          <w:rFonts w:hint="eastAsia"/>
          <w:b/>
          <w:bCs/>
          <w:snapToGrid w:val="0"/>
          <w:color w:val="000000"/>
          <w:szCs w:val="24"/>
        </w:rPr>
        <w:t>t</w:t>
      </w:r>
      <w:r w:rsidRPr="00E60993">
        <w:rPr>
          <w:b/>
          <w:bCs/>
          <w:snapToGrid w:val="0"/>
          <w:color w:val="000000"/>
          <w:szCs w:val="24"/>
        </w:rPr>
        <w:t xml:space="preserve">ime </w:t>
      </w:r>
      <w:r w:rsidRPr="00E60993">
        <w:rPr>
          <w:rFonts w:hint="eastAsia"/>
          <w:b/>
          <w:bCs/>
          <w:snapToGrid w:val="0"/>
          <w:color w:val="000000"/>
          <w:szCs w:val="24"/>
        </w:rPr>
        <w:t>f</w:t>
      </w:r>
      <w:r w:rsidRPr="00E60993">
        <w:rPr>
          <w:b/>
          <w:bCs/>
          <w:snapToGrid w:val="0"/>
          <w:color w:val="000000"/>
          <w:szCs w:val="24"/>
        </w:rPr>
        <w:t xml:space="preserve">luorescent </w:t>
      </w:r>
      <w:r w:rsidRPr="00E60993">
        <w:rPr>
          <w:rFonts w:hint="eastAsia"/>
          <w:b/>
          <w:bCs/>
          <w:snapToGrid w:val="0"/>
          <w:color w:val="000000"/>
          <w:szCs w:val="24"/>
        </w:rPr>
        <w:t>q</w:t>
      </w:r>
      <w:r w:rsidRPr="00E60993">
        <w:rPr>
          <w:b/>
          <w:bCs/>
          <w:snapToGrid w:val="0"/>
          <w:color w:val="000000"/>
          <w:szCs w:val="24"/>
        </w:rPr>
        <w:t xml:space="preserve">uantitative PCR </w:t>
      </w:r>
      <w:r w:rsidRPr="00E60993">
        <w:rPr>
          <w:rFonts w:hint="eastAsia"/>
          <w:b/>
          <w:bCs/>
          <w:snapToGrid w:val="0"/>
          <w:color w:val="000000"/>
          <w:szCs w:val="24"/>
        </w:rPr>
        <w:t>a</w:t>
      </w:r>
      <w:r w:rsidRPr="00E60993">
        <w:rPr>
          <w:b/>
          <w:bCs/>
          <w:snapToGrid w:val="0"/>
          <w:color w:val="000000"/>
          <w:szCs w:val="24"/>
        </w:rPr>
        <w:t xml:space="preserve">nalysis of </w:t>
      </w:r>
      <w:r w:rsidRPr="00E60993">
        <w:rPr>
          <w:rFonts w:hint="eastAsia"/>
          <w:b/>
          <w:bCs/>
          <w:snapToGrid w:val="0"/>
          <w:color w:val="000000"/>
          <w:szCs w:val="24"/>
        </w:rPr>
        <w:t>d</w:t>
      </w:r>
      <w:r w:rsidRPr="00E60993">
        <w:rPr>
          <w:b/>
          <w:bCs/>
          <w:snapToGrid w:val="0"/>
          <w:color w:val="000000"/>
          <w:szCs w:val="24"/>
        </w:rPr>
        <w:t xml:space="preserve">ifferential </w:t>
      </w:r>
      <w:r w:rsidRPr="00E60993">
        <w:rPr>
          <w:rFonts w:hint="eastAsia"/>
          <w:b/>
          <w:bCs/>
          <w:snapToGrid w:val="0"/>
          <w:color w:val="000000"/>
          <w:szCs w:val="24"/>
        </w:rPr>
        <w:t>g</w:t>
      </w:r>
      <w:r w:rsidRPr="00E60993">
        <w:rPr>
          <w:b/>
          <w:bCs/>
          <w:snapToGrid w:val="0"/>
          <w:color w:val="000000"/>
          <w:szCs w:val="24"/>
        </w:rPr>
        <w:t xml:space="preserve">ene </w:t>
      </w:r>
      <w:r w:rsidRPr="00E60993">
        <w:rPr>
          <w:rFonts w:hint="eastAsia"/>
          <w:b/>
          <w:bCs/>
          <w:snapToGrid w:val="0"/>
          <w:color w:val="000000"/>
          <w:szCs w:val="24"/>
        </w:rPr>
        <w:t>e</w:t>
      </w:r>
      <w:r w:rsidRPr="00E60993">
        <w:rPr>
          <w:b/>
          <w:bCs/>
          <w:snapToGrid w:val="0"/>
          <w:color w:val="000000"/>
          <w:szCs w:val="24"/>
        </w:rPr>
        <w:t xml:space="preserve">xpression </w:t>
      </w:r>
      <w:r w:rsidRPr="00E60993">
        <w:rPr>
          <w:rFonts w:hint="eastAsia"/>
          <w:b/>
          <w:bCs/>
          <w:snapToGrid w:val="0"/>
          <w:color w:val="000000"/>
          <w:szCs w:val="24"/>
        </w:rPr>
        <w:t>l</w:t>
      </w:r>
      <w:r w:rsidRPr="00E60993">
        <w:rPr>
          <w:b/>
          <w:bCs/>
          <w:snapToGrid w:val="0"/>
          <w:color w:val="000000"/>
          <w:szCs w:val="24"/>
        </w:rPr>
        <w:t>evels in PyMT-1 and Py-B1</w:t>
      </w:r>
    </w:p>
    <w:p w14:paraId="3100A260" w14:textId="77777777" w:rsidR="006C50C3" w:rsidRPr="00DC113E" w:rsidRDefault="00000000" w:rsidP="00DC113E">
      <w:pPr>
        <w:rPr>
          <w:snapToGrid w:val="0"/>
          <w:color w:val="000000"/>
          <w:szCs w:val="24"/>
        </w:rPr>
      </w:pPr>
      <w:r w:rsidRPr="00DC113E">
        <w:rPr>
          <w:snapToGrid w:val="0"/>
          <w:color w:val="000000"/>
          <w:szCs w:val="24"/>
        </w:rPr>
        <w:t>To further validate the expression levels of genes related to the proteoglycans in cancer and miRNA pathways in cancer, specifically in the context of breast cancer-specific bone metastasis, qPCR experimental techniques were employed to detect the transcriptional differences of genes associated with these two pathways in PyMT-1 and Py-B1. The results are presented as follows (</w:t>
      </w:r>
      <w:r w:rsidRPr="00E60993">
        <w:rPr>
          <w:b/>
          <w:bCs/>
          <w:snapToGrid w:val="0"/>
          <w:color w:val="000000"/>
          <w:szCs w:val="24"/>
        </w:rPr>
        <w:t>Fig</w:t>
      </w:r>
      <w:r w:rsidRPr="00E60993">
        <w:rPr>
          <w:rFonts w:hint="eastAsia"/>
          <w:b/>
          <w:bCs/>
          <w:snapToGrid w:val="0"/>
          <w:color w:val="000000"/>
          <w:szCs w:val="24"/>
        </w:rPr>
        <w:t xml:space="preserve">ure </w:t>
      </w:r>
      <w:r w:rsidRPr="00E60993">
        <w:rPr>
          <w:b/>
          <w:bCs/>
          <w:snapToGrid w:val="0"/>
          <w:color w:val="000000"/>
          <w:szCs w:val="24"/>
        </w:rPr>
        <w:t>12</w:t>
      </w:r>
      <w:r w:rsidRPr="00DC113E">
        <w:rPr>
          <w:snapToGrid w:val="0"/>
          <w:color w:val="000000"/>
          <w:szCs w:val="24"/>
        </w:rPr>
        <w:t xml:space="preserve">). In </w:t>
      </w:r>
      <w:r w:rsidRPr="00E60993">
        <w:rPr>
          <w:b/>
          <w:bCs/>
          <w:snapToGrid w:val="0"/>
          <w:color w:val="000000"/>
          <w:szCs w:val="24"/>
        </w:rPr>
        <w:t xml:space="preserve">Figure </w:t>
      </w:r>
      <w:r w:rsidRPr="00E60993">
        <w:rPr>
          <w:rFonts w:hint="eastAsia"/>
          <w:b/>
          <w:bCs/>
          <w:snapToGrid w:val="0"/>
          <w:color w:val="000000"/>
          <w:szCs w:val="24"/>
        </w:rPr>
        <w:t>12</w:t>
      </w:r>
      <w:r w:rsidRPr="00E60993">
        <w:rPr>
          <w:b/>
          <w:bCs/>
          <w:snapToGrid w:val="0"/>
          <w:color w:val="000000"/>
          <w:szCs w:val="24"/>
        </w:rPr>
        <w:t>A</w:t>
      </w:r>
      <w:r w:rsidRPr="00DC113E">
        <w:rPr>
          <w:snapToGrid w:val="0"/>
          <w:color w:val="000000"/>
          <w:szCs w:val="24"/>
        </w:rPr>
        <w:t xml:space="preserve">, compared to PyMT-1, the expression levels of genes related to the upregulated proteoglycans in cancer pathway, namely CD44, THBS1, and CAV1, are all elevated in the Py-B1 cell line. In </w:t>
      </w:r>
      <w:r w:rsidRPr="00E60993">
        <w:rPr>
          <w:b/>
          <w:bCs/>
          <w:snapToGrid w:val="0"/>
          <w:color w:val="000000"/>
          <w:szCs w:val="24"/>
        </w:rPr>
        <w:t xml:space="preserve">Figure </w:t>
      </w:r>
      <w:r w:rsidRPr="00E60993">
        <w:rPr>
          <w:rFonts w:hint="eastAsia"/>
          <w:b/>
          <w:bCs/>
          <w:snapToGrid w:val="0"/>
          <w:color w:val="000000"/>
          <w:szCs w:val="24"/>
        </w:rPr>
        <w:t>12</w:t>
      </w:r>
      <w:r w:rsidRPr="00E60993">
        <w:rPr>
          <w:b/>
          <w:bCs/>
          <w:snapToGrid w:val="0"/>
          <w:color w:val="000000"/>
          <w:szCs w:val="24"/>
        </w:rPr>
        <w:t>B</w:t>
      </w:r>
      <w:r w:rsidRPr="00DC113E">
        <w:rPr>
          <w:snapToGrid w:val="0"/>
          <w:color w:val="000000"/>
          <w:szCs w:val="24"/>
        </w:rPr>
        <w:t>, compared to PyMT-1, the expression levels of genes related to the downregulated miRNA pathway in cancer, specifically ST14, DNMT3A, and DNMT3B, are all decreased in the Py-B1 cell line.</w:t>
      </w:r>
    </w:p>
    <w:p w14:paraId="0061FF1E" w14:textId="77777777" w:rsidR="006C50C3" w:rsidRPr="00DC113E" w:rsidRDefault="00000000" w:rsidP="00DC113E">
      <w:pPr>
        <w:rPr>
          <w:snapToGrid w:val="0"/>
          <w:color w:val="000000"/>
          <w:szCs w:val="24"/>
        </w:rPr>
      </w:pPr>
      <w:r w:rsidRPr="00DC113E">
        <w:rPr>
          <w:noProof/>
          <w:szCs w:val="24"/>
        </w:rPr>
        <mc:AlternateContent>
          <mc:Choice Requires="wps">
            <w:drawing>
              <wp:anchor distT="0" distB="0" distL="114300" distR="114300" simplePos="0" relativeHeight="251701760" behindDoc="0" locked="0" layoutInCell="1" allowOverlap="1" wp14:anchorId="1CF29601" wp14:editId="21716FBE">
                <wp:simplePos x="0" y="0"/>
                <wp:positionH relativeFrom="column">
                  <wp:posOffset>283210</wp:posOffset>
                </wp:positionH>
                <wp:positionV relativeFrom="paragraph">
                  <wp:posOffset>157480</wp:posOffset>
                </wp:positionV>
                <wp:extent cx="366395" cy="450215"/>
                <wp:effectExtent l="0" t="0" r="14605" b="6985"/>
                <wp:wrapNone/>
                <wp:docPr id="41" name="文本框 41"/>
                <wp:cNvGraphicFramePr/>
                <a:graphic xmlns:a="http://schemas.openxmlformats.org/drawingml/2006/main">
                  <a:graphicData uri="http://schemas.microsoft.com/office/word/2010/wordprocessingShape">
                    <wps:wsp>
                      <wps:cNvSpPr txBox="1"/>
                      <wps:spPr>
                        <a:xfrm>
                          <a:off x="0" y="0"/>
                          <a:ext cx="366395" cy="45021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3D436D3" w14:textId="77777777" w:rsidR="006C50C3" w:rsidRDefault="00000000">
                            <w:pPr>
                              <w:rPr>
                                <w:sz w:val="36"/>
                                <w:szCs w:val="36"/>
                              </w:rPr>
                            </w:pPr>
                            <w:r>
                              <w:rPr>
                                <w:rFonts w:hint="eastAsia"/>
                                <w:sz w:val="36"/>
                                <w:szCs w:val="36"/>
                              </w:rPr>
                              <w:t>A</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CF29601" id="文本框 41" o:spid="_x0000_s1040" type="#_x0000_t202" style="position:absolute;left:0;text-align:left;margin-left:22.3pt;margin-top:12.4pt;width:28.85pt;height:35.45pt;z-index:251701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EJqXQIAACQFAAAOAAAAZHJzL2Uyb0RvYy54bWysVN+P0zAMfkfif4jyzrrfcNO609hpCGni&#10;TgzEc5Yma0QahyRbO/56nHTdBtzLIV5aJ7Y/25/tzO+bSpOjcF6Byemg16dEGA6FMvucfv2yfvOO&#10;Eh+YKZgGI3J6Ep7eL16/mtd2JoZQgi6EIwhi/Ky2OS1DsLMs87wUFfM9sMKgUoKrWMCj22eFYzWi&#10;Vzob9vvTrAZXWAdceI+3D62SLhK+lIKHRym9CETnFHML6evSdxe/2WLOZnvHbKn4OQ32D1lUTBkM&#10;eoF6YIGRg1N/QVWKO/AgQ49DlYGUiotUA1Yz6P9RzbZkVqRakBxvLzT5/wfLPx239smR0LyHBhsY&#10;Camtn3m8jPU00lXxj5kS1COFpwttogmE4+VoOh3dTSjhqBpP+sPBJKJkV2frfPggoCJRyKnDriSy&#10;2HHjQ2vamcRYHrQq1krrdIiTIFbakSPDHuqQUkTw36y0IXVOp6NJPwEbiO4tsjaYy7WkJIWTFhFc&#10;m89CElWkyp6JxjgX5hIxWUcrieAvcTzbR1eRZvIlzhePFBlMuDhXyoBL9aZ1uZJUfO9Ikq19x0Bb&#10;d6QgNLsGC8eOj7uW76A44SQ4aJfEW75W2K8N8+GJOdwKbD5uenjEj9SAfMNZoqQE9/O5+2iPw4pa&#10;Smrcspz6HwfmBCX6o8ExvhuMx3Et02E8eTvEg7vV7G415lCtAIdggG+K5UmM9kF3onRQfcMHYRmj&#10;oooZjrFzGjpxFdrdxweFi+UyGeEiWhY2Zmt5hI40G1geAkiVhjPS1XJzphFXMY33+dmIu357TlbX&#10;x23xCwAA//8DAFBLAwQUAAYACAAAACEAbQUsmuAAAAAIAQAADwAAAGRycy9kb3ducmV2LnhtbEyP&#10;T0+DQBTE7yZ+h80z8WLsItBWkUdjjNrEm8U/8bZln0Bk3xJ2C/jt3Z70OJnJzG/yzWw6MdLgWssI&#10;V4sIBHFldcs1wmv5eHkNwnnFWnWWCeGHHGyK05NcZdpO/ELjztcilLDLFELjfZ9J6aqGjHIL2xMH&#10;78sORvkgh1rqQU2h3HQyjqKVNKrlsNConu4bqr53B4PweVF/PLv56W1Klkn/sB3L9bsuEc/P5rtb&#10;EJ5m/xeGI35AhyIw7e2BtRMdQpquQhIhTsODox/FCYg9ws1yDbLI5f8DxS8AAAD//wMAUEsBAi0A&#10;FAAGAAgAAAAhALaDOJL+AAAA4QEAABMAAAAAAAAAAAAAAAAAAAAAAFtDb250ZW50X1R5cGVzXS54&#10;bWxQSwECLQAUAAYACAAAACEAOP0h/9YAAACUAQAACwAAAAAAAAAAAAAAAAAvAQAAX3JlbHMvLnJl&#10;bHNQSwECLQAUAAYACAAAACEAn5xCal0CAAAkBQAADgAAAAAAAAAAAAAAAAAuAgAAZHJzL2Uyb0Rv&#10;Yy54bWxQSwECLQAUAAYACAAAACEAbQUsmuAAAAAIAQAADwAAAAAAAAAAAAAAAAC3BAAAZHJzL2Rv&#10;d25yZXYueG1sUEsFBgAAAAAEAAQA8wAAAMQFAAAAAA==&#10;" fillcolor="white [3201]" stroked="f" strokeweight=".5pt">
                <v:textbox>
                  <w:txbxContent>
                    <w:p w14:paraId="43D436D3" w14:textId="77777777" w:rsidR="006C50C3" w:rsidRDefault="00000000">
                      <w:pPr>
                        <w:rPr>
                          <w:sz w:val="36"/>
                          <w:szCs w:val="36"/>
                        </w:rPr>
                      </w:pPr>
                      <w:r>
                        <w:rPr>
                          <w:rFonts w:hint="eastAsia"/>
                          <w:sz w:val="36"/>
                          <w:szCs w:val="36"/>
                        </w:rPr>
                        <w:t>A</w:t>
                      </w:r>
                    </w:p>
                  </w:txbxContent>
                </v:textbox>
              </v:shape>
            </w:pict>
          </mc:Fallback>
        </mc:AlternateContent>
      </w:r>
      <w:r w:rsidRPr="00DC113E">
        <w:rPr>
          <w:noProof/>
          <w:szCs w:val="24"/>
        </w:rPr>
        <mc:AlternateContent>
          <mc:Choice Requires="wps">
            <w:drawing>
              <wp:anchor distT="0" distB="0" distL="114300" distR="114300" simplePos="0" relativeHeight="251708928" behindDoc="0" locked="0" layoutInCell="1" allowOverlap="1" wp14:anchorId="17D89B86" wp14:editId="6BD332CD">
                <wp:simplePos x="0" y="0"/>
                <wp:positionH relativeFrom="column">
                  <wp:posOffset>3102610</wp:posOffset>
                </wp:positionH>
                <wp:positionV relativeFrom="paragraph">
                  <wp:posOffset>148590</wp:posOffset>
                </wp:positionV>
                <wp:extent cx="366395" cy="450215"/>
                <wp:effectExtent l="0" t="0" r="14605" b="6985"/>
                <wp:wrapNone/>
                <wp:docPr id="44" name="文本框 44"/>
                <wp:cNvGraphicFramePr/>
                <a:graphic xmlns:a="http://schemas.openxmlformats.org/drawingml/2006/main">
                  <a:graphicData uri="http://schemas.microsoft.com/office/word/2010/wordprocessingShape">
                    <wps:wsp>
                      <wps:cNvSpPr txBox="1"/>
                      <wps:spPr>
                        <a:xfrm>
                          <a:off x="0" y="0"/>
                          <a:ext cx="366395" cy="45021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A01438D" w14:textId="77777777" w:rsidR="006C50C3" w:rsidRDefault="00000000">
                            <w:pPr>
                              <w:rPr>
                                <w:sz w:val="36"/>
                                <w:szCs w:val="36"/>
                              </w:rPr>
                            </w:pPr>
                            <w:r>
                              <w:rPr>
                                <w:rFonts w:hint="eastAsia"/>
                                <w:sz w:val="36"/>
                                <w:szCs w:val="36"/>
                              </w:rPr>
                              <w:t>B</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7D89B86" id="文本框 44" o:spid="_x0000_s1041" type="#_x0000_t202" style="position:absolute;left:0;text-align:left;margin-left:244.3pt;margin-top:11.7pt;width:28.85pt;height:35.45pt;z-index:251708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IRTXQIAACQFAAAOAAAAZHJzL2Uyb0RvYy54bWysVN+P0zAMfkfif4jyztr9hJvWncZOQ0gT&#10;d2IgnrM02SLSOCTZ2vHX46RbN+BeDvHSOrH92f5sZ3bfVJochfMKTEH7vZwSYTiUyuwK+vXL6s07&#10;SnxgpmQajCjoSXh6P3/9albbqRjAHnQpHEEQ46e1Leg+BDvNMs/3omK+B1YYVEpwFQt4dLusdKxG&#10;9EpngzyfZDW40jrgwnu8fWiVdJ7wpRQ8PErpRSC6oJhbSF+Xvtv4zeYzNt05ZveKn9Ng/5BFxZTB&#10;oB3UAwuMHJz6C6pS3IEHGXocqgykVFykGrCafv5HNZs9syLVguR429Hk/x8s/3Tc2CdHQvMeGmxg&#10;JKS2furxMtbTSFfFP2ZKUI8UnjraRBMIx8vhZDK8G1PCUTUa54P+OKJkV2frfPggoCJRKKjDriSy&#10;2HHtQ2t6MYmxPGhVrpTW6RAnQSy1I0eGPdQhpYjgv1lpQ+qCTobjPAEbiO4tsjaYy7WkJIWTFhFc&#10;m89CElWmyp6JxjgXpouYrKOVRPCXOJ7to6tIM/kS584jRQYTOudKGXCp3rQuV5LK7xeSZGt/YaCt&#10;O1IQmm2DhWPHU7Pi1RbKE06Cg3ZJvOUrhf1aMx+emMOtwObjpodH/EgNyDecJUr24H4+dx/tcVhR&#10;S0mNW1ZQ/+PAnKBEfzQ4xnf90SiuZTqMxm8HeHC3mu2txhyqJeAQ9PFNsTyJ0T7oiygdVN/wQVjE&#10;qKhihmPsgoaLuAzt7uODwsVikYxwES0La7OxPEJHmg0sDgGkSsN55eZMI65iGu/zsxF3/facrK6P&#10;2/wXAAAA//8DAFBLAwQUAAYACAAAACEAyuy/zuEAAAAJAQAADwAAAGRycy9kb3ducmV2LnhtbEyP&#10;y06EQBBF9yb+Q6dM3BincWAQkWJijI/EnYOPuOuhSyDS1YTuAfx725UuK/fk3lPFdjG9mGh0nWWE&#10;i1UEgri2uuMG4aW6P89AOK9Yq94yIXyTg215fFSoXNuZn2na+UaEEna5Qmi9H3IpXd2SUW5lB+KQ&#10;fdrRKB/OsZF6VHMoN71cR1Eqjeo4LLRqoNuW6q/dwSB8nDXvT255eJ3jTTzcPU7V5ZuuEE9Plptr&#10;EJ4W/wfDr35QhzI47e2BtRM9QpJlaUAR1nECIgCbJI1B7BGukhhkWcj/H5Q/AAAA//8DAFBLAQIt&#10;ABQABgAIAAAAIQC2gziS/gAAAOEBAAATAAAAAAAAAAAAAAAAAAAAAABbQ29udGVudF9UeXBlc10u&#10;eG1sUEsBAi0AFAAGAAgAAAAhADj9If/WAAAAlAEAAAsAAAAAAAAAAAAAAAAALwEAAF9yZWxzLy5y&#10;ZWxzUEsBAi0AFAAGAAgAAAAhAM40hFNdAgAAJAUAAA4AAAAAAAAAAAAAAAAALgIAAGRycy9lMm9E&#10;b2MueG1sUEsBAi0AFAAGAAgAAAAhAMrsv87hAAAACQEAAA8AAAAAAAAAAAAAAAAAtwQAAGRycy9k&#10;b3ducmV2LnhtbFBLBQYAAAAABAAEAPMAAADFBQAAAAA=&#10;" fillcolor="white [3201]" stroked="f" strokeweight=".5pt">
                <v:textbox>
                  <w:txbxContent>
                    <w:p w14:paraId="4A01438D" w14:textId="77777777" w:rsidR="006C50C3" w:rsidRDefault="00000000">
                      <w:pPr>
                        <w:rPr>
                          <w:sz w:val="36"/>
                          <w:szCs w:val="36"/>
                        </w:rPr>
                      </w:pPr>
                      <w:r>
                        <w:rPr>
                          <w:rFonts w:hint="eastAsia"/>
                          <w:sz w:val="36"/>
                          <w:szCs w:val="36"/>
                        </w:rPr>
                        <w:t>B</w:t>
                      </w:r>
                    </w:p>
                  </w:txbxContent>
                </v:textbox>
              </v:shape>
            </w:pict>
          </mc:Fallback>
        </mc:AlternateContent>
      </w:r>
    </w:p>
    <w:p w14:paraId="4A84C4E4" w14:textId="77777777" w:rsidR="006C50C3" w:rsidRPr="00E60993" w:rsidRDefault="00000000" w:rsidP="00E60993">
      <w:pPr>
        <w:jc w:val="center"/>
        <w:rPr>
          <w:snapToGrid w:val="0"/>
          <w:color w:val="000000"/>
          <w:sz w:val="20"/>
        </w:rPr>
      </w:pPr>
      <w:r w:rsidRPr="00E60993">
        <w:rPr>
          <w:noProof/>
          <w:snapToGrid w:val="0"/>
          <w:color w:val="000000"/>
          <w:sz w:val="20"/>
        </w:rPr>
        <w:drawing>
          <wp:inline distT="0" distB="0" distL="114300" distR="114300" wp14:anchorId="2050DB7C" wp14:editId="5900E502">
            <wp:extent cx="5608955" cy="1604010"/>
            <wp:effectExtent l="0" t="0" r="14605" b="11430"/>
            <wp:docPr id="43" name="图片 43" descr="1738655296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1738655296866"/>
                    <pic:cNvPicPr>
                      <a:picLocks noChangeAspect="1"/>
                    </pic:cNvPicPr>
                  </pic:nvPicPr>
                  <pic:blipFill>
                    <a:blip r:embed="rId22"/>
                    <a:stretch>
                      <a:fillRect/>
                    </a:stretch>
                  </pic:blipFill>
                  <pic:spPr>
                    <a:xfrm>
                      <a:off x="0" y="0"/>
                      <a:ext cx="5608955" cy="1604010"/>
                    </a:xfrm>
                    <a:prstGeom prst="rect">
                      <a:avLst/>
                    </a:prstGeom>
                  </pic:spPr>
                </pic:pic>
              </a:graphicData>
            </a:graphic>
          </wp:inline>
        </w:drawing>
      </w:r>
    </w:p>
    <w:p w14:paraId="1C2B610A" w14:textId="44C848A7" w:rsidR="006C50C3" w:rsidRPr="00E60993" w:rsidRDefault="00000000" w:rsidP="00E60993">
      <w:pPr>
        <w:jc w:val="center"/>
        <w:rPr>
          <w:snapToGrid w:val="0"/>
          <w:color w:val="000000"/>
          <w:sz w:val="20"/>
        </w:rPr>
      </w:pPr>
      <w:r w:rsidRPr="00E60993">
        <w:rPr>
          <w:b/>
          <w:bCs/>
          <w:snapToGrid w:val="0"/>
          <w:sz w:val="20"/>
        </w:rPr>
        <w:t>Fig</w:t>
      </w:r>
      <w:r w:rsidRPr="00E60993">
        <w:rPr>
          <w:rFonts w:hint="eastAsia"/>
          <w:b/>
          <w:bCs/>
          <w:snapToGrid w:val="0"/>
          <w:sz w:val="20"/>
        </w:rPr>
        <w:t xml:space="preserve">ure </w:t>
      </w:r>
      <w:r w:rsidRPr="00E60993">
        <w:rPr>
          <w:b/>
          <w:bCs/>
          <w:snapToGrid w:val="0"/>
          <w:sz w:val="20"/>
        </w:rPr>
        <w:t>12.</w:t>
      </w:r>
      <w:r w:rsidRPr="00E60993">
        <w:rPr>
          <w:snapToGrid w:val="0"/>
          <w:sz w:val="20"/>
        </w:rPr>
        <w:t xml:space="preserve"> PCR validation results of up-regulated and down-regulated pathways in Py-B1 cell lines compared with PyMT-</w:t>
      </w:r>
      <w:proofErr w:type="gramStart"/>
      <w:r w:rsidRPr="00E60993">
        <w:rPr>
          <w:snapToGrid w:val="0"/>
          <w:sz w:val="20"/>
        </w:rPr>
        <w:t>1</w:t>
      </w:r>
      <w:r w:rsidR="00E60993" w:rsidRPr="00E60993">
        <w:rPr>
          <w:snapToGrid w:val="0"/>
          <w:sz w:val="20"/>
        </w:rPr>
        <w:t>.</w:t>
      </w:r>
      <w:r w:rsidRPr="00E60993">
        <w:rPr>
          <w:snapToGrid w:val="0"/>
          <w:color w:val="000000"/>
          <w:sz w:val="20"/>
        </w:rPr>
        <w:t>*</w:t>
      </w:r>
      <w:proofErr w:type="gramEnd"/>
      <w:r w:rsidRPr="00E60993">
        <w:rPr>
          <w:snapToGrid w:val="0"/>
          <w:color w:val="000000"/>
          <w:sz w:val="20"/>
        </w:rPr>
        <w:t xml:space="preserve">indicates </w:t>
      </w:r>
      <w:r w:rsidRPr="00E60993">
        <w:rPr>
          <w:i/>
          <w:iCs/>
          <w:snapToGrid w:val="0"/>
          <w:color w:val="000000"/>
          <w:sz w:val="20"/>
        </w:rPr>
        <w:t>P</w:t>
      </w:r>
      <w:r w:rsidRPr="00E60993">
        <w:rPr>
          <w:snapToGrid w:val="0"/>
          <w:color w:val="000000"/>
          <w:sz w:val="20"/>
        </w:rPr>
        <w:t xml:space="preserve"> &lt; 0.05, ** indicates </w:t>
      </w:r>
      <w:r w:rsidRPr="00E60993">
        <w:rPr>
          <w:i/>
          <w:iCs/>
          <w:snapToGrid w:val="0"/>
          <w:color w:val="000000"/>
          <w:sz w:val="20"/>
        </w:rPr>
        <w:t>P</w:t>
      </w:r>
      <w:r w:rsidRPr="00E60993">
        <w:rPr>
          <w:snapToGrid w:val="0"/>
          <w:color w:val="000000"/>
          <w:sz w:val="20"/>
        </w:rPr>
        <w:t xml:space="preserve"> &lt; 0.01.</w:t>
      </w:r>
    </w:p>
    <w:p w14:paraId="473677E7" w14:textId="77777777" w:rsidR="006C50C3" w:rsidRPr="00DC113E" w:rsidRDefault="006C50C3" w:rsidP="00DC113E">
      <w:pPr>
        <w:rPr>
          <w:snapToGrid w:val="0"/>
          <w:color w:val="000000"/>
          <w:szCs w:val="24"/>
        </w:rPr>
      </w:pPr>
    </w:p>
    <w:p w14:paraId="0FA2A666" w14:textId="77777777" w:rsidR="006C50C3" w:rsidRPr="00E60993" w:rsidRDefault="00000000" w:rsidP="00DC113E">
      <w:pPr>
        <w:rPr>
          <w:b/>
          <w:bCs/>
          <w:snapToGrid w:val="0"/>
          <w:color w:val="000000"/>
          <w:szCs w:val="24"/>
        </w:rPr>
      </w:pPr>
      <w:r w:rsidRPr="00E60993">
        <w:rPr>
          <w:rFonts w:hint="eastAsia"/>
          <w:b/>
          <w:bCs/>
          <w:snapToGrid w:val="0"/>
          <w:color w:val="000000"/>
          <w:szCs w:val="24"/>
        </w:rPr>
        <w:t>3.</w:t>
      </w:r>
      <w:r w:rsidRPr="00E60993">
        <w:rPr>
          <w:b/>
          <w:bCs/>
          <w:snapToGrid w:val="0"/>
          <w:color w:val="000000"/>
          <w:szCs w:val="24"/>
        </w:rPr>
        <w:t xml:space="preserve">2.2.4. Clinical </w:t>
      </w:r>
      <w:r w:rsidRPr="00E60993">
        <w:rPr>
          <w:rFonts w:hint="eastAsia"/>
          <w:b/>
          <w:bCs/>
          <w:snapToGrid w:val="0"/>
          <w:color w:val="000000"/>
          <w:szCs w:val="24"/>
        </w:rPr>
        <w:t>v</w:t>
      </w:r>
      <w:r w:rsidRPr="00E60993">
        <w:rPr>
          <w:b/>
          <w:bCs/>
          <w:snapToGrid w:val="0"/>
          <w:color w:val="000000"/>
          <w:szCs w:val="24"/>
        </w:rPr>
        <w:t xml:space="preserve">alidation of </w:t>
      </w:r>
      <w:r w:rsidRPr="00E60993">
        <w:rPr>
          <w:rFonts w:hint="eastAsia"/>
          <w:b/>
          <w:bCs/>
          <w:snapToGrid w:val="0"/>
          <w:color w:val="000000"/>
          <w:szCs w:val="24"/>
        </w:rPr>
        <w:t>d</w:t>
      </w:r>
      <w:r w:rsidRPr="00E60993">
        <w:rPr>
          <w:b/>
          <w:bCs/>
          <w:snapToGrid w:val="0"/>
          <w:color w:val="000000"/>
          <w:szCs w:val="24"/>
        </w:rPr>
        <w:t xml:space="preserve">ifferentially </w:t>
      </w:r>
      <w:r w:rsidRPr="00E60993">
        <w:rPr>
          <w:rFonts w:hint="eastAsia"/>
          <w:b/>
          <w:bCs/>
          <w:snapToGrid w:val="0"/>
          <w:color w:val="000000"/>
          <w:szCs w:val="24"/>
        </w:rPr>
        <w:t>e</w:t>
      </w:r>
      <w:r w:rsidRPr="00E60993">
        <w:rPr>
          <w:b/>
          <w:bCs/>
          <w:snapToGrid w:val="0"/>
          <w:color w:val="000000"/>
          <w:szCs w:val="24"/>
        </w:rPr>
        <w:t xml:space="preserve">xpressed </w:t>
      </w:r>
      <w:r w:rsidRPr="00E60993">
        <w:rPr>
          <w:rFonts w:hint="eastAsia"/>
          <w:b/>
          <w:bCs/>
          <w:snapToGrid w:val="0"/>
          <w:color w:val="000000"/>
          <w:szCs w:val="24"/>
        </w:rPr>
        <w:t>g</w:t>
      </w:r>
      <w:r w:rsidRPr="00E60993">
        <w:rPr>
          <w:b/>
          <w:bCs/>
          <w:snapToGrid w:val="0"/>
          <w:color w:val="000000"/>
          <w:szCs w:val="24"/>
        </w:rPr>
        <w:t xml:space="preserve">enes </w:t>
      </w:r>
    </w:p>
    <w:p w14:paraId="6DD6437C" w14:textId="77777777" w:rsidR="006C50C3" w:rsidRDefault="00000000" w:rsidP="00DC113E">
      <w:pPr>
        <w:rPr>
          <w:snapToGrid w:val="0"/>
          <w:color w:val="000000"/>
          <w:szCs w:val="24"/>
        </w:rPr>
      </w:pPr>
      <w:r w:rsidRPr="00DC113E">
        <w:rPr>
          <w:snapToGrid w:val="0"/>
          <w:color w:val="000000"/>
          <w:szCs w:val="24"/>
        </w:rPr>
        <w:t>In 38 cases of invasive ductal carcinoma (IDC) tissues, the significantly highly expressed genes CD44 and THBS1 identified in Py-B1 cells were validated. The results are as follows (</w:t>
      </w:r>
      <w:r w:rsidRPr="00E60993">
        <w:rPr>
          <w:b/>
          <w:bCs/>
          <w:snapToGrid w:val="0"/>
          <w:color w:val="000000"/>
          <w:szCs w:val="24"/>
        </w:rPr>
        <w:t>Fig</w:t>
      </w:r>
      <w:r w:rsidRPr="00E60993">
        <w:rPr>
          <w:rFonts w:hint="eastAsia"/>
          <w:b/>
          <w:bCs/>
          <w:snapToGrid w:val="0"/>
          <w:color w:val="000000"/>
          <w:szCs w:val="24"/>
        </w:rPr>
        <w:t>ure</w:t>
      </w:r>
      <w:r w:rsidRPr="00E60993">
        <w:rPr>
          <w:b/>
          <w:bCs/>
          <w:snapToGrid w:val="0"/>
          <w:color w:val="000000"/>
          <w:szCs w:val="24"/>
        </w:rPr>
        <w:t xml:space="preserve"> 13</w:t>
      </w:r>
      <w:r w:rsidRPr="00DC113E">
        <w:rPr>
          <w:snapToGrid w:val="0"/>
          <w:color w:val="000000"/>
          <w:szCs w:val="24"/>
        </w:rPr>
        <w:t>): Compared to breast cancer tissues without metastasis, the expression levels of the bone-specific metastasis genes CD44 and THBS1 were elevated in breast cancer tissues with bone metastasis (</w:t>
      </w:r>
      <w:r w:rsidRPr="00DC113E">
        <w:rPr>
          <w:i/>
          <w:iCs/>
          <w:snapToGrid w:val="0"/>
          <w:color w:val="000000"/>
          <w:szCs w:val="24"/>
        </w:rPr>
        <w:t>P</w:t>
      </w:r>
      <w:r w:rsidRPr="00DC113E">
        <w:rPr>
          <w:snapToGrid w:val="0"/>
          <w:color w:val="000000"/>
          <w:szCs w:val="24"/>
        </w:rPr>
        <w:t xml:space="preserve"> &lt; 0.05), while their expression levels remained unchanged in breast cancer tissues with lung metastasis.</w:t>
      </w:r>
    </w:p>
    <w:p w14:paraId="3231A81B" w14:textId="77777777" w:rsidR="00E60993" w:rsidRPr="00DC113E" w:rsidRDefault="00E60993" w:rsidP="00DC113E">
      <w:pPr>
        <w:rPr>
          <w:snapToGrid w:val="0"/>
          <w:color w:val="000000"/>
          <w:szCs w:val="24"/>
        </w:rPr>
      </w:pPr>
    </w:p>
    <w:p w14:paraId="4FE7E13C" w14:textId="77777777" w:rsidR="006C50C3" w:rsidRPr="00E60993" w:rsidRDefault="00000000" w:rsidP="00E60993">
      <w:pPr>
        <w:jc w:val="center"/>
        <w:rPr>
          <w:rFonts w:eastAsia="SimHei"/>
          <w:sz w:val="20"/>
        </w:rPr>
      </w:pPr>
      <w:r w:rsidRPr="00E60993">
        <w:rPr>
          <w:noProof/>
          <w:sz w:val="20"/>
        </w:rPr>
        <w:lastRenderedPageBreak/>
        <mc:AlternateContent>
          <mc:Choice Requires="wps">
            <w:drawing>
              <wp:anchor distT="0" distB="0" distL="114300" distR="114300" simplePos="0" relativeHeight="251717120" behindDoc="0" locked="0" layoutInCell="1" allowOverlap="1" wp14:anchorId="125E6A13" wp14:editId="4B182767">
                <wp:simplePos x="0" y="0"/>
                <wp:positionH relativeFrom="column">
                  <wp:posOffset>633730</wp:posOffset>
                </wp:positionH>
                <wp:positionV relativeFrom="paragraph">
                  <wp:posOffset>14605</wp:posOffset>
                </wp:positionV>
                <wp:extent cx="366395" cy="450215"/>
                <wp:effectExtent l="0" t="0" r="14605" b="6985"/>
                <wp:wrapNone/>
                <wp:docPr id="47" name="文本框 47"/>
                <wp:cNvGraphicFramePr/>
                <a:graphic xmlns:a="http://schemas.openxmlformats.org/drawingml/2006/main">
                  <a:graphicData uri="http://schemas.microsoft.com/office/word/2010/wordprocessingShape">
                    <wps:wsp>
                      <wps:cNvSpPr txBox="1"/>
                      <wps:spPr>
                        <a:xfrm>
                          <a:off x="0" y="0"/>
                          <a:ext cx="366395" cy="45021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8463FAD" w14:textId="77777777" w:rsidR="006C50C3" w:rsidRDefault="00000000">
                            <w:pPr>
                              <w:rPr>
                                <w:sz w:val="36"/>
                                <w:szCs w:val="36"/>
                              </w:rPr>
                            </w:pPr>
                            <w:r>
                              <w:rPr>
                                <w:rFonts w:hint="eastAsia"/>
                                <w:sz w:val="36"/>
                                <w:szCs w:val="36"/>
                              </w:rPr>
                              <w:t>A</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25E6A13" id="文本框 47" o:spid="_x0000_s1042" type="#_x0000_t202" style="position:absolute;left:0;text-align:left;margin-left:49.9pt;margin-top:1.15pt;width:28.85pt;height:35.45pt;z-index:251717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M8ZXQIAACQFAAAOAAAAZHJzL2Uyb0RvYy54bWysVN+P0zAMfkfif4jyzrrfcNO609hpCGni&#10;TgzEc5Yma0QahyRbO/56nHTdBtzLIV5aJ7Y/25/tzO+bSpOjcF6Byemg16dEGA6FMvucfv2yfvOO&#10;Eh+YKZgGI3J6Ep7eL16/mtd2JoZQgi6EIwhi/Ky2OS1DsLMs87wUFfM9sMKgUoKrWMCj22eFYzWi&#10;Vzob9vvTrAZXWAdceI+3D62SLhK+lIKHRym9CETnFHML6evSdxe/2WLOZnvHbKn4OQ32D1lUTBkM&#10;eoF6YIGRg1N/QVWKO/AgQ49DlYGUiotUA1Yz6P9RzbZkVqRakBxvLzT5/wfLPx239smR0LyHBhsY&#10;Camtn3m8jPU00lXxj5kS1COFpwttogmE4+VoOh3dTSjhqBpP+sPBJKJkV2frfPggoCJRyKnDriSy&#10;2HHjQ2vamcRYHrQq1krrdIiTIFbakSPDHuqQUkTw36y0IXVOp6NJPwEbiO4tsjaYy7WkJIWTFhFc&#10;m89CElWkyp6JxjgX5hIxWUcrieAvcTzbR1eRZvIlzhePFBlMuDhXyoBL9aZ1uZJUfO9Ikq19x0Bb&#10;d6QgNLsGC8eOT7uW76A44SQ4aJfEW75W2K8N8+GJOdwKbD5uenjEj9SAfMNZoqQE9/O5+2iPw4pa&#10;Smrcspz6HwfmBCX6o8ExvhuMx3Et02E8eTvEg7vV7G415lCtAIdggG+K5UmM9kF3onRQfcMHYRmj&#10;oooZjrFzGjpxFdrdxweFi+UyGeEiWhY2Zmt5hI40G1geAkiVhjPS1XJzphFXMY33+dmIu357TlbX&#10;x23xCwAA//8DAFBLAwQUAAYACAAAACEAwE2Ht94AAAAHAQAADwAAAGRycy9kb3ducmV2LnhtbEzO&#10;TU+EMBAG4LuJ/6EZEy/GLUIQFxk2xviR7M3Fj3jr0hGIdEpoF/Df2z3pcfJO3vcpNovpxUSj6ywj&#10;XK0iEMS11R03CK/V4+UNCOcVa9VbJoQfcrApT08KlWs78wtNO9+IUMIuVwit90MupatbMsqt7EAc&#10;si87GuXDOTZSj2oO5aaXcRRdS6M6DgutGui+pfp7dzAInxfNx9YtT29zkibDw/NUZe+6Qjw/W+5u&#10;QXha/N8zHPmBDmUw7e2BtRM9wnod5B4hTkAc4zRLQewRsiQGWRbyv7/8BQAA//8DAFBLAQItABQA&#10;BgAIAAAAIQC2gziS/gAAAOEBAAATAAAAAAAAAAAAAAAAAAAAAABbQ29udGVudF9UeXBlc10ueG1s&#10;UEsBAi0AFAAGAAgAAAAhADj9If/WAAAAlAEAAAsAAAAAAAAAAAAAAAAALwEAAF9yZWxzLy5yZWxz&#10;UEsBAi0AFAAGAAgAAAAhAD3MzxldAgAAJAUAAA4AAAAAAAAAAAAAAAAALgIAAGRycy9lMm9Eb2Mu&#10;eG1sUEsBAi0AFAAGAAgAAAAhAMBNh7feAAAABwEAAA8AAAAAAAAAAAAAAAAAtwQAAGRycy9kb3du&#10;cmV2LnhtbFBLBQYAAAAABAAEAPMAAADCBQAAAAA=&#10;" fillcolor="white [3201]" stroked="f" strokeweight=".5pt">
                <v:textbox>
                  <w:txbxContent>
                    <w:p w14:paraId="08463FAD" w14:textId="77777777" w:rsidR="006C50C3" w:rsidRDefault="00000000">
                      <w:pPr>
                        <w:rPr>
                          <w:sz w:val="36"/>
                          <w:szCs w:val="36"/>
                        </w:rPr>
                      </w:pPr>
                      <w:r>
                        <w:rPr>
                          <w:rFonts w:hint="eastAsia"/>
                          <w:sz w:val="36"/>
                          <w:szCs w:val="36"/>
                        </w:rPr>
                        <w:t>A</w:t>
                      </w:r>
                    </w:p>
                  </w:txbxContent>
                </v:textbox>
              </v:shape>
            </w:pict>
          </mc:Fallback>
        </mc:AlternateContent>
      </w:r>
      <w:r w:rsidRPr="00E60993">
        <w:rPr>
          <w:noProof/>
          <w:sz w:val="20"/>
        </w:rPr>
        <mc:AlternateContent>
          <mc:Choice Requires="wps">
            <w:drawing>
              <wp:anchor distT="0" distB="0" distL="114300" distR="114300" simplePos="0" relativeHeight="251725312" behindDoc="0" locked="0" layoutInCell="1" allowOverlap="1" wp14:anchorId="78AC85B6" wp14:editId="0D929B85">
                <wp:simplePos x="0" y="0"/>
                <wp:positionH relativeFrom="column">
                  <wp:posOffset>3128010</wp:posOffset>
                </wp:positionH>
                <wp:positionV relativeFrom="paragraph">
                  <wp:posOffset>32385</wp:posOffset>
                </wp:positionV>
                <wp:extent cx="366395" cy="466725"/>
                <wp:effectExtent l="0" t="0" r="14605" b="5715"/>
                <wp:wrapNone/>
                <wp:docPr id="45" name="文本框 45"/>
                <wp:cNvGraphicFramePr/>
                <a:graphic xmlns:a="http://schemas.openxmlformats.org/drawingml/2006/main">
                  <a:graphicData uri="http://schemas.microsoft.com/office/word/2010/wordprocessingShape">
                    <wps:wsp>
                      <wps:cNvSpPr txBox="1"/>
                      <wps:spPr>
                        <a:xfrm>
                          <a:off x="0" y="0"/>
                          <a:ext cx="366395" cy="4667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354B8C1" w14:textId="77777777" w:rsidR="006C50C3" w:rsidRDefault="00000000">
                            <w:pPr>
                              <w:rPr>
                                <w:sz w:val="36"/>
                                <w:szCs w:val="36"/>
                              </w:rPr>
                            </w:pPr>
                            <w:r>
                              <w:rPr>
                                <w:rFonts w:hint="eastAsia"/>
                                <w:sz w:val="36"/>
                                <w:szCs w:val="36"/>
                              </w:rPr>
                              <w:t>B</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8AC85B6" id="文本框 45" o:spid="_x0000_s1043" type="#_x0000_t202" style="position:absolute;left:0;text-align:left;margin-left:246.3pt;margin-top:2.55pt;width:28.85pt;height:36.75pt;z-index:251725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erQXgIAACQFAAAOAAAAZHJzL2Uyb0RvYy54bWysVE2PGjEMvVfqf4hyL8M3XcSwoqyoKqHu&#10;qrTqOWQSiJqJ0yQwQ3/9OhkYaLuXrXqZcWL72X62M7uvS02OwnkFJqe9TpcSYTgUyuxy+u3r6t17&#10;SnxgpmAajMjpSXh6P3/7ZlbZqejDHnQhHEEQ46eVzek+BDvNMs/3omS+A1YYVEpwJQt4dLuscKxC&#10;9FJn/W53nFXgCuuAC+/x9qFR0nnCl1Lw8CilF4HonGJuIX1d+m7jN5vP2HTnmN0rfk6D/UMWJVMG&#10;g7ZQDywwcnDqL6hScQceZOhwKDOQUnGRasBqet0/qtnsmRWpFiTH25Ym//9g+efjxj45EuoPUGMD&#10;IyGV9VOPl7GeWroy/jFTgnqk8NTSJupAOF4OxuPB3YgSjqrheDzpjyJKdnW2zoePAkoShZw67Eoi&#10;ix3XPjSmF5MYy4NWxUppnQ5xEsRSO3Jk2EMdUooI/puVNqTK6Xgw6iZgA9G9QdYGc7mWlKRw0iKC&#10;a/NFSKKKVNkL0RjnwrQRk3W0kgj+GsezfXQVaSZf49x6pMhgQutcKgMu1ZvW5UpS8eNCkmzsLww0&#10;dUcKQr2tsXDs+OTS8i0UJ5wEB82SeMtXCvu1Zj48MYdbgc3HTQ+P+JEakG84S5Tswf166T7a47Ci&#10;lpIKtyyn/ueBOUGJ/mRwjO96w2Fcy3QYjiZ9PLhbzfZWYw7lEnAIevimWJ7EaB/0RZQOyu/4ICxi&#10;VFQxwzF2TsNFXIZm9/FB4WKxSEa4iJaFtdlYHqEjzQYWhwBSpeGMdDXcnGnEVUzjfX424q7fnpPV&#10;9XGbPwMAAP//AwBQSwMEFAAGAAgAAAAhAOYUb2rgAAAACAEAAA8AAABkcnMvZG93bnJldi54bWxM&#10;j09Pg0AUxO8mfofNM/Fi7NIitCKPxhi1iTeLf+Jtyz6ByL4l7Bbw27ue9DiZycxv8u1sOjHS4FrL&#10;CMtFBIK4srrlGuGlfLjcgHBesVadZUL4Jgfb4vQkV5m2Ez/TuPe1CCXsMoXQeN9nUrqqIaPcwvbE&#10;wfu0g1E+yKGWelBTKDedXEVRKo1qOSw0qqe7hqqv/dEgfFzU709ufnyd4iTu73djuX7TJeL52Xx7&#10;A8LT7P/C8Isf0KEITAd7ZO1Eh3B1vUpDFCFZggh+kkQxiAPCepOCLHL5/0DxAwAA//8DAFBLAQIt&#10;ABQABgAIAAAAIQC2gziS/gAAAOEBAAATAAAAAAAAAAAAAAAAAAAAAABbQ29udGVudF9UeXBlc10u&#10;eG1sUEsBAi0AFAAGAAgAAAAhADj9If/WAAAAlAEAAAsAAAAAAAAAAAAAAAAALwEAAF9yZWxzLy5y&#10;ZWxzUEsBAi0AFAAGAAgAAAAhAFy16tBeAgAAJAUAAA4AAAAAAAAAAAAAAAAALgIAAGRycy9lMm9E&#10;b2MueG1sUEsBAi0AFAAGAAgAAAAhAOYUb2rgAAAACAEAAA8AAAAAAAAAAAAAAAAAuAQAAGRycy9k&#10;b3ducmV2LnhtbFBLBQYAAAAABAAEAPMAAADFBQAAAAA=&#10;" fillcolor="white [3201]" stroked="f" strokeweight=".5pt">
                <v:textbox>
                  <w:txbxContent>
                    <w:p w14:paraId="1354B8C1" w14:textId="77777777" w:rsidR="006C50C3" w:rsidRDefault="00000000">
                      <w:pPr>
                        <w:rPr>
                          <w:sz w:val="36"/>
                          <w:szCs w:val="36"/>
                        </w:rPr>
                      </w:pPr>
                      <w:r>
                        <w:rPr>
                          <w:rFonts w:hint="eastAsia"/>
                          <w:sz w:val="36"/>
                          <w:szCs w:val="36"/>
                        </w:rPr>
                        <w:t>B</w:t>
                      </w:r>
                    </w:p>
                  </w:txbxContent>
                </v:textbox>
              </v:shape>
            </w:pict>
          </mc:Fallback>
        </mc:AlternateContent>
      </w:r>
      <w:r w:rsidRPr="00E60993">
        <w:rPr>
          <w:rFonts w:eastAsia="SimHei"/>
          <w:noProof/>
          <w:sz w:val="20"/>
        </w:rPr>
        <w:drawing>
          <wp:inline distT="0" distB="0" distL="114300" distR="114300" wp14:anchorId="4C64EF4B" wp14:editId="573CF001">
            <wp:extent cx="4982210" cy="2026285"/>
            <wp:effectExtent l="0" t="0" r="1270" b="635"/>
            <wp:docPr id="3" name="图片 3" descr="1744945667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744945667915"/>
                    <pic:cNvPicPr>
                      <a:picLocks noChangeAspect="1"/>
                    </pic:cNvPicPr>
                  </pic:nvPicPr>
                  <pic:blipFill>
                    <a:blip r:embed="rId23"/>
                    <a:stretch>
                      <a:fillRect/>
                    </a:stretch>
                  </pic:blipFill>
                  <pic:spPr>
                    <a:xfrm>
                      <a:off x="0" y="0"/>
                      <a:ext cx="4982210" cy="2026285"/>
                    </a:xfrm>
                    <a:prstGeom prst="rect">
                      <a:avLst/>
                    </a:prstGeom>
                  </pic:spPr>
                </pic:pic>
              </a:graphicData>
            </a:graphic>
          </wp:inline>
        </w:drawing>
      </w:r>
    </w:p>
    <w:p w14:paraId="7DA97D31" w14:textId="2F5CDFF3" w:rsidR="006C50C3" w:rsidRPr="00E60993" w:rsidRDefault="00000000" w:rsidP="00E60993">
      <w:pPr>
        <w:jc w:val="center"/>
        <w:rPr>
          <w:snapToGrid w:val="0"/>
          <w:color w:val="000000"/>
          <w:sz w:val="20"/>
        </w:rPr>
      </w:pPr>
      <w:r w:rsidRPr="00E60993">
        <w:rPr>
          <w:b/>
          <w:bCs/>
          <w:snapToGrid w:val="0"/>
          <w:sz w:val="20"/>
        </w:rPr>
        <w:t>Fig</w:t>
      </w:r>
      <w:r w:rsidRPr="00E60993">
        <w:rPr>
          <w:rFonts w:hint="eastAsia"/>
          <w:b/>
          <w:bCs/>
          <w:snapToGrid w:val="0"/>
          <w:sz w:val="20"/>
        </w:rPr>
        <w:t xml:space="preserve">ure </w:t>
      </w:r>
      <w:r w:rsidRPr="00E60993">
        <w:rPr>
          <w:b/>
          <w:bCs/>
          <w:snapToGrid w:val="0"/>
          <w:sz w:val="20"/>
        </w:rPr>
        <w:t>13.</w:t>
      </w:r>
      <w:r w:rsidRPr="00E60993">
        <w:rPr>
          <w:snapToGrid w:val="0"/>
          <w:sz w:val="20"/>
        </w:rPr>
        <w:t xml:space="preserve"> </w:t>
      </w:r>
      <w:r w:rsidRPr="00E60993">
        <w:rPr>
          <w:snapToGrid w:val="0"/>
          <w:color w:val="000000"/>
          <w:sz w:val="20"/>
        </w:rPr>
        <w:t xml:space="preserve">The expression levels of </w:t>
      </w:r>
      <w:r w:rsidRPr="00E60993">
        <w:rPr>
          <w:snapToGrid w:val="0"/>
          <w:sz w:val="20"/>
        </w:rPr>
        <w:t>CD44 and THBS1</w:t>
      </w:r>
      <w:r w:rsidRPr="00E60993">
        <w:rPr>
          <w:snapToGrid w:val="0"/>
          <w:color w:val="000000"/>
          <w:sz w:val="20"/>
        </w:rPr>
        <w:t xml:space="preserve"> are elevated in breast cancer with bone </w:t>
      </w:r>
      <w:proofErr w:type="gramStart"/>
      <w:r w:rsidRPr="00E60993">
        <w:rPr>
          <w:snapToGrid w:val="0"/>
          <w:color w:val="000000"/>
          <w:sz w:val="20"/>
        </w:rPr>
        <w:t>metastasis.*</w:t>
      </w:r>
      <w:proofErr w:type="gramEnd"/>
      <w:r w:rsidRPr="00E60993">
        <w:rPr>
          <w:snapToGrid w:val="0"/>
          <w:color w:val="000000"/>
          <w:sz w:val="20"/>
        </w:rPr>
        <w:t xml:space="preserve">indicates </w:t>
      </w:r>
      <w:r w:rsidRPr="00E60993">
        <w:rPr>
          <w:i/>
          <w:iCs/>
          <w:snapToGrid w:val="0"/>
          <w:color w:val="000000"/>
          <w:sz w:val="20"/>
        </w:rPr>
        <w:t>P</w:t>
      </w:r>
      <w:r w:rsidRPr="00E60993">
        <w:rPr>
          <w:snapToGrid w:val="0"/>
          <w:color w:val="000000"/>
          <w:sz w:val="20"/>
        </w:rPr>
        <w:t xml:space="preserve"> &lt; 0.05, ns indicates no statistical difference</w:t>
      </w:r>
      <w:r w:rsidR="00E60993" w:rsidRPr="00E60993">
        <w:rPr>
          <w:snapToGrid w:val="0"/>
          <w:color w:val="000000"/>
          <w:sz w:val="20"/>
        </w:rPr>
        <w:t>.</w:t>
      </w:r>
    </w:p>
    <w:p w14:paraId="6A34CB0B" w14:textId="77777777" w:rsidR="006C50C3" w:rsidRPr="00DC113E" w:rsidRDefault="006C50C3" w:rsidP="00DC113E">
      <w:pPr>
        <w:rPr>
          <w:snapToGrid w:val="0"/>
          <w:color w:val="000000"/>
          <w:szCs w:val="24"/>
        </w:rPr>
      </w:pPr>
    </w:p>
    <w:p w14:paraId="065E43C9" w14:textId="77777777" w:rsidR="006C50C3" w:rsidRPr="00E60993" w:rsidRDefault="00000000" w:rsidP="00DC113E">
      <w:pPr>
        <w:rPr>
          <w:b/>
          <w:bCs/>
          <w:snapToGrid w:val="0"/>
          <w:color w:val="000000"/>
          <w:szCs w:val="24"/>
        </w:rPr>
      </w:pPr>
      <w:r w:rsidRPr="00E60993">
        <w:rPr>
          <w:rFonts w:hint="eastAsia"/>
          <w:b/>
          <w:bCs/>
          <w:snapToGrid w:val="0"/>
          <w:color w:val="000000"/>
          <w:szCs w:val="24"/>
        </w:rPr>
        <w:t xml:space="preserve">4. </w:t>
      </w:r>
      <w:r w:rsidRPr="00E60993">
        <w:rPr>
          <w:b/>
          <w:bCs/>
          <w:snapToGrid w:val="0"/>
          <w:color w:val="000000"/>
          <w:szCs w:val="24"/>
        </w:rPr>
        <w:t>Discussion</w:t>
      </w:r>
    </w:p>
    <w:p w14:paraId="695B20E0" w14:textId="77777777" w:rsidR="006C50C3" w:rsidRPr="00DC113E" w:rsidRDefault="00000000" w:rsidP="00DC113E">
      <w:pPr>
        <w:rPr>
          <w:snapToGrid w:val="0"/>
          <w:color w:val="000000"/>
          <w:szCs w:val="24"/>
        </w:rPr>
      </w:pPr>
      <w:r w:rsidRPr="00DC113E">
        <w:rPr>
          <w:snapToGrid w:val="0"/>
          <w:color w:val="000000"/>
          <w:szCs w:val="24"/>
        </w:rPr>
        <w:t>According to the epidemiological data statistics for various types of cancer released by the International Agency for Research on Cancer (IARC) in April 2024, breast cancer stands as the most prevalent cancer among women and ranks fourth as a cause of cancer-related deaths. Distant metastasis is the primary contributor to the high mortality rate associated with breast cancer, with over 90% of cancer deaths attributed to metastatic spread. The expression of specific molecular mediators at both primary and metastatic sites determines the propensity of tumor cells to metastasize to particular target organs. Breast cancer exhibits metastatic heterogeneity, favoring different organs. Recent studies have identified bone, lung, and liver as common sites for distant metastasis in breast cancer, a phenomenon termed organ-specific metastasis. This study focuses on mouse models of breast cancer with specific bone and lung metastases, employing transcriptomic analysis to explore the underlying mechanisms of breast cancer-specific metastasis.</w:t>
      </w:r>
    </w:p>
    <w:p w14:paraId="68092DAE" w14:textId="77777777" w:rsidR="006C50C3" w:rsidRPr="00DC113E" w:rsidRDefault="00000000" w:rsidP="00E60993">
      <w:pPr>
        <w:ind w:firstLine="420"/>
        <w:rPr>
          <w:snapToGrid w:val="0"/>
          <w:color w:val="000000"/>
          <w:szCs w:val="24"/>
        </w:rPr>
      </w:pPr>
      <w:r w:rsidRPr="00DC113E">
        <w:rPr>
          <w:snapToGrid w:val="0"/>
          <w:color w:val="000000"/>
          <w:szCs w:val="24"/>
        </w:rPr>
        <w:t xml:space="preserve">The efficiency of the metastatic process is exceedingly low, with less than 0.01% of tumor cells from the primary tumor capable of completing distant metastasis and forming secondary lesions at distant sites </w:t>
      </w:r>
      <w:r w:rsidRPr="00DC113E">
        <w:rPr>
          <w:snapToGrid w:val="0"/>
          <w:color w:val="000000"/>
          <w:szCs w:val="24"/>
          <w:vertAlign w:val="superscript"/>
        </w:rPr>
        <w:t>[5]</w:t>
      </w:r>
      <w:r w:rsidRPr="00DC113E">
        <w:rPr>
          <w:snapToGrid w:val="0"/>
          <w:color w:val="000000"/>
          <w:szCs w:val="24"/>
        </w:rPr>
        <w:t>. Clinically established patterns of organ-specific metastasis indicate that the sites of distant metastasis are not random but are influenced by the microenvironment of the target organ.</w:t>
      </w:r>
    </w:p>
    <w:p w14:paraId="432A532A" w14:textId="77777777" w:rsidR="006C50C3" w:rsidRPr="00DC113E" w:rsidRDefault="006C50C3" w:rsidP="00DC113E">
      <w:pPr>
        <w:rPr>
          <w:snapToGrid w:val="0"/>
          <w:color w:val="000000"/>
          <w:szCs w:val="24"/>
        </w:rPr>
      </w:pPr>
    </w:p>
    <w:p w14:paraId="49C53BC3" w14:textId="77777777" w:rsidR="006C50C3" w:rsidRPr="00E60993" w:rsidRDefault="00000000" w:rsidP="00DC113E">
      <w:pPr>
        <w:rPr>
          <w:b/>
          <w:bCs/>
          <w:snapToGrid w:val="0"/>
          <w:color w:val="000000"/>
          <w:szCs w:val="24"/>
        </w:rPr>
      </w:pPr>
      <w:r w:rsidRPr="00E60993">
        <w:rPr>
          <w:rFonts w:hint="eastAsia"/>
          <w:b/>
          <w:bCs/>
          <w:snapToGrid w:val="0"/>
          <w:color w:val="000000"/>
          <w:szCs w:val="24"/>
        </w:rPr>
        <w:t>4.</w:t>
      </w:r>
      <w:r w:rsidRPr="00E60993">
        <w:rPr>
          <w:b/>
          <w:bCs/>
          <w:snapToGrid w:val="0"/>
          <w:color w:val="000000"/>
          <w:szCs w:val="24"/>
        </w:rPr>
        <w:t xml:space="preserve">1. Biological </w:t>
      </w:r>
      <w:r w:rsidRPr="00E60993">
        <w:rPr>
          <w:rFonts w:hint="eastAsia"/>
          <w:b/>
          <w:bCs/>
          <w:snapToGrid w:val="0"/>
          <w:color w:val="000000"/>
          <w:szCs w:val="24"/>
        </w:rPr>
        <w:t>f</w:t>
      </w:r>
      <w:r w:rsidRPr="00E60993">
        <w:rPr>
          <w:b/>
          <w:bCs/>
          <w:snapToGrid w:val="0"/>
          <w:color w:val="000000"/>
          <w:szCs w:val="24"/>
        </w:rPr>
        <w:t xml:space="preserve">unction </w:t>
      </w:r>
      <w:r w:rsidRPr="00E60993">
        <w:rPr>
          <w:rFonts w:hint="eastAsia"/>
          <w:b/>
          <w:bCs/>
          <w:snapToGrid w:val="0"/>
          <w:color w:val="000000"/>
          <w:szCs w:val="24"/>
        </w:rPr>
        <w:t>a</w:t>
      </w:r>
      <w:r w:rsidRPr="00E60993">
        <w:rPr>
          <w:b/>
          <w:bCs/>
          <w:snapToGrid w:val="0"/>
          <w:color w:val="000000"/>
          <w:szCs w:val="24"/>
        </w:rPr>
        <w:t xml:space="preserve">nalysis of </w:t>
      </w:r>
      <w:r w:rsidRPr="00E60993">
        <w:rPr>
          <w:rFonts w:hint="eastAsia"/>
          <w:b/>
          <w:bCs/>
          <w:snapToGrid w:val="0"/>
          <w:color w:val="000000"/>
          <w:szCs w:val="24"/>
        </w:rPr>
        <w:t>c</w:t>
      </w:r>
      <w:r w:rsidRPr="00E60993">
        <w:rPr>
          <w:b/>
          <w:bCs/>
          <w:snapToGrid w:val="0"/>
          <w:color w:val="000000"/>
          <w:szCs w:val="24"/>
        </w:rPr>
        <w:t xml:space="preserve">oding </w:t>
      </w:r>
      <w:r w:rsidRPr="00E60993">
        <w:rPr>
          <w:rFonts w:hint="eastAsia"/>
          <w:b/>
          <w:bCs/>
          <w:snapToGrid w:val="0"/>
          <w:color w:val="000000"/>
          <w:szCs w:val="24"/>
        </w:rPr>
        <w:t>g</w:t>
      </w:r>
      <w:r w:rsidRPr="00E60993">
        <w:rPr>
          <w:b/>
          <w:bCs/>
          <w:snapToGrid w:val="0"/>
          <w:color w:val="000000"/>
          <w:szCs w:val="24"/>
        </w:rPr>
        <w:t xml:space="preserve">enes </w:t>
      </w:r>
      <w:r w:rsidRPr="00E60993">
        <w:rPr>
          <w:rFonts w:hint="eastAsia"/>
          <w:b/>
          <w:bCs/>
          <w:snapToGrid w:val="0"/>
          <w:color w:val="000000"/>
          <w:szCs w:val="24"/>
        </w:rPr>
        <w:t>r</w:t>
      </w:r>
      <w:r w:rsidRPr="00E60993">
        <w:rPr>
          <w:b/>
          <w:bCs/>
          <w:snapToGrid w:val="0"/>
          <w:color w:val="000000"/>
          <w:szCs w:val="24"/>
        </w:rPr>
        <w:t>elated to PyMT-1 and Py-L1</w:t>
      </w:r>
    </w:p>
    <w:p w14:paraId="2E9288F3" w14:textId="77777777" w:rsidR="006C50C3" w:rsidRPr="00DC113E" w:rsidRDefault="00000000" w:rsidP="00DC113E">
      <w:pPr>
        <w:rPr>
          <w:snapToGrid w:val="0"/>
          <w:color w:val="000000"/>
          <w:szCs w:val="24"/>
        </w:rPr>
      </w:pPr>
      <w:r w:rsidRPr="00DC113E">
        <w:rPr>
          <w:snapToGrid w:val="0"/>
          <w:color w:val="000000"/>
          <w:szCs w:val="24"/>
        </w:rPr>
        <w:t xml:space="preserve">By comparing the PyMT-1 and Py-L1 cell lines, we identified differential genes potentially associated with lung metastasis in breast cancer. Enrichment analysis revealed relevant signaling pathways regulating lung metastasis in breast cancer. </w:t>
      </w:r>
    </w:p>
    <w:p w14:paraId="469C9557" w14:textId="77777777" w:rsidR="006C50C3" w:rsidRPr="00DC113E" w:rsidRDefault="00000000" w:rsidP="00E60993">
      <w:pPr>
        <w:ind w:firstLine="420"/>
        <w:rPr>
          <w:snapToGrid w:val="0"/>
          <w:color w:val="000000"/>
          <w:szCs w:val="24"/>
        </w:rPr>
      </w:pPr>
      <w:r w:rsidRPr="00DC113E">
        <w:rPr>
          <w:snapToGrid w:val="0"/>
          <w:color w:val="000000"/>
          <w:szCs w:val="24"/>
        </w:rPr>
        <w:t>Based on previous results, a total of 917 differential genes were identified between PyMT-1 and Py-L1, including 641 upregulated and 276 downregulated genes. These differential genes underwent GO functional enrichment analysis, KEGG pathway enrichment analysis, and GSEA analysis. Pathway enrichment analysis indicated that the differential genes were primarily associated with cellular activities such as extracellular structure organization, ECM, skeletal development system, connective tissue development, and angiogenesis, as well as pathways like focal adhesion, PI3K-Akt signaling pathway, and ECM-receptor interaction. The activation or alteration of these pathways suggests their potential involvement in the specific lung metastasis of breast cancer.</w:t>
      </w:r>
    </w:p>
    <w:p w14:paraId="0019F3E4" w14:textId="77777777" w:rsidR="006C50C3" w:rsidRPr="00DC113E" w:rsidRDefault="00000000" w:rsidP="00E60993">
      <w:pPr>
        <w:ind w:firstLine="420"/>
        <w:rPr>
          <w:snapToGrid w:val="0"/>
          <w:color w:val="000000"/>
          <w:szCs w:val="24"/>
        </w:rPr>
      </w:pPr>
      <w:r w:rsidRPr="00DC113E">
        <w:rPr>
          <w:snapToGrid w:val="0"/>
          <w:color w:val="000000"/>
          <w:szCs w:val="24"/>
        </w:rPr>
        <w:t xml:space="preserve">Subsequent PCR validation confirmed the upregulation of genes related to ECM-receptor interaction in the upregulated pathway, namely CCN2, COL1A1, and ITGB6, which were significantly elevated in Py-L1 compared to PyMT-1 cell lines. Conversely, genes associated with cytokine-cytokine receptor interaction in the downregulated pathway, such as CXCL5, TNF, and CXCR4, were downregulated in Py-L1. Further validation in clinical samples demonstrated significantly elevated expression levels of CCN2 and ITGB6 in breast cancer tissues with lung </w:t>
      </w:r>
      <w:r w:rsidRPr="00DC113E">
        <w:rPr>
          <w:snapToGrid w:val="0"/>
          <w:color w:val="000000"/>
          <w:szCs w:val="24"/>
        </w:rPr>
        <w:lastRenderedPageBreak/>
        <w:t>metastasis, with no significant changes observed in IDC tissues without metastasis or with bone metastasis. This further suggests that CCN2 and ITGB6 may promote specific lung metastasis in IDC.</w:t>
      </w:r>
    </w:p>
    <w:p w14:paraId="7EAE17AA" w14:textId="77777777" w:rsidR="006C50C3" w:rsidRPr="00DC113E" w:rsidRDefault="00000000" w:rsidP="00E60993">
      <w:pPr>
        <w:ind w:firstLine="420"/>
        <w:rPr>
          <w:snapToGrid w:val="0"/>
          <w:color w:val="000000"/>
          <w:szCs w:val="24"/>
        </w:rPr>
      </w:pPr>
      <w:r w:rsidRPr="00DC113E">
        <w:rPr>
          <w:snapToGrid w:val="0"/>
          <w:color w:val="000000"/>
          <w:szCs w:val="24"/>
        </w:rPr>
        <w:t xml:space="preserve">The crucial regulatory role of ECM in breast cancer has been widely acknowledged. Compared to normal breast tissue, ECM undergoes significant changes in composition and organization during breast cancer progression. Studies have shown that proteomic analysis of ECM in breast tumors of xenograft mouse models reveals distinct ECM compositions between tumors with high and low metastatic potential </w:t>
      </w:r>
      <w:r w:rsidRPr="00DC113E">
        <w:rPr>
          <w:snapToGrid w:val="0"/>
          <w:color w:val="000000"/>
          <w:szCs w:val="24"/>
          <w:vertAlign w:val="superscript"/>
        </w:rPr>
        <w:t>[6]</w:t>
      </w:r>
      <w:r w:rsidRPr="00DC113E">
        <w:rPr>
          <w:snapToGrid w:val="0"/>
          <w:color w:val="000000"/>
          <w:szCs w:val="24"/>
        </w:rPr>
        <w:t xml:space="preserve">. Current research on ECM in breast cancer metastasis is relatively thorough. For instance, Tenascin C (TNC), a cellular matrix protein in ECM, interacts with cell surface receptors and ECM proteins. In the breast, TNC expression is associated with mammary gland involution and breast cancer development </w:t>
      </w:r>
      <w:r w:rsidRPr="00DC113E">
        <w:rPr>
          <w:snapToGrid w:val="0"/>
          <w:color w:val="000000"/>
          <w:szCs w:val="24"/>
          <w:vertAlign w:val="superscript"/>
        </w:rPr>
        <w:t>[7]</w:t>
      </w:r>
      <w:r w:rsidRPr="00DC113E">
        <w:rPr>
          <w:snapToGrid w:val="0"/>
          <w:color w:val="000000"/>
          <w:szCs w:val="24"/>
        </w:rPr>
        <w:t xml:space="preserve">. In breast cancer cells, TNC is regulated by microRNA miR335 </w:t>
      </w:r>
      <w:r w:rsidRPr="00DC113E">
        <w:rPr>
          <w:snapToGrid w:val="0"/>
          <w:color w:val="000000"/>
          <w:szCs w:val="24"/>
          <w:vertAlign w:val="superscript"/>
        </w:rPr>
        <w:t>[8, 9]</w:t>
      </w:r>
      <w:r w:rsidRPr="00DC113E">
        <w:rPr>
          <w:snapToGrid w:val="0"/>
          <w:color w:val="000000"/>
          <w:szCs w:val="24"/>
        </w:rPr>
        <w:t xml:space="preserve">. Metastatic breast cancer cells with a high propensity for lung metastasis often exhibit a loss of miR335 expression, leading to TNC upregulation. The mechanism may involve TNC sequentially activating macrophages and endothelial cells and generating a pro-metastatic vascular niche in the lungs </w:t>
      </w:r>
      <w:r w:rsidRPr="00DC113E">
        <w:rPr>
          <w:snapToGrid w:val="0"/>
          <w:color w:val="000000"/>
          <w:szCs w:val="24"/>
          <w:vertAlign w:val="superscript"/>
        </w:rPr>
        <w:t>[10]</w:t>
      </w:r>
      <w:r w:rsidRPr="00DC113E">
        <w:rPr>
          <w:snapToGrid w:val="0"/>
          <w:color w:val="000000"/>
          <w:szCs w:val="24"/>
        </w:rPr>
        <w:t>. Therefore, TNC from different sources in the tumor microenvironment promotes the metastatic progression of breast cancer, a finding further validated by this study. Simultaneously, inhibiting ECM components that promote tumor progression and metastasis may represent an effective strategy for treating breast cancer.</w:t>
      </w:r>
    </w:p>
    <w:p w14:paraId="77CECA8B" w14:textId="1908373C" w:rsidR="006C50C3" w:rsidRPr="00DC113E" w:rsidRDefault="00000000" w:rsidP="00E60993">
      <w:pPr>
        <w:ind w:firstLine="420"/>
        <w:rPr>
          <w:snapToGrid w:val="0"/>
          <w:color w:val="000000"/>
          <w:szCs w:val="24"/>
        </w:rPr>
      </w:pPr>
      <w:r w:rsidRPr="00DC113E">
        <w:rPr>
          <w:snapToGrid w:val="0"/>
          <w:color w:val="000000"/>
          <w:szCs w:val="24"/>
        </w:rPr>
        <w:t xml:space="preserve">CCN2 regulates key biological activities such as cell growth, invasion, and migration. It modulates the breast tumor microenvironment by promoting angiogenesis, activating cancer-associated fibroblasts (CAFs), and inducing inflammation. The activity of CCN2 depends on various factors and varies by breast cancer type. This factor has been shown to promote tumor progression by activating multiple signaling pathways in breast cancer and regulating the expression of genes that facilitate migration, invasion, and chemotherapy resistance. Studies indicate that CCN2 can promote the expression of glucose transporter 3 (GLUT3), facilitating cell survival and metabolism, and upregulate VEGF expression to drive angiogenesis, supporting tumor growth </w:t>
      </w:r>
      <w:r w:rsidRPr="00DC113E">
        <w:rPr>
          <w:snapToGrid w:val="0"/>
          <w:color w:val="000000"/>
          <w:szCs w:val="24"/>
          <w:vertAlign w:val="superscript"/>
        </w:rPr>
        <w:t>[11,12]</w:t>
      </w:r>
      <w:r w:rsidRPr="00DC113E">
        <w:rPr>
          <w:snapToGrid w:val="0"/>
          <w:color w:val="000000"/>
          <w:szCs w:val="24"/>
        </w:rPr>
        <w:t>. This study found that CCN2 expression was upregulated only in IDC with lung metastasis, suggesting its potential as a specific lung metastasis marker.</w:t>
      </w:r>
    </w:p>
    <w:p w14:paraId="533D32CD" w14:textId="156DA447" w:rsidR="006C50C3" w:rsidRPr="00DC113E" w:rsidRDefault="00000000" w:rsidP="00E60993">
      <w:pPr>
        <w:ind w:firstLine="420"/>
        <w:rPr>
          <w:snapToGrid w:val="0"/>
          <w:color w:val="000000"/>
          <w:szCs w:val="24"/>
        </w:rPr>
      </w:pPr>
      <w:r w:rsidRPr="00DC113E">
        <w:rPr>
          <w:snapToGrid w:val="0"/>
          <w:color w:val="000000"/>
          <w:szCs w:val="24"/>
        </w:rPr>
        <w:t xml:space="preserve">The pre-metastatic niche (PMN) generated by primary tumors in specific target organs is crucial for the subsequent colonization and metastasis of tumor cells, involving vascular permeability and angiogenesis, immunosuppression, inflammation, and organ specificity </w:t>
      </w:r>
      <w:r w:rsidRPr="00DC113E">
        <w:rPr>
          <w:snapToGrid w:val="0"/>
          <w:color w:val="000000"/>
          <w:szCs w:val="24"/>
          <w:vertAlign w:val="superscript"/>
        </w:rPr>
        <w:t>[13]</w:t>
      </w:r>
      <w:r w:rsidRPr="00DC113E">
        <w:rPr>
          <w:snapToGrid w:val="0"/>
          <w:color w:val="000000"/>
          <w:szCs w:val="24"/>
        </w:rPr>
        <w:t xml:space="preserve">. The initial stage of PMN formation is characterized by angiogenesis and vascular permeability. Several PMN biomarkers related to angiogenesis and vascular permeability have been reported to aid in the diagnosis and treatment of metastatic cancer. For example, cancer-associated fibroblasts (CAFs) are the primary stromal component of the tumor microenvironment </w:t>
      </w:r>
      <w:r w:rsidRPr="00DC113E">
        <w:rPr>
          <w:snapToGrid w:val="0"/>
          <w:color w:val="000000"/>
          <w:szCs w:val="24"/>
          <w:vertAlign w:val="superscript"/>
        </w:rPr>
        <w:t>[14]</w:t>
      </w:r>
      <w:r w:rsidRPr="00DC113E">
        <w:rPr>
          <w:snapToGrid w:val="0"/>
          <w:color w:val="000000"/>
          <w:szCs w:val="24"/>
        </w:rPr>
        <w:t xml:space="preserve">. CAFs not only promote cancer growth and metastasis by secreting cytokines and exosomes and synthesizing and remodeling the extracellular matrix </w:t>
      </w:r>
      <w:r w:rsidRPr="00DC113E">
        <w:rPr>
          <w:snapToGrid w:val="0"/>
          <w:color w:val="000000"/>
          <w:szCs w:val="24"/>
          <w:vertAlign w:val="superscript"/>
        </w:rPr>
        <w:t>[15,16]</w:t>
      </w:r>
      <w:r w:rsidRPr="00DC113E">
        <w:rPr>
          <w:snapToGrid w:val="0"/>
          <w:color w:val="000000"/>
          <w:szCs w:val="24"/>
        </w:rPr>
        <w:t xml:space="preserve"> but also play a major role in angiogenesis by secreting cytokines </w:t>
      </w:r>
      <w:r w:rsidRPr="00DC113E">
        <w:rPr>
          <w:snapToGrid w:val="0"/>
          <w:color w:val="000000"/>
          <w:szCs w:val="24"/>
          <w:vertAlign w:val="superscript"/>
        </w:rPr>
        <w:t>[17,18]</w:t>
      </w:r>
      <w:r w:rsidRPr="00DC113E">
        <w:rPr>
          <w:snapToGrid w:val="0"/>
          <w:color w:val="000000"/>
          <w:szCs w:val="24"/>
        </w:rPr>
        <w:t xml:space="preserve">. AKT is a key factor in the PI3K-Akt signaling pathway. Three different AKT isoforms, namely AKT1, AKT2, and AKT3, are currently known. The PI3K-Akt signaling pathway is frequently altered in breast cancer patients. AKT typically promotes proliferation by regulating the cell cycle and prevents apoptosis by inhibiting pro-apoptotic proteins and promoting anti-apoptotic signals. Some studies have confirmed the anti-metastatic and anti-migratory abilities of AKT1, independent of breast cancer subtype </w:t>
      </w:r>
      <w:r w:rsidRPr="00DC113E">
        <w:rPr>
          <w:snapToGrid w:val="0"/>
          <w:color w:val="000000"/>
          <w:szCs w:val="24"/>
          <w:vertAlign w:val="superscript"/>
        </w:rPr>
        <w:t>[19,20]</w:t>
      </w:r>
      <w:r w:rsidRPr="00DC113E">
        <w:rPr>
          <w:snapToGrid w:val="0"/>
          <w:color w:val="000000"/>
          <w:szCs w:val="24"/>
        </w:rPr>
        <w:t>.</w:t>
      </w:r>
    </w:p>
    <w:p w14:paraId="6DD2C97F" w14:textId="77777777" w:rsidR="006C50C3" w:rsidRPr="00DC113E" w:rsidRDefault="006C50C3" w:rsidP="00DC113E">
      <w:pPr>
        <w:rPr>
          <w:snapToGrid w:val="0"/>
          <w:color w:val="000000"/>
          <w:szCs w:val="24"/>
        </w:rPr>
      </w:pPr>
    </w:p>
    <w:p w14:paraId="4A8903F9" w14:textId="77777777" w:rsidR="006C50C3" w:rsidRPr="00E60993" w:rsidRDefault="00000000" w:rsidP="00DC113E">
      <w:pPr>
        <w:rPr>
          <w:b/>
          <w:bCs/>
          <w:snapToGrid w:val="0"/>
          <w:color w:val="000000"/>
          <w:szCs w:val="24"/>
        </w:rPr>
      </w:pPr>
      <w:r w:rsidRPr="00E60993">
        <w:rPr>
          <w:rFonts w:hint="eastAsia"/>
          <w:b/>
          <w:bCs/>
          <w:snapToGrid w:val="0"/>
          <w:color w:val="000000"/>
          <w:szCs w:val="24"/>
        </w:rPr>
        <w:t>4.</w:t>
      </w:r>
      <w:r w:rsidRPr="00E60993">
        <w:rPr>
          <w:b/>
          <w:bCs/>
          <w:snapToGrid w:val="0"/>
          <w:color w:val="000000"/>
          <w:szCs w:val="24"/>
        </w:rPr>
        <w:t xml:space="preserve">2. Biological </w:t>
      </w:r>
      <w:r w:rsidRPr="00E60993">
        <w:rPr>
          <w:rFonts w:hint="eastAsia"/>
          <w:b/>
          <w:bCs/>
          <w:snapToGrid w:val="0"/>
          <w:color w:val="000000"/>
          <w:szCs w:val="24"/>
        </w:rPr>
        <w:t>f</w:t>
      </w:r>
      <w:r w:rsidRPr="00E60993">
        <w:rPr>
          <w:b/>
          <w:bCs/>
          <w:snapToGrid w:val="0"/>
          <w:color w:val="000000"/>
          <w:szCs w:val="24"/>
        </w:rPr>
        <w:t xml:space="preserve">unction </w:t>
      </w:r>
      <w:r w:rsidRPr="00E60993">
        <w:rPr>
          <w:rFonts w:hint="eastAsia"/>
          <w:b/>
          <w:bCs/>
          <w:snapToGrid w:val="0"/>
          <w:color w:val="000000"/>
          <w:szCs w:val="24"/>
        </w:rPr>
        <w:t>a</w:t>
      </w:r>
      <w:r w:rsidRPr="00E60993">
        <w:rPr>
          <w:b/>
          <w:bCs/>
          <w:snapToGrid w:val="0"/>
          <w:color w:val="000000"/>
          <w:szCs w:val="24"/>
        </w:rPr>
        <w:t xml:space="preserve">nalysis of </w:t>
      </w:r>
      <w:r w:rsidRPr="00E60993">
        <w:rPr>
          <w:rFonts w:hint="eastAsia"/>
          <w:b/>
          <w:bCs/>
          <w:snapToGrid w:val="0"/>
          <w:color w:val="000000"/>
          <w:szCs w:val="24"/>
        </w:rPr>
        <w:t>c</w:t>
      </w:r>
      <w:r w:rsidRPr="00E60993">
        <w:rPr>
          <w:b/>
          <w:bCs/>
          <w:snapToGrid w:val="0"/>
          <w:color w:val="000000"/>
          <w:szCs w:val="24"/>
        </w:rPr>
        <w:t xml:space="preserve">oding </w:t>
      </w:r>
      <w:r w:rsidRPr="00E60993">
        <w:rPr>
          <w:rFonts w:hint="eastAsia"/>
          <w:b/>
          <w:bCs/>
          <w:snapToGrid w:val="0"/>
          <w:color w:val="000000"/>
          <w:szCs w:val="24"/>
        </w:rPr>
        <w:t>g</w:t>
      </w:r>
      <w:r w:rsidRPr="00E60993">
        <w:rPr>
          <w:b/>
          <w:bCs/>
          <w:snapToGrid w:val="0"/>
          <w:color w:val="000000"/>
          <w:szCs w:val="24"/>
        </w:rPr>
        <w:t xml:space="preserve">enes </w:t>
      </w:r>
      <w:r w:rsidRPr="00E60993">
        <w:rPr>
          <w:rFonts w:hint="eastAsia"/>
          <w:b/>
          <w:bCs/>
          <w:snapToGrid w:val="0"/>
          <w:color w:val="000000"/>
          <w:szCs w:val="24"/>
        </w:rPr>
        <w:t>r</w:t>
      </w:r>
      <w:r w:rsidRPr="00E60993">
        <w:rPr>
          <w:b/>
          <w:bCs/>
          <w:snapToGrid w:val="0"/>
          <w:color w:val="000000"/>
          <w:szCs w:val="24"/>
        </w:rPr>
        <w:t>elated to PyMT-1 and Py-B1</w:t>
      </w:r>
    </w:p>
    <w:p w14:paraId="056A4499" w14:textId="77777777" w:rsidR="006C50C3" w:rsidRPr="00DC113E" w:rsidRDefault="00000000" w:rsidP="00DC113E">
      <w:pPr>
        <w:rPr>
          <w:snapToGrid w:val="0"/>
          <w:color w:val="000000"/>
          <w:szCs w:val="24"/>
        </w:rPr>
      </w:pPr>
      <w:r w:rsidRPr="00DC113E">
        <w:rPr>
          <w:snapToGrid w:val="0"/>
          <w:color w:val="000000"/>
          <w:szCs w:val="24"/>
        </w:rPr>
        <w:t xml:space="preserve">By comparing the PyMT-1 and Py-B1 cell lines, we identified differential genes potentially associated with bone metastasis in breast cancer. Enrichment analysis revealed relevant signaling pathways regulating bone metastasis in breast cancer. </w:t>
      </w:r>
    </w:p>
    <w:p w14:paraId="58D64C97" w14:textId="77777777" w:rsidR="006C50C3" w:rsidRPr="00DC113E" w:rsidRDefault="00000000" w:rsidP="00E60993">
      <w:pPr>
        <w:ind w:firstLine="420"/>
        <w:rPr>
          <w:snapToGrid w:val="0"/>
          <w:color w:val="000000"/>
          <w:szCs w:val="24"/>
        </w:rPr>
      </w:pPr>
      <w:r w:rsidRPr="00DC113E">
        <w:rPr>
          <w:snapToGrid w:val="0"/>
          <w:color w:val="000000"/>
          <w:szCs w:val="24"/>
        </w:rPr>
        <w:t xml:space="preserve">Based on previous results, a total of 4131 differential genes were identified between PyMT-1 and Py-B1, including 2158 upregulated and 1973 downregulated genes. These differential genes </w:t>
      </w:r>
      <w:r w:rsidRPr="00DC113E">
        <w:rPr>
          <w:snapToGrid w:val="0"/>
          <w:color w:val="000000"/>
          <w:szCs w:val="24"/>
        </w:rPr>
        <w:lastRenderedPageBreak/>
        <w:t>underwent GO functional enrichment analysis, KEGG pathway enrichment analysis, and GSEA analysis. Pathway enrichment analysis indicated that the differential genes were primarily associated with cellular activities such as angiogenesis, chemotaxis, positive regulation of cell adhesion, epithelial cell proliferation, and positive regulation of epithelial cell migration, as well as pathways like proteoglycans in cancer, focal adhesion, ECM-receptor interaction, cytokine-cytokine receptor interaction, and PI3K-Akt signaling pathway. Genes with altered expression levels in these two cell lines may be correlated with specific bone metastasis in breast cancer.</w:t>
      </w:r>
    </w:p>
    <w:p w14:paraId="304520BC" w14:textId="77777777" w:rsidR="006C50C3" w:rsidRPr="00DC113E" w:rsidRDefault="00000000" w:rsidP="00E60993">
      <w:pPr>
        <w:ind w:firstLine="420"/>
        <w:rPr>
          <w:snapToGrid w:val="0"/>
          <w:color w:val="000000"/>
          <w:szCs w:val="24"/>
        </w:rPr>
      </w:pPr>
      <w:r w:rsidRPr="00DC113E">
        <w:rPr>
          <w:snapToGrid w:val="0"/>
          <w:color w:val="000000"/>
          <w:szCs w:val="24"/>
        </w:rPr>
        <w:t xml:space="preserve">Subsequent PCR validation confirmed the upregulation of genes related to proteoglycans in cancer in the upregulated pathway, namely CD44, THBS1, and CAV1, which were significantly elevated in Py-B1 compared to PyMT-1 cell lines. Conversely, genes related to miRNA function in cancer in the downregulated pathway, such as ST14, DNMT3A, and DNMT3B, were downregulated in Py-B1. Further validation in clinical samples demonstrated significantly elevated expression levels of CD44 and THBS1 in breast cancer tissues with bone metastasis, with no significant changes observed in IDC tissues without metastasis or with lung metastasis. This further suggests that CD44 and THBS1 may promote specific bone metastasis in IDC. Studies have shown that CD44 can enhance the adhesion of metastatic breast cancer cells to bone marrow endothelial cells </w:t>
      </w:r>
      <w:r w:rsidRPr="00DC113E">
        <w:rPr>
          <w:snapToGrid w:val="0"/>
          <w:color w:val="000000"/>
          <w:szCs w:val="24"/>
          <w:vertAlign w:val="superscript"/>
        </w:rPr>
        <w:t>[21]</w:t>
      </w:r>
      <w:r w:rsidRPr="00DC113E">
        <w:rPr>
          <w:snapToGrid w:val="0"/>
          <w:color w:val="000000"/>
          <w:szCs w:val="24"/>
        </w:rPr>
        <w:t>, consistent with this study's suggestion that increased CD44 expression levels may promote specific bone metastasis in breast cancer.</w:t>
      </w:r>
    </w:p>
    <w:p w14:paraId="6705AB01" w14:textId="77777777" w:rsidR="006C50C3" w:rsidRPr="00DC113E" w:rsidRDefault="00000000" w:rsidP="00E60993">
      <w:pPr>
        <w:ind w:firstLine="420"/>
        <w:rPr>
          <w:snapToGrid w:val="0"/>
          <w:color w:val="000000"/>
          <w:szCs w:val="24"/>
        </w:rPr>
      </w:pPr>
      <w:r w:rsidRPr="00DC113E">
        <w:rPr>
          <w:snapToGrid w:val="0"/>
          <w:color w:val="000000"/>
          <w:szCs w:val="24"/>
        </w:rPr>
        <w:t xml:space="preserve">In other pathways, </w:t>
      </w:r>
      <w:proofErr w:type="spellStart"/>
      <w:r w:rsidRPr="00DC113E">
        <w:rPr>
          <w:snapToGrid w:val="0"/>
          <w:color w:val="000000"/>
          <w:szCs w:val="24"/>
        </w:rPr>
        <w:t>periostin</w:t>
      </w:r>
      <w:proofErr w:type="spellEnd"/>
      <w:r w:rsidRPr="00DC113E">
        <w:rPr>
          <w:snapToGrid w:val="0"/>
          <w:color w:val="000000"/>
          <w:szCs w:val="24"/>
        </w:rPr>
        <w:t xml:space="preserve"> (POSTN) plays a crucial role in adult skeletal, dental, and cardiac development, as well as tissue repair </w:t>
      </w:r>
      <w:r w:rsidRPr="00DC113E">
        <w:rPr>
          <w:snapToGrid w:val="0"/>
          <w:color w:val="000000"/>
          <w:szCs w:val="24"/>
          <w:vertAlign w:val="superscript"/>
        </w:rPr>
        <w:t>[22]</w:t>
      </w:r>
      <w:r w:rsidRPr="00DC113E">
        <w:rPr>
          <w:snapToGrid w:val="0"/>
          <w:color w:val="000000"/>
          <w:szCs w:val="24"/>
        </w:rPr>
        <w:t xml:space="preserve">. POSTN is known to regulate intracellular tyrosine kinase signaling, such as the PI3K-Akt signaling pathway </w:t>
      </w:r>
      <w:r w:rsidRPr="00DC113E">
        <w:rPr>
          <w:snapToGrid w:val="0"/>
          <w:color w:val="000000"/>
          <w:szCs w:val="24"/>
          <w:vertAlign w:val="superscript"/>
        </w:rPr>
        <w:t>[23]</w:t>
      </w:r>
      <w:r w:rsidRPr="00DC113E">
        <w:rPr>
          <w:snapToGrid w:val="0"/>
          <w:color w:val="000000"/>
          <w:szCs w:val="24"/>
        </w:rPr>
        <w:t xml:space="preserve">. Increasing evidence indicates that POSTN plays a significant role in breast cancer progression and metastasis. Overexpression of POSTN in human breast cancer cells induces primary tumor growth and angiogenesis in xenograft models by enhancing the expression of vascular endothelial growth factor receptor 2 (VEGFR2) in endothelial cells </w:t>
      </w:r>
      <w:r w:rsidRPr="00DC113E">
        <w:rPr>
          <w:snapToGrid w:val="0"/>
          <w:color w:val="000000"/>
          <w:szCs w:val="24"/>
          <w:vertAlign w:val="superscript"/>
        </w:rPr>
        <w:t>[24]</w:t>
      </w:r>
      <w:r w:rsidRPr="00DC113E">
        <w:rPr>
          <w:snapToGrid w:val="0"/>
          <w:color w:val="000000"/>
          <w:szCs w:val="24"/>
        </w:rPr>
        <w:t xml:space="preserve">. In mouse xenograft models, mice with bone metastasis exhibit high POSTN expression in the stroma and plasma surrounding metastatic tumors </w:t>
      </w:r>
      <w:r w:rsidRPr="00DC113E">
        <w:rPr>
          <w:snapToGrid w:val="0"/>
          <w:color w:val="000000"/>
          <w:szCs w:val="24"/>
          <w:vertAlign w:val="superscript"/>
        </w:rPr>
        <w:t>[25]</w:t>
      </w:r>
      <w:r w:rsidRPr="00DC113E">
        <w:rPr>
          <w:snapToGrid w:val="0"/>
          <w:color w:val="000000"/>
          <w:szCs w:val="24"/>
        </w:rPr>
        <w:t xml:space="preserve">. POSTN has been identified as a key ECM component of the metastatic niche </w:t>
      </w:r>
      <w:r w:rsidRPr="00DC113E">
        <w:rPr>
          <w:snapToGrid w:val="0"/>
          <w:color w:val="000000"/>
          <w:szCs w:val="24"/>
          <w:vertAlign w:val="superscript"/>
        </w:rPr>
        <w:t>[26]</w:t>
      </w:r>
      <w:r w:rsidRPr="00DC113E">
        <w:rPr>
          <w:snapToGrid w:val="0"/>
          <w:color w:val="000000"/>
          <w:szCs w:val="24"/>
        </w:rPr>
        <w:t xml:space="preserve">, with studies suggesting its use as a novel biomarker in combination with CA153 and CEA for breast cancer diagnosis and metastasis prediction </w:t>
      </w:r>
      <w:r w:rsidRPr="00DC113E">
        <w:rPr>
          <w:snapToGrid w:val="0"/>
          <w:color w:val="000000"/>
          <w:szCs w:val="24"/>
          <w:vertAlign w:val="superscript"/>
        </w:rPr>
        <w:t>[27]</w:t>
      </w:r>
      <w:r w:rsidRPr="00DC113E">
        <w:rPr>
          <w:snapToGrid w:val="0"/>
          <w:color w:val="000000"/>
          <w:szCs w:val="24"/>
        </w:rPr>
        <w:t>.</w:t>
      </w:r>
    </w:p>
    <w:p w14:paraId="5F7E35FB" w14:textId="50CB0731" w:rsidR="006C50C3" w:rsidRPr="00DC113E" w:rsidRDefault="00000000" w:rsidP="00E60993">
      <w:pPr>
        <w:ind w:firstLine="420"/>
        <w:rPr>
          <w:snapToGrid w:val="0"/>
          <w:color w:val="000000"/>
          <w:szCs w:val="24"/>
        </w:rPr>
      </w:pPr>
      <w:r w:rsidRPr="00DC113E">
        <w:rPr>
          <w:snapToGrid w:val="0"/>
          <w:color w:val="000000"/>
          <w:szCs w:val="24"/>
        </w:rPr>
        <w:t xml:space="preserve">By comparing the differential genes between PyMT-1 with Py-L1 and </w:t>
      </w:r>
      <w:r w:rsidR="00E60993">
        <w:rPr>
          <w:snapToGrid w:val="0"/>
          <w:color w:val="000000"/>
          <w:szCs w:val="24"/>
        </w:rPr>
        <w:t xml:space="preserve">between </w:t>
      </w:r>
      <w:r w:rsidRPr="00DC113E">
        <w:rPr>
          <w:snapToGrid w:val="0"/>
          <w:color w:val="000000"/>
          <w:szCs w:val="24"/>
        </w:rPr>
        <w:t xml:space="preserve">PyMT-1 with Py-B1, we found that angiogenesis, ECM-receptor interaction, and </w:t>
      </w:r>
      <w:r w:rsidR="00E60993">
        <w:rPr>
          <w:snapToGrid w:val="0"/>
          <w:color w:val="000000"/>
          <w:szCs w:val="24"/>
        </w:rPr>
        <w:t xml:space="preserve">the </w:t>
      </w:r>
      <w:r w:rsidRPr="00DC113E">
        <w:rPr>
          <w:snapToGrid w:val="0"/>
          <w:color w:val="000000"/>
          <w:szCs w:val="24"/>
        </w:rPr>
        <w:t>PI3K-Akt signaling pathway were enriched in both GO functional enrichment analysis and KEGG pathway enrichment analysis, suggesting that these cellular activities and pathways may promote both lung and bone metastasis in breast cancer to some extent.</w:t>
      </w:r>
    </w:p>
    <w:p w14:paraId="07E9B840" w14:textId="77777777" w:rsidR="006C50C3" w:rsidRPr="00DC113E" w:rsidRDefault="00000000" w:rsidP="00E60993">
      <w:pPr>
        <w:ind w:firstLine="420"/>
        <w:rPr>
          <w:snapToGrid w:val="0"/>
          <w:color w:val="000000"/>
          <w:szCs w:val="24"/>
        </w:rPr>
      </w:pPr>
      <w:r w:rsidRPr="00DC113E">
        <w:rPr>
          <w:snapToGrid w:val="0"/>
          <w:color w:val="000000"/>
          <w:szCs w:val="24"/>
        </w:rPr>
        <w:t>This study conducted transcriptomic sequencing and protein-coding RNA analysis on three cell lines: PyMT-1, Py-L1, and Py-B1. Using GO, KEGG, and GSEA enrichment analyses, we predicted the biological functions of differential genes and performed preliminary validation of some upregulated and downregulated pathway-related genes. By collecting clinical data, we further validated the expression levels of the identified differential genes, gaining a basic understanding of the genetic background of specific lung and bone metastasis in breast cancer. Subsequent research can employ proteomics and metabolomics approaches to more comprehensively investigate the specific mechanisms of breast cancer-specific metastasis, providing a theoretical basis for the clinical treatment of metastatic breast cancer.</w:t>
      </w:r>
    </w:p>
    <w:p w14:paraId="2C4E2F77" w14:textId="0C3DB561" w:rsidR="006C50C3" w:rsidRPr="00DC113E" w:rsidRDefault="00000000" w:rsidP="00E60993">
      <w:pPr>
        <w:ind w:firstLine="420"/>
        <w:rPr>
          <w:snapToGrid w:val="0"/>
          <w:color w:val="000000"/>
          <w:szCs w:val="24"/>
        </w:rPr>
      </w:pPr>
      <w:r w:rsidRPr="00DC113E">
        <w:rPr>
          <w:snapToGrid w:val="0"/>
          <w:color w:val="000000"/>
          <w:szCs w:val="24"/>
        </w:rPr>
        <w:t xml:space="preserve">This study has several limitations. First, based on the findings of this study, further functional exploration of the important differential genes is indeed necessary, followed by an in-depth investigation of the underlying molecular mechanisms. Second, the breast cancer-specific metastasis model constructed in this study is based on single-cell transcriptomic data, which describes cellular function at the RNA level but does not specifically explore how the identified differential genes and related pathways function in organ-specific metastasis of breast cancer. According to the central dogma of </w:t>
      </w:r>
      <w:r w:rsidR="00DC113E">
        <w:rPr>
          <w:snapToGrid w:val="0"/>
          <w:color w:val="000000"/>
          <w:szCs w:val="24"/>
        </w:rPr>
        <w:t>“</w:t>
      </w:r>
      <w:r w:rsidRPr="00DC113E">
        <w:rPr>
          <w:snapToGrid w:val="0"/>
          <w:color w:val="000000"/>
          <w:szCs w:val="24"/>
        </w:rPr>
        <w:t xml:space="preserve">DNA-RNA-protein, </w:t>
      </w:r>
      <w:proofErr w:type="gramStart"/>
      <w:r w:rsidR="00DC113E">
        <w:rPr>
          <w:snapToGrid w:val="0"/>
          <w:color w:val="000000"/>
          <w:szCs w:val="24"/>
        </w:rPr>
        <w:t>“</w:t>
      </w:r>
      <w:r w:rsidRPr="00DC113E">
        <w:rPr>
          <w:snapToGrid w:val="0"/>
          <w:color w:val="000000"/>
          <w:szCs w:val="24"/>
        </w:rPr>
        <w:t xml:space="preserve"> there</w:t>
      </w:r>
      <w:proofErr w:type="gramEnd"/>
      <w:r w:rsidRPr="00DC113E">
        <w:rPr>
          <w:snapToGrid w:val="0"/>
          <w:color w:val="000000"/>
          <w:szCs w:val="24"/>
        </w:rPr>
        <w:t xml:space="preserve"> is a lack of data on protein expression levels, such as single-cell proteomics data.</w:t>
      </w:r>
    </w:p>
    <w:p w14:paraId="4E7FB542" w14:textId="77777777" w:rsidR="006C50C3" w:rsidRPr="00DC113E" w:rsidRDefault="006C50C3" w:rsidP="00DC113E">
      <w:pPr>
        <w:rPr>
          <w:snapToGrid w:val="0"/>
          <w:color w:val="000000"/>
          <w:szCs w:val="24"/>
        </w:rPr>
      </w:pPr>
    </w:p>
    <w:p w14:paraId="14597454" w14:textId="77777777" w:rsidR="006C50C3" w:rsidRPr="00E60993" w:rsidRDefault="00000000" w:rsidP="00DC113E">
      <w:pPr>
        <w:rPr>
          <w:b/>
          <w:bCs/>
          <w:snapToGrid w:val="0"/>
          <w:color w:val="000000"/>
          <w:szCs w:val="24"/>
        </w:rPr>
      </w:pPr>
      <w:r w:rsidRPr="00E60993">
        <w:rPr>
          <w:rFonts w:hint="eastAsia"/>
          <w:b/>
          <w:bCs/>
          <w:snapToGrid w:val="0"/>
          <w:color w:val="000000"/>
          <w:szCs w:val="24"/>
        </w:rPr>
        <w:t xml:space="preserve">5. </w:t>
      </w:r>
      <w:r w:rsidRPr="00E60993">
        <w:rPr>
          <w:b/>
          <w:bCs/>
          <w:snapToGrid w:val="0"/>
          <w:color w:val="000000"/>
          <w:szCs w:val="24"/>
        </w:rPr>
        <w:t>Conclusion</w:t>
      </w:r>
    </w:p>
    <w:p w14:paraId="46D07BB4" w14:textId="1A644EBD" w:rsidR="006C50C3" w:rsidRPr="00DC113E" w:rsidRDefault="00000000" w:rsidP="00DC113E">
      <w:pPr>
        <w:rPr>
          <w:snapToGrid w:val="0"/>
          <w:color w:val="000000"/>
          <w:szCs w:val="24"/>
        </w:rPr>
      </w:pPr>
      <w:r w:rsidRPr="00DC113E">
        <w:rPr>
          <w:snapToGrid w:val="0"/>
          <w:color w:val="000000"/>
          <w:szCs w:val="24"/>
        </w:rPr>
        <w:t xml:space="preserve">The upregulated enriched pathways among the differential genes between PyMT-1 and Py-L1, such as ECM, focal adhesion, and </w:t>
      </w:r>
      <w:r w:rsidR="00E60993">
        <w:rPr>
          <w:snapToGrid w:val="0"/>
          <w:color w:val="000000"/>
          <w:szCs w:val="24"/>
        </w:rPr>
        <w:t xml:space="preserve">the </w:t>
      </w:r>
      <w:r w:rsidRPr="00DC113E">
        <w:rPr>
          <w:snapToGrid w:val="0"/>
          <w:color w:val="000000"/>
          <w:szCs w:val="24"/>
        </w:rPr>
        <w:t>PI3K-Akt signaling pathway, may be associated with lung metastasis in breast cancer. The upregulated enriched pathways among the differential genes between PyMT-1 and Py-B1, such as angiogenesis, chemotaxis, positive regulation of cell adhesion, and epithelial cell proliferation, may be associated with bone metastasis in breast cancer.</w:t>
      </w:r>
    </w:p>
    <w:p w14:paraId="47268347" w14:textId="77777777" w:rsidR="006C50C3" w:rsidRPr="00DC113E" w:rsidRDefault="00000000" w:rsidP="00E60993">
      <w:pPr>
        <w:ind w:firstLine="420"/>
        <w:rPr>
          <w:snapToGrid w:val="0"/>
          <w:color w:val="000000"/>
          <w:szCs w:val="24"/>
        </w:rPr>
      </w:pPr>
      <w:r w:rsidRPr="00DC113E">
        <w:rPr>
          <w:snapToGrid w:val="0"/>
          <w:color w:val="000000"/>
          <w:szCs w:val="24"/>
        </w:rPr>
        <w:t>The expression levels of CCN2 and ITGB6 are elevated in breast cancer tissues with lung metastasis, while the expression levels of CD44 and THBS1 are elevated in breast cancer tissues with bone metastasis.</w:t>
      </w:r>
    </w:p>
    <w:p w14:paraId="2B87214C" w14:textId="77777777" w:rsidR="006C50C3" w:rsidRPr="00DC113E" w:rsidRDefault="006C50C3" w:rsidP="00E60993">
      <w:pPr>
        <w:rPr>
          <w:snapToGrid w:val="0"/>
          <w:color w:val="000000"/>
          <w:szCs w:val="24"/>
        </w:rPr>
      </w:pPr>
    </w:p>
    <w:p w14:paraId="7A1526AA" w14:textId="77777777" w:rsidR="006C50C3" w:rsidRPr="00E60993" w:rsidRDefault="00000000" w:rsidP="00E60993">
      <w:pPr>
        <w:rPr>
          <w:b/>
          <w:bCs/>
          <w:szCs w:val="24"/>
        </w:rPr>
      </w:pPr>
      <w:r w:rsidRPr="00E60993">
        <w:rPr>
          <w:b/>
          <w:bCs/>
          <w:szCs w:val="24"/>
        </w:rPr>
        <w:t>Funding</w:t>
      </w:r>
    </w:p>
    <w:p w14:paraId="18794198" w14:textId="338238BE" w:rsidR="006C50C3" w:rsidRPr="00DC113E" w:rsidRDefault="00000000" w:rsidP="00DC113E">
      <w:pPr>
        <w:rPr>
          <w:snapToGrid w:val="0"/>
          <w:color w:val="000000"/>
          <w:szCs w:val="24"/>
        </w:rPr>
      </w:pPr>
      <w:r w:rsidRPr="00DC113E">
        <w:rPr>
          <w:snapToGrid w:val="0"/>
          <w:color w:val="000000"/>
          <w:szCs w:val="24"/>
        </w:rPr>
        <w:t>Hebei Health Commission Project (</w:t>
      </w:r>
      <w:r w:rsidR="00DC113E">
        <w:rPr>
          <w:snapToGrid w:val="0"/>
          <w:color w:val="000000"/>
          <w:szCs w:val="24"/>
        </w:rPr>
        <w:t xml:space="preserve">Project No.: </w:t>
      </w:r>
      <w:r w:rsidRPr="00DC113E">
        <w:rPr>
          <w:snapToGrid w:val="0"/>
          <w:color w:val="000000"/>
          <w:szCs w:val="24"/>
        </w:rPr>
        <w:t>20240287); Hebei Natural Science Foundation of China (</w:t>
      </w:r>
      <w:r w:rsidR="00DC113E">
        <w:rPr>
          <w:snapToGrid w:val="0"/>
          <w:color w:val="000000"/>
          <w:szCs w:val="24"/>
        </w:rPr>
        <w:t xml:space="preserve">Project </w:t>
      </w:r>
      <w:r w:rsidRPr="00DC113E">
        <w:rPr>
          <w:snapToGrid w:val="0"/>
          <w:color w:val="000000"/>
          <w:szCs w:val="24"/>
        </w:rPr>
        <w:t>No.</w:t>
      </w:r>
      <w:r w:rsidR="00DC113E">
        <w:rPr>
          <w:snapToGrid w:val="0"/>
          <w:color w:val="000000"/>
          <w:szCs w:val="24"/>
        </w:rPr>
        <w:t>:</w:t>
      </w:r>
      <w:r w:rsidRPr="00DC113E">
        <w:rPr>
          <w:snapToGrid w:val="0"/>
          <w:color w:val="000000"/>
          <w:szCs w:val="24"/>
        </w:rPr>
        <w:t xml:space="preserve"> H2024104001)</w:t>
      </w:r>
    </w:p>
    <w:p w14:paraId="7ED6252E" w14:textId="77777777" w:rsidR="006C50C3" w:rsidRPr="00DC113E" w:rsidRDefault="006C50C3" w:rsidP="00DC113E">
      <w:pPr>
        <w:rPr>
          <w:snapToGrid w:val="0"/>
          <w:color w:val="000000"/>
          <w:szCs w:val="24"/>
        </w:rPr>
      </w:pPr>
    </w:p>
    <w:p w14:paraId="785D420E" w14:textId="77777777" w:rsidR="006C50C3" w:rsidRPr="00E60993" w:rsidRDefault="00000000" w:rsidP="00E60993">
      <w:pPr>
        <w:rPr>
          <w:b/>
          <w:bCs/>
          <w:szCs w:val="24"/>
        </w:rPr>
      </w:pPr>
      <w:bookmarkStart w:id="1" w:name="_Hlk181689731"/>
      <w:r w:rsidRPr="00E60993">
        <w:rPr>
          <w:b/>
          <w:bCs/>
          <w:szCs w:val="24"/>
        </w:rPr>
        <w:t>Disclosure statement</w:t>
      </w:r>
    </w:p>
    <w:p w14:paraId="2CBC061A" w14:textId="77777777" w:rsidR="006C50C3" w:rsidRPr="00DC113E" w:rsidRDefault="00000000" w:rsidP="00E60993">
      <w:pPr>
        <w:rPr>
          <w:szCs w:val="24"/>
        </w:rPr>
      </w:pPr>
      <w:r w:rsidRPr="00DC113E">
        <w:rPr>
          <w:szCs w:val="24"/>
        </w:rPr>
        <w:t xml:space="preserve">The authors declare no conflict of interest. </w:t>
      </w:r>
    </w:p>
    <w:bookmarkEnd w:id="1"/>
    <w:p w14:paraId="4442E664" w14:textId="77777777" w:rsidR="006C50C3" w:rsidRPr="00DC113E" w:rsidRDefault="006C50C3" w:rsidP="00DC113E">
      <w:pPr>
        <w:rPr>
          <w:snapToGrid w:val="0"/>
          <w:color w:val="000000"/>
          <w:szCs w:val="24"/>
        </w:rPr>
      </w:pPr>
    </w:p>
    <w:p w14:paraId="558D6717" w14:textId="77777777" w:rsidR="006C50C3" w:rsidRDefault="00000000" w:rsidP="00DC113E">
      <w:pPr>
        <w:rPr>
          <w:b/>
          <w:bCs/>
          <w:snapToGrid w:val="0"/>
          <w:color w:val="000000"/>
          <w:szCs w:val="24"/>
        </w:rPr>
      </w:pPr>
      <w:r w:rsidRPr="00E60993">
        <w:rPr>
          <w:b/>
          <w:bCs/>
          <w:snapToGrid w:val="0"/>
          <w:color w:val="000000"/>
          <w:szCs w:val="24"/>
        </w:rPr>
        <w:t xml:space="preserve">References </w:t>
      </w:r>
    </w:p>
    <w:p w14:paraId="4E7A73BC" w14:textId="261D7D6C" w:rsidR="00DC113E" w:rsidRDefault="00DC113E" w:rsidP="00DC113E">
      <w:pPr>
        <w:ind w:left="454" w:hanging="454"/>
      </w:pPr>
      <w:bookmarkStart w:id="2" w:name="_Hlk185327419"/>
      <w:r>
        <w:t>[1]</w:t>
      </w:r>
      <w:r>
        <w:tab/>
      </w:r>
      <w:r>
        <w:t>Xia C, Dong X, Li H, et al., 2022, Cancer Statistics in China and the United States, 2022: Profiles, Trends, and Determinants. Chinese Medical Journal, 135(5): 584–590.</w:t>
      </w:r>
    </w:p>
    <w:p w14:paraId="5FEEA025" w14:textId="7A76B19E" w:rsidR="00DC113E" w:rsidRDefault="00DC113E" w:rsidP="00DC113E">
      <w:pPr>
        <w:ind w:left="454" w:hanging="454"/>
      </w:pPr>
      <w:r>
        <w:t>[2]</w:t>
      </w:r>
      <w:r>
        <w:tab/>
      </w:r>
      <w:proofErr w:type="spellStart"/>
      <w:r>
        <w:t>Koboldt</w:t>
      </w:r>
      <w:proofErr w:type="spellEnd"/>
      <w:r>
        <w:t xml:space="preserve"> DC, Fulton RS, McLellan MD, et al., 2012, Comprehensive Molecular Portraits of Human Breast </w:t>
      </w:r>
      <w:proofErr w:type="spellStart"/>
      <w:r>
        <w:t>Tumours</w:t>
      </w:r>
      <w:proofErr w:type="spellEnd"/>
      <w:r>
        <w:t>. Nature, 490(7418): 61–70.</w:t>
      </w:r>
    </w:p>
    <w:p w14:paraId="0F64719A" w14:textId="778A6892" w:rsidR="00DC113E" w:rsidRDefault="00DC113E" w:rsidP="00DC113E">
      <w:pPr>
        <w:ind w:left="454" w:hanging="454"/>
      </w:pPr>
      <w:r>
        <w:t>[3]</w:t>
      </w:r>
      <w:r>
        <w:tab/>
      </w:r>
      <w:proofErr w:type="spellStart"/>
      <w:r>
        <w:t>Allemani</w:t>
      </w:r>
      <w:proofErr w:type="spellEnd"/>
      <w:r>
        <w:t xml:space="preserve"> C, Matsuda T, Di Carlo V, et al., 2018, Global Surveillance of Trends in Cancer Survival 2000–14 (CONCORD-3): Analysis of Individual Records for 37 513 025 Patients Diagnosed with One of 18 Cancers from 322 Population-Based Registries in 71 Countries. The Lancet, 391(10125): 1023–1075.</w:t>
      </w:r>
    </w:p>
    <w:p w14:paraId="51B992DF" w14:textId="68E548C8" w:rsidR="00DC113E" w:rsidRDefault="00DC113E" w:rsidP="00DC113E">
      <w:pPr>
        <w:ind w:left="454" w:hanging="454"/>
      </w:pPr>
      <w:r>
        <w:t>[4]</w:t>
      </w:r>
      <w:r>
        <w:tab/>
      </w:r>
      <w:r>
        <w:t>Zbinden A, Layland SL, Urbanczyk M, et al., 2021, Nidogen-1 Mitigates Ischemia and Promotes Tissue Survival and Regeneration. Advanced Science, 8(4): 2002500.</w:t>
      </w:r>
    </w:p>
    <w:p w14:paraId="75F5EBCF" w14:textId="4B1CCBCC" w:rsidR="00DC113E" w:rsidRDefault="00DC113E" w:rsidP="00DC113E">
      <w:pPr>
        <w:ind w:left="454" w:hanging="454"/>
      </w:pPr>
      <w:r>
        <w:t>[5]</w:t>
      </w:r>
      <w:r>
        <w:tab/>
      </w:r>
      <w:proofErr w:type="spellStart"/>
      <w:r>
        <w:t>Wculek</w:t>
      </w:r>
      <w:proofErr w:type="spellEnd"/>
      <w:r>
        <w:t xml:space="preserve"> SK, </w:t>
      </w:r>
      <w:proofErr w:type="spellStart"/>
      <w:r>
        <w:t>Malanchi</w:t>
      </w:r>
      <w:proofErr w:type="spellEnd"/>
      <w:r>
        <w:t xml:space="preserve"> I., 2015, Neutrophils Support Lung Colonization of Metastasis-Initiating Breast Cancer Cells. Nature, 528(7582): 413–417.</w:t>
      </w:r>
    </w:p>
    <w:p w14:paraId="01D1B32C" w14:textId="04695485" w:rsidR="00DC113E" w:rsidRDefault="00DC113E" w:rsidP="00DC113E">
      <w:pPr>
        <w:ind w:left="454" w:hanging="454"/>
      </w:pPr>
      <w:r>
        <w:t>[6]</w:t>
      </w:r>
      <w:r>
        <w:tab/>
      </w:r>
      <w:r>
        <w:t>Deepak KGK, Vempati R, Nagaraju GP, et al., 2020, Tumor Microenvironment: Challenges and Opportunities in Targeting Metastasis of Triple Negative Breast Cancer. Pharmacological Research, 153: 104683.</w:t>
      </w:r>
    </w:p>
    <w:p w14:paraId="1A994456" w14:textId="68921E5A" w:rsidR="00DC113E" w:rsidRDefault="00DC113E" w:rsidP="00DC113E">
      <w:pPr>
        <w:ind w:left="454" w:hanging="454"/>
      </w:pPr>
      <w:r>
        <w:t>[7]</w:t>
      </w:r>
      <w:r>
        <w:tab/>
      </w:r>
      <w:proofErr w:type="spellStart"/>
      <w:r>
        <w:t>Malanchi</w:t>
      </w:r>
      <w:proofErr w:type="spellEnd"/>
      <w:r>
        <w:t xml:space="preserve"> I, Santamaria-Martínez A, Susanto E, et al., 2012, Interactions Between Cancer Stem Cells and Their Niche Govern Metastatic Colonization. Nature, 481(7379): 85–89.</w:t>
      </w:r>
    </w:p>
    <w:p w14:paraId="07BD89F0" w14:textId="66D9E19C" w:rsidR="00DC113E" w:rsidRDefault="00DC113E" w:rsidP="00DC113E">
      <w:pPr>
        <w:ind w:left="454" w:hanging="454"/>
      </w:pPr>
      <w:r>
        <w:t>[8]</w:t>
      </w:r>
      <w:r>
        <w:tab/>
      </w:r>
      <w:r>
        <w:t xml:space="preserve">Wang Y, Li Y, Zhong J, et al., 2023, Tumor-Derived Cav-1 Promotes Pre-Metastatic Niche Formation and Lung Metastasis in Breast Cancer. </w:t>
      </w:r>
      <w:proofErr w:type="spellStart"/>
      <w:r>
        <w:t>Theranostics</w:t>
      </w:r>
      <w:proofErr w:type="spellEnd"/>
      <w:r>
        <w:t>, 13(5): 1684–1697.</w:t>
      </w:r>
    </w:p>
    <w:p w14:paraId="6F72AE01" w14:textId="23EBD160" w:rsidR="00DC113E" w:rsidRDefault="00DC113E" w:rsidP="00DC113E">
      <w:pPr>
        <w:ind w:left="454" w:hanging="454"/>
      </w:pPr>
      <w:r>
        <w:t>[9]</w:t>
      </w:r>
      <w:r>
        <w:tab/>
      </w:r>
      <w:r>
        <w:t>Gao D, Joshi N, Choi H, et al., 2012, Myeloid Progenitor Cells in the Premetastatic Lung Promote Metastases by Inducing Mesenchymal to Epithelial Transition. Cancer Research, 72(6): 1384–1394.</w:t>
      </w:r>
    </w:p>
    <w:p w14:paraId="5C4B03AC" w14:textId="3B25A0DF" w:rsidR="00DC113E" w:rsidRDefault="00DC113E" w:rsidP="00DC113E">
      <w:pPr>
        <w:ind w:left="454" w:hanging="454"/>
      </w:pPr>
      <w:r>
        <w:t>[10]</w:t>
      </w:r>
      <w:r>
        <w:tab/>
      </w:r>
      <w:proofErr w:type="spellStart"/>
      <w:r>
        <w:t>Hongu</w:t>
      </w:r>
      <w:proofErr w:type="spellEnd"/>
      <w:r>
        <w:t xml:space="preserve"> T, Pein M, Insua-Rodríguez J, et al., 2022, Perivascular Tenascin C Triggers Sequential Activation of Macrophages and Endothelial Cells to Generate a Pro-Metastatic Vascular Niche in the Lungs. Nature Cancer, 3(4): 486–504.</w:t>
      </w:r>
    </w:p>
    <w:p w14:paraId="48D85E81" w14:textId="7EF7D40F" w:rsidR="00DC113E" w:rsidRDefault="00DC113E" w:rsidP="00DC113E">
      <w:pPr>
        <w:ind w:left="454" w:hanging="454"/>
      </w:pPr>
      <w:r>
        <w:t>[11]</w:t>
      </w:r>
      <w:r>
        <w:tab/>
      </w:r>
      <w:r>
        <w:t>Ghosh P, Dey A, Nandi S, et al., 2025, CTGF (CCN2): A Multifaceted Mediator in Breast Cancer Progression and Therapeutic Targeting. Cancer Metastasis Reviews, 44(1): 32.</w:t>
      </w:r>
    </w:p>
    <w:p w14:paraId="502A9596" w14:textId="081514CC" w:rsidR="00DC113E" w:rsidRDefault="00DC113E" w:rsidP="00DC113E">
      <w:pPr>
        <w:ind w:left="454" w:hanging="454"/>
      </w:pPr>
      <w:r>
        <w:t>[12]</w:t>
      </w:r>
      <w:r>
        <w:tab/>
      </w:r>
      <w:r>
        <w:t xml:space="preserve">Lee SG, Su ZZ, </w:t>
      </w:r>
      <w:proofErr w:type="spellStart"/>
      <w:r>
        <w:t>Emdad</w:t>
      </w:r>
      <w:proofErr w:type="spellEnd"/>
      <w:r>
        <w:t xml:space="preserve"> L, et al., 2008, Astrocyte Elevated Gene-1 Activates Cell Survival Pathways Through PI3K-Akt Signaling. Oncogene, 27(8): 1114–1121.</w:t>
      </w:r>
    </w:p>
    <w:p w14:paraId="40D73B10" w14:textId="0D926A1E" w:rsidR="00DC113E" w:rsidRDefault="00DC113E" w:rsidP="00DC113E">
      <w:pPr>
        <w:ind w:left="454" w:hanging="454"/>
      </w:pPr>
      <w:r>
        <w:t>[13]</w:t>
      </w:r>
      <w:r>
        <w:tab/>
      </w:r>
      <w:proofErr w:type="spellStart"/>
      <w:r>
        <w:t>Gangoda</w:t>
      </w:r>
      <w:proofErr w:type="spellEnd"/>
      <w:r>
        <w:t xml:space="preserve"> L, Liem M, Ang C, et al., 2017, Proteomic Profiling of Exosomes Secreted by Breast Cancer Cells with Varying Metastatic Potential. PROTEOMICS, 17(23–24): 1600370.</w:t>
      </w:r>
    </w:p>
    <w:p w14:paraId="04FE0C38" w14:textId="42D30FFC" w:rsidR="00DC113E" w:rsidRDefault="00DC113E" w:rsidP="00DC113E">
      <w:pPr>
        <w:ind w:left="454" w:hanging="454"/>
      </w:pPr>
      <w:r>
        <w:lastRenderedPageBreak/>
        <w:t>[14]</w:t>
      </w:r>
      <w:r>
        <w:tab/>
      </w:r>
      <w:r>
        <w:t>Guise TA., 2013, Breast Cancer Bone Metastases: It's All About the Neighborhood. Cell, 154(5): 957–959.</w:t>
      </w:r>
    </w:p>
    <w:p w14:paraId="0070BE07" w14:textId="4D2B72E5" w:rsidR="00DC113E" w:rsidRDefault="00DC113E" w:rsidP="00DC113E">
      <w:pPr>
        <w:ind w:left="454" w:hanging="454"/>
      </w:pPr>
      <w:r>
        <w:t>[15]</w:t>
      </w:r>
      <w:r>
        <w:tab/>
      </w:r>
      <w:r>
        <w:t>Ye J, Baer JM, Faget DV, et al., 2024, Senescent CAFs Mediate Immunosuppression and Drive Breast Cancer Progression. Cancer Discovery, 14(7): 1302–1323.</w:t>
      </w:r>
    </w:p>
    <w:p w14:paraId="4F68EA39" w14:textId="2C7C52AB" w:rsidR="00DC113E" w:rsidRDefault="00DC113E" w:rsidP="00DC113E">
      <w:pPr>
        <w:ind w:left="454" w:hanging="454"/>
      </w:pPr>
      <w:r>
        <w:t>[16]</w:t>
      </w:r>
      <w:r>
        <w:tab/>
      </w:r>
      <w:r>
        <w:t xml:space="preserve">Kiesel L, Kohl A., 2016, Role of the RANK/RANKL Pathway in Breast Cancer. </w:t>
      </w:r>
      <w:proofErr w:type="spellStart"/>
      <w:r>
        <w:t>Maturitas</w:t>
      </w:r>
      <w:proofErr w:type="spellEnd"/>
      <w:r>
        <w:t>, 86: 10–16.</w:t>
      </w:r>
    </w:p>
    <w:p w14:paraId="040D28E7" w14:textId="0DEBAD08" w:rsidR="00DC113E" w:rsidRDefault="00DC113E" w:rsidP="00DC113E">
      <w:pPr>
        <w:ind w:left="454" w:hanging="454"/>
      </w:pPr>
      <w:r>
        <w:t>[17]</w:t>
      </w:r>
      <w:r>
        <w:tab/>
      </w:r>
      <w:r>
        <w:t>Wan L, Pantel K, Kang Y., 2013, Tumor Metastasis: Moving New Biological Insights into the Clinic. Nature Medicine, 19(11): 1450–1464.</w:t>
      </w:r>
    </w:p>
    <w:p w14:paraId="3E2349E2" w14:textId="535B0B76" w:rsidR="00DC113E" w:rsidRDefault="00DC113E" w:rsidP="00DC113E">
      <w:pPr>
        <w:ind w:left="454" w:hanging="454"/>
      </w:pPr>
      <w:r>
        <w:t>[18]</w:t>
      </w:r>
      <w:r>
        <w:tab/>
      </w:r>
      <w:r>
        <w:t>Zhang XHF, Jin X, Malladi S, et al., 2013, Selection of Bone Metastasis Seeds by Mesenchymal Signals in the Primary Tumor Stroma. Cell, 154(5): 1060–1073.</w:t>
      </w:r>
    </w:p>
    <w:p w14:paraId="349421C3" w14:textId="0E5E0076" w:rsidR="00DC113E" w:rsidRDefault="00DC113E" w:rsidP="00DC113E">
      <w:pPr>
        <w:ind w:left="454" w:hanging="454"/>
      </w:pPr>
      <w:r>
        <w:t>[19]</w:t>
      </w:r>
      <w:r>
        <w:tab/>
      </w:r>
      <w:r>
        <w:t>Liang Y, Zhang H, Song X, et al., 2020, Metastatic Heterogeneity of Breast Cancer: Molecular Mechanism and Potential Therapeutic Targets. Seminars in Cancer Biology, 60: 14–27.</w:t>
      </w:r>
    </w:p>
    <w:p w14:paraId="7BC657E1" w14:textId="15D3DF95" w:rsidR="00DC113E" w:rsidRDefault="00DC113E" w:rsidP="00DC113E">
      <w:pPr>
        <w:ind w:left="454" w:hanging="454"/>
      </w:pPr>
      <w:r>
        <w:t>[20]</w:t>
      </w:r>
      <w:r>
        <w:tab/>
      </w:r>
      <w:r>
        <w:t>Quail DF, Joyce JA, 2013, Microenvironmental Regulation of Tumor Progression and Metastasis. Nature Medicine, 19(11): 1423–1437.</w:t>
      </w:r>
    </w:p>
    <w:p w14:paraId="70377A12" w14:textId="262CEBF9" w:rsidR="00DC113E" w:rsidRDefault="00DC113E" w:rsidP="00DC113E">
      <w:pPr>
        <w:ind w:left="454" w:hanging="454"/>
      </w:pPr>
      <w:r>
        <w:t>[21]</w:t>
      </w:r>
      <w:r>
        <w:tab/>
      </w:r>
      <w:r>
        <w:t xml:space="preserve">Johnson RW, Finger EC, </w:t>
      </w:r>
      <w:proofErr w:type="spellStart"/>
      <w:r>
        <w:t>Olcina</w:t>
      </w:r>
      <w:proofErr w:type="spellEnd"/>
      <w:r>
        <w:t xml:space="preserve"> MM, et al., 2016, Erratum: Induction of LIFR Confers a Dormancy Phenotype in Breast Cancer Cells Disseminated to the Bone Marrow. Nature Cell Biology, 18(11): 1260–1260.</w:t>
      </w:r>
    </w:p>
    <w:p w14:paraId="59D8C20F" w14:textId="2B2A8B0C" w:rsidR="00DC113E" w:rsidRDefault="00DC113E" w:rsidP="00DC113E">
      <w:pPr>
        <w:ind w:left="454" w:hanging="454"/>
      </w:pPr>
      <w:r>
        <w:t>[22]</w:t>
      </w:r>
      <w:r>
        <w:tab/>
      </w:r>
      <w:r>
        <w:t xml:space="preserve">Balz LM, Bartkowiak K, Andreas A, et al., 2012, The Interplay of HER2/HER3/PI3K and EGFR/HER2/PLC-γ1 </w:t>
      </w:r>
      <w:r w:rsidR="00E60993">
        <w:t>Signaling</w:t>
      </w:r>
      <w:r>
        <w:t xml:space="preserve"> in Breast Cancer Cell Migration and Dissemination. The Journal of Pathology, 227(2): 234–244.</w:t>
      </w:r>
    </w:p>
    <w:p w14:paraId="7E80665E" w14:textId="6158A7C1" w:rsidR="00DC113E" w:rsidRDefault="00DC113E" w:rsidP="00DC113E">
      <w:pPr>
        <w:ind w:left="454" w:hanging="454"/>
      </w:pPr>
      <w:r>
        <w:t>[23]</w:t>
      </w:r>
      <w:r>
        <w:tab/>
      </w:r>
      <w:proofErr w:type="spellStart"/>
      <w:r>
        <w:t>Labrèche</w:t>
      </w:r>
      <w:proofErr w:type="spellEnd"/>
      <w:r>
        <w:t xml:space="preserve"> C, Cook DP, Abou-Hamad J, et al., 2021, </w:t>
      </w:r>
      <w:proofErr w:type="spellStart"/>
      <w:r>
        <w:t>Periostin</w:t>
      </w:r>
      <w:proofErr w:type="spellEnd"/>
      <w:r>
        <w:t xml:space="preserve"> Gene Expression in Neu-Positive Breast Cancer Cells Is Regulated by a FGFR Signaling Cross Talk with TGFβ/PI3K/AKT Pathways. Breast Cancer Research, 23(1): 107.</w:t>
      </w:r>
    </w:p>
    <w:p w14:paraId="336A0A63" w14:textId="0FE9BD7E" w:rsidR="00DC113E" w:rsidRDefault="00DC113E" w:rsidP="00DC113E">
      <w:pPr>
        <w:ind w:left="454" w:hanging="454"/>
      </w:pPr>
      <w:r>
        <w:t>[24]</w:t>
      </w:r>
      <w:r>
        <w:tab/>
      </w:r>
      <w:r>
        <w:t>Jin L, Han B, Siegel E, et al., 2018, Breast Cancer Lung Metastasis: Molecular Biology and Therapeutic Implications. Cancer Biology &amp; Therapy, 19(10): 858–868.</w:t>
      </w:r>
    </w:p>
    <w:p w14:paraId="2EEEF0F7" w14:textId="48FA47AC" w:rsidR="00DC113E" w:rsidRDefault="00DC113E" w:rsidP="00DC113E">
      <w:pPr>
        <w:ind w:left="454" w:hanging="454"/>
      </w:pPr>
      <w:r>
        <w:t>[25]</w:t>
      </w:r>
      <w:r>
        <w:tab/>
      </w:r>
      <w:r>
        <w:t xml:space="preserve">Morra L, Moch H., 2011, </w:t>
      </w:r>
      <w:proofErr w:type="spellStart"/>
      <w:r>
        <w:t>Periostin</w:t>
      </w:r>
      <w:proofErr w:type="spellEnd"/>
      <w:r>
        <w:t xml:space="preserve"> Expression and Epithelial-Mesenchymal Transition in Cancer: A Review and an Update. </w:t>
      </w:r>
      <w:proofErr w:type="spellStart"/>
      <w:r>
        <w:t>Virchows</w:t>
      </w:r>
      <w:proofErr w:type="spellEnd"/>
      <w:r>
        <w:t xml:space="preserve"> </w:t>
      </w:r>
      <w:proofErr w:type="spellStart"/>
      <w:r>
        <w:t>Archiv</w:t>
      </w:r>
      <w:proofErr w:type="spellEnd"/>
      <w:r>
        <w:t>, 459(5): 465–475.</w:t>
      </w:r>
    </w:p>
    <w:p w14:paraId="315D284B" w14:textId="41108F50" w:rsidR="00DC113E" w:rsidRDefault="00DC113E" w:rsidP="00DC113E">
      <w:pPr>
        <w:ind w:left="454" w:hanging="454"/>
      </w:pPr>
      <w:r>
        <w:t>[26]</w:t>
      </w:r>
      <w:r>
        <w:tab/>
      </w:r>
      <w:r>
        <w:t>Lin S, Zhou M, Cheng L, et al., 2024, Exploring the Association of POSTN+ Cancer-Associated Fibroblasts with Triple-Negative Breast Cancer. International Journal of Biological Macromolecules, 268(Pt 1): 131560.</w:t>
      </w:r>
    </w:p>
    <w:p w14:paraId="4CCDEA01" w14:textId="4EF3EE29" w:rsidR="00DC113E" w:rsidRDefault="00DC113E" w:rsidP="00DC113E">
      <w:pPr>
        <w:ind w:left="454" w:hanging="454"/>
      </w:pPr>
      <w:r>
        <w:t>[27]</w:t>
      </w:r>
      <w:r>
        <w:tab/>
      </w:r>
      <w:r>
        <w:t>Jia L, Li G, Ma N, et al., 2022, Soluble POSTN Is a Novel Biomarker Complementing CA153 and CEA for Breast Cancer Diagnosis and Metastasis Prediction. BMC Cancer, 22(1): 760.</w:t>
      </w:r>
    </w:p>
    <w:p w14:paraId="7F2E529F" w14:textId="77777777" w:rsidR="00DC113E" w:rsidRDefault="00DC113E" w:rsidP="00DC113E"/>
    <w:p w14:paraId="2F248B9C" w14:textId="77777777" w:rsidR="00DC113E" w:rsidRDefault="00DC113E" w:rsidP="00DC113E">
      <w:pPr>
        <w:widowControl/>
        <w:autoSpaceDE w:val="0"/>
        <w:autoSpaceDN w:val="0"/>
        <w:snapToGrid/>
        <w:jc w:val="left"/>
        <w:rPr>
          <w:b/>
          <w:bCs/>
          <w:kern w:val="0"/>
          <w:sz w:val="20"/>
          <w:szCs w:val="22"/>
          <w:lang w:eastAsia="en-US"/>
        </w:rPr>
      </w:pPr>
      <w:r>
        <w:rPr>
          <w:b/>
          <w:bCs/>
          <w:kern w:val="0"/>
          <w:sz w:val="20"/>
          <w:szCs w:val="22"/>
          <w:lang w:eastAsia="en-US"/>
        </w:rPr>
        <w:t>Publisher’s note</w:t>
      </w:r>
    </w:p>
    <w:p w14:paraId="280C9E3D" w14:textId="77777777" w:rsidR="00DC113E" w:rsidRDefault="00DC113E" w:rsidP="00DC113E">
      <w:pPr>
        <w:adjustRightInd/>
        <w:snapToGrid/>
      </w:pPr>
      <w:r>
        <w:rPr>
          <w:kern w:val="0"/>
          <w:sz w:val="20"/>
          <w:szCs w:val="22"/>
          <w:lang w:eastAsia="en-US"/>
        </w:rPr>
        <w:t>Bio-Byword Scientific Publishing remains neutral with regard to jurisdictional claims in published maps and institutional affiliations.</w:t>
      </w:r>
      <w:r w:rsidRPr="00471541">
        <w:t xml:space="preserve"> </w:t>
      </w:r>
    </w:p>
    <w:bookmarkEnd w:id="2"/>
    <w:p w14:paraId="3FE5BAA7" w14:textId="77777777" w:rsidR="006C50C3" w:rsidRPr="00DC113E" w:rsidRDefault="006C50C3" w:rsidP="00E60993">
      <w:pPr>
        <w:rPr>
          <w:snapToGrid w:val="0"/>
          <w:color w:val="000000"/>
          <w:kern w:val="0"/>
          <w:szCs w:val="24"/>
        </w:rPr>
      </w:pPr>
    </w:p>
    <w:sectPr w:rsidR="006C50C3" w:rsidRPr="00DC113E" w:rsidSect="00E60993">
      <w:headerReference w:type="default" r:id="rId24"/>
      <w:pgSz w:w="11906" w:h="16838"/>
      <w:pgMar w:top="1418" w:right="1134" w:bottom="1418"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5A28C" w14:textId="77777777" w:rsidR="008E57F9" w:rsidRDefault="008E57F9">
      <w:r>
        <w:separator/>
      </w:r>
    </w:p>
  </w:endnote>
  <w:endnote w:type="continuationSeparator" w:id="0">
    <w:p w14:paraId="0783F9CC" w14:textId="77777777" w:rsidR="008E57F9" w:rsidRDefault="008E57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380F2BEE-EC6F-495F-9D2D-8B80E5D9763C}"/>
    <w:embedBold r:id="rId2" w:fontKey="{3506A4CE-C7AD-4B20-BFBD-7FC1654C9B9E}"/>
    <w:embedItalic r:id="rId3" w:fontKey="{60CD7BEB-9CF2-4D81-B21F-1404F15F4725}"/>
  </w:font>
  <w:font w:name="SimSun">
    <w:altName w:val="宋体"/>
    <w:panose1 w:val="02010600030101010101"/>
    <w:charset w:val="86"/>
    <w:family w:val="auto"/>
    <w:pitch w:val="variable"/>
    <w:sig w:usb0="00000203" w:usb1="288F0000" w:usb2="00000016" w:usb3="00000000" w:csb0="00040001" w:csb1="00000000"/>
  </w:font>
  <w:font w:name="FangSong_GB2312">
    <w:altName w:val="仿宋"/>
    <w:panose1 w:val="02010609060101010101"/>
    <w:charset w:val="86"/>
    <w:family w:val="modern"/>
    <w:pitch w:val="fixed"/>
    <w:sig w:usb0="800002BF" w:usb1="38CF7CFA" w:usb2="00000016" w:usb3="00000000" w:csb0="00040001" w:csb1="00000000"/>
  </w:font>
  <w:font w:name="SimHei">
    <w:altName w:val="黑体"/>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EFF" w:usb1="C000785B" w:usb2="00000009" w:usb3="00000000" w:csb0="000001FF" w:csb1="00000000"/>
    <w:embedRegular r:id="rId4" w:fontKey="{ECA8B30E-0FD6-4F02-9B0D-0DD1297CF1C5}"/>
  </w:font>
  <w:font w:name="Calibri Light">
    <w:panose1 w:val="020F0302020204030204"/>
    <w:charset w:val="00"/>
    <w:family w:val="swiss"/>
    <w:pitch w:val="variable"/>
    <w:sig w:usb0="E4002EFF" w:usb1="C200247B" w:usb2="00000009" w:usb3="00000000" w:csb0="000001FF" w:csb1="00000000"/>
    <w:embedRegular r:id="rId5" w:fontKey="{5053B215-1961-4F56-9AAF-F35182367EA6}"/>
  </w:font>
  <w:font w:name="Calibri">
    <w:panose1 w:val="020F0502020204030204"/>
    <w:charset w:val="00"/>
    <w:family w:val="swiss"/>
    <w:pitch w:val="variable"/>
    <w:sig w:usb0="E4002EFF" w:usb1="C200247B" w:usb2="00000009" w:usb3="00000000" w:csb0="000001FF" w:csb1="00000000"/>
    <w:embedRegular r:id="rId6" w:fontKey="{ECD2DA39-0596-4577-B773-68815085573D}"/>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F6D319" w14:textId="77777777" w:rsidR="008E57F9" w:rsidRDefault="008E57F9">
      <w:r>
        <w:separator/>
      </w:r>
    </w:p>
  </w:footnote>
  <w:footnote w:type="continuationSeparator" w:id="0">
    <w:p w14:paraId="7CFB622E" w14:textId="77777777" w:rsidR="008E57F9" w:rsidRDefault="008E57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AA758" w14:textId="77777777" w:rsidR="006C50C3" w:rsidRDefault="006C50C3">
    <w:pPr>
      <w:pStyle w:val="Header"/>
      <w:pBdr>
        <w:bottom w:val="none" w:sz="0" w:space="1"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proofState w:spelling="clean" w:grammar="clean"/>
  <w:trackRevisions/>
  <w:defaultTabStop w:val="420"/>
  <w:drawingGridHorizontalSpacing w:val="105"/>
  <w:drawingGridVerticalSpacing w:val="156"/>
  <w:displayHorizontalDrawingGridEvery w:val="2"/>
  <w:displayVerticalDrawingGridEvery w:val="2"/>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506C158F"/>
    <w:rsid w:val="006C50C3"/>
    <w:rsid w:val="008E57F9"/>
    <w:rsid w:val="00D602BC"/>
    <w:rsid w:val="00DC113E"/>
    <w:rsid w:val="00E60993"/>
    <w:rsid w:val="1BC53330"/>
    <w:rsid w:val="506C158F"/>
    <w:rsid w:val="57152BEC"/>
    <w:rsid w:val="58F81B86"/>
    <w:rsid w:val="7ADC5D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29624DA5"/>
  <w15:docId w15:val="{54BBDC7E-28F4-4E86-ACAC-CA66616D9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C113E"/>
    <w:pPr>
      <w:widowControl w:val="0"/>
      <w:suppressAutoHyphens/>
      <w:adjustRightInd w:val="0"/>
      <w:snapToGrid w:val="0"/>
      <w:jc w:val="both"/>
    </w:pPr>
    <w:rPr>
      <w:kern w:val="2"/>
      <w:sz w:val="24"/>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qFormat/>
    <w:pPr>
      <w:pBdr>
        <w:bottom w:val="single" w:sz="6" w:space="1" w:color="auto"/>
      </w:pBdr>
      <w:tabs>
        <w:tab w:val="center" w:pos="4153"/>
        <w:tab w:val="right" w:pos="8306"/>
      </w:tabs>
      <w:jc w:val="center"/>
    </w:pPr>
    <w:rPr>
      <w:sz w:val="18"/>
      <w:szCs w:val="18"/>
    </w:rPr>
  </w:style>
  <w:style w:type="paragraph" w:styleId="NormalWeb">
    <w:name w:val="Normal (Web)"/>
    <w:basedOn w:val="Normal"/>
  </w:style>
  <w:style w:type="paragraph" w:styleId="Revision">
    <w:name w:val="Revision"/>
    <w:hidden/>
    <w:uiPriority w:val="99"/>
    <w:unhideWhenUsed/>
    <w:rsid w:val="00DC113E"/>
    <w:rPr>
      <w:kern w:val="2"/>
      <w:sz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16</Pages>
  <Words>5797</Words>
  <Characters>33043</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Editor J</cp:lastModifiedBy>
  <cp:revision>2</cp:revision>
  <dcterms:created xsi:type="dcterms:W3CDTF">2026-07-07T02:49:00Z</dcterms:created>
  <dcterms:modified xsi:type="dcterms:W3CDTF">2026-07-07T02:49:00Z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6158E13BEADB43D4B09935FD5426E8F8_11</vt:lpwstr>
  </property>
  <property fmtid="{D5CDD505-2E9C-101B-9397-08002B2CF9AE}" pid="4" name="KSOTemplateDocerSaveRecord">
    <vt:lpwstr>eyJoZGlkIjoiZTBiYjBjMzJlZDA2ZWE2YWNmMzQyN2E2MGVlZTcxZjkiLCJ1c2VySWQiOiI2MTA5NTIyOTYifQ==</vt:lpwstr>
  </property>
  <property fmtid="{D5CDD505-2E9C-101B-9397-08002B2CF9AE}" pid="5" name="GrammarlyDocumentId">
    <vt:lpwstr>5ecc8f8f-f4e4-4f3f-b2a2-cbfc97518df5</vt:lpwstr>
  </property>
</Properties>
</file>