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8A297" w14:textId="77777777" w:rsidR="00D86CA1" w:rsidRPr="006A10FF" w:rsidRDefault="00000000" w:rsidP="006A10FF">
      <w:pPr>
        <w:jc w:val="left"/>
        <w:rPr>
          <w:rFonts w:cs="Times New Roman"/>
          <w:b/>
          <w:bCs/>
          <w:sz w:val="44"/>
          <w:szCs w:val="44"/>
        </w:rPr>
      </w:pPr>
      <w:r w:rsidRPr="006A10FF">
        <w:rPr>
          <w:rFonts w:cs="Times New Roman"/>
          <w:b/>
          <w:bCs/>
          <w:sz w:val="44"/>
          <w:szCs w:val="44"/>
        </w:rPr>
        <w:t xml:space="preserve">Research Progress on the Efficacy of PD-1 Inhibitors Combined with Chemotherapy in Advanced Gastric Cancer and the Regulatory Mechanism of Th1/Th2 Immune Balance </w:t>
      </w:r>
    </w:p>
    <w:p w14:paraId="6D85DEB6" w14:textId="77777777" w:rsidR="00D86CA1" w:rsidRPr="006A10FF" w:rsidRDefault="00000000" w:rsidP="002C6558">
      <w:pPr>
        <w:rPr>
          <w:rFonts w:cs="Times New Roman"/>
          <w:b/>
          <w:bCs/>
        </w:rPr>
      </w:pPr>
      <w:r w:rsidRPr="006A10FF">
        <w:rPr>
          <w:rFonts w:cs="Times New Roman"/>
          <w:b/>
          <w:bCs/>
        </w:rPr>
        <w:t xml:space="preserve">Fade Su, </w:t>
      </w:r>
      <w:proofErr w:type="spellStart"/>
      <w:r w:rsidRPr="006A10FF">
        <w:rPr>
          <w:rFonts w:cs="Times New Roman"/>
          <w:b/>
          <w:bCs/>
        </w:rPr>
        <w:t>Xingji</w:t>
      </w:r>
      <w:proofErr w:type="spellEnd"/>
      <w:r w:rsidRPr="006A10FF">
        <w:rPr>
          <w:rFonts w:cs="Times New Roman"/>
          <w:b/>
          <w:bCs/>
        </w:rPr>
        <w:t xml:space="preserve"> Liu* </w:t>
      </w:r>
    </w:p>
    <w:p w14:paraId="344C081D" w14:textId="77777777" w:rsidR="00D86CA1" w:rsidRPr="002C6558" w:rsidRDefault="00000000" w:rsidP="002C6558">
      <w:pPr>
        <w:rPr>
          <w:rFonts w:cs="Times New Roman"/>
        </w:rPr>
      </w:pPr>
      <w:r w:rsidRPr="002C6558">
        <w:rPr>
          <w:rFonts w:cs="Times New Roman"/>
        </w:rPr>
        <w:t xml:space="preserve">Gansu </w:t>
      </w:r>
      <w:proofErr w:type="spellStart"/>
      <w:r w:rsidRPr="002C6558">
        <w:rPr>
          <w:rFonts w:cs="Times New Roman"/>
        </w:rPr>
        <w:t>Wuwei</w:t>
      </w:r>
      <w:proofErr w:type="spellEnd"/>
      <w:r w:rsidRPr="002C6558">
        <w:rPr>
          <w:rFonts w:cs="Times New Roman"/>
        </w:rPr>
        <w:t xml:space="preserve"> </w:t>
      </w:r>
      <w:proofErr w:type="spellStart"/>
      <w:r w:rsidRPr="002C6558">
        <w:rPr>
          <w:rFonts w:cs="Times New Roman"/>
        </w:rPr>
        <w:t>Tumour</w:t>
      </w:r>
      <w:proofErr w:type="spellEnd"/>
      <w:r w:rsidRPr="002C6558">
        <w:rPr>
          <w:rFonts w:cs="Times New Roman"/>
        </w:rPr>
        <w:t xml:space="preserve"> Hospital, </w:t>
      </w:r>
      <w:proofErr w:type="spellStart"/>
      <w:r w:rsidRPr="002C6558">
        <w:rPr>
          <w:rFonts w:cs="Times New Roman"/>
        </w:rPr>
        <w:t>Wuwei</w:t>
      </w:r>
      <w:proofErr w:type="spellEnd"/>
      <w:r w:rsidRPr="002C6558">
        <w:rPr>
          <w:rFonts w:cs="Times New Roman"/>
        </w:rPr>
        <w:t xml:space="preserve"> 733000, Gansu, China</w:t>
      </w:r>
    </w:p>
    <w:p w14:paraId="14C44E9D" w14:textId="77777777" w:rsidR="002C6558" w:rsidRPr="003017C3" w:rsidRDefault="002C6558" w:rsidP="002C6558">
      <w:pPr>
        <w:rPr>
          <w:rFonts w:eastAsia="DengXian"/>
          <w:b/>
          <w:bCs/>
          <w:i/>
          <w:iCs/>
          <w:kern w:val="0"/>
        </w:rPr>
      </w:pPr>
      <w:r w:rsidRPr="003017C3">
        <w:rPr>
          <w:rFonts w:eastAsia="DengXian"/>
          <w:b/>
          <w:bCs/>
          <w:i/>
          <w:iCs/>
          <w:kern w:val="0"/>
          <w:lang w:bidi="ar"/>
        </w:rPr>
        <w:t>*Author to whom correspondence should be addressed</w:t>
      </w:r>
      <w:r w:rsidRPr="004636F6">
        <w:rPr>
          <w:rFonts w:eastAsia="DengXian"/>
          <w:b/>
          <w:bCs/>
          <w:i/>
          <w:iCs/>
          <w:kern w:val="0"/>
          <w:lang w:bidi="ar"/>
        </w:rPr>
        <w:t>.</w:t>
      </w:r>
    </w:p>
    <w:p w14:paraId="4A08A950" w14:textId="77777777" w:rsidR="002C6558" w:rsidRDefault="002C6558" w:rsidP="002C6558">
      <w:pPr>
        <w:rPr>
          <w:highlight w:val="yellow"/>
        </w:rPr>
      </w:pPr>
    </w:p>
    <w:p w14:paraId="49543874" w14:textId="77777777" w:rsidR="002C6558" w:rsidRDefault="002C6558" w:rsidP="002C6558">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3AB88860" w14:textId="77777777" w:rsidR="002C6558" w:rsidRPr="002C6558" w:rsidRDefault="002C6558" w:rsidP="002C6558">
      <w:pPr>
        <w:rPr>
          <w:rFonts w:cs="Times New Roman"/>
          <w:i/>
          <w:iCs/>
        </w:rPr>
      </w:pPr>
    </w:p>
    <w:p w14:paraId="30F8DD40" w14:textId="4C482482" w:rsidR="00D86CA1" w:rsidRPr="002C6558" w:rsidRDefault="00000000" w:rsidP="002C6558">
      <w:pPr>
        <w:rPr>
          <w:rFonts w:cs="Times New Roman"/>
        </w:rPr>
      </w:pPr>
      <w:r w:rsidRPr="006A10FF">
        <w:rPr>
          <w:rFonts w:cs="Times New Roman"/>
          <w:b/>
          <w:bCs/>
        </w:rPr>
        <w:t>Abstract:</w:t>
      </w:r>
      <w:r w:rsidR="009F2252">
        <w:rPr>
          <w:rFonts w:cs="Times New Roman"/>
        </w:rPr>
        <w:t xml:space="preserve"> Advanced gastric cancer is highly malignant, and traditional chemotherapy has limited efficacy. Currently, combining PD-1 inhibitors with chemotherapy represents a significant breakthrough in immunotherapy for this disease. This article reviews clinical evidence on the efficacy of PD-1 inhibitors combined with chemotherapy in advanced gastric cancer and the regulatory mechanism of Th1/Th2 immune balance. It explores the advantages of the combination strategy in terms of objective response rate (ORR), progression-free survival (PFS), and overall survival (OS). The combination therapy can harness cytotoxic effects to release tumor antigens, actively reshape the tumor immune microenvironment, and regulate key molecules such as MFSD2A. However, the predictive value of biomarkers is limited, and strategies to reverse the Th2-dominant microenvironment are immature, necessitating the integration of multi-omics data to construct precise predictive models. Future efforts should focus on developing novel combination regimens, establishing a multidimensional biomarker system, and optimizing individualized immune regulatory strategies to further enhance long-term survival benefits for patients with advanced gastric cancer.</w:t>
      </w:r>
    </w:p>
    <w:p w14:paraId="1AABC4ED" w14:textId="77777777" w:rsidR="00D86CA1" w:rsidRPr="002C6558" w:rsidRDefault="00000000" w:rsidP="002C6558">
      <w:pPr>
        <w:rPr>
          <w:rFonts w:cs="Times New Roman"/>
        </w:rPr>
      </w:pPr>
      <w:r w:rsidRPr="006A10FF">
        <w:rPr>
          <w:rFonts w:cs="Times New Roman"/>
          <w:b/>
          <w:bCs/>
        </w:rPr>
        <w:t>Keywords:</w:t>
      </w:r>
      <w:r w:rsidRPr="002C6558">
        <w:rPr>
          <w:rFonts w:cs="Times New Roman"/>
        </w:rPr>
        <w:t xml:space="preserve"> Advanced gastric cancer; PD-1 inhibitors; Combined chemotherapy; Th1/Th2 immune balance; Immune microenvironment</w:t>
      </w:r>
    </w:p>
    <w:p w14:paraId="090EF934" w14:textId="77777777" w:rsidR="00D86CA1" w:rsidRDefault="00D86CA1" w:rsidP="002C6558">
      <w:pPr>
        <w:rPr>
          <w:rFonts w:cs="Times New Roman"/>
        </w:rPr>
      </w:pPr>
    </w:p>
    <w:p w14:paraId="17E47BBC" w14:textId="37837C1B" w:rsidR="002C6558" w:rsidRPr="006A10FF" w:rsidRDefault="002C6558" w:rsidP="002C6558">
      <w:pPr>
        <w:rPr>
          <w:rFonts w:cs="Times New Roman"/>
          <w:b/>
          <w:bCs/>
        </w:rPr>
      </w:pPr>
      <w:r>
        <w:rPr>
          <w:rFonts w:cs="Times New Roman"/>
          <w:b/>
          <w:bCs/>
        </w:rPr>
        <w:t>Online publication:</w:t>
      </w:r>
    </w:p>
    <w:p w14:paraId="437BAF22" w14:textId="77777777" w:rsidR="002C6558" w:rsidRPr="002C6558" w:rsidRDefault="002C6558" w:rsidP="002C6558">
      <w:pPr>
        <w:rPr>
          <w:rFonts w:cs="Times New Roman"/>
        </w:rPr>
      </w:pPr>
    </w:p>
    <w:p w14:paraId="46D5997C" w14:textId="77777777" w:rsidR="00D86CA1" w:rsidRPr="006A10FF" w:rsidRDefault="00000000" w:rsidP="002C6558">
      <w:pPr>
        <w:rPr>
          <w:rFonts w:cs="Times New Roman"/>
          <w:b/>
          <w:bCs/>
        </w:rPr>
      </w:pPr>
      <w:r w:rsidRPr="006A10FF">
        <w:rPr>
          <w:rFonts w:cs="Times New Roman"/>
          <w:b/>
          <w:bCs/>
        </w:rPr>
        <w:t xml:space="preserve">1. Introduction and research value positioning </w:t>
      </w:r>
    </w:p>
    <w:p w14:paraId="4CBCFCF3" w14:textId="77777777" w:rsidR="00D86CA1" w:rsidRPr="006A10FF" w:rsidRDefault="00000000" w:rsidP="002C6558">
      <w:pPr>
        <w:rPr>
          <w:rFonts w:cs="Times New Roman"/>
          <w:b/>
          <w:bCs/>
        </w:rPr>
      </w:pPr>
      <w:r w:rsidRPr="006A10FF">
        <w:rPr>
          <w:rFonts w:cs="Times New Roman"/>
          <w:b/>
          <w:bCs/>
        </w:rPr>
        <w:t xml:space="preserve">1.1. Clinical challenges and immunotherapy needs in advanced gastric cancer </w:t>
      </w:r>
    </w:p>
    <w:p w14:paraId="25A906B8" w14:textId="4F6BE962" w:rsidR="00D86CA1" w:rsidRPr="002C6558" w:rsidRDefault="00000000" w:rsidP="002C6558">
      <w:pPr>
        <w:rPr>
          <w:rFonts w:cs="Times New Roman"/>
        </w:rPr>
      </w:pPr>
      <w:r w:rsidRPr="002C6558">
        <w:rPr>
          <w:rFonts w:cs="Times New Roman"/>
        </w:rPr>
        <w:t xml:space="preserve">Advanced gastric cancer (AGC) is characterized by high heterogeneity, concealed early symptoms, and frequent distant metastasis at diagnosis, resulting in a poor prognosis with a 5-year survival rate of less than 30%. Traditional chemotherapy regimens based on platinum and fluorouracil can provide some relief but have limited ORR and are prone to drug resistance and disease progression </w:t>
      </w:r>
      <w:r w:rsidRPr="002C6558">
        <w:rPr>
          <w:rFonts w:cs="Times New Roman"/>
          <w:vertAlign w:val="superscript"/>
        </w:rPr>
        <w:t>[1]</w:t>
      </w:r>
      <w:r w:rsidRPr="002C6558">
        <w:rPr>
          <w:rFonts w:cs="Times New Roman"/>
        </w:rPr>
        <w:t xml:space="preserve">. In recent years, with a deeper understanding of the tumor immune microenvironment, immune checkpoint inhibitors, particularly programmed death receptor-1 (PD-1) inhibitors, have been approved for second-line treatment of advanced gastric cancer and have demonstrated significant potential for survival benefits in multiple clinical trials </w:t>
      </w:r>
      <w:r w:rsidRPr="002C6558">
        <w:rPr>
          <w:rFonts w:cs="Times New Roman"/>
          <w:vertAlign w:val="superscript"/>
        </w:rPr>
        <w:t>[2]</w:t>
      </w:r>
      <w:r w:rsidRPr="002C6558">
        <w:rPr>
          <w:rFonts w:cs="Times New Roman"/>
        </w:rPr>
        <w:t>. For example, the KEYNOTE-859 Phase III clinical trial confirmed that pembrolizumab combined with chemotherapy significantly improved OS (HR</w:t>
      </w:r>
      <w:r w:rsidR="00077724">
        <w:rPr>
          <w:rFonts w:cs="Times New Roman"/>
        </w:rPr>
        <w:t xml:space="preserve"> </w:t>
      </w:r>
      <w:r w:rsidRPr="002C6558">
        <w:rPr>
          <w:rFonts w:cs="Times New Roman"/>
        </w:rPr>
        <w:t>=</w:t>
      </w:r>
      <w:r w:rsidR="00077724">
        <w:rPr>
          <w:rFonts w:cs="Times New Roman"/>
        </w:rPr>
        <w:t xml:space="preserve"> </w:t>
      </w:r>
      <w:r w:rsidRPr="002C6558">
        <w:rPr>
          <w:rFonts w:cs="Times New Roman"/>
        </w:rPr>
        <w:t xml:space="preserve">0.78, </w:t>
      </w:r>
      <w:r w:rsidRPr="002C6558">
        <w:rPr>
          <w:rFonts w:cs="Times New Roman"/>
          <w:i/>
          <w:iCs/>
        </w:rPr>
        <w:t>p</w:t>
      </w:r>
      <w:r w:rsidR="00077724">
        <w:rPr>
          <w:rFonts w:cs="Times New Roman"/>
          <w:i/>
          <w:iCs/>
        </w:rPr>
        <w:t xml:space="preserve"> </w:t>
      </w:r>
      <w:r w:rsidRPr="002C6558">
        <w:rPr>
          <w:rFonts w:cs="Times New Roman"/>
        </w:rPr>
        <w:t>&lt;</w:t>
      </w:r>
      <w:r w:rsidR="00077724">
        <w:rPr>
          <w:rFonts w:cs="Times New Roman"/>
        </w:rPr>
        <w:t xml:space="preserve"> </w:t>
      </w:r>
      <w:r w:rsidRPr="002C6558">
        <w:rPr>
          <w:rFonts w:cs="Times New Roman"/>
        </w:rPr>
        <w:t xml:space="preserve">0.0001) in previously untreated patients with locally advanced or metastatic HER2-negative gastric cancer, with manageable safety, suggesting that this combination strategy has the potential to become a first-line standard treatment </w:t>
      </w:r>
      <w:r w:rsidRPr="002C6558">
        <w:rPr>
          <w:rFonts w:cs="Times New Roman"/>
          <w:vertAlign w:val="superscript"/>
        </w:rPr>
        <w:t>[3]</w:t>
      </w:r>
      <w:r w:rsidRPr="002C6558">
        <w:rPr>
          <w:rFonts w:cs="Times New Roman"/>
        </w:rPr>
        <w:t xml:space="preserve">. These advances highlight the urgent clinical need for immunotherapy in advanced gastric cancer, especially in overcoming the limitations of traditional chemotherapy, prolonging survival, and improving quality of life. </w:t>
      </w:r>
    </w:p>
    <w:p w14:paraId="36ACA70A" w14:textId="77777777" w:rsidR="00D86CA1" w:rsidRPr="002C6558" w:rsidRDefault="00D86CA1" w:rsidP="002C6558">
      <w:pPr>
        <w:rPr>
          <w:rFonts w:cs="Times New Roman"/>
        </w:rPr>
      </w:pPr>
    </w:p>
    <w:p w14:paraId="6AFA46EE" w14:textId="77777777" w:rsidR="00D86CA1" w:rsidRPr="006A10FF" w:rsidRDefault="00000000" w:rsidP="002C6558">
      <w:pPr>
        <w:rPr>
          <w:rFonts w:cs="Times New Roman"/>
          <w:b/>
          <w:bCs/>
        </w:rPr>
      </w:pPr>
      <w:r w:rsidRPr="006A10FF">
        <w:rPr>
          <w:rFonts w:cs="Times New Roman"/>
          <w:b/>
          <w:bCs/>
        </w:rPr>
        <w:t xml:space="preserve">1.2. The central role of the PD-1/PD-L1 pathway in tumor immune escape </w:t>
      </w:r>
    </w:p>
    <w:p w14:paraId="3A975FD2" w14:textId="77777777" w:rsidR="00D86CA1" w:rsidRPr="002C6558" w:rsidRDefault="00000000" w:rsidP="002C6558">
      <w:pPr>
        <w:rPr>
          <w:rFonts w:cs="Times New Roman"/>
        </w:rPr>
      </w:pPr>
      <w:r w:rsidRPr="002C6558">
        <w:rPr>
          <w:rFonts w:cs="Times New Roman"/>
        </w:rPr>
        <w:t xml:space="preserve">The PD-1/PD-L1 signaling pathway is one of the key mechanisms by which tumors achieve immune escape. Tumor cells evade immune surveillance by overexpressing PD-L1, which binds to PD-1 on the surface of T cells, inhibiting T cell activation, proliferation, and cytotoxic function. Abnormal activation of this pathway is particularly prominent in gastric cancer. Studies have found that the IKZF4/NONO-RAB11FIP3 axis can enhance membrane surface expression of PD-L1 by promoting its endosomal recycling, thereby strengthening immunosuppressive effects; inhibiting RAB11FIP3 or IKZF4 can significantly promote CD8+ T cell infiltration and enhance their cytotoxicity, effectively inhibiting tumor progression </w:t>
      </w:r>
      <w:r w:rsidRPr="002C6558">
        <w:rPr>
          <w:rFonts w:cs="Times New Roman"/>
          <w:vertAlign w:val="superscript"/>
        </w:rPr>
        <w:t>[4]</w:t>
      </w:r>
      <w:r w:rsidRPr="002C6558">
        <w:rPr>
          <w:rFonts w:cs="Times New Roman"/>
        </w:rPr>
        <w:t xml:space="preserve">. Notably, although PD-1 monoclonal antibodies have shown significant efficacy in some patients, not all patients with high PD-L1 expression benefit, indicating that the functional regulation of this pathway is far more complex than simple protein expression and involves multiple mechanisms such as endocytic recycling, gene polymorphisms, and microenvironment interactions. Therefore, in-depth analysis of the dynamic regulatory network of the PD-1/PD-L1 pathway in gastric cancer immune escape is crucial for optimizing immunotherapy strategies. </w:t>
      </w:r>
    </w:p>
    <w:p w14:paraId="73B8D806" w14:textId="77777777" w:rsidR="00D86CA1" w:rsidRPr="002C6558" w:rsidRDefault="00D86CA1" w:rsidP="002C6558">
      <w:pPr>
        <w:rPr>
          <w:rFonts w:cs="Times New Roman"/>
        </w:rPr>
      </w:pPr>
    </w:p>
    <w:p w14:paraId="0BA43620" w14:textId="77777777" w:rsidR="00D86CA1" w:rsidRPr="006A10FF" w:rsidRDefault="00000000" w:rsidP="002C6558">
      <w:pPr>
        <w:rPr>
          <w:rFonts w:cs="Times New Roman"/>
          <w:b/>
          <w:bCs/>
        </w:rPr>
      </w:pPr>
      <w:r w:rsidRPr="006A10FF">
        <w:rPr>
          <w:rFonts w:cs="Times New Roman"/>
          <w:b/>
          <w:bCs/>
        </w:rPr>
        <w:t xml:space="preserve">1.3. The association between Th1/Th2 immune balance and antitumor efficacy </w:t>
      </w:r>
    </w:p>
    <w:p w14:paraId="5E95DC09" w14:textId="488FE139" w:rsidR="00D86CA1" w:rsidRPr="002C6558" w:rsidRDefault="00000000" w:rsidP="002C6558">
      <w:pPr>
        <w:rPr>
          <w:rFonts w:cs="Times New Roman"/>
        </w:rPr>
      </w:pPr>
      <w:r w:rsidRPr="002C6558">
        <w:rPr>
          <w:rFonts w:cs="Times New Roman"/>
        </w:rPr>
        <w:t xml:space="preserve">The polarization state of helper T cell (Th) subsets, particularly the balance between Th1 and Th2, is a core factor determining the efficacy of antitumor immune responses. Th1-type immune responses, characterized by the secretion of pro-inflammatory cytokines such as IFN-γ and TNF-α, can activate CD8+ T cells and macrophages, exerting potent antitumor effects; whereas Th2-type responses, dominated by IL-4 and IL-10, tend to induce immune tolerance and promote tumor progression. For example, in patients with advanced gastroesophageal adenocarcinoma, pembrolizumab combined with chemotherapy can induce the formation of an </w:t>
      </w:r>
      <w:r w:rsidR="00077724">
        <w:rPr>
          <w:rFonts w:cs="Times New Roman"/>
        </w:rPr>
        <w:t>“</w:t>
      </w:r>
      <w:r w:rsidRPr="002C6558">
        <w:rPr>
          <w:rFonts w:cs="Times New Roman"/>
        </w:rPr>
        <w:t>immune hub</w:t>
      </w:r>
      <w:r w:rsidR="00077724">
        <w:rPr>
          <w:rFonts w:cs="Times New Roman"/>
        </w:rPr>
        <w:t>”</w:t>
      </w:r>
      <w:r w:rsidRPr="002C6558">
        <w:rPr>
          <w:rFonts w:cs="Times New Roman"/>
        </w:rPr>
        <w:t xml:space="preserve"> in the tumor microenvironment containing CXCL13+ tumor-reactive T cells and interferon-stimulated gene programs, significantly increasing CD8+ T cell infiltration, suggesting the establishment of a Th1-dominant state </w:t>
      </w:r>
      <w:r w:rsidRPr="002C6558">
        <w:rPr>
          <w:rFonts w:cs="Times New Roman"/>
          <w:vertAlign w:val="superscript"/>
        </w:rPr>
        <w:t>[5]</w:t>
      </w:r>
      <w:r w:rsidRPr="002C6558">
        <w:rPr>
          <w:rFonts w:cs="Times New Roman"/>
        </w:rPr>
        <w:t xml:space="preserve">. Similarly, neoadjuvant chemotherapy alone can also reduce the proportion of FOXP3+ Tregs, increase CD8+ T cell levels, and be accompanied by increased TCR diversity, indicating that chemotherapy itself has the ability to reshape the Th1/Th2 balance </w:t>
      </w:r>
      <w:r w:rsidRPr="002C6558">
        <w:rPr>
          <w:rFonts w:cs="Times New Roman"/>
          <w:vertAlign w:val="superscript"/>
        </w:rPr>
        <w:t>[6]</w:t>
      </w:r>
      <w:r w:rsidRPr="002C6558">
        <w:rPr>
          <w:rFonts w:cs="Times New Roman"/>
        </w:rPr>
        <w:t>.</w:t>
      </w:r>
    </w:p>
    <w:p w14:paraId="461028CF" w14:textId="77777777" w:rsidR="00D86CA1" w:rsidRPr="002C6558" w:rsidRDefault="00D86CA1" w:rsidP="002C6558">
      <w:pPr>
        <w:rPr>
          <w:rFonts w:cs="Times New Roman"/>
        </w:rPr>
      </w:pPr>
    </w:p>
    <w:p w14:paraId="13B7BA87" w14:textId="77777777" w:rsidR="00D86CA1" w:rsidRPr="006A10FF" w:rsidRDefault="00000000" w:rsidP="002C6558">
      <w:pPr>
        <w:rPr>
          <w:rFonts w:cs="Times New Roman"/>
          <w:b/>
          <w:bCs/>
        </w:rPr>
      </w:pPr>
      <w:r w:rsidRPr="006A10FF">
        <w:rPr>
          <w:rFonts w:cs="Times New Roman"/>
          <w:b/>
          <w:bCs/>
        </w:rPr>
        <w:t xml:space="preserve">2. Clinical efficacy evaluation of PD-1 inhibitors combined with chemotherapy </w:t>
      </w:r>
    </w:p>
    <w:p w14:paraId="32C0D19B" w14:textId="77777777" w:rsidR="00D86CA1" w:rsidRPr="006A10FF" w:rsidRDefault="00000000" w:rsidP="002C6558">
      <w:pPr>
        <w:rPr>
          <w:rFonts w:cs="Times New Roman"/>
          <w:b/>
          <w:bCs/>
        </w:rPr>
      </w:pPr>
      <w:r w:rsidRPr="006A10FF">
        <w:rPr>
          <w:rFonts w:cs="Times New Roman"/>
          <w:b/>
          <w:bCs/>
        </w:rPr>
        <w:t xml:space="preserve">2.1. Clinical evidence of objective response rate and survival benefits </w:t>
      </w:r>
    </w:p>
    <w:p w14:paraId="7118EEE2" w14:textId="5BD1BBB0" w:rsidR="00D86CA1" w:rsidRPr="002C6558" w:rsidRDefault="00000000" w:rsidP="002C6558">
      <w:pPr>
        <w:rPr>
          <w:rFonts w:cs="Times New Roman"/>
        </w:rPr>
      </w:pPr>
      <w:r w:rsidRPr="002C6558">
        <w:rPr>
          <w:rFonts w:cs="Times New Roman"/>
        </w:rPr>
        <w:t xml:space="preserve">In recent years, multiple high-quality clinical studies have confirmed that PD-1 inhibitors combined with chemotherapy can significantly improve ORR and prolong patient survival in advanced gastric cancer treatment. In the </w:t>
      </w:r>
      <w:proofErr w:type="spellStart"/>
      <w:r w:rsidRPr="002C6558">
        <w:rPr>
          <w:rFonts w:cs="Times New Roman"/>
        </w:rPr>
        <w:t>CheckMate</w:t>
      </w:r>
      <w:proofErr w:type="spellEnd"/>
      <w:r w:rsidRPr="002C6558">
        <w:rPr>
          <w:rFonts w:cs="Times New Roman"/>
        </w:rPr>
        <w:t xml:space="preserve"> 649 study, nivolumab combined with chemotherapy significantly improved OS and PFS in patients with a PD-L1 combined positive score (CPS) ≥5, establishing this regimen as a first-line standard treatment </w:t>
      </w:r>
      <w:r w:rsidRPr="002C6558">
        <w:rPr>
          <w:rFonts w:cs="Times New Roman"/>
          <w:vertAlign w:val="superscript"/>
        </w:rPr>
        <w:t>[7]</w:t>
      </w:r>
      <w:r w:rsidRPr="002C6558">
        <w:rPr>
          <w:rFonts w:cs="Times New Roman"/>
        </w:rPr>
        <w:t xml:space="preserve">. In a randomized, double-blind, placebo-controlled Phase III clinical trial conducted in China (NCT03745170), </w:t>
      </w:r>
      <w:proofErr w:type="spellStart"/>
      <w:r w:rsidRPr="002C6558">
        <w:rPr>
          <w:rFonts w:cs="Times New Roman"/>
        </w:rPr>
        <w:t>cemiplimab</w:t>
      </w:r>
      <w:proofErr w:type="spellEnd"/>
      <w:r w:rsidRPr="002C6558">
        <w:rPr>
          <w:rFonts w:cs="Times New Roman"/>
        </w:rPr>
        <w:t xml:space="preserve"> combined with XELOX chemotherapy significantly improved median OS in patients with unresectable locally advanced or metastatic gastric/gastroesophageal junction cancer (overall population: 15.2 months vs 12.3 months, HR 0.77; PD-L1 CPS</w:t>
      </w:r>
      <w:r w:rsidR="00077724">
        <w:rPr>
          <w:rFonts w:cs="Times New Roman"/>
        </w:rPr>
        <w:t xml:space="preserve"> </w:t>
      </w:r>
      <w:r w:rsidRPr="002C6558">
        <w:rPr>
          <w:rFonts w:cs="Times New Roman"/>
        </w:rPr>
        <w:t>≥</w:t>
      </w:r>
      <w:r w:rsidR="00077724">
        <w:rPr>
          <w:rFonts w:cs="Times New Roman"/>
        </w:rPr>
        <w:t xml:space="preserve"> </w:t>
      </w:r>
      <w:r w:rsidRPr="002C6558">
        <w:rPr>
          <w:rFonts w:cs="Times New Roman"/>
        </w:rPr>
        <w:t xml:space="preserve">5 subgroup: 18.4 months vs 12.9 months, HR 0.66) </w:t>
      </w:r>
      <w:r w:rsidRPr="002C6558">
        <w:rPr>
          <w:rFonts w:cs="Times New Roman"/>
          <w:vertAlign w:val="superscript"/>
        </w:rPr>
        <w:t>[8]</w:t>
      </w:r>
      <w:r w:rsidRPr="002C6558">
        <w:rPr>
          <w:rFonts w:cs="Times New Roman"/>
        </w:rPr>
        <w:t xml:space="preserve">. In patients with HER2-negative unresectable advanced or metastatic gastric cancer, a Phase 1b/2 study showed that </w:t>
      </w:r>
      <w:proofErr w:type="spellStart"/>
      <w:r w:rsidRPr="002C6558">
        <w:rPr>
          <w:rFonts w:cs="Times New Roman"/>
        </w:rPr>
        <w:t>cadonilimab</w:t>
      </w:r>
      <w:proofErr w:type="spellEnd"/>
      <w:r w:rsidRPr="002C6558">
        <w:rPr>
          <w:rFonts w:cs="Times New Roman"/>
        </w:rPr>
        <w:t xml:space="preserve"> combined with chemotherapy achieved an ORR of 52.1% (95% CI 41.6–62.5) and a median OS of 17.48 months (95% CI 12.35–26.55), with even higher values of 20.32 months in patients with PD-L1 CPS</w:t>
      </w:r>
      <w:r w:rsidR="00077724">
        <w:rPr>
          <w:rFonts w:cs="Times New Roman"/>
        </w:rPr>
        <w:t xml:space="preserve"> </w:t>
      </w:r>
      <w:r w:rsidRPr="002C6558">
        <w:rPr>
          <w:rFonts w:cs="Times New Roman"/>
        </w:rPr>
        <w:t>≥</w:t>
      </w:r>
      <w:r w:rsidR="00077724">
        <w:rPr>
          <w:rFonts w:cs="Times New Roman"/>
        </w:rPr>
        <w:t xml:space="preserve"> </w:t>
      </w:r>
      <w:r w:rsidRPr="002C6558">
        <w:rPr>
          <w:rFonts w:cs="Times New Roman"/>
        </w:rPr>
        <w:t xml:space="preserve">5 </w:t>
      </w:r>
      <w:r w:rsidRPr="002C6558">
        <w:rPr>
          <w:rFonts w:cs="Times New Roman"/>
          <w:vertAlign w:val="superscript"/>
        </w:rPr>
        <w:t>[9]</w:t>
      </w:r>
      <w:r w:rsidRPr="002C6558">
        <w:rPr>
          <w:rFonts w:cs="Times New Roman"/>
        </w:rPr>
        <w:t xml:space="preserve">. For HER2-positive patients, the KEYNOTE-811 study confirmed that adding pembrolizumab to trastuzumab combined with chemotherapy significantly improved ORR and induced partial complete responses </w:t>
      </w:r>
      <w:r w:rsidRPr="002C6558">
        <w:rPr>
          <w:rFonts w:cs="Times New Roman"/>
          <w:vertAlign w:val="superscript"/>
        </w:rPr>
        <w:t>[10]</w:t>
      </w:r>
      <w:r w:rsidRPr="002C6558">
        <w:rPr>
          <w:rFonts w:cs="Times New Roman"/>
        </w:rPr>
        <w:t xml:space="preserve">. These data collectively indicate that PD-1 inhibitors combined with chemotherapy not only enhance tumor regression but also translate into statistically and clinically significant survival advantages. </w:t>
      </w:r>
    </w:p>
    <w:p w14:paraId="42001E07" w14:textId="77777777" w:rsidR="00D86CA1" w:rsidRPr="002C6558" w:rsidRDefault="00D86CA1" w:rsidP="002C6558">
      <w:pPr>
        <w:rPr>
          <w:rFonts w:cs="Times New Roman"/>
        </w:rPr>
      </w:pPr>
    </w:p>
    <w:p w14:paraId="16A86F1C" w14:textId="77777777" w:rsidR="00D86CA1" w:rsidRPr="006A10FF" w:rsidRDefault="00000000" w:rsidP="002C6558">
      <w:pPr>
        <w:rPr>
          <w:rFonts w:cs="Times New Roman"/>
          <w:b/>
          <w:bCs/>
        </w:rPr>
      </w:pPr>
      <w:r w:rsidRPr="006A10FF">
        <w:rPr>
          <w:rFonts w:cs="Times New Roman"/>
          <w:b/>
          <w:bCs/>
        </w:rPr>
        <w:t xml:space="preserve">2.2. Comparative efficacy studies with traditional chemotherapy regimens </w:t>
      </w:r>
    </w:p>
    <w:p w14:paraId="015DDADE" w14:textId="05954A40" w:rsidR="00D86CA1" w:rsidRPr="002C6558" w:rsidRDefault="00000000" w:rsidP="002C6558">
      <w:pPr>
        <w:rPr>
          <w:rFonts w:cs="Times New Roman"/>
        </w:rPr>
      </w:pPr>
      <w:r w:rsidRPr="002C6558">
        <w:rPr>
          <w:rFonts w:cs="Times New Roman"/>
        </w:rPr>
        <w:t xml:space="preserve">In the Chinese population, the </w:t>
      </w:r>
      <w:proofErr w:type="spellStart"/>
      <w:r w:rsidRPr="002C6558">
        <w:rPr>
          <w:rFonts w:cs="Times New Roman"/>
        </w:rPr>
        <w:t>cemiplimab</w:t>
      </w:r>
      <w:proofErr w:type="spellEnd"/>
      <w:r w:rsidRPr="002C6558">
        <w:rPr>
          <w:rFonts w:cs="Times New Roman"/>
        </w:rPr>
        <w:t xml:space="preserve"> combined with XELOX regimen also demonstrated superior OS benefits compared to placebo combined with chemotherapy. Notably, even in the overall population without biomarker screening, PD-1 inhibitors combined with chemotherapy can still provide survival benefits. For example, global multicenter observational data and clinical practice guidelines indicate that for patients with advanced gastric cancer expressing PD-L1, combination therapy can prolong survival by approximately 3 months compared to chemotherapy alone </w:t>
      </w:r>
      <w:r w:rsidRPr="002C6558">
        <w:rPr>
          <w:rFonts w:cs="Times New Roman"/>
          <w:vertAlign w:val="superscript"/>
        </w:rPr>
        <w:t>[11]</w:t>
      </w:r>
      <w:r w:rsidRPr="002C6558">
        <w:rPr>
          <w:rFonts w:cs="Times New Roman"/>
        </w:rPr>
        <w:t xml:space="preserve">. In addition, anti-PD-1 combined with chemotherapy has been recommended as a first-line treatment option for unselected advanced gastric/gastroesophageal junction adenocarcinoma, reflecting its broad applicability and superiority over traditional chemotherapy </w:t>
      </w:r>
      <w:r w:rsidRPr="002C6558">
        <w:rPr>
          <w:rFonts w:cs="Times New Roman"/>
          <w:vertAlign w:val="superscript"/>
        </w:rPr>
        <w:t>[12]</w:t>
      </w:r>
      <w:r w:rsidRPr="002C6558">
        <w:rPr>
          <w:rFonts w:cs="Times New Roman"/>
        </w:rPr>
        <w:t xml:space="preserve">. However, not all combination regimens involving immune checkpoint inhibitors can surpass chemotherapy alone. For example, in the PRODIGE 59-FFCD 1707-DURIGAST study, FOLFIRI combined with durvalumab (a PD-L1 inhibitor) or further combined with </w:t>
      </w:r>
      <w:proofErr w:type="spellStart"/>
      <w:r w:rsidRPr="002C6558">
        <w:rPr>
          <w:rFonts w:cs="Times New Roman"/>
        </w:rPr>
        <w:t>tremelimumab</w:t>
      </w:r>
      <w:proofErr w:type="spellEnd"/>
      <w:r w:rsidRPr="002C6558">
        <w:rPr>
          <w:rFonts w:cs="Times New Roman"/>
        </w:rPr>
        <w:t xml:space="preserve"> (a CTLA-4 inhibitor) was used in patients who progressed after platinum-based chemotherapy. Although some PFS advantages were observed in the PD-L1 TPS</w:t>
      </w:r>
      <w:r w:rsidR="00077724">
        <w:rPr>
          <w:rFonts w:cs="Times New Roman"/>
        </w:rPr>
        <w:t xml:space="preserve"> </w:t>
      </w:r>
      <w:r w:rsidRPr="002C6558">
        <w:rPr>
          <w:rFonts w:cs="Times New Roman"/>
        </w:rPr>
        <w:t>≥</w:t>
      </w:r>
      <w:r w:rsidR="00077724">
        <w:rPr>
          <w:rFonts w:cs="Times New Roman"/>
        </w:rPr>
        <w:t xml:space="preserve"> </w:t>
      </w:r>
      <w:r w:rsidRPr="002C6558">
        <w:rPr>
          <w:rFonts w:cs="Times New Roman"/>
        </w:rPr>
        <w:t xml:space="preserve">1% subgroup, the overall study did not meet the primary endpoint, suggesting that simply adding immunotherapy in second-line or later treatment may not replicate the benefits of first-line combination therapy </w:t>
      </w:r>
      <w:r w:rsidRPr="002C6558">
        <w:rPr>
          <w:rFonts w:cs="Times New Roman"/>
          <w:vertAlign w:val="superscript"/>
        </w:rPr>
        <w:t>[13]</w:t>
      </w:r>
      <w:r w:rsidRPr="002C6558">
        <w:rPr>
          <w:rFonts w:cs="Times New Roman"/>
        </w:rPr>
        <w:t xml:space="preserve">. This highlights the critical impact of treatment line, patient selection, and drug combination on efficacy. </w:t>
      </w:r>
    </w:p>
    <w:p w14:paraId="7AF1FE4A" w14:textId="77777777" w:rsidR="00D86CA1" w:rsidRPr="002C6558" w:rsidRDefault="00D86CA1" w:rsidP="002C6558">
      <w:pPr>
        <w:rPr>
          <w:rFonts w:cs="Times New Roman"/>
        </w:rPr>
      </w:pPr>
    </w:p>
    <w:p w14:paraId="2D64C6F0" w14:textId="77777777" w:rsidR="00D86CA1" w:rsidRPr="006A10FF" w:rsidRDefault="00000000" w:rsidP="002C6558">
      <w:pPr>
        <w:rPr>
          <w:rFonts w:cs="Times New Roman"/>
          <w:b/>
          <w:bCs/>
        </w:rPr>
      </w:pPr>
      <w:r w:rsidRPr="006A10FF">
        <w:rPr>
          <w:rFonts w:cs="Times New Roman"/>
          <w:b/>
          <w:bCs/>
        </w:rPr>
        <w:t xml:space="preserve">2.3. Efficacy differences among different combination regimens (e.g., DCF regimen) </w:t>
      </w:r>
    </w:p>
    <w:p w14:paraId="417FF8F8" w14:textId="7C1B5F38" w:rsidR="00D86CA1" w:rsidRPr="002C6558" w:rsidRDefault="00000000" w:rsidP="002C6558">
      <w:pPr>
        <w:rPr>
          <w:rFonts w:cs="Times New Roman"/>
        </w:rPr>
      </w:pPr>
      <w:r w:rsidRPr="002C6558">
        <w:rPr>
          <w:rFonts w:cs="Times New Roman"/>
        </w:rPr>
        <w:t xml:space="preserve">Currently, research data on the efficacy differences between PD-1 inhibitors combined with different chemotherapy backbones (such as FLOT, SOX, XELOX, DCF, etc.) are insufficient, but preliminary explorations have been conducted. A Phase II study (NEOSUMMIT-01) using </w:t>
      </w:r>
      <w:proofErr w:type="spellStart"/>
      <w:r w:rsidRPr="002C6558">
        <w:rPr>
          <w:rFonts w:cs="Times New Roman"/>
        </w:rPr>
        <w:t>toripalimab</w:t>
      </w:r>
      <w:proofErr w:type="spellEnd"/>
      <w:r w:rsidRPr="002C6558">
        <w:rPr>
          <w:rFonts w:cs="Times New Roman"/>
        </w:rPr>
        <w:t xml:space="preserve"> combined with oxaliplatin-based perioperative chemotherapy significantly improved the TRG 0/1 rate (44.4% vs 20.4%, </w:t>
      </w:r>
      <w:r w:rsidRPr="002C6558">
        <w:rPr>
          <w:rFonts w:cs="Times New Roman"/>
          <w:i/>
          <w:iCs/>
        </w:rPr>
        <w:t>P</w:t>
      </w:r>
      <w:r w:rsidR="00077724">
        <w:rPr>
          <w:rFonts w:cs="Times New Roman"/>
          <w:i/>
          <w:iCs/>
        </w:rPr>
        <w:t xml:space="preserve"> </w:t>
      </w:r>
      <w:r w:rsidRPr="002C6558">
        <w:rPr>
          <w:rFonts w:cs="Times New Roman"/>
        </w:rPr>
        <w:t>=</w:t>
      </w:r>
      <w:r w:rsidR="00077724">
        <w:rPr>
          <w:rFonts w:cs="Times New Roman"/>
        </w:rPr>
        <w:t xml:space="preserve"> </w:t>
      </w:r>
      <w:r w:rsidRPr="002C6558">
        <w:rPr>
          <w:rFonts w:cs="Times New Roman"/>
        </w:rPr>
        <w:t xml:space="preserve">0.009) </w:t>
      </w:r>
      <w:r w:rsidRPr="002C6558">
        <w:rPr>
          <w:rFonts w:cs="Times New Roman"/>
          <w:vertAlign w:val="superscript"/>
        </w:rPr>
        <w:t>[14]</w:t>
      </w:r>
      <w:r w:rsidRPr="002C6558">
        <w:rPr>
          <w:rFonts w:cs="Times New Roman"/>
        </w:rPr>
        <w:t xml:space="preserve">. </w:t>
      </w:r>
    </w:p>
    <w:p w14:paraId="7B8ABC36" w14:textId="2139C1FF" w:rsidR="00AE1784" w:rsidRDefault="00AE1784" w:rsidP="00077724">
      <w:pPr>
        <w:ind w:firstLine="420"/>
        <w:rPr>
          <w:rFonts w:cs="Times New Roman"/>
        </w:rPr>
      </w:pPr>
      <w:r>
        <w:rPr>
          <w:rFonts w:cs="Times New Roman"/>
        </w:rPr>
        <w:t xml:space="preserve">In China, the SOX regimen (S-1 combined with oxaliplatin) as perioperative chemotherapy has been shown to be non-inferior to FOLFOX (3-year OS rate 75.2% vs 67.8%) [15], suggesting that oxaliplatin-containing regimens are well tolerated and effective in the Asian population and may provide an ideal backbone for PD-1 inhibitor combinations. In addition, neoadjuvant/conversion therapy with </w:t>
      </w:r>
      <w:proofErr w:type="spellStart"/>
      <w:r>
        <w:rPr>
          <w:rFonts w:cs="Times New Roman"/>
        </w:rPr>
        <w:t>camrelizumab</w:t>
      </w:r>
      <w:proofErr w:type="spellEnd"/>
      <w:r>
        <w:rPr>
          <w:rFonts w:cs="Times New Roman"/>
        </w:rPr>
        <w:t xml:space="preserve"> combined with </w:t>
      </w:r>
      <w:proofErr w:type="spellStart"/>
      <w:r>
        <w:rPr>
          <w:rFonts w:cs="Times New Roman"/>
        </w:rPr>
        <w:t>apatinib</w:t>
      </w:r>
      <w:proofErr w:type="spellEnd"/>
      <w:r>
        <w:rPr>
          <w:rFonts w:cs="Times New Roman"/>
        </w:rPr>
        <w:t xml:space="preserve"> and S-1±oxaliplatin achieved a </w:t>
      </w:r>
      <w:proofErr w:type="spellStart"/>
      <w:r>
        <w:rPr>
          <w:rFonts w:cs="Times New Roman"/>
        </w:rPr>
        <w:t>pCR</w:t>
      </w:r>
      <w:proofErr w:type="spellEnd"/>
      <w:r>
        <w:rPr>
          <w:rFonts w:cs="Times New Roman"/>
        </w:rPr>
        <w:t xml:space="preserve"> rate of 15.8% in locally advanced gastric cancer with cT4a/</w:t>
      </w:r>
      <w:proofErr w:type="spellStart"/>
      <w:r>
        <w:rPr>
          <w:rFonts w:cs="Times New Roman"/>
        </w:rPr>
        <w:t>bN</w:t>
      </w:r>
      <w:proofErr w:type="spellEnd"/>
      <w:r>
        <w:rPr>
          <w:rFonts w:cs="Times New Roman"/>
        </w:rPr>
        <w:t>+, and efficacy was associated with microsatellite instability (MSI), PD-L1 expression, and tumor mutation burden [16].</w:t>
      </w:r>
    </w:p>
    <w:p w14:paraId="1CD4042E" w14:textId="08D4BF7F" w:rsidR="00D86CA1" w:rsidRPr="002C6558" w:rsidRDefault="00AE1784" w:rsidP="006A10FF">
      <w:pPr>
        <w:ind w:firstLine="420"/>
        <w:rPr>
          <w:rFonts w:cs="Times New Roman"/>
        </w:rPr>
      </w:pPr>
      <w:r>
        <w:rPr>
          <w:rFonts w:cs="Times New Roman"/>
        </w:rPr>
        <w:t xml:space="preserve">Although DCF (docetaxel + cisplatin + 5-FU) is an effective chemotherapy regimen for advanced gastric cancer, no large-scale studies have specifically evaluated the efficacy of PD-1 inhibitors combined with DCF in gastric cancer. Current evidence mostly focuses on FLOT, XELOX, or oxaliplatin/fluorouracil-containing regimens. Notably, in the KEYNOTE-585 study, pembrolizumab combined with platinum-based doublet chemotherapy (usually 5-FU + cisplatin or capecitabine + oxaliplatin) significantly improved the </w:t>
      </w:r>
      <w:proofErr w:type="spellStart"/>
      <w:r>
        <w:rPr>
          <w:rFonts w:cs="Times New Roman"/>
        </w:rPr>
        <w:t>pCR</w:t>
      </w:r>
      <w:proofErr w:type="spellEnd"/>
      <w:r>
        <w:rPr>
          <w:rFonts w:cs="Times New Roman"/>
        </w:rPr>
        <w:t xml:space="preserve"> rate (12.9% vs 2.0%, P &lt; 0.00001) and prolonged event-free survival in neoadjuvant/adjuvant treatment [17]. This suggests that platinum-based doublet chemotherapy backbones have synergistic potential when combined with PD-1 inhibitors, but the choice of specific regimens needs to consider efficacy, toxicity, and regional medication habits. </w:t>
      </w:r>
    </w:p>
    <w:p w14:paraId="47345803" w14:textId="3FD4169F" w:rsidR="00D86CA1" w:rsidRPr="002C6558" w:rsidRDefault="00000000" w:rsidP="006A10FF">
      <w:pPr>
        <w:ind w:firstLine="420"/>
        <w:rPr>
          <w:rFonts w:cs="Times New Roman"/>
        </w:rPr>
      </w:pPr>
      <w:r w:rsidRPr="002C6558">
        <w:rPr>
          <w:rFonts w:cs="Times New Roman"/>
        </w:rPr>
        <w:t xml:space="preserve">In summary, PD-1 inhibitors combined with different chemotherapy regimens have shown superior clinical benefits compared to chemotherapy alone, with the most substantial evidence supporting regimens based on platinum-based doublets (such as XELOX and FLOT). Future head-to-head comparative studies are needed </w:t>
      </w:r>
      <w:r w:rsidR="009F2252">
        <w:rPr>
          <w:rFonts w:cs="Times New Roman"/>
        </w:rPr>
        <w:t>to identify the optimal chemotherapy backbone further</w:t>
      </w:r>
      <w:r w:rsidRPr="002C6558">
        <w:rPr>
          <w:rFonts w:cs="Times New Roman"/>
        </w:rPr>
        <w:t xml:space="preserve"> to achieve a balance between maximizing efficacy and minimizing toxicity.</w:t>
      </w:r>
    </w:p>
    <w:p w14:paraId="2007457A" w14:textId="77777777" w:rsidR="00D86CA1" w:rsidRPr="002C6558" w:rsidRDefault="00D86CA1" w:rsidP="006A10FF">
      <w:pPr>
        <w:rPr>
          <w:rFonts w:cs="Times New Roman"/>
        </w:rPr>
      </w:pPr>
    </w:p>
    <w:p w14:paraId="596326F8" w14:textId="77777777" w:rsidR="00D86CA1" w:rsidRPr="006A10FF" w:rsidRDefault="00000000" w:rsidP="002C6558">
      <w:pPr>
        <w:rPr>
          <w:rFonts w:cs="Times New Roman"/>
          <w:b/>
          <w:bCs/>
        </w:rPr>
      </w:pPr>
      <w:r w:rsidRPr="006A10FF">
        <w:rPr>
          <w:rFonts w:cs="Times New Roman"/>
          <w:b/>
          <w:bCs/>
        </w:rPr>
        <w:t>3. Regulatory mechanisms of Th1/Th2 immune balance</w:t>
      </w:r>
    </w:p>
    <w:p w14:paraId="5082D3AF" w14:textId="77777777" w:rsidR="00D86CA1" w:rsidRPr="006A10FF" w:rsidRDefault="00000000" w:rsidP="002C6558">
      <w:pPr>
        <w:rPr>
          <w:rFonts w:cs="Times New Roman"/>
          <w:b/>
          <w:bCs/>
        </w:rPr>
      </w:pPr>
      <w:r w:rsidRPr="006A10FF">
        <w:rPr>
          <w:rFonts w:cs="Times New Roman"/>
          <w:b/>
          <w:bCs/>
        </w:rPr>
        <w:lastRenderedPageBreak/>
        <w:t>3.1. Differentiation and functional characteristics of Th1/Th2 cells</w:t>
      </w:r>
    </w:p>
    <w:p w14:paraId="2D4F0781" w14:textId="77777777" w:rsidR="00D86CA1" w:rsidRPr="002C6558" w:rsidRDefault="00000000" w:rsidP="002C6558">
      <w:pPr>
        <w:rPr>
          <w:rFonts w:cs="Times New Roman"/>
        </w:rPr>
      </w:pPr>
      <w:r w:rsidRPr="002C6558">
        <w:rPr>
          <w:rFonts w:cs="Times New Roman"/>
        </w:rPr>
        <w:t xml:space="preserve">Helper T cells (Th) can be divided into two major subsets, Th1 and Th2, based on their cytokine profiles and functions. These subsets play distinct roles in anti-tumor immunity. Th1 cells primarily secrete interferon-gamma (IFN-γ), interleukin-2 (IL-2), and tumor necrosis factor-beta (TNF-β), promoting cellular immune responses and activating macrophages and cytotoxic CD8⁺ T cells, thereby enhancing the clearance of tumor cells. Conversely, Th2 cells predominantly produce cytokines such as IL-4, IL-5, IL-6, and IL-10, which tend to induce humoral immune responses and, in certain contexts, suppress Th1-mediated anti-tumor effects, even promoting tumor immune evasion </w:t>
      </w:r>
      <w:r w:rsidRPr="002C6558">
        <w:rPr>
          <w:rFonts w:cs="Times New Roman"/>
          <w:vertAlign w:val="superscript"/>
        </w:rPr>
        <w:t>[18]</w:t>
      </w:r>
      <w:r w:rsidRPr="002C6558">
        <w:rPr>
          <w:rFonts w:cs="Times New Roman"/>
        </w:rPr>
        <w:t xml:space="preserve">. In the tumor microenvironment, shifts in the Th1/Th2 balance directly influence the efficacy of immunotherapy: a Th1-dominant state is generally associated with favorable anti-tumor responses, whereas a Th2-dominant state often correlates with immune suppression and disease progression. For instance, in patients with advanced gastric cancer, elevated levels of Th2-type cytokines such as IL-4, IL-6, and IL-10 are associated with small intestinal injury and activation of inflammatory pathways, suggesting that Th2 polarization may exacerbate immune imbalance </w:t>
      </w:r>
      <w:r w:rsidRPr="002C6558">
        <w:rPr>
          <w:rFonts w:cs="Times New Roman"/>
          <w:vertAlign w:val="superscript"/>
        </w:rPr>
        <w:t>[21]</w:t>
      </w:r>
      <w:r w:rsidRPr="002C6558">
        <w:rPr>
          <w:rFonts w:cs="Times New Roman"/>
        </w:rPr>
        <w:t>.</w:t>
      </w:r>
    </w:p>
    <w:p w14:paraId="293CC789" w14:textId="77777777" w:rsidR="00D86CA1" w:rsidRPr="002C6558" w:rsidRDefault="00D86CA1" w:rsidP="002C6558">
      <w:pPr>
        <w:rPr>
          <w:rFonts w:cs="Times New Roman"/>
        </w:rPr>
      </w:pPr>
    </w:p>
    <w:p w14:paraId="2C8F1415" w14:textId="77777777" w:rsidR="00D86CA1" w:rsidRPr="006A10FF" w:rsidRDefault="00000000" w:rsidP="002C6558">
      <w:pPr>
        <w:rPr>
          <w:rFonts w:cs="Times New Roman"/>
          <w:b/>
          <w:bCs/>
        </w:rPr>
      </w:pPr>
      <w:r w:rsidRPr="006A10FF">
        <w:rPr>
          <w:rFonts w:cs="Times New Roman"/>
          <w:b/>
          <w:bCs/>
        </w:rPr>
        <w:t>3.2. Impact of PD-1 signaling on Th1/Th2 polarization</w:t>
      </w:r>
    </w:p>
    <w:p w14:paraId="5971CFCA" w14:textId="77777777" w:rsidR="00D86CA1" w:rsidRPr="002C6558" w:rsidRDefault="00000000" w:rsidP="002C6558">
      <w:pPr>
        <w:rPr>
          <w:rFonts w:cs="Times New Roman"/>
        </w:rPr>
      </w:pPr>
      <w:r w:rsidRPr="002C6558">
        <w:rPr>
          <w:rFonts w:cs="Times New Roman"/>
        </w:rPr>
        <w:t xml:space="preserve">The PD-1/PD-L1 signaling pathway not only directly inhibits T cell activation but may also influence the Th1/Th2 immune balance by regulating Th cell polarization. Although existing literature does not explicitly describe the direct regulatory mechanisms of PD-1 signaling on Th1/Th2 differentiation, multiple indirect lines of evidence support its crucial role in this process. For example, in untreated patients with metastatic melanoma, baseline levels of Th1 cytokines (e.g., IFN-γ) are significantly lower than those in healthy controls, whereas responders to PD-1 inhibitor therapy exhibit a marked increase in IFN-γ levels by week 6, suggesting that PD-1 blockade promotes Th1 polarization </w:t>
      </w:r>
      <w:r w:rsidRPr="002C6558">
        <w:rPr>
          <w:rFonts w:cs="Times New Roman"/>
          <w:vertAlign w:val="superscript"/>
        </w:rPr>
        <w:t>[19]</w:t>
      </w:r>
      <w:r w:rsidRPr="002C6558">
        <w:rPr>
          <w:rFonts w:cs="Times New Roman"/>
        </w:rPr>
        <w:t xml:space="preserve">. In advanced gastric cancer, the IKZF4/NONO-RAB11FIP3 axis mediates immune evasion by enhancing PD-L1 membrane expression, while inhibiting this axis increases CD8⁺ T cell infiltration and promotes T cell proliferation, indirectly supporting the restoration of Th1-type immune responses. Notably, in the gastric cancer microenvironment, lactate accumulation can upregulate PD-1 expression on regulatory T cells (Tregs), causing PD-1 inhibitors to preferentially activate immunosuppressive Tregs rather than effector T cells, potentially weakening Th1 responses </w:t>
      </w:r>
      <w:r w:rsidRPr="002C6558">
        <w:rPr>
          <w:rFonts w:cs="Times New Roman"/>
          <w:vertAlign w:val="superscript"/>
        </w:rPr>
        <w:t>[20]</w:t>
      </w:r>
      <w:r w:rsidRPr="002C6558">
        <w:rPr>
          <w:rFonts w:cs="Times New Roman"/>
        </w:rPr>
        <w:t>. This suggests that the impact of PD-1 signaling on the Th1/Th2 balance is highly dependent on the metabolic state of the microenvironment.</w:t>
      </w:r>
    </w:p>
    <w:p w14:paraId="0120D7DC" w14:textId="77777777" w:rsidR="00D86CA1" w:rsidRPr="002C6558" w:rsidRDefault="00D86CA1" w:rsidP="002C6558">
      <w:pPr>
        <w:rPr>
          <w:rFonts w:cs="Times New Roman"/>
        </w:rPr>
      </w:pPr>
    </w:p>
    <w:p w14:paraId="2A66516A" w14:textId="77777777" w:rsidR="00D86CA1" w:rsidRPr="006A10FF" w:rsidRDefault="00000000" w:rsidP="002C6558">
      <w:pPr>
        <w:rPr>
          <w:rFonts w:cs="Times New Roman"/>
          <w:b/>
          <w:bCs/>
        </w:rPr>
      </w:pPr>
      <w:r w:rsidRPr="006A10FF">
        <w:rPr>
          <w:rFonts w:cs="Times New Roman"/>
          <w:b/>
          <w:bCs/>
        </w:rPr>
        <w:t>3.3. Dynamic changes in key cytokines (IFN-γ, IL-4, etc.)</w:t>
      </w:r>
    </w:p>
    <w:p w14:paraId="68A5CE59" w14:textId="77777777" w:rsidR="00D86CA1" w:rsidRPr="002C6558" w:rsidRDefault="00000000" w:rsidP="002C6558">
      <w:pPr>
        <w:rPr>
          <w:rFonts w:cs="Times New Roman"/>
        </w:rPr>
      </w:pPr>
      <w:r w:rsidRPr="002C6558">
        <w:rPr>
          <w:rFonts w:cs="Times New Roman"/>
        </w:rPr>
        <w:t>IFN-γ and IL-4, as core effector molecules of Th1 and Th2 responses, respectively, serve as important indicators for assessing the Th1/Th2 balance during immunotherapy. In the context of PD-1 inhibitor therapy, elevated IFN-</w:t>
      </w:r>
      <w:proofErr w:type="spellStart"/>
      <w:r w:rsidRPr="002C6558">
        <w:rPr>
          <w:rFonts w:cs="Times New Roman"/>
        </w:rPr>
        <w:t>γlevels</w:t>
      </w:r>
      <w:proofErr w:type="spellEnd"/>
      <w:r w:rsidRPr="002C6558">
        <w:rPr>
          <w:rFonts w:cs="Times New Roman"/>
        </w:rPr>
        <w:t xml:space="preserve"> typically correlate positively with treatment response. Various intervention strategies can enhance IFN-</w:t>
      </w:r>
      <w:proofErr w:type="spellStart"/>
      <w:r w:rsidRPr="002C6558">
        <w:rPr>
          <w:rFonts w:cs="Times New Roman"/>
        </w:rPr>
        <w:t>γproduction</w:t>
      </w:r>
      <w:proofErr w:type="spellEnd"/>
      <w:r w:rsidRPr="002C6558">
        <w:rPr>
          <w:rFonts w:cs="Times New Roman"/>
        </w:rPr>
        <w:t>: for example, FX-11@PEG-Ce6 promotes CD8⁺T cell secretion of IFN-</w:t>
      </w:r>
      <w:proofErr w:type="spellStart"/>
      <w:r w:rsidRPr="002C6558">
        <w:rPr>
          <w:rFonts w:cs="Times New Roman"/>
        </w:rPr>
        <w:t>γby</w:t>
      </w:r>
      <w:proofErr w:type="spellEnd"/>
      <w:r w:rsidRPr="002C6558">
        <w:rPr>
          <w:rFonts w:cs="Times New Roman"/>
        </w:rPr>
        <w:t xml:space="preserve"> alleviating tumor microenvironment acidity, synergistically enhancing anti-PD-1 efficacy </w:t>
      </w:r>
      <w:r w:rsidRPr="002C6558">
        <w:rPr>
          <w:rFonts w:cs="Times New Roman"/>
          <w:vertAlign w:val="superscript"/>
        </w:rPr>
        <w:t>[21]</w:t>
      </w:r>
      <w:r w:rsidRPr="002C6558">
        <w:rPr>
          <w:rFonts w:cs="Times New Roman"/>
        </w:rPr>
        <w:t xml:space="preserve">; high expression of MFSD2A reduces T cell exhaustion by inhibiting the COX2-prostaglandin-TGFβ1 axis, thereby improving IFN-γ secretion capacity </w:t>
      </w:r>
      <w:r w:rsidRPr="002C6558">
        <w:rPr>
          <w:rFonts w:cs="Times New Roman"/>
          <w:vertAlign w:val="superscript"/>
        </w:rPr>
        <w:t>[22]</w:t>
      </w:r>
      <w:r w:rsidRPr="002C6558">
        <w:rPr>
          <w:rFonts w:cs="Times New Roman"/>
        </w:rPr>
        <w:t xml:space="preserve">. Conversely, elevated levels of Th2-type cytokines such as IL-4 are often associated with poor prognosis. The REGOMUNE study found that in patients with advanced gastric cancer who did not respond to regorafenib combined with avelumab, peripheral blood IL-4 levels were significantly elevated, accompanied by increased infiltration of M2 macrophages, suggesting that a Th2-type inflammatory environment may drive immunotherapy resistance </w:t>
      </w:r>
      <w:r w:rsidRPr="002C6558">
        <w:rPr>
          <w:rFonts w:cs="Times New Roman"/>
          <w:vertAlign w:val="superscript"/>
        </w:rPr>
        <w:t>[23]</w:t>
      </w:r>
      <w:r w:rsidRPr="002C6558">
        <w:rPr>
          <w:rFonts w:cs="Times New Roman"/>
        </w:rPr>
        <w:t>. Therefore, monitoring the dynamic changes in cytokines such as IFN-γ and IL-4 not only helps assess the Th1/Th2 balance but also serves as a potential biomarker for predicting the efficacy of PD-1 inhibitors combined with chemotherapy.</w:t>
      </w:r>
    </w:p>
    <w:p w14:paraId="1FABB13A" w14:textId="77777777" w:rsidR="00D86CA1" w:rsidRPr="002C6558" w:rsidRDefault="00D86CA1" w:rsidP="002C6558">
      <w:pPr>
        <w:rPr>
          <w:rFonts w:cs="Times New Roman"/>
        </w:rPr>
      </w:pPr>
    </w:p>
    <w:p w14:paraId="0D6A7B54" w14:textId="77777777" w:rsidR="00D86CA1" w:rsidRPr="006A10FF" w:rsidRDefault="00000000" w:rsidP="002C6558">
      <w:pPr>
        <w:rPr>
          <w:rFonts w:cs="Times New Roman"/>
          <w:b/>
          <w:bCs/>
        </w:rPr>
      </w:pPr>
      <w:r w:rsidRPr="006A10FF">
        <w:rPr>
          <w:rFonts w:cs="Times New Roman"/>
          <w:b/>
          <w:bCs/>
        </w:rPr>
        <w:t>4. PD-1/PD-L1 pathway and immune microenvironment remodeling</w:t>
      </w:r>
    </w:p>
    <w:p w14:paraId="66541F21" w14:textId="77777777" w:rsidR="00D86CA1" w:rsidRPr="002C6558" w:rsidRDefault="00000000" w:rsidP="002C6558">
      <w:pPr>
        <w:rPr>
          <w:rFonts w:cs="Times New Roman"/>
        </w:rPr>
      </w:pPr>
      <w:r w:rsidRPr="002C6558">
        <w:rPr>
          <w:rFonts w:cs="Times New Roman"/>
        </w:rPr>
        <w:lastRenderedPageBreak/>
        <w:t xml:space="preserve">Tumor-associated macrophages (TAMs), as a major component of the tumor microenvironment (TME), not only participate in establishing an immunosuppressive state but also play a key role in regulating the efficacy of PD-1/PD-L1 inhibitors </w:t>
      </w:r>
      <w:r w:rsidRPr="002C6558">
        <w:rPr>
          <w:rFonts w:cs="Times New Roman"/>
          <w:vertAlign w:val="superscript"/>
        </w:rPr>
        <w:t>[24]</w:t>
      </w:r>
      <w:r w:rsidRPr="002C6558">
        <w:rPr>
          <w:rFonts w:cs="Times New Roman"/>
        </w:rPr>
        <w:t>. Multiple studies have shown that TAMs can highly express PD-L1 and inhibit T cell function by binding to PD-1 on the surface of T cells. In breast cancer patients, single-cell transcriptomic and spatial multiplex immunofluorescence analyses reveal that PD-L1+ TAMs exhibit mature and immunostimulatory characteristics and are spatially proximal to CD8+ T cells; higher density or proportion of these cells correlates with better clinical prognosis. Notably, PD-L1 expression can spontaneously upregulate during monocyte-to-macrophage differentiation without exogenous IFN-</w:t>
      </w:r>
      <w:proofErr w:type="spellStart"/>
      <w:r w:rsidRPr="002C6558">
        <w:rPr>
          <w:rFonts w:cs="Times New Roman"/>
        </w:rPr>
        <w:t>γstimulation</w:t>
      </w:r>
      <w:proofErr w:type="spellEnd"/>
      <w:r w:rsidRPr="002C6558">
        <w:rPr>
          <w:rFonts w:cs="Times New Roman"/>
        </w:rPr>
        <w:t xml:space="preserve"> and can promote CD8+ T cell proliferation and cytotoxic function </w:t>
      </w:r>
      <w:r w:rsidRPr="002C6558">
        <w:rPr>
          <w:rFonts w:cs="Times New Roman"/>
          <w:vertAlign w:val="superscript"/>
        </w:rPr>
        <w:t>[25]</w:t>
      </w:r>
      <w:r w:rsidRPr="002C6558">
        <w:rPr>
          <w:rFonts w:cs="Times New Roman"/>
        </w:rPr>
        <w:t xml:space="preserve">. Additionally, in esophageal squamous cell carcinoma (ESCC), PD-L1⁺TAMs also correlate positively with clinical benefit, and in vitro PD-L1 blockade induces TAM reprogramming toward a pro-inflammatory phenotype </w:t>
      </w:r>
      <w:r w:rsidRPr="002C6558">
        <w:rPr>
          <w:rFonts w:cs="Times New Roman"/>
          <w:vertAlign w:val="superscript"/>
        </w:rPr>
        <w:t>[26]</w:t>
      </w:r>
      <w:r w:rsidRPr="002C6558">
        <w:rPr>
          <w:rFonts w:cs="Times New Roman"/>
        </w:rPr>
        <w:t xml:space="preserve">. However, TAMs exhibit highly heterogeneous functions. For example, in cholangiocarcinoma, PD-L1 is primarily expressed by M2-type TAMs, mediating CD8+ T cell exhaustion and forming an immunosuppressive microenvironment; in contrast, the density of non-exhausted PD-1+EOMES+CD8+ effector T cells correlates significantly with longer survival </w:t>
      </w:r>
      <w:r w:rsidRPr="002C6558">
        <w:rPr>
          <w:rFonts w:cs="Times New Roman"/>
          <w:vertAlign w:val="superscript"/>
        </w:rPr>
        <w:t>[27]</w:t>
      </w:r>
      <w:r w:rsidRPr="002C6558">
        <w:rPr>
          <w:rFonts w:cs="Times New Roman"/>
        </w:rPr>
        <w:t xml:space="preserve">. Further research has found that targeting TAMs can enhance the efficacy of PD-1/PD-L1 blockade. For instance, in the </w:t>
      </w:r>
      <w:proofErr w:type="spellStart"/>
      <w:r w:rsidRPr="002C6558">
        <w:rPr>
          <w:rFonts w:cs="Times New Roman"/>
        </w:rPr>
        <w:t>Mycn-nGEMM</w:t>
      </w:r>
      <w:proofErr w:type="spellEnd"/>
      <w:r w:rsidRPr="002C6558">
        <w:rPr>
          <w:rFonts w:cs="Times New Roman"/>
        </w:rPr>
        <w:t xml:space="preserve"> neuroblastoma mouse model, although tumor cell PD-L1 expression is low, macrophages highly express PD-L1, and anti-PD-L1 therapy effectively depletes anti-inflammatory macrophages and increases T cell infiltration; combining this with a CD40 agonist antibody further improves survival rates </w:t>
      </w:r>
      <w:r w:rsidRPr="002C6558">
        <w:rPr>
          <w:rFonts w:cs="Times New Roman"/>
          <w:vertAlign w:val="superscript"/>
        </w:rPr>
        <w:t>[28]</w:t>
      </w:r>
      <w:r w:rsidRPr="002C6558">
        <w:rPr>
          <w:rFonts w:cs="Times New Roman"/>
        </w:rPr>
        <w:t xml:space="preserve">. Similarly, PI3Kγ inhibitors combined with anti-PD-1/PD-L1 therapy can reprogram TAMs by regulating the PI3Kγ-AKT-NF-κB pathway, reducing myeloid-derived suppressor cells, increasing CD8+ T cell numbers and pro-inflammatory cytokine levels, thereby reversing the immunosuppressive microenvironment </w:t>
      </w:r>
      <w:r w:rsidRPr="002C6558">
        <w:rPr>
          <w:rFonts w:cs="Times New Roman"/>
          <w:vertAlign w:val="superscript"/>
        </w:rPr>
        <w:t>[29]</w:t>
      </w:r>
      <w:r w:rsidRPr="002C6558">
        <w:rPr>
          <w:rFonts w:cs="Times New Roman"/>
        </w:rPr>
        <w:t xml:space="preserve">. However, strategies targeting TAMs also face challenges. A phase I clinical study showed that although the CSF-1R inhibitor </w:t>
      </w:r>
      <w:proofErr w:type="spellStart"/>
      <w:r w:rsidRPr="002C6558">
        <w:rPr>
          <w:rFonts w:cs="Times New Roman"/>
        </w:rPr>
        <w:t>pexidartinib</w:t>
      </w:r>
      <w:proofErr w:type="spellEnd"/>
      <w:r w:rsidRPr="002C6558">
        <w:rPr>
          <w:rFonts w:cs="Times New Roman"/>
        </w:rPr>
        <w:t xml:space="preserve"> reduces CD14+CD16+ monocytes in peripheral blood, it also impairs dendritic cell differentiation and function, potentially limiting its anti-tumor activity </w:t>
      </w:r>
      <w:r w:rsidRPr="002C6558">
        <w:rPr>
          <w:rFonts w:cs="Times New Roman"/>
          <w:vertAlign w:val="superscript"/>
        </w:rPr>
        <w:t>[30]</w:t>
      </w:r>
      <w:r w:rsidRPr="002C6558">
        <w:rPr>
          <w:rFonts w:cs="Times New Roman"/>
        </w:rPr>
        <w:t>. These findings suggest that TAMs play a dual role in PD-1/PD-L1 pathway-mediated immune microenvironment remodeling, and their regulation requires balancing pro-inflammatory and immunostimulatory functions.</w:t>
      </w:r>
    </w:p>
    <w:p w14:paraId="6A59B386" w14:textId="77777777" w:rsidR="00D86CA1" w:rsidRPr="002C6558" w:rsidRDefault="00D86CA1" w:rsidP="002C6558">
      <w:pPr>
        <w:rPr>
          <w:rFonts w:cs="Times New Roman"/>
        </w:rPr>
      </w:pPr>
    </w:p>
    <w:p w14:paraId="1B18EBC7" w14:textId="77777777" w:rsidR="00D86CA1" w:rsidRPr="006A10FF" w:rsidRDefault="00000000" w:rsidP="002C6558">
      <w:pPr>
        <w:rPr>
          <w:rFonts w:cs="Times New Roman"/>
          <w:b/>
          <w:bCs/>
        </w:rPr>
      </w:pPr>
      <w:r w:rsidRPr="006A10FF">
        <w:rPr>
          <w:rFonts w:cs="Times New Roman"/>
          <w:b/>
          <w:bCs/>
        </w:rPr>
        <w:t>5. Current controversies and challenges in research</w:t>
      </w:r>
    </w:p>
    <w:p w14:paraId="4F79DF91" w14:textId="77777777" w:rsidR="00D86CA1" w:rsidRPr="006A10FF" w:rsidRDefault="00000000" w:rsidP="002C6558">
      <w:pPr>
        <w:rPr>
          <w:rFonts w:cs="Times New Roman"/>
          <w:b/>
          <w:bCs/>
        </w:rPr>
      </w:pPr>
      <w:r w:rsidRPr="006A10FF">
        <w:rPr>
          <w:rFonts w:cs="Times New Roman"/>
          <w:b/>
          <w:bCs/>
        </w:rPr>
        <w:t>5.1. Limitations of biomarker predictive efficacy</w:t>
      </w:r>
    </w:p>
    <w:p w14:paraId="53023067" w14:textId="77777777" w:rsidR="00D86CA1" w:rsidRPr="002C6558" w:rsidRDefault="00000000" w:rsidP="002C6558">
      <w:pPr>
        <w:rPr>
          <w:rFonts w:cs="Times New Roman"/>
        </w:rPr>
      </w:pPr>
      <w:r w:rsidRPr="002C6558">
        <w:rPr>
          <w:rFonts w:cs="Times New Roman"/>
        </w:rPr>
        <w:t xml:space="preserve">Although PD-1 inhibitors combined with chemotherapy have demonstrated clinical benefits in treating advanced gastric cancer, existing biomarkers exhibit significant limitations in predicting efficacy. Commonly used predictive indicators such as PD-L1 combined positive score (CPS), microsatellite instability (MSI) status, and tumor mutation burden (TMB) show poor predictive consistency across different patient populations </w:t>
      </w:r>
      <w:r w:rsidRPr="002C6558">
        <w:rPr>
          <w:rFonts w:cs="Times New Roman"/>
          <w:vertAlign w:val="superscript"/>
        </w:rPr>
        <w:t>[31]</w:t>
      </w:r>
      <w:r w:rsidRPr="002C6558">
        <w:rPr>
          <w:rFonts w:cs="Times New Roman"/>
        </w:rPr>
        <w:t xml:space="preserve">. However, not all patients with high </w:t>
      </w:r>
      <w:proofErr w:type="spellStart"/>
      <w:r w:rsidRPr="002C6558">
        <w:rPr>
          <w:rFonts w:cs="Times New Roman"/>
        </w:rPr>
        <w:t>TMEscore</w:t>
      </w:r>
      <w:proofErr w:type="spellEnd"/>
      <w:r w:rsidRPr="002C6558">
        <w:rPr>
          <w:rFonts w:cs="Times New Roman"/>
        </w:rPr>
        <w:t xml:space="preserve"> achieve ideal outcomes, indicating that single-dimensional biomarkers cannot fully capture the complexity of the tumor immune microenvironment. Additionally, although high expression of HSPA4 correlates with a favorable response to chemotherapy combined with anti-PD-1 therapy, it predicts poor prognosis in patients undergoing surgery alone, reflecting contradictory predictive values of this marker across different treatment contexts </w:t>
      </w:r>
      <w:r w:rsidRPr="002C6558">
        <w:rPr>
          <w:rFonts w:cs="Times New Roman"/>
          <w:vertAlign w:val="superscript"/>
        </w:rPr>
        <w:t>[32]</w:t>
      </w:r>
      <w:r w:rsidRPr="002C6558">
        <w:rPr>
          <w:rFonts w:cs="Times New Roman"/>
        </w:rPr>
        <w:t xml:space="preserve">. Similarly, although lymphoid radiomic scores (LRS) and myeloid radiomic scores (MRS) constructed based on CT imaging can assess immune microenvironment status, objective response rates vary significantly among patients with different imaging subtypes (type 1: 27.3%, type 2: 53.3%, type 3: 10.2%, type 4: 30.0%), further highlighting the heterogeneity and uncertainty of current predictive models </w:t>
      </w:r>
      <w:r w:rsidRPr="002C6558">
        <w:rPr>
          <w:rFonts w:cs="Times New Roman"/>
          <w:vertAlign w:val="superscript"/>
        </w:rPr>
        <w:t>[33]</w:t>
      </w:r>
      <w:r w:rsidRPr="002C6558">
        <w:rPr>
          <w:rFonts w:cs="Times New Roman"/>
        </w:rPr>
        <w:t xml:space="preserve">. Although multidimensional tumor-infiltrating immune cell (TIIC) signatures constructed via multiplex immunohistochemistry aid in predicting responses to anti-PD-1/PD-L1 therapy, their clinical adoption remains limited by issues of technical standardization and reproducibility </w:t>
      </w:r>
      <w:r w:rsidRPr="002C6558">
        <w:rPr>
          <w:rFonts w:cs="Times New Roman"/>
          <w:vertAlign w:val="superscript"/>
        </w:rPr>
        <w:t>[34]</w:t>
      </w:r>
      <w:r w:rsidRPr="002C6558">
        <w:rPr>
          <w:rFonts w:cs="Times New Roman"/>
        </w:rPr>
        <w:t xml:space="preserve">. Therefore, </w:t>
      </w:r>
      <w:r w:rsidRPr="002C6558">
        <w:rPr>
          <w:rFonts w:cs="Times New Roman"/>
        </w:rPr>
        <w:lastRenderedPageBreak/>
        <w:t>there is an urgent need to integrate multi-omics data to construct more robust and universally applicable predictive systems.</w:t>
      </w:r>
    </w:p>
    <w:p w14:paraId="7E0B2CBE" w14:textId="77777777" w:rsidR="00D86CA1" w:rsidRPr="002C6558" w:rsidRDefault="00D86CA1" w:rsidP="002C6558">
      <w:pPr>
        <w:rPr>
          <w:rFonts w:cs="Times New Roman"/>
        </w:rPr>
      </w:pPr>
    </w:p>
    <w:p w14:paraId="43AAA794" w14:textId="77777777" w:rsidR="00D86CA1" w:rsidRPr="006A10FF" w:rsidRDefault="00000000" w:rsidP="002C6558">
      <w:pPr>
        <w:rPr>
          <w:rFonts w:cs="Times New Roman"/>
          <w:b/>
          <w:bCs/>
        </w:rPr>
      </w:pPr>
      <w:r w:rsidRPr="006A10FF">
        <w:rPr>
          <w:rFonts w:cs="Times New Roman"/>
          <w:b/>
          <w:bCs/>
        </w:rPr>
        <w:t>5.2. Regulatory challenges in Th2-dominant microenvironment formation</w:t>
      </w:r>
    </w:p>
    <w:p w14:paraId="271E9184" w14:textId="77777777" w:rsidR="00D86CA1" w:rsidRPr="002C6558" w:rsidRDefault="00000000" w:rsidP="002C6558">
      <w:pPr>
        <w:rPr>
          <w:rFonts w:cs="Times New Roman"/>
        </w:rPr>
      </w:pPr>
      <w:r w:rsidRPr="002C6558">
        <w:rPr>
          <w:rFonts w:cs="Times New Roman"/>
        </w:rPr>
        <w:t xml:space="preserve">A Th2-type immune-dominant microenvironment is considered one of the key factors limiting the efficacy of PD-1 inhibitors, but its formation mechanisms and intervention strategies remain challenging. Although high expression of MFSD2A can reduce TGFβ1 release by inhibiting COX2-prostaglandin synthesis, thereby enhancing CD8+ T cell activation and improving Th1/Th2 imbalance, the clinical targetability of this pathway remains to be validated. On the other hand, PRDM15 may indirectly promote Th2 polarization by activating the PVR/TIGIT axis to inhibit T cell function, but its specific regulatory role in Th1/Th2 balance remains unclear </w:t>
      </w:r>
      <w:r w:rsidRPr="002C6558">
        <w:rPr>
          <w:rFonts w:cs="Times New Roman"/>
          <w:vertAlign w:val="superscript"/>
        </w:rPr>
        <w:t>[35]</w:t>
      </w:r>
      <w:r w:rsidRPr="002C6558">
        <w:rPr>
          <w:rFonts w:cs="Times New Roman"/>
        </w:rPr>
        <w:t>. Therefore, effectively reversing or preventing the formation of a Th2-dominant microenvironment remains a core challenge in optimizing current combination therapy strategies.</w:t>
      </w:r>
    </w:p>
    <w:p w14:paraId="31CA8CEC" w14:textId="77777777" w:rsidR="00D86CA1" w:rsidRPr="002C6558" w:rsidRDefault="00D86CA1" w:rsidP="002C6558">
      <w:pPr>
        <w:rPr>
          <w:rFonts w:cs="Times New Roman"/>
        </w:rPr>
      </w:pPr>
    </w:p>
    <w:p w14:paraId="3B8162CD" w14:textId="77777777" w:rsidR="00D86CA1" w:rsidRPr="006A10FF" w:rsidRDefault="00000000" w:rsidP="002C6558">
      <w:pPr>
        <w:rPr>
          <w:rFonts w:cs="Times New Roman"/>
          <w:b/>
          <w:bCs/>
        </w:rPr>
      </w:pPr>
      <w:r w:rsidRPr="006A10FF">
        <w:rPr>
          <w:rFonts w:cs="Times New Roman"/>
          <w:b/>
          <w:bCs/>
        </w:rPr>
        <w:t>6. Future research directions</w:t>
      </w:r>
    </w:p>
    <w:p w14:paraId="61478D36" w14:textId="77777777" w:rsidR="00D86CA1" w:rsidRPr="006A10FF" w:rsidRDefault="00000000" w:rsidP="002C6558">
      <w:pPr>
        <w:rPr>
          <w:rFonts w:cs="Times New Roman"/>
          <w:b/>
          <w:bCs/>
        </w:rPr>
      </w:pPr>
      <w:r w:rsidRPr="006A10FF">
        <w:rPr>
          <w:rFonts w:cs="Times New Roman"/>
          <w:b/>
          <w:bCs/>
        </w:rPr>
        <w:t>6.1. Exploration of novel combination therapy strategies</w:t>
      </w:r>
    </w:p>
    <w:p w14:paraId="5CD18CBA" w14:textId="77777777" w:rsidR="00D86CA1" w:rsidRPr="002C6558" w:rsidRDefault="00000000" w:rsidP="002C6558">
      <w:pPr>
        <w:rPr>
          <w:rFonts w:cs="Times New Roman"/>
        </w:rPr>
      </w:pPr>
      <w:r w:rsidRPr="002C6558">
        <w:rPr>
          <w:rFonts w:cs="Times New Roman"/>
        </w:rPr>
        <w:t xml:space="preserve">Although current PD-1 inhibitors combined with chemotherapy have shown significant clinical benefits in treating advanced gastric cancer, a substantial proportion of patients still do not benefit or develop resistance. Therefore, exploring novel combination therapy strategies with stronger synergistic effects is an important future research direction. In recent years, multi-mechanism interventions targeting immunosuppressive pathways have gradually gained attention. For example, inhibiting RAB11FIP3 or IKZF4 can block PD-L1 endosomal recycling, enhancing T cell infiltration and cytotoxicity, suggesting that this axis may serve as a novel target for gastric cancer immunotherapy. Additionally, PRDM15 inhibits T cell function by activating the PVR/TIGIT axis, providing a theoretical basis for combining TIGIT inhibitors </w:t>
      </w:r>
      <w:r w:rsidRPr="002C6558">
        <w:rPr>
          <w:rFonts w:cs="Times New Roman"/>
          <w:vertAlign w:val="superscript"/>
        </w:rPr>
        <w:t>[36]</w:t>
      </w:r>
      <w:r w:rsidRPr="002C6558">
        <w:rPr>
          <w:rFonts w:cs="Times New Roman"/>
        </w:rPr>
        <w:t xml:space="preserve">. The development of nanomedicine platforms also offers new ideas for combination therapy. For instance, the FX-11@PEG-Ce6 </w:t>
      </w:r>
      <w:proofErr w:type="spellStart"/>
      <w:r w:rsidRPr="002C6558">
        <w:rPr>
          <w:rFonts w:cs="Times New Roman"/>
        </w:rPr>
        <w:t>nanosystem</w:t>
      </w:r>
      <w:proofErr w:type="spellEnd"/>
      <w:r w:rsidRPr="002C6558">
        <w:rPr>
          <w:rFonts w:cs="Times New Roman"/>
        </w:rPr>
        <w:t xml:space="preserve"> promotes dendritic cell maturation and enhances CD8+ T cell function by alleviating acidic microenvironments, thereby improving PD-1 inhibitor efficacy; another class of mesoporous polydopamine-based nanoparticles loaded with oxaliplatin and manganese dioxide, combined with mild photothermal therapy, can induce immunogenic cell death, activate the </w:t>
      </w:r>
      <w:proofErr w:type="spellStart"/>
      <w:r w:rsidRPr="002C6558">
        <w:rPr>
          <w:rFonts w:cs="Times New Roman"/>
        </w:rPr>
        <w:t>cGAS</w:t>
      </w:r>
      <w:proofErr w:type="spellEnd"/>
      <w:r w:rsidRPr="002C6558">
        <w:rPr>
          <w:rFonts w:cs="Times New Roman"/>
        </w:rPr>
        <w:t xml:space="preserve">-STING pathway, and significantly enhance anti-tumor immune responses. Furthermore, fecal microbiota transplantation (FMT) combined with PD-1 inhibitors has shown preliminary efficacy in previously resistant patients, with an objective response rate of 20%, suggesting that modulating the gut microbiota may represent a novel strategy for overcoming immunotherapy resistance </w:t>
      </w:r>
      <w:r w:rsidRPr="002C6558">
        <w:rPr>
          <w:rFonts w:cs="Times New Roman"/>
          <w:vertAlign w:val="superscript"/>
        </w:rPr>
        <w:t>[37]</w:t>
      </w:r>
      <w:r w:rsidRPr="002C6558">
        <w:rPr>
          <w:rFonts w:cs="Times New Roman"/>
        </w:rPr>
        <w:t>. These cutting-edge explorations lay the foundation for constructing multidimensional, multi-layered combination therapy systems.</w:t>
      </w:r>
    </w:p>
    <w:p w14:paraId="5E9C63D2" w14:textId="77777777" w:rsidR="00D86CA1" w:rsidRPr="002C6558" w:rsidRDefault="00D86CA1" w:rsidP="002C6558">
      <w:pPr>
        <w:rPr>
          <w:rFonts w:cs="Times New Roman"/>
        </w:rPr>
      </w:pPr>
    </w:p>
    <w:p w14:paraId="39F2ED45" w14:textId="77777777" w:rsidR="00D86CA1" w:rsidRPr="006A10FF" w:rsidRDefault="00000000" w:rsidP="002C6558">
      <w:pPr>
        <w:rPr>
          <w:rFonts w:cs="Times New Roman"/>
          <w:b/>
          <w:bCs/>
        </w:rPr>
      </w:pPr>
      <w:r w:rsidRPr="006A10FF">
        <w:rPr>
          <w:rFonts w:cs="Times New Roman"/>
          <w:b/>
          <w:bCs/>
        </w:rPr>
        <w:t>6.2. Construction of multi-omics biomarker systems</w:t>
      </w:r>
    </w:p>
    <w:p w14:paraId="3EFBACA2" w14:textId="77777777" w:rsidR="00D86CA1" w:rsidRPr="002C6558" w:rsidRDefault="00000000" w:rsidP="002C6558">
      <w:pPr>
        <w:rPr>
          <w:rFonts w:cs="Times New Roman"/>
        </w:rPr>
      </w:pPr>
      <w:r w:rsidRPr="002C6558">
        <w:rPr>
          <w:rFonts w:cs="Times New Roman"/>
        </w:rPr>
        <w:t xml:space="preserve">Although PD-L1 expression (e.g., CPS score) has been used to guide PD-1 inhibitor therapy, its predictive efficacy remains limited, necessitating the integration of multi-omics data to construct more precise biomarker systems. Studies have shown that high expression of MFSD2A correlates with a favorable response to anti-PD-1 therapy, with mechanisms involving inhibition of COX2-prostaglandin synthesis, reduced TGFβ1 release, and enhanced CD8+ T cell activation, suggesting that MFSD2A may serve as a potential predictive marker </w:t>
      </w:r>
      <w:r w:rsidRPr="002C6558">
        <w:rPr>
          <w:rFonts w:cs="Times New Roman"/>
          <w:vertAlign w:val="superscript"/>
        </w:rPr>
        <w:t>[38]</w:t>
      </w:r>
      <w:r w:rsidRPr="002C6558">
        <w:rPr>
          <w:rFonts w:cs="Times New Roman"/>
        </w:rPr>
        <w:t xml:space="preserve">. Although high expression of HSPA4 correlates with poor prognosis in patients undergoing surgery alone, it correlates with a better treatment response in those receiving PD-1 inhibitors combined with chemotherapy, further highlighting the dynamic nature of biomarkers in the context of combination therapy </w:t>
      </w:r>
      <w:r w:rsidRPr="002C6558">
        <w:rPr>
          <w:rFonts w:cs="Times New Roman"/>
          <w:vertAlign w:val="superscript"/>
        </w:rPr>
        <w:t>[39]</w:t>
      </w:r>
      <w:r w:rsidRPr="002C6558">
        <w:rPr>
          <w:rFonts w:cs="Times New Roman"/>
        </w:rPr>
        <w:t xml:space="preserve">. Additionally, PD-L1 gene polymorphisms (e.g., the P146R mutation caused by rs17718883) can weaken PD-1/PD-L1 interactions, enhance IFN-γ secretion, and inhibit tumor growth, but patients with this mutant type do not derive additional benefits from PD-1 monoclonal antibodies, </w:t>
      </w:r>
      <w:r w:rsidRPr="002C6558">
        <w:rPr>
          <w:rFonts w:cs="Times New Roman"/>
        </w:rPr>
        <w:lastRenderedPageBreak/>
        <w:t xml:space="preserve">suggesting that this polymorphism may be used to exclude ineffective treatments </w:t>
      </w:r>
      <w:r w:rsidRPr="002C6558">
        <w:rPr>
          <w:rFonts w:cs="Times New Roman"/>
          <w:vertAlign w:val="superscript"/>
        </w:rPr>
        <w:t>[40]</w:t>
      </w:r>
      <w:r w:rsidRPr="002C6558">
        <w:rPr>
          <w:rFonts w:cs="Times New Roman"/>
        </w:rPr>
        <w:t xml:space="preserve">. Immune microenvironment classification systems (e.g., TIME-inflamed, TIME-desert, TIME-excluded) also exhibit predictive value, with patients in the TIME-inflamed subtype more likely to benefit from pembrolizumab combined with chemotherapy </w:t>
      </w:r>
      <w:r w:rsidRPr="002C6558">
        <w:rPr>
          <w:rFonts w:cs="Times New Roman"/>
          <w:vertAlign w:val="superscript"/>
        </w:rPr>
        <w:t>[41]</w:t>
      </w:r>
      <w:r w:rsidRPr="002C6558">
        <w:rPr>
          <w:rFonts w:cs="Times New Roman"/>
        </w:rPr>
        <w:t>. Future research should integrate multi-dimensional data from genomics, transcriptomics, proteomics, and immune cell atlases, combined with artificial intelligence algorithms, to establish dynamic, quantifiable comprehensive predictive models for precise stratification and individualized treatment decision-making.</w:t>
      </w:r>
    </w:p>
    <w:p w14:paraId="5A0B7527" w14:textId="77777777" w:rsidR="00D86CA1" w:rsidRPr="002C6558" w:rsidRDefault="00D86CA1" w:rsidP="002C6558">
      <w:pPr>
        <w:rPr>
          <w:rFonts w:cs="Times New Roman"/>
        </w:rPr>
      </w:pPr>
    </w:p>
    <w:p w14:paraId="7E087F22" w14:textId="77777777" w:rsidR="00D86CA1" w:rsidRPr="006A10FF" w:rsidRDefault="00000000" w:rsidP="002C6558">
      <w:pPr>
        <w:rPr>
          <w:rFonts w:cs="Times New Roman"/>
          <w:b/>
          <w:bCs/>
        </w:rPr>
      </w:pPr>
      <w:r w:rsidRPr="006A10FF">
        <w:rPr>
          <w:rFonts w:cs="Times New Roman"/>
          <w:b/>
          <w:bCs/>
        </w:rPr>
        <w:t>6.3. Optimization of individualized immune regulation strategies</w:t>
      </w:r>
    </w:p>
    <w:p w14:paraId="561E8932" w14:textId="0127AA0E" w:rsidR="00D86CA1" w:rsidRPr="002C6558" w:rsidRDefault="00000000" w:rsidP="002C6558">
      <w:pPr>
        <w:rPr>
          <w:rFonts w:cs="Times New Roman"/>
        </w:rPr>
      </w:pPr>
      <w:r w:rsidRPr="002C6558">
        <w:rPr>
          <w:rFonts w:cs="Times New Roman"/>
        </w:rPr>
        <w:t>The core of individualized immune regulation lies in customizing treatment plans based on patients</w:t>
      </w:r>
      <w:r w:rsidR="00077724">
        <w:rPr>
          <w:rFonts w:cs="Times New Roman"/>
        </w:rPr>
        <w:t>’</w:t>
      </w:r>
      <w:r w:rsidRPr="002C6558">
        <w:rPr>
          <w:rFonts w:cs="Times New Roman"/>
        </w:rPr>
        <w:t xml:space="preserve"> tumor immune microenvironment characteristics, host immune status, and molecular subtypes. Studies have shown that EBV-positive gastric cancer exhibits higher CD8+ T cell infiltration and interferon-induced gene expression, whereas EBV-negative gastric cancer highly expresses genes related to the COX-2/PGE2 pathway, suggesting that different molecular subtypes may respond differently to immunotherapy. The status of Helicobacter pylori infection may also influence the efficacy of PD-1 inhibitors, and although existing research conclusions remain controversial, its interactions with the gut microbiota and immune infiltration warrant further exploration. Additionally, single-cell sequencing reveals that after neoadjuvant PD-1 inhibitor therapy combined with chemotherapy, CD3+, CD8+ T cells, and NK cells significantly increase in the tumor microenvironment of patients with major pathological response (MPR), whereas regulatory T cells (FOXP3+) are predominantly enriched in non-MPR patients, indicating that dynamic changes in Treg cells can serve as efficacy monitoring indicators. Chemotherapy itself can also remodel the immune microenvironment, such as reducing FOXP3+ Treg proportions and increasing CD8+ T cell levels after neoadjuvant chemotherapy, accompanied by increased TCR diversity, providing a basis for optimizing the timing of combination therapy. Future strategies should be based on patients</w:t>
      </w:r>
      <w:r w:rsidR="00077724">
        <w:rPr>
          <w:rFonts w:cs="Times New Roman"/>
        </w:rPr>
        <w:t>’</w:t>
      </w:r>
      <w:r w:rsidRPr="002C6558">
        <w:rPr>
          <w:rFonts w:cs="Times New Roman"/>
        </w:rPr>
        <w:t xml:space="preserve"> baseline immune characteristics (e.g., Th1/Th2 cytokine profiles, T cell exhaustion status, myeloid cell composition) combined with dynamic immune monitoring during treatment (e.g., changes in peripheral blood cytokines) to optimize dosing schedules, doses, and drug combinations, achieving a transition from a </w:t>
      </w:r>
      <w:r w:rsidR="00077724">
        <w:rPr>
          <w:rFonts w:cs="Times New Roman"/>
        </w:rPr>
        <w:t>“</w:t>
      </w:r>
      <w:r w:rsidRPr="002C6558">
        <w:rPr>
          <w:rFonts w:cs="Times New Roman"/>
        </w:rPr>
        <w:t>one-size-fits-all</w:t>
      </w:r>
      <w:r w:rsidR="00077724">
        <w:rPr>
          <w:rFonts w:cs="Times New Roman"/>
        </w:rPr>
        <w:t>”</w:t>
      </w:r>
      <w:r w:rsidRPr="002C6558">
        <w:rPr>
          <w:rFonts w:cs="Times New Roman"/>
        </w:rPr>
        <w:t xml:space="preserve"> to a </w:t>
      </w:r>
      <w:r w:rsidR="00077724">
        <w:rPr>
          <w:rFonts w:cs="Times New Roman"/>
        </w:rPr>
        <w:t>“</w:t>
      </w:r>
      <w:r w:rsidRPr="002C6558">
        <w:rPr>
          <w:rFonts w:cs="Times New Roman"/>
        </w:rPr>
        <w:t>tailored</w:t>
      </w:r>
      <w:r w:rsidR="00077724">
        <w:rPr>
          <w:rFonts w:cs="Times New Roman"/>
        </w:rPr>
        <w:t>”</w:t>
      </w:r>
      <w:r w:rsidRPr="002C6558">
        <w:rPr>
          <w:rFonts w:cs="Times New Roman"/>
        </w:rPr>
        <w:t xml:space="preserve"> treatment model.</w:t>
      </w:r>
    </w:p>
    <w:p w14:paraId="7463D2BD" w14:textId="77777777" w:rsidR="00D86CA1" w:rsidRPr="002C6558" w:rsidRDefault="00D86CA1" w:rsidP="002C6558">
      <w:pPr>
        <w:rPr>
          <w:rFonts w:cs="Times New Roman"/>
        </w:rPr>
      </w:pPr>
    </w:p>
    <w:p w14:paraId="4799A1A4" w14:textId="77777777" w:rsidR="00D86CA1" w:rsidRPr="006A10FF" w:rsidRDefault="00000000" w:rsidP="002C6558">
      <w:pPr>
        <w:rPr>
          <w:rFonts w:cs="Times New Roman"/>
          <w:b/>
          <w:bCs/>
        </w:rPr>
      </w:pPr>
      <w:r w:rsidRPr="006A10FF">
        <w:rPr>
          <w:rFonts w:cs="Times New Roman"/>
          <w:b/>
          <w:bCs/>
        </w:rPr>
        <w:t>7. Summary and clinical translation significance</w:t>
      </w:r>
    </w:p>
    <w:p w14:paraId="234F3ECC" w14:textId="77777777" w:rsidR="00D86CA1" w:rsidRPr="002C6558" w:rsidRDefault="00000000" w:rsidP="002C6558">
      <w:pPr>
        <w:rPr>
          <w:rFonts w:cs="Times New Roman"/>
        </w:rPr>
      </w:pPr>
      <w:r w:rsidRPr="002C6558">
        <w:rPr>
          <w:rFonts w:cs="Times New Roman"/>
        </w:rPr>
        <w:t>In recent years, significant progress has been made in understanding the core mechanisms of PD-1 inhibitors combined with chemotherapy for treating advanced gastric cancer. Multiple studies have demonstrated that this combination strategy not only enhances antigen release by directly killing tumor cells but also significantly remodels the tumor immune microenvironment, promoting Th1-type immune responses and suppressing Th2-dominant states. For example, neoadjuvant PD-1 inhibitor therapy combined with chemotherapy significantly increases CD3+, CD8+ T cell, and NK cell infiltration in the tumor microenvironment while reducing FOXP3+ regulatory T cell proportions, thereby improving the Th1/Th2 balance. Additionally, chemotherapy itself has been shown to increase TCR diversity and enhance CD8+ T cell activity, laying an immunological foundation for PD-1 inhibitor efficacy. At the molecular level, high expression of MFSD2A can enhance CD8+ T cell function and reduce exhaustion by inhibiting the COX2-prostaglandin pathway to decrease TGFβ1 release, improving anti-PD-1 treatment response; the IKZF4/NONO-RAB11FIP3 axis regulates T cell cytotoxicity by influencing PD-L1 membrane expression, highlighting its key role in Th1/Th2 polarization. These findings collectively reveal the synergistic mechanisms by which PD-1 inhibitors combined with chemotherapy modulate the immune microenvironment, reverse T cell exhaustion, and optimize the Th1/Th2 balance through multiple dimensions.</w:t>
      </w:r>
    </w:p>
    <w:p w14:paraId="2F6B6257" w14:textId="77777777" w:rsidR="00D86CA1" w:rsidRPr="002C6558" w:rsidRDefault="00D86CA1" w:rsidP="002C6558">
      <w:pPr>
        <w:rPr>
          <w:rFonts w:cs="Times New Roman"/>
        </w:rPr>
      </w:pPr>
    </w:p>
    <w:p w14:paraId="68A4A450" w14:textId="77777777" w:rsidR="00D86CA1" w:rsidRPr="006A10FF" w:rsidRDefault="00000000" w:rsidP="002C6558">
      <w:pPr>
        <w:rPr>
          <w:rFonts w:cs="Times New Roman"/>
          <w:b/>
          <w:bCs/>
        </w:rPr>
      </w:pPr>
      <w:r w:rsidRPr="006A10FF">
        <w:rPr>
          <w:rFonts w:cs="Times New Roman"/>
          <w:b/>
          <w:bCs/>
        </w:rPr>
        <w:t>Funding</w:t>
      </w:r>
    </w:p>
    <w:p w14:paraId="0744FA11" w14:textId="279685D1" w:rsidR="00D86CA1" w:rsidRPr="002C6558" w:rsidRDefault="00000000" w:rsidP="002C6558">
      <w:pPr>
        <w:rPr>
          <w:rFonts w:cs="Times New Roman"/>
        </w:rPr>
      </w:pPr>
      <w:r w:rsidRPr="002C6558">
        <w:rPr>
          <w:rFonts w:cs="Times New Roman"/>
        </w:rPr>
        <w:lastRenderedPageBreak/>
        <w:t>Study on the Efficacy of Immunotherapy (PD-1 Inhibitors) Combined with Chemotherapy in Advanced Gastric Cancer and Its Effects on Peripheral Blood Th1/Th2 Cell Balance and Adverse Reactions</w:t>
      </w:r>
      <w:r w:rsidR="002C6558">
        <w:rPr>
          <w:rFonts w:cs="Times New Roman"/>
        </w:rPr>
        <w:t xml:space="preserve"> </w:t>
      </w:r>
      <w:r w:rsidRPr="002C6558">
        <w:rPr>
          <w:rFonts w:cs="Times New Roman"/>
        </w:rPr>
        <w:t xml:space="preserve">(Project </w:t>
      </w:r>
      <w:r w:rsidR="002C6558">
        <w:rPr>
          <w:rFonts w:cs="Times New Roman"/>
        </w:rPr>
        <w:t>No.</w:t>
      </w:r>
      <w:r w:rsidRPr="002C6558">
        <w:rPr>
          <w:rFonts w:cs="Times New Roman"/>
        </w:rPr>
        <w:t>: WW24B01SF019)</w:t>
      </w:r>
    </w:p>
    <w:p w14:paraId="648811C6" w14:textId="77777777" w:rsidR="00D86CA1" w:rsidRPr="002C6558" w:rsidRDefault="00D86CA1" w:rsidP="002C6558">
      <w:pPr>
        <w:rPr>
          <w:rFonts w:cs="Times New Roman"/>
        </w:rPr>
      </w:pPr>
    </w:p>
    <w:p w14:paraId="68148515" w14:textId="77777777" w:rsidR="00D86CA1" w:rsidRPr="006A10FF" w:rsidRDefault="00000000" w:rsidP="006A10FF">
      <w:pPr>
        <w:rPr>
          <w:rFonts w:cs="Times New Roman"/>
          <w:b/>
          <w:bCs/>
        </w:rPr>
      </w:pPr>
      <w:r w:rsidRPr="006A10FF">
        <w:rPr>
          <w:rFonts w:cs="Times New Roman"/>
          <w:b/>
          <w:bCs/>
        </w:rPr>
        <w:t>Disclosure statement</w:t>
      </w:r>
    </w:p>
    <w:p w14:paraId="180BA46E" w14:textId="77777777" w:rsidR="00D86CA1" w:rsidRPr="002C6558" w:rsidRDefault="00000000" w:rsidP="002C6558">
      <w:pPr>
        <w:rPr>
          <w:rFonts w:cs="Times New Roman"/>
        </w:rPr>
      </w:pPr>
      <w:r w:rsidRPr="002C6558">
        <w:rPr>
          <w:rFonts w:cs="Times New Roman"/>
        </w:rPr>
        <w:t>The authors declare no conflict of interest.</w:t>
      </w:r>
    </w:p>
    <w:p w14:paraId="218BFE3B" w14:textId="77777777" w:rsidR="00D86CA1" w:rsidRPr="002C6558" w:rsidRDefault="00D86CA1" w:rsidP="002C6558">
      <w:pPr>
        <w:rPr>
          <w:rFonts w:cs="Times New Roman"/>
        </w:rPr>
      </w:pPr>
    </w:p>
    <w:p w14:paraId="1519E377" w14:textId="77777777" w:rsidR="00D86CA1" w:rsidRDefault="00000000" w:rsidP="002C6558">
      <w:pPr>
        <w:rPr>
          <w:rFonts w:cs="Times New Roman"/>
          <w:b/>
          <w:bCs/>
        </w:rPr>
      </w:pPr>
      <w:r w:rsidRPr="006A10FF">
        <w:rPr>
          <w:rFonts w:cs="Times New Roman"/>
          <w:b/>
          <w:bCs/>
        </w:rPr>
        <w:t>References</w:t>
      </w:r>
    </w:p>
    <w:p w14:paraId="58968D5D" w14:textId="4A18169A" w:rsidR="002C6558" w:rsidRDefault="002C6558" w:rsidP="002C6558">
      <w:pPr>
        <w:ind w:left="454" w:hanging="454"/>
      </w:pPr>
      <w:bookmarkStart w:id="1" w:name="_Hlk185327419"/>
      <w:r>
        <w:t>[1]</w:t>
      </w:r>
      <w:r>
        <w:tab/>
      </w:r>
      <w:r>
        <w:t xml:space="preserve">Li N, Li Z, Fu Q, et al., 2024, Efficacy and Safety of Neoadjuvant </w:t>
      </w:r>
      <w:proofErr w:type="spellStart"/>
      <w:r>
        <w:t>Sintilimab</w:t>
      </w:r>
      <w:proofErr w:type="spellEnd"/>
      <w:r>
        <w:t xml:space="preserve"> in Combination with FLOT Chemotherapy in Patients with HER2-Negative Locally Advanced Gastric or Gastroesophageal Junction Adenocarcinoma: An Investigator-Initiated, Single-Arm, Open-Label, Phase II Study. International Journal of Surgery, 110(4): 2071–2084.</w:t>
      </w:r>
    </w:p>
    <w:p w14:paraId="56A1732C" w14:textId="6EBBC91A" w:rsidR="002C6558" w:rsidRDefault="002C6558" w:rsidP="002C6558">
      <w:pPr>
        <w:ind w:left="454" w:hanging="454"/>
      </w:pPr>
      <w:r>
        <w:t>[2]</w:t>
      </w:r>
      <w:r>
        <w:tab/>
      </w:r>
      <w:r>
        <w:t xml:space="preserve">Dong D, Yu X, Liu H, et al., 2025, Study of </w:t>
      </w:r>
      <w:proofErr w:type="spellStart"/>
      <w:r>
        <w:t>Immunosenescence</w:t>
      </w:r>
      <w:proofErr w:type="spellEnd"/>
      <w:r>
        <w:t xml:space="preserve"> in the Occurrence and Immunotherapy of Gastrointestinal Malignancies. Seminars in Cancer Biology, 111: 16–35.</w:t>
      </w:r>
    </w:p>
    <w:p w14:paraId="5AA965EC" w14:textId="620B2943" w:rsidR="002C6558" w:rsidRDefault="002C6558" w:rsidP="002C6558">
      <w:pPr>
        <w:ind w:left="454" w:hanging="454"/>
      </w:pPr>
      <w:r>
        <w:t>[3]</w:t>
      </w:r>
      <w:r>
        <w:tab/>
      </w:r>
      <w:r>
        <w:t xml:space="preserve">Rha SY, Oh DY, Yañez P, et al., 2023, Pembrolizumab Plus Chemotherapy versus Placebo Plus Chemotherapy for HER2-Negative Advanced Gastric Cancer (KEYNOTE-859): A </w:t>
      </w:r>
      <w:proofErr w:type="spellStart"/>
      <w:r>
        <w:t>Multicentre</w:t>
      </w:r>
      <w:proofErr w:type="spellEnd"/>
      <w:r>
        <w:t xml:space="preserve">, </w:t>
      </w:r>
      <w:r w:rsidR="009F2252">
        <w:t>Randomized</w:t>
      </w:r>
      <w:r>
        <w:t>, Double-Blind, Phase 3 Trial. The Lancet Oncology, 24(11): 1181–1195.</w:t>
      </w:r>
    </w:p>
    <w:p w14:paraId="3FC385A8" w14:textId="746DFEE9" w:rsidR="002C6558" w:rsidRDefault="002C6558" w:rsidP="002C6558">
      <w:pPr>
        <w:ind w:left="454" w:hanging="454"/>
      </w:pPr>
      <w:r>
        <w:t>[4]</w:t>
      </w:r>
      <w:r>
        <w:tab/>
      </w:r>
      <w:r>
        <w:t>Weng N, Zhou C, Zhou Y, et al., 2024, IKZF4/NONO-RAB11FIP3 Axis Promotes Immune Evasion in Gastric Cancer via Facilitating PD-L1 Endosome Recycling. Cancer Letters, 584: 216618.</w:t>
      </w:r>
    </w:p>
    <w:p w14:paraId="42D30975" w14:textId="35D72F38" w:rsidR="002C6558" w:rsidRDefault="002C6558" w:rsidP="002C6558">
      <w:pPr>
        <w:ind w:left="454" w:hanging="454"/>
      </w:pPr>
      <w:r>
        <w:t>[5]</w:t>
      </w:r>
      <w:r>
        <w:tab/>
      </w:r>
      <w:r>
        <w:t>An M, Mehta A, Min BH, et al., 2024, Early Immune Remodeling Steers Clinical Response to First-Line Chemoimmunotherapy in Advanced Gastric Cancer. Cancer Discovery, 14(5): 766–785.</w:t>
      </w:r>
    </w:p>
    <w:p w14:paraId="7503A142" w14:textId="08358982" w:rsidR="002C6558" w:rsidRDefault="002C6558" w:rsidP="002C6558">
      <w:pPr>
        <w:ind w:left="454" w:hanging="454"/>
      </w:pPr>
      <w:r>
        <w:t>[6]</w:t>
      </w:r>
      <w:r>
        <w:tab/>
      </w:r>
      <w:r>
        <w:t xml:space="preserve">Xing X, Shi J, Jia Y, et al., 2022, Effect of Neoadjuvant Chemotherapy on the Immune Microenvironment in Gastric Cancer as Determined by Multiplex Immunofluorescence and T Cell Receptor Repertoire Analysis. Journal for </w:t>
      </w:r>
      <w:proofErr w:type="spellStart"/>
      <w:r>
        <w:t>ImmunoTherapy</w:t>
      </w:r>
      <w:proofErr w:type="spellEnd"/>
      <w:r>
        <w:t xml:space="preserve"> of Cancer, 10(3): e003984.</w:t>
      </w:r>
    </w:p>
    <w:p w14:paraId="0246D23E" w14:textId="60F51DC2" w:rsidR="002C6558" w:rsidRDefault="002C6558" w:rsidP="002C6558">
      <w:pPr>
        <w:ind w:left="454" w:hanging="454"/>
      </w:pPr>
      <w:r>
        <w:t>[7]</w:t>
      </w:r>
      <w:r>
        <w:tab/>
      </w:r>
      <w:proofErr w:type="spellStart"/>
      <w:r>
        <w:t>Janjigian</w:t>
      </w:r>
      <w:proofErr w:type="spellEnd"/>
      <w:r>
        <w:t xml:space="preserve"> YY, Shitara K, </w:t>
      </w:r>
      <w:proofErr w:type="spellStart"/>
      <w:r>
        <w:t>Moehler</w:t>
      </w:r>
      <w:proofErr w:type="spellEnd"/>
      <w:r>
        <w:t xml:space="preserve"> M, et al., 2021, First-Line Nivolumab Plus Chemotherapy versus Chemotherapy Alone for Advanced Gastric, Gastro-</w:t>
      </w:r>
      <w:proofErr w:type="spellStart"/>
      <w:r>
        <w:t>Oesophageal</w:t>
      </w:r>
      <w:proofErr w:type="spellEnd"/>
      <w:r>
        <w:t xml:space="preserve"> Junction, and </w:t>
      </w:r>
      <w:proofErr w:type="spellStart"/>
      <w:r>
        <w:t>Oesophageal</w:t>
      </w:r>
      <w:proofErr w:type="spellEnd"/>
      <w:r>
        <w:t xml:space="preserve"> Adenocarcinoma (</w:t>
      </w:r>
      <w:proofErr w:type="spellStart"/>
      <w:r>
        <w:t>CheckMate</w:t>
      </w:r>
      <w:proofErr w:type="spellEnd"/>
      <w:r>
        <w:t xml:space="preserve"> 649): A </w:t>
      </w:r>
      <w:proofErr w:type="spellStart"/>
      <w:r>
        <w:t>Randomised</w:t>
      </w:r>
      <w:proofErr w:type="spellEnd"/>
      <w:r>
        <w:t>, Open-Label, Phase 3 Trial. The Lancet, 398(10294): 27–40.</w:t>
      </w:r>
    </w:p>
    <w:p w14:paraId="74DEEB21" w14:textId="3E10F143" w:rsidR="002C6558" w:rsidRDefault="002C6558" w:rsidP="002C6558">
      <w:pPr>
        <w:ind w:left="454" w:hanging="454"/>
      </w:pPr>
      <w:r>
        <w:t>[8]</w:t>
      </w:r>
      <w:r>
        <w:tab/>
      </w:r>
      <w:r>
        <w:t xml:space="preserve">Xu J, Jiang H, Pan Y, et al., 2023, </w:t>
      </w:r>
      <w:proofErr w:type="spellStart"/>
      <w:r>
        <w:t>Sintilimab</w:t>
      </w:r>
      <w:proofErr w:type="spellEnd"/>
      <w:r>
        <w:t xml:space="preserve"> Plus Chemotherapy for Unresectable Gastric or Gastroesophageal Junction Cancer: The ORIENT-16 Randomized Clinical Trial. JAMA, 330(21): 2064–2074.</w:t>
      </w:r>
    </w:p>
    <w:p w14:paraId="468ED099" w14:textId="15392D1F" w:rsidR="002C6558" w:rsidRDefault="002C6558" w:rsidP="002C6558">
      <w:pPr>
        <w:ind w:left="454" w:hanging="454"/>
      </w:pPr>
      <w:r>
        <w:t>[9]</w:t>
      </w:r>
      <w:r>
        <w:tab/>
      </w:r>
      <w:r>
        <w:t xml:space="preserve">Gao X, Ji K, Jia Y, et al., 2024, </w:t>
      </w:r>
      <w:proofErr w:type="spellStart"/>
      <w:r>
        <w:t>Cadonilimab</w:t>
      </w:r>
      <w:proofErr w:type="spellEnd"/>
      <w:r>
        <w:t xml:space="preserve"> with Chemotherapy in HER2-Negative Gastric or Gastroesophageal Junction Adenocarcinoma: The Phase 1b/2 COMPASSION-04 Trial. Nature Medicine, 30(7): 1943–1951.</w:t>
      </w:r>
    </w:p>
    <w:p w14:paraId="4DA7ECC6" w14:textId="61F5CA5A" w:rsidR="002C6558" w:rsidRDefault="002C6558" w:rsidP="002C6558">
      <w:pPr>
        <w:ind w:left="454" w:hanging="454"/>
      </w:pPr>
      <w:r>
        <w:t>[10]</w:t>
      </w:r>
      <w:r>
        <w:tab/>
      </w:r>
      <w:proofErr w:type="spellStart"/>
      <w:r>
        <w:t>Janjigian</w:t>
      </w:r>
      <w:proofErr w:type="spellEnd"/>
      <w:r>
        <w:t xml:space="preserve"> YY, Kawazoe A, Yañez P, et al., 2021, The KEYNOTE-811 Trial of Dual PD-1 and HER2 Blockade in HER2-Positive Gastric Cancer. Nature, 600(7890): 727–730.</w:t>
      </w:r>
    </w:p>
    <w:p w14:paraId="51DBD84E" w14:textId="6783B1FF" w:rsidR="002C6558" w:rsidRDefault="002C6558" w:rsidP="002C6558">
      <w:pPr>
        <w:ind w:left="454" w:hanging="454"/>
      </w:pPr>
      <w:r>
        <w:t>[11]</w:t>
      </w:r>
      <w:r>
        <w:tab/>
      </w:r>
      <w:r>
        <w:t xml:space="preserve">Van Cutsem E, </w:t>
      </w:r>
      <w:proofErr w:type="spellStart"/>
      <w:r>
        <w:t>Sagaert</w:t>
      </w:r>
      <w:proofErr w:type="spellEnd"/>
      <w:r>
        <w:t xml:space="preserve"> X, Topal B, et al., 2016, Gastric Cancer. The Lancet, 388(10060): 2654–2664.</w:t>
      </w:r>
    </w:p>
    <w:p w14:paraId="5252183F" w14:textId="023F3CFB" w:rsidR="002C6558" w:rsidRDefault="002C6558" w:rsidP="002C6558">
      <w:pPr>
        <w:ind w:left="454" w:hanging="454"/>
      </w:pPr>
      <w:r>
        <w:t>[12]</w:t>
      </w:r>
      <w:r>
        <w:tab/>
      </w:r>
      <w:r>
        <w:t>Chong X, Madeti Y, Cai J, et al., 2024, Recent Developments in Immunotherapy for Gastrointestinal Tract Cancers. Journal of Hematology &amp; Oncology, 17(1): 65.</w:t>
      </w:r>
    </w:p>
    <w:p w14:paraId="664AF82C" w14:textId="1F3DBEAB" w:rsidR="002C6558" w:rsidRDefault="002C6558" w:rsidP="002C6558">
      <w:pPr>
        <w:ind w:left="454" w:hanging="454"/>
      </w:pPr>
      <w:r>
        <w:t>[13]</w:t>
      </w:r>
      <w:r>
        <w:tab/>
      </w:r>
      <w:proofErr w:type="spellStart"/>
      <w:r>
        <w:t>Tougeron</w:t>
      </w:r>
      <w:proofErr w:type="spellEnd"/>
      <w:r>
        <w:t xml:space="preserve"> D, Dahan L, </w:t>
      </w:r>
      <w:proofErr w:type="spellStart"/>
      <w:r>
        <w:t>Evesque</w:t>
      </w:r>
      <w:proofErr w:type="spellEnd"/>
      <w:r>
        <w:t xml:space="preserve"> L, et al., 2024, FOLFIRI Plus Durvalumab with or without </w:t>
      </w:r>
      <w:proofErr w:type="spellStart"/>
      <w:r>
        <w:t>Tremelimumab</w:t>
      </w:r>
      <w:proofErr w:type="spellEnd"/>
      <w:r>
        <w:t xml:space="preserve"> in Second-Line Treatment of Advanced Gastric or Gastroesophageal Junction Adenocarcinoma: The PRODIGE 59-FFCD 1707-DURIGAST Randomized Clinical Trial. JAMA Oncology, 10(6): 709–717.</w:t>
      </w:r>
    </w:p>
    <w:p w14:paraId="0A2A44F6" w14:textId="47CA6E4C" w:rsidR="002C6558" w:rsidRDefault="002C6558" w:rsidP="002C6558">
      <w:pPr>
        <w:ind w:left="454" w:hanging="454"/>
      </w:pPr>
      <w:r>
        <w:t>[14]</w:t>
      </w:r>
      <w:r>
        <w:tab/>
      </w:r>
      <w:r>
        <w:t xml:space="preserve">Yuan SQ, Nie RC, Jin Y, et al., 2024, Perioperative </w:t>
      </w:r>
      <w:proofErr w:type="spellStart"/>
      <w:r>
        <w:t>Toripalimab</w:t>
      </w:r>
      <w:proofErr w:type="spellEnd"/>
      <w:r>
        <w:t xml:space="preserve"> and Chemotherapy in Locally Advanced Gastric or Gastro-Esophageal Junction Cancer: A Randomized Phase 2 Trial. Nature Medicine, 30(2): 552–559.</w:t>
      </w:r>
    </w:p>
    <w:p w14:paraId="41DDF08E" w14:textId="2BDF4702" w:rsidR="002C6558" w:rsidRDefault="002C6558" w:rsidP="002C6558">
      <w:pPr>
        <w:ind w:left="454" w:hanging="454"/>
      </w:pPr>
      <w:r>
        <w:t>[15]</w:t>
      </w:r>
      <w:r>
        <w:tab/>
      </w:r>
      <w:r>
        <w:t xml:space="preserve">Yu J, Gao Y, Chen L, et al., 2022, Effect of S-1 Plus Oxaliplatin Compared with Fluorouracil, </w:t>
      </w:r>
      <w:r>
        <w:lastRenderedPageBreak/>
        <w:t xml:space="preserve">Leucovorin Plus Oxaliplatin as Perioperative Chemotherapy for Locally Advanced, </w:t>
      </w:r>
      <w:proofErr w:type="spellStart"/>
      <w:r>
        <w:t>Resectable</w:t>
      </w:r>
      <w:proofErr w:type="spellEnd"/>
      <w:r>
        <w:t xml:space="preserve"> Gastric Cancer: A Randomized Clinical Trial. JAMA Network Open, 5(2): e220426.</w:t>
      </w:r>
    </w:p>
    <w:p w14:paraId="2A95405B" w14:textId="1F33640E" w:rsidR="002C6558" w:rsidRDefault="002C6558" w:rsidP="002C6558">
      <w:pPr>
        <w:ind w:left="454" w:hanging="454"/>
      </w:pPr>
      <w:r>
        <w:t>[16]</w:t>
      </w:r>
      <w:r>
        <w:tab/>
      </w:r>
      <w:r>
        <w:t>Li S, Yu W, Xie F, et al., 2023, Neoadjuvant Therapy with Immune Checkpoint Blockade, Antiangiogenesis, and Chemotherapy for Locally Advanced Gastric Cancer. Nature Communications, 14(1): 8.</w:t>
      </w:r>
    </w:p>
    <w:p w14:paraId="3E7539F5" w14:textId="20FE0278" w:rsidR="002C6558" w:rsidRDefault="002C6558" w:rsidP="002C6558">
      <w:pPr>
        <w:ind w:left="454" w:hanging="454"/>
      </w:pPr>
      <w:r>
        <w:t>[17]</w:t>
      </w:r>
      <w:r>
        <w:tab/>
      </w:r>
      <w:r>
        <w:t xml:space="preserve">Shitara K, Rha SY, </w:t>
      </w:r>
      <w:proofErr w:type="spellStart"/>
      <w:r>
        <w:t>Wyrwicz</w:t>
      </w:r>
      <w:proofErr w:type="spellEnd"/>
      <w:r>
        <w:t xml:space="preserve"> LS, et al., 2024, Neoadjuvant and Adjuvant Pembrolizumab Plus Chemotherapy in Locally Advanced Gastric or Gastro-</w:t>
      </w:r>
      <w:proofErr w:type="spellStart"/>
      <w:r>
        <w:t>Oesophageal</w:t>
      </w:r>
      <w:proofErr w:type="spellEnd"/>
      <w:r>
        <w:t xml:space="preserve"> Cancer (KEYNOTE-585): An Interim Analysis of the </w:t>
      </w:r>
      <w:proofErr w:type="spellStart"/>
      <w:r>
        <w:t>Multicentre</w:t>
      </w:r>
      <w:proofErr w:type="spellEnd"/>
      <w:r>
        <w:t xml:space="preserve">, Double-Blind, </w:t>
      </w:r>
      <w:proofErr w:type="spellStart"/>
      <w:r>
        <w:t>Randomised</w:t>
      </w:r>
      <w:proofErr w:type="spellEnd"/>
      <w:r>
        <w:t xml:space="preserve"> Phase 3 Study. The Lancet Oncology, 25(2): 212–224.</w:t>
      </w:r>
    </w:p>
    <w:p w14:paraId="70C7A281" w14:textId="795166F1" w:rsidR="002C6558" w:rsidRDefault="002C6558" w:rsidP="002C6558">
      <w:pPr>
        <w:ind w:left="454" w:hanging="454"/>
      </w:pPr>
      <w:r>
        <w:t>[18]</w:t>
      </w:r>
      <w:r>
        <w:tab/>
      </w:r>
      <w:r>
        <w:t>Chen X, Bi M, Yang J, et al., 2022, Cadmium Exposure Triggers Oxidative Stress, Necroptosis, Th1/Th2 Imbalance and Promotes Inflammation through the TNF-α/NF-</w:t>
      </w:r>
      <w:proofErr w:type="spellStart"/>
      <w:r>
        <w:t>κB</w:t>
      </w:r>
      <w:proofErr w:type="spellEnd"/>
      <w:r>
        <w:t xml:space="preserve"> Pathway in Swine Small Intestine. Journal of Hazardous Materials, 421: 126704.</w:t>
      </w:r>
    </w:p>
    <w:p w14:paraId="0E0F8495" w14:textId="2705699D" w:rsidR="002C6558" w:rsidRDefault="002C6558" w:rsidP="002C6558">
      <w:pPr>
        <w:ind w:left="454" w:hanging="454"/>
      </w:pPr>
      <w:r>
        <w:t>[19]</w:t>
      </w:r>
      <w:r>
        <w:tab/>
      </w:r>
      <w:r>
        <w:t xml:space="preserve">Gérard A, Doyen J, </w:t>
      </w:r>
      <w:proofErr w:type="spellStart"/>
      <w:r>
        <w:t>Cremoni</w:t>
      </w:r>
      <w:proofErr w:type="spellEnd"/>
      <w:r>
        <w:t xml:space="preserve"> M, et al., 2021, Baseline and Early Functional Immune Response Is Associated with Subsequent Clinical Outcomes of PD-1 Inhibition Therapy in Metastatic Melanoma Patients. Journal for </w:t>
      </w:r>
      <w:proofErr w:type="spellStart"/>
      <w:r>
        <w:t>ImmunoTherapy</w:t>
      </w:r>
      <w:proofErr w:type="spellEnd"/>
      <w:r>
        <w:t xml:space="preserve"> of Cancer, 9(6): e002512.</w:t>
      </w:r>
    </w:p>
    <w:p w14:paraId="27673A01" w14:textId="2089D91B" w:rsidR="002C6558" w:rsidRDefault="002C6558" w:rsidP="002C6558">
      <w:pPr>
        <w:ind w:left="454" w:hanging="454"/>
      </w:pPr>
      <w:r>
        <w:t>[20]</w:t>
      </w:r>
      <w:r>
        <w:tab/>
      </w:r>
      <w:r>
        <w:t>Xu W, Zhou B, Wang P, et al., 2025, N6-Methyladenosine Modification of 3</w:t>
      </w:r>
      <w:r w:rsidR="00077724">
        <w:t>’</w:t>
      </w:r>
      <w:r>
        <w:t>tRF-AlaAGC Impairs PD-1 Blockade Efficacy by Promoting Lactic Acid Accumulation in the Tumor Microenvironment of Gastric Carcinoma. Drug Resistance Updates, 79: 101197.</w:t>
      </w:r>
    </w:p>
    <w:p w14:paraId="46592155" w14:textId="4DA6AC69" w:rsidR="002C6558" w:rsidRDefault="002C6558" w:rsidP="002C6558">
      <w:pPr>
        <w:ind w:left="454" w:hanging="454"/>
      </w:pPr>
      <w:r>
        <w:t>[21]</w:t>
      </w:r>
      <w:r>
        <w:tab/>
      </w:r>
      <w:r>
        <w:t>Zhu M, Wang Z, He Y, et al., 2025, Acidic Tumor Microenvironment–Modulated Nanoparticle Potentiates Gastric Cancer Photoimmunotherapy. Journal of Advanced Research. Advance online publication.</w:t>
      </w:r>
    </w:p>
    <w:p w14:paraId="695A5CA4" w14:textId="4F4AC250" w:rsidR="002C6558" w:rsidRDefault="002C6558" w:rsidP="002C6558">
      <w:pPr>
        <w:ind w:left="454" w:hanging="454"/>
      </w:pPr>
      <w:r>
        <w:t>[21]</w:t>
      </w:r>
      <w:r>
        <w:tab/>
      </w:r>
      <w:r>
        <w:t>Zhang B, Wang CM, Wu HX, et al., 2023, MFSD2A Potentiates Gastric Cancer Response to Anti-PD-1 Immunotherapy by Reprogramming the Tumor Microenvironment to Activate T Cell Response. Cancer Communications, 43(10): 1097–1116.</w:t>
      </w:r>
    </w:p>
    <w:p w14:paraId="1B67E584" w14:textId="7F431954" w:rsidR="002C6558" w:rsidRDefault="002C6558" w:rsidP="002C6558">
      <w:pPr>
        <w:ind w:left="454" w:hanging="454"/>
      </w:pPr>
      <w:r>
        <w:t>[22]</w:t>
      </w:r>
      <w:r>
        <w:tab/>
      </w:r>
      <w:r>
        <w:t>Cousin S, Guégan JP, Shitara K, et al., 2024, Identification of Microenvironment Features Associated with Primary Resistance to Anti-PD-1/PD-L1 Plus Antiangiogenesis in Gastric Cancer through Spatial Transcriptomics and Plasma Proteomics. Molecular Cancer, 23(1): 197.</w:t>
      </w:r>
    </w:p>
    <w:p w14:paraId="5C3FE496" w14:textId="67840E87" w:rsidR="002C6558" w:rsidRDefault="002C6558" w:rsidP="002C6558">
      <w:pPr>
        <w:ind w:left="454" w:hanging="454"/>
      </w:pPr>
      <w:r>
        <w:t>[23]</w:t>
      </w:r>
      <w:r>
        <w:tab/>
      </w:r>
      <w:r>
        <w:t>Zhang H, Liu L, Liu J, et al., 2023, Roles of Tumor-Associated Macrophages in Anti-PD-1/PD-L1 Immunotherapy for Solid Cancers. Molecular Cancer, 22(1): 58.</w:t>
      </w:r>
    </w:p>
    <w:p w14:paraId="6F7FA186" w14:textId="71E44097" w:rsidR="002C6558" w:rsidRDefault="002C6558" w:rsidP="002C6558">
      <w:pPr>
        <w:ind w:left="454" w:hanging="454"/>
      </w:pPr>
      <w:r>
        <w:t>[24]</w:t>
      </w:r>
      <w:r>
        <w:tab/>
      </w:r>
      <w:r>
        <w:t>Wang L, Guo W, Guo Z, et al., 2024, PD-L1-Expressing Tumor-Associated Macrophages Are Immunostimulatory and Associate with Good Clinical Outcome in Human Breast Cancer. Cell Reports Medicine, 5(2): 101420.</w:t>
      </w:r>
    </w:p>
    <w:p w14:paraId="42ECE078" w14:textId="5F7C614A" w:rsidR="002C6558" w:rsidRDefault="002C6558" w:rsidP="002C6558">
      <w:pPr>
        <w:ind w:left="454" w:hanging="454"/>
      </w:pPr>
      <w:r>
        <w:t>[25]</w:t>
      </w:r>
      <w:r>
        <w:tab/>
      </w:r>
      <w:r>
        <w:t>Chen X, Zhao Y, Wang Y, et al., 2025, Single-Cell Atlas of the Esophageal Squamous Cell Carcinoma Immune Ecosystem to Predict Immunotherapy Response. Signal Transduction and Targeted Therapy, 10(1): 348.</w:t>
      </w:r>
    </w:p>
    <w:p w14:paraId="1750493B" w14:textId="3B70020B" w:rsidR="002C6558" w:rsidRDefault="002C6558" w:rsidP="002C6558">
      <w:pPr>
        <w:ind w:left="454" w:hanging="454"/>
      </w:pPr>
      <w:r>
        <w:t>[26]</w:t>
      </w:r>
      <w:r>
        <w:tab/>
      </w:r>
      <w:r>
        <w:t xml:space="preserve">Xia T, Li K, Niu N, et al., 2022, Immune Cell Atlas of </w:t>
      </w:r>
      <w:proofErr w:type="spellStart"/>
      <w:r>
        <w:t>Cholangiocarcinomas</w:t>
      </w:r>
      <w:proofErr w:type="spellEnd"/>
      <w:r>
        <w:t xml:space="preserve"> Reveals Distinct Tumor Microenvironments and Associated Prognoses. Journal of Hematology &amp; Oncology, 15(1): 37.</w:t>
      </w:r>
    </w:p>
    <w:p w14:paraId="30A68139" w14:textId="47F0E208" w:rsidR="002C6558" w:rsidRDefault="002C6558" w:rsidP="002C6558">
      <w:pPr>
        <w:ind w:left="454" w:hanging="454"/>
      </w:pPr>
      <w:r>
        <w:t>[27]</w:t>
      </w:r>
      <w:r>
        <w:tab/>
      </w:r>
      <w:r>
        <w:t xml:space="preserve">Ménard M, Yoda H, </w:t>
      </w:r>
      <w:proofErr w:type="spellStart"/>
      <w:r>
        <w:t>Nasholm</w:t>
      </w:r>
      <w:proofErr w:type="spellEnd"/>
      <w:r>
        <w:t xml:space="preserve"> N, et al., 2025, Myeloid-Targeting Immunotherapies Overcome Inhibitory Barriers in Immune-Evasive Neuroblastoma. Journal of Experimental Medicine, 222(9): e20231417.</w:t>
      </w:r>
    </w:p>
    <w:p w14:paraId="7995991F" w14:textId="62BC0E12" w:rsidR="002C6558" w:rsidRDefault="002C6558" w:rsidP="002C6558">
      <w:pPr>
        <w:ind w:left="454" w:hanging="454"/>
      </w:pPr>
      <w:r>
        <w:t>[28]</w:t>
      </w:r>
      <w:r>
        <w:tab/>
      </w:r>
      <w:r>
        <w:t xml:space="preserve">Jiang C, Liu R, Li Z, 2025, A Phosphatidylinositol 3-Kinase Gamma Inhibitor Enhances Anti-Programmed Death-1/Programmed Death Ligand-1 Antitumor Effects by Remodeling the Tumor Immune Microenvironment of Ovarian Cancer. </w:t>
      </w:r>
      <w:proofErr w:type="spellStart"/>
      <w:r>
        <w:t>MedComm</w:t>
      </w:r>
      <w:proofErr w:type="spellEnd"/>
      <w:r>
        <w:t>, 6(8): e70223.</w:t>
      </w:r>
    </w:p>
    <w:p w14:paraId="1BB25889" w14:textId="3A789085" w:rsidR="002C6558" w:rsidRDefault="002C6558" w:rsidP="002C6558">
      <w:pPr>
        <w:ind w:left="454" w:hanging="454"/>
      </w:pPr>
      <w:r>
        <w:t>[29]</w:t>
      </w:r>
      <w:r>
        <w:tab/>
      </w:r>
      <w:proofErr w:type="spellStart"/>
      <w:r>
        <w:t>Voissière</w:t>
      </w:r>
      <w:proofErr w:type="spellEnd"/>
      <w:r>
        <w:t xml:space="preserve"> A, Gomez-Roca C, Chabaud S, et al., 2024, The CSF-1R Inhibitor </w:t>
      </w:r>
      <w:proofErr w:type="spellStart"/>
      <w:r>
        <w:t>Pexidartinib</w:t>
      </w:r>
      <w:proofErr w:type="spellEnd"/>
      <w:r>
        <w:t xml:space="preserve"> Affects FLT3-Dependent DC Differentiation and May Antagonize Durvalumab Effect in Patients with Advanced Cancers. Science Translational Medicine, 16(731): eadn1834.</w:t>
      </w:r>
    </w:p>
    <w:p w14:paraId="791D3035" w14:textId="50E27329" w:rsidR="002C6558" w:rsidRDefault="002C6558" w:rsidP="002C6558">
      <w:pPr>
        <w:ind w:left="454" w:hanging="454"/>
      </w:pPr>
      <w:r>
        <w:t>[30]</w:t>
      </w:r>
      <w:r>
        <w:tab/>
      </w:r>
      <w:r>
        <w:t xml:space="preserve">Zeng D, Wu J, Luo H, et al., 2021, Tumor Microenvironment Evaluation Promotes Precise Checkpoint Immunotherapy of Advanced Gastric Cancer. Journal for </w:t>
      </w:r>
      <w:proofErr w:type="spellStart"/>
      <w:r>
        <w:t>ImmunoTherapy</w:t>
      </w:r>
      <w:proofErr w:type="spellEnd"/>
      <w:r>
        <w:t xml:space="preserve"> of Cancer, 9(8): e002467.</w:t>
      </w:r>
    </w:p>
    <w:p w14:paraId="0178DBA7" w14:textId="1F9F6C38" w:rsidR="002C6558" w:rsidRDefault="002C6558" w:rsidP="002C6558">
      <w:pPr>
        <w:ind w:left="454" w:hanging="454"/>
      </w:pPr>
      <w:r>
        <w:lastRenderedPageBreak/>
        <w:t>[31]</w:t>
      </w:r>
      <w:r>
        <w:tab/>
      </w:r>
      <w:r>
        <w:t>Suo D, Gao X, Chen Q, et al., 2024, HSPA4 Upregulation Induces Immune Evasion via ALKBH5/CD58 Axis in Gastric Cancer. Journal of Experimental &amp; Clinical Cancer Research, 43(1): 106.</w:t>
      </w:r>
    </w:p>
    <w:p w14:paraId="56F32DC1" w14:textId="040990CD" w:rsidR="002C6558" w:rsidRDefault="002C6558" w:rsidP="002C6558">
      <w:pPr>
        <w:ind w:left="454" w:hanging="454"/>
      </w:pPr>
      <w:r>
        <w:t>[32]</w:t>
      </w:r>
      <w:r>
        <w:tab/>
      </w:r>
      <w:r>
        <w:t>Sun Z, Zhang T, Ahmad MU, et al., 2024, Comprehensive Assessment of Immune Context and Immunotherapy Response via Noninvasive Imaging in Gastric Cancer. The Journal of Clinical Investigation, 134(6): e175834.</w:t>
      </w:r>
    </w:p>
    <w:p w14:paraId="0C829B43" w14:textId="6900670E" w:rsidR="002C6558" w:rsidRDefault="002C6558" w:rsidP="002C6558">
      <w:pPr>
        <w:ind w:left="454" w:hanging="454"/>
      </w:pPr>
      <w:r>
        <w:t>[33]</w:t>
      </w:r>
      <w:r>
        <w:tab/>
      </w:r>
      <w:r>
        <w:t xml:space="preserve">Chen Y, Jia K, Sun Y, et al., 2022, Predicting Response to Immunotherapy in Gastric Cancer via Multi-Dimensional Analyses of the </w:t>
      </w:r>
      <w:proofErr w:type="spellStart"/>
      <w:r>
        <w:t>Tumour</w:t>
      </w:r>
      <w:proofErr w:type="spellEnd"/>
      <w:r>
        <w:t xml:space="preserve"> Immune Microenvironment. Nature Communications, 13(1): 4851.</w:t>
      </w:r>
    </w:p>
    <w:p w14:paraId="39519EC0" w14:textId="029C0A13" w:rsidR="002C6558" w:rsidRDefault="002C6558" w:rsidP="002C6558">
      <w:pPr>
        <w:ind w:left="454" w:hanging="454"/>
      </w:pPr>
      <w:r>
        <w:t>[34]</w:t>
      </w:r>
      <w:r>
        <w:tab/>
      </w:r>
      <w:r>
        <w:t>Zhang X, Zheng J, Guo H, et al., 2025, PRDM15 Inhibits Responses of Tissue-Resident Memory T Cells by Activating PVR/TIGIT Axis to Mediate Gastric Cancer Immunosuppression. Journal of Advanced Research. Advance online publication.</w:t>
      </w:r>
    </w:p>
    <w:p w14:paraId="49E2572F" w14:textId="3F72FB5A" w:rsidR="002C6558" w:rsidRDefault="002C6558" w:rsidP="002C6558">
      <w:pPr>
        <w:ind w:left="454" w:hanging="454"/>
      </w:pPr>
      <w:r>
        <w:t>[35]</w:t>
      </w:r>
      <w:r>
        <w:tab/>
      </w:r>
      <w:r>
        <w:t>Shi M, Zeng D, Luo H, et al., 2024, Tumor Microenvironment RNA Test to Predict Immunotherapy Outcomes in Advanced Gastric Cancer: The TIMES001 Trial. Med, 5(11): 1378–1392.</w:t>
      </w:r>
    </w:p>
    <w:p w14:paraId="6D04B0BA" w14:textId="2C11C1CD" w:rsidR="002C6558" w:rsidRDefault="002C6558" w:rsidP="002C6558">
      <w:pPr>
        <w:ind w:left="454" w:hanging="454"/>
      </w:pPr>
      <w:r>
        <w:t>[36]</w:t>
      </w:r>
      <w:r>
        <w:tab/>
      </w:r>
      <w:r>
        <w:t>Yu Z, Liang C, Xu Q, et al., 2025, The Safety and Efficacy of Neoadjuvant PD-1 Inhibitor Plus Chemotherapy for Patients with Locally Advanced Gastric Cancer: A Systematic Review and Meta-Analysis. International Journal of Surgery, 111(1): 1415–1426.</w:t>
      </w:r>
    </w:p>
    <w:p w14:paraId="665A4C17" w14:textId="66EF8F43" w:rsidR="002C6558" w:rsidRDefault="002C6558" w:rsidP="002C6558">
      <w:pPr>
        <w:ind w:left="454" w:hanging="454"/>
      </w:pPr>
      <w:r>
        <w:t>[37]</w:t>
      </w:r>
      <w:r>
        <w:tab/>
      </w:r>
      <w:r>
        <w:t xml:space="preserve">Zhang Y, Xu X, Wang S, et al., 2026, Fecal Microbiota Transplantation Combined with Anti-PD-1 Therapy in Refractory Microsatellite-Stable Gastric Cancer: A Phase I Feasibility and Safety Study. Journal for </w:t>
      </w:r>
      <w:proofErr w:type="spellStart"/>
      <w:r>
        <w:t>ImmunoTherapy</w:t>
      </w:r>
      <w:proofErr w:type="spellEnd"/>
      <w:r>
        <w:t xml:space="preserve"> of Cancer, 14(3): e013823.</w:t>
      </w:r>
    </w:p>
    <w:p w14:paraId="1BB5F960" w14:textId="5ECD9449" w:rsidR="002C6558" w:rsidRDefault="002C6558" w:rsidP="002C6558">
      <w:pPr>
        <w:ind w:left="454" w:hanging="454"/>
      </w:pPr>
      <w:r>
        <w:t>[38]</w:t>
      </w:r>
      <w:r>
        <w:tab/>
      </w:r>
      <w:r>
        <w:t>Wang J, Zhang W, Zhang J, et al., 2026, Integrative Multi-Omics Analysis Uncovers Immunological Phenotypes Predictive of Combinatorial Immunotherapy Response in Gastric Cancer. Advanced Science. Advance online publication: 14482.</w:t>
      </w:r>
    </w:p>
    <w:p w14:paraId="5B832683" w14:textId="76E34574" w:rsidR="002C6558" w:rsidRDefault="002C6558" w:rsidP="002C6558">
      <w:pPr>
        <w:ind w:left="454" w:hanging="454"/>
      </w:pPr>
      <w:r>
        <w:t>[39]</w:t>
      </w:r>
      <w:r>
        <w:tab/>
      </w:r>
      <w:r>
        <w:t xml:space="preserve">McMiller TL, </w:t>
      </w:r>
      <w:proofErr w:type="spellStart"/>
      <w:r>
        <w:t>Besharati</w:t>
      </w:r>
      <w:proofErr w:type="spellEnd"/>
      <w:r>
        <w:t xml:space="preserve"> S, Yarchoan M, et al., 2024, Immune Microenvironment of Epstein-Barr Virus (EBV)-Negative Compared to EBV-Associated Gastric Cancers: Implications for Immunotherapy. Journal for </w:t>
      </w:r>
      <w:proofErr w:type="spellStart"/>
      <w:r>
        <w:t>ImmunoTherapy</w:t>
      </w:r>
      <w:proofErr w:type="spellEnd"/>
      <w:r>
        <w:t xml:space="preserve"> of Cancer, 12(11): e010201.</w:t>
      </w:r>
    </w:p>
    <w:p w14:paraId="6E7737FE" w14:textId="2C5A0DB4" w:rsidR="002C6558" w:rsidRDefault="002C6558" w:rsidP="002C6558">
      <w:pPr>
        <w:ind w:left="454" w:hanging="454"/>
      </w:pPr>
      <w:r>
        <w:t>[40]</w:t>
      </w:r>
      <w:r>
        <w:tab/>
      </w:r>
      <w:r>
        <w:t>Takei S, Kawazoe A, Shitara K, 2022, The New Era of Immunotherapy in Gastric Cancer. Cancers, 14(4): 1054.</w:t>
      </w:r>
    </w:p>
    <w:p w14:paraId="6A9FB3B6" w14:textId="77777777" w:rsidR="002C6558" w:rsidRDefault="002C6558" w:rsidP="002C6558"/>
    <w:p w14:paraId="0BBE4DEC" w14:textId="28BD5ABD" w:rsidR="002C6558" w:rsidRDefault="002C6558" w:rsidP="002C6558">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w:t>
      </w:r>
      <w:r w:rsidR="00077724">
        <w:rPr>
          <w:rFonts w:eastAsia="SimSun"/>
          <w:b/>
          <w:bCs/>
          <w:kern w:val="0"/>
          <w:sz w:val="20"/>
          <w:szCs w:val="22"/>
          <w:lang w:eastAsia="en-US"/>
        </w:rPr>
        <w:t>’</w:t>
      </w:r>
      <w:r>
        <w:rPr>
          <w:rFonts w:eastAsia="SimSun"/>
          <w:b/>
          <w:bCs/>
          <w:kern w:val="0"/>
          <w:sz w:val="20"/>
          <w:szCs w:val="22"/>
          <w:lang w:eastAsia="en-US"/>
        </w:rPr>
        <w:t>s note</w:t>
      </w:r>
    </w:p>
    <w:p w14:paraId="1EC0136E" w14:textId="77777777" w:rsidR="002C6558" w:rsidRDefault="002C6558" w:rsidP="002C6558">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1"/>
    <w:p w14:paraId="584CA2C6" w14:textId="41AB8D21" w:rsidR="00D86CA1" w:rsidRPr="002C6558" w:rsidRDefault="00D86CA1" w:rsidP="006A10FF">
      <w:pPr>
        <w:rPr>
          <w:rFonts w:eastAsia="SimSun" w:cs="Times New Roman"/>
        </w:rPr>
      </w:pPr>
    </w:p>
    <w:sectPr w:rsidR="00D86CA1" w:rsidRPr="002C6558" w:rsidSect="006A10FF">
      <w:pgSz w:w="11906" w:h="16838"/>
      <w:pgMar w:top="1418" w:right="1134" w:bottom="1418"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B4717"/>
    <w:multiLevelType w:val="singleLevel"/>
    <w:tmpl w:val="356B4717"/>
    <w:lvl w:ilvl="0">
      <w:start w:val="1"/>
      <w:numFmt w:val="decimal"/>
      <w:suff w:val="nothing"/>
      <w:lvlText w:val="[%1]"/>
      <w:lvlJc w:val="left"/>
      <w:pPr>
        <w:tabs>
          <w:tab w:val="left" w:pos="0"/>
        </w:tabs>
        <w:ind w:left="0" w:firstLine="0"/>
      </w:pPr>
      <w:rPr>
        <w:rFonts w:hint="default"/>
      </w:rPr>
    </w:lvl>
  </w:abstractNum>
  <w:num w:numId="1" w16cid:durableId="951286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BCC6FEA"/>
    <w:rsid w:val="00077724"/>
    <w:rsid w:val="002C6558"/>
    <w:rsid w:val="006A10FF"/>
    <w:rsid w:val="009F2252"/>
    <w:rsid w:val="00AA72CE"/>
    <w:rsid w:val="00AE1784"/>
    <w:rsid w:val="00D86CA1"/>
    <w:rsid w:val="0E716BFD"/>
    <w:rsid w:val="25CA020F"/>
    <w:rsid w:val="2BCC6FEA"/>
    <w:rsid w:val="58C62E1B"/>
    <w:rsid w:val="6D565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2917C"/>
  <w15:docId w15:val="{1CCD8AB2-FA14-4A10-B8A1-0832400DD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6558"/>
    <w:pPr>
      <w:widowControl w:val="0"/>
      <w:suppressAutoHyphens/>
      <w:adjustRightInd w:val="0"/>
      <w:snapToGrid w:val="0"/>
      <w:jc w:val="both"/>
    </w:pPr>
    <w:rPr>
      <w:rFonts w:eastAsiaTheme="minorEastAsia" w:cstheme="minorBidi"/>
      <w:kern w:val="2"/>
      <w:sz w:val="24"/>
      <w:szCs w:val="24"/>
      <w:lang w:val="en-US"/>
    </w:rPr>
  </w:style>
  <w:style w:type="paragraph" w:styleId="Heading2">
    <w:name w:val="heading 2"/>
    <w:basedOn w:val="Normal"/>
    <w:next w:val="Normal"/>
    <w:uiPriority w:val="9"/>
    <w:unhideWhenUsed/>
    <w:qFormat/>
    <w:pPr>
      <w:keepNext/>
      <w:keepLines/>
      <w:spacing w:before="200"/>
      <w:outlineLvl w:val="1"/>
    </w:pPr>
    <w:rPr>
      <w:rFonts w:asciiTheme="majorHAnsi" w:eastAsiaTheme="majorEastAsia" w:hAnsiTheme="majorHAnsi" w:cstheme="majorBidi"/>
      <w:b/>
      <w:bCs/>
      <w:color w:val="4874CB"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NormalWeb">
    <w:name w:val="Normal (Web)"/>
    <w:basedOn w:val="Normal"/>
  </w:style>
  <w:style w:type="paragraph" w:customStyle="1" w:styleId="EndNoteBibliography">
    <w:name w:val="EndNote Bibliography"/>
    <w:basedOn w:val="Normal"/>
    <w:qFormat/>
  </w:style>
  <w:style w:type="paragraph" w:styleId="Revision">
    <w:name w:val="Revision"/>
    <w:hidden/>
    <w:uiPriority w:val="99"/>
    <w:unhideWhenUsed/>
    <w:rsid w:val="002C6558"/>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5699</Words>
  <Characters>32490</Characters>
  <Application>Microsoft Office Word</Application>
  <DocSecurity>0</DocSecurity>
  <Lines>270</Lines>
  <Paragraphs>76</Paragraphs>
  <ScaleCrop>false</ScaleCrop>
  <Company/>
  <LinksUpToDate>false</LinksUpToDate>
  <CharactersWithSpaces>38113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Editor J</cp:lastModifiedBy>
  <cp:revision>2</cp:revision>
  <dcterms:created xsi:type="dcterms:W3CDTF">2026-07-23T02:27:00Z</dcterms:created>
  <dcterms:modified xsi:type="dcterms:W3CDTF">2026-07-23T02:27:00Z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EEB4F5F1403E49EA85058B280192AA09_11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49696677-7df6-481f-8601-8a79f29b5cbd</vt:lpwstr>
  </property>
</Properties>
</file>